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alt="E324C585-9956-44B2-99CE-56A1C22EFD09" style="width:450.75pt;height:293.25pt">
            <v:imagedata r:id="rId12" o:title=""/>
          </v:shape>
        </w:pict>
      </w:r>
    </w:p>
    <w:bookmarkEnd w:id="0"/>
    <w:p>
      <w:pPr>
        <w:pStyle w:val="Pagedecouverture"/>
        <w:rPr>
          <w:noProof/>
        </w:rPr>
        <w:sectPr>
          <w:headerReference w:type="even" r:id="rId13"/>
          <w:headerReference w:type="default" r:id="rId14"/>
          <w:footerReference w:type="even" r:id="rId15"/>
          <w:footerReference w:type="default" r:id="rId16"/>
          <w:headerReference w:type="first" r:id="rId17"/>
          <w:footerReference w:type="first" r:id="rId18"/>
          <w:pgSz w:w="11906" w:h="16838"/>
          <w:pgMar w:top="1134" w:right="1417" w:bottom="1134" w:left="1417" w:header="709" w:footer="709" w:gutter="0"/>
          <w:pgNumType w:start="0"/>
          <w:cols w:space="720"/>
          <w:docGrid w:linePitch="326"/>
        </w:sectPr>
      </w:pPr>
    </w:p>
    <w:p>
      <w:pPr>
        <w:jc w:val="center"/>
        <w:rPr>
          <w:rFonts w:ascii="Times New Roman Bold" w:hAnsi="Times New Roman Bold"/>
          <w:b/>
          <w:smallCaps/>
          <w:noProof/>
        </w:rPr>
      </w:pPr>
      <w:bookmarkStart w:id="1" w:name="_GoBack"/>
      <w:bookmarkEnd w:id="1"/>
      <w:r>
        <w:rPr>
          <w:rFonts w:ascii="Times New Roman Bold" w:hAnsi="Times New Roman Bold"/>
          <w:b/>
          <w:smallCaps/>
          <w:noProof/>
        </w:rPr>
        <w:lastRenderedPageBreak/>
        <w:t>Rapport om den økonomiske og sociale situation på Gozo (Malta) 2019</w:t>
      </w:r>
    </w:p>
    <w:p>
      <w:pPr>
        <w:rPr>
          <w:noProof/>
        </w:rPr>
      </w:pPr>
      <w:r>
        <w:rPr>
          <w:noProof/>
        </w:rPr>
        <w:t>Uden at det berører de igangværende forhandlinger om den flerårige finansielle ramme for perioden 2021-2027, og i overensstemmelse med 36. erklæring fra Republikken Malta om øen Gozo, der er knyttet som bilag til traktaten om Maltas tiltrædelse af Den Europæiske Union, anmodede Maltas regering i februar 2019 Kommissionen om at forelægge Rådet en rapport om den økonomiske og sociale situation på Gozo, herunder navnlig om skævhederne mellem den sociale og økonomiske udvikling på Gozo og det øvrige Malta, og om at foreslå hensigtsmæssige foranstaltninger, der kan sikre en yderligere integration af Gozo i det indre marked.</w:t>
      </w:r>
    </w:p>
    <w:p>
      <w:pPr>
        <w:rPr>
          <w:noProof/>
        </w:rPr>
      </w:pPr>
      <w:r>
        <w:rPr>
          <w:noProof/>
        </w:rPr>
        <w:t>I denne rapport vurderes den aktuelle udvikling på Gozo og udviklingen af skævheder i Malta. Der gives en vurdering på baggrund af de seneste tendenser for en række dimensioner og indikatorer, der er relevante for Gozos udvikling, dvs. demografi og arbejdsmarked, økonomisk struktur og vækst, geografi og tilgængelighed. I rapporten sammenlignes Gozo med det øvrige Malta og med andre europæiske regioner. Endelig analyseres det, hvordan samhørighedspolitikken imødekommer Gozos udviklingsbehov.</w:t>
      </w:r>
    </w:p>
    <w:p>
      <w:pPr>
        <w:rPr>
          <w:noProof/>
        </w:rPr>
      </w:pPr>
      <w:r>
        <w:rPr>
          <w:noProof/>
        </w:rPr>
        <w:t xml:space="preserve">Denne rapport anvender regionale statistikker udarbejdet af Eurostat og Maltas statistiske kontor. </w:t>
      </w:r>
    </w:p>
    <w:p>
      <w:pPr>
        <w:pStyle w:val="Heading1"/>
        <w:rPr>
          <w:noProof/>
        </w:rPr>
      </w:pPr>
      <w:r>
        <w:rPr>
          <w:noProof/>
        </w:rPr>
        <w:t>Analyse af Gozos økonomiske og sociale situation</w:t>
      </w:r>
    </w:p>
    <w:p>
      <w:pPr>
        <w:pStyle w:val="Heading2"/>
        <w:rPr>
          <w:noProof/>
        </w:rPr>
      </w:pPr>
      <w:r>
        <w:rPr>
          <w:noProof/>
        </w:rPr>
        <w:t>Geografi og arealanvendelse</w:t>
      </w:r>
    </w:p>
    <w:p>
      <w:pPr>
        <w:pStyle w:val="Text2"/>
        <w:ind w:left="476"/>
        <w:rPr>
          <w:noProof/>
        </w:rPr>
      </w:pPr>
      <w:r>
        <w:rPr>
          <w:noProof/>
        </w:rPr>
        <w:t>Gozo er den næstvigtigste ø i den maltesiske øgruppe med hensyn til areal og befolkning. Den er beliggende 5 km nordvest for øen Malta. Øen Comino er beliggende mellem Malta og Gozo, under 1 km fra Gozo, og er næsten ubeboet</w:t>
      </w:r>
      <w:r>
        <w:rPr>
          <w:rStyle w:val="FootnoteReference"/>
          <w:noProof/>
        </w:rPr>
        <w:footnoteReference w:id="2"/>
      </w:r>
      <w:r>
        <w:rPr>
          <w:noProof/>
        </w:rPr>
        <w:t>. Med hensyn til arealanvendelse og arealdække</w:t>
      </w:r>
      <w:r>
        <w:rPr>
          <w:rStyle w:val="FootnoteReference"/>
          <w:noProof/>
        </w:rPr>
        <w:footnoteReference w:id="3"/>
      </w:r>
      <w:r>
        <w:rPr>
          <w:noProof/>
        </w:rPr>
        <w:t xml:space="preserve"> dækker byområder 21 % af Gozos og Cominos areal, mens landbrug, naturområder og skov dækker 77,5 % af arealet. Til sammenligning dækker byområder en lidt større andel af arealet (23 %) på hovedøen Malta, mens industri-, handels- og transportenheder dækker 5,7 %, og landbrug, naturområder og skov dækker 66,7 %. Arealanvendelsen afspejler den højere befolkningstæthed og industrialiseringsgrad i Malta sammenlignet med Gozo og landbrugets fremtrædende rolle i Gozos økonomi.</w:t>
      </w:r>
    </w:p>
    <w:p>
      <w:pPr>
        <w:pStyle w:val="Text2"/>
        <w:ind w:left="476"/>
        <w:rPr>
          <w:noProof/>
        </w:rPr>
      </w:pPr>
      <w:r>
        <w:rPr>
          <w:noProof/>
        </w:rPr>
        <w:t xml:space="preserve">Med hensyn til den statistiske klassifikation som en region er Malta et land, en NUTS 1-region og NUTS 2-region. På NUTS 3-niveau er Malta opdelt i to regioner: øen Malta og øerne Gozo og Comino. </w:t>
      </w:r>
    </w:p>
    <w:p>
      <w:pPr>
        <w:pStyle w:val="Text2"/>
        <w:keepNext/>
        <w:ind w:left="0"/>
        <w:rPr>
          <w:b/>
          <w:noProof/>
        </w:rPr>
      </w:pPr>
      <w:r>
        <w:rPr>
          <w:b/>
          <w:noProof/>
        </w:rPr>
        <w:t>Kort 1. Arealanvendelse og arealdække i Malta, Gozo og Comino</w:t>
      </w:r>
    </w:p>
    <w:p>
      <w:pPr>
        <w:pStyle w:val="Text2"/>
        <w:ind w:left="0"/>
        <w:rPr>
          <w:noProof/>
        </w:rPr>
      </w:pPr>
      <w:r>
        <w:rPr>
          <w:noProof/>
          <w:lang w:val="en-GB"/>
        </w:rPr>
        <w:drawing>
          <wp:inline distT="0" distB="0" distL="0" distR="0">
            <wp:extent cx="5229225" cy="364807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229225" cy="3648075"/>
                    </a:xfrm>
                    <a:prstGeom prst="rect">
                      <a:avLst/>
                    </a:prstGeom>
                  </pic:spPr>
                </pic:pic>
              </a:graphicData>
            </a:graphic>
          </wp:inline>
        </w:drawing>
      </w:r>
    </w:p>
    <w:p>
      <w:pPr>
        <w:pStyle w:val="Text2"/>
        <w:ind w:left="0"/>
        <w:rPr>
          <w:i/>
          <w:noProof/>
          <w:sz w:val="20"/>
          <w:lang w:val="en-US"/>
        </w:rPr>
      </w:pPr>
      <w:r>
        <w:rPr>
          <w:i/>
          <w:noProof/>
          <w:sz w:val="20"/>
          <w:lang w:val="en-US"/>
        </w:rPr>
        <w:t>Kilde: CORINE Land Cover Inventory 2018.</w:t>
      </w:r>
    </w:p>
    <w:p>
      <w:pPr>
        <w:pStyle w:val="Heading2"/>
        <w:rPr>
          <w:noProof/>
        </w:rPr>
      </w:pPr>
      <w:r>
        <w:rPr>
          <w:noProof/>
        </w:rPr>
        <w:t>Befolkning</w:t>
      </w:r>
    </w:p>
    <w:p>
      <w:pPr>
        <w:pStyle w:val="Text2"/>
        <w:ind w:left="476"/>
        <w:rPr>
          <w:noProof/>
        </w:rPr>
      </w:pPr>
      <w:r>
        <w:rPr>
          <w:noProof/>
        </w:rPr>
        <w:t>Pr. januar 2018 havde Gozo 32 723 indbyggere, hvilket svarer til ca. 6,9 % af den maltesiske befolkning. Befolkningstætheden på Gozo i 2018 var 474,5 indbyggere pr. km</w:t>
      </w:r>
      <w:r>
        <w:rPr>
          <w:noProof/>
          <w:vertAlign w:val="superscript"/>
        </w:rPr>
        <w:t>2</w:t>
      </w:r>
      <w:r>
        <w:rPr>
          <w:noProof/>
        </w:rPr>
        <w:t>, omtrent en fjerdedel af befolkningstætheden på øen Malta (1 793,8 indbyggere pr. km</w:t>
      </w:r>
      <w:r>
        <w:rPr>
          <w:noProof/>
          <w:vertAlign w:val="superscript"/>
        </w:rPr>
        <w:t>2</w:t>
      </w:r>
      <w:r>
        <w:rPr>
          <w:noProof/>
        </w:rPr>
        <w:t xml:space="preserve"> i det samme år). Omkring 21 % af befolkningen bor i Victoria (også kaldet Rabat), den største by på øen Gozo. </w:t>
      </w:r>
    </w:p>
    <w:p>
      <w:pPr>
        <w:pStyle w:val="Text2"/>
        <w:ind w:left="476"/>
        <w:rPr>
          <w:noProof/>
        </w:rPr>
      </w:pPr>
      <w:r>
        <w:rPr>
          <w:noProof/>
        </w:rPr>
        <w:t>I absolutte tal voksede befolkningen på Gozo med omkring 1 700 indbyggere fra 2006 til 2018. I relative tal voksede Gozos befolkning i gennemsnit med 0,4 % om året i perioden 2006-2018, sammenlignet med en vækst på 1,4 % (som gav en befolkningstilvækst på 69 000) for befolkningen på øen Malta i den samme periode, som også kan tilskrives en væsentlig stigning i migrationen fra og med 2012. Denne forskel i tilvæksten medførte et fald i den andel af den maltesiske befolkning, der boede på Gozo, fra 7,7 % i 2006 til 6,9 % i 2018.</w:t>
      </w:r>
    </w:p>
    <w:p>
      <w:pPr>
        <w:pStyle w:val="Text2"/>
        <w:ind w:left="476"/>
        <w:rPr>
          <w:noProof/>
        </w:rPr>
      </w:pPr>
      <w:r>
        <w:rPr>
          <w:noProof/>
        </w:rPr>
        <w:t xml:space="preserve">En af de faktorer, der ligger til grund for denne udvikling, er befolkningsaldringen. Andelen af befolkningen i aldersgruppen fra 65 år, som bor på Gozo, steg med 8 procentpoint i perioden 2006-2018. Til sammenligning steg andelen med 2 procentpoint på øen Malta. Selv om de to regioner udviser betydelige tendenser til aldring, er andelen af befolkningen i den erhvervsaktive alder (15-64 år) for øen Malta generelt 2 procentpoint højere end den samme andel for øen Gozo. </w:t>
      </w:r>
    </w:p>
    <w:p>
      <w:pPr>
        <w:pStyle w:val="Text2"/>
        <w:keepNext/>
        <w:ind w:left="0"/>
        <w:rPr>
          <w:b/>
          <w:noProof/>
        </w:rPr>
      </w:pPr>
      <w:r>
        <w:rPr>
          <w:b/>
          <w:noProof/>
        </w:rPr>
        <w:t>Figur 1. Udvikling i andelen af befolkningen i den erhvervsaktive alder (15-64 år) i forhold til den samlede befolkning i regionerne Malta, Gozo og Comino, 2006-2018</w:t>
      </w:r>
    </w:p>
    <w:p>
      <w:pPr>
        <w:pStyle w:val="Text2"/>
        <w:ind w:left="0"/>
        <w:rPr>
          <w:i/>
          <w:noProof/>
          <w:sz w:val="20"/>
        </w:rPr>
      </w:pPr>
      <w:r>
        <w:rPr>
          <w:noProof/>
          <w:lang w:val="en-GB"/>
        </w:rPr>
        <w:drawing>
          <wp:inline distT="0" distB="0" distL="0" distR="0">
            <wp:extent cx="5472430" cy="2584850"/>
            <wp:effectExtent l="0" t="0" r="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72430" cy="2584850"/>
                    </a:xfrm>
                    <a:prstGeom prst="rect">
                      <a:avLst/>
                    </a:prstGeom>
                    <a:noFill/>
                    <a:ln>
                      <a:noFill/>
                    </a:ln>
                  </pic:spPr>
                </pic:pic>
              </a:graphicData>
            </a:graphic>
          </wp:inline>
        </w:drawing>
      </w:r>
      <w:r>
        <w:rPr>
          <w:i/>
          <w:noProof/>
          <w:sz w:val="20"/>
        </w:rPr>
        <w:t>Kilde: Eurostat</w:t>
      </w:r>
    </w:p>
    <w:p>
      <w:pPr>
        <w:pStyle w:val="Heading2"/>
        <w:rPr>
          <w:noProof/>
        </w:rPr>
      </w:pPr>
      <w:r>
        <w:rPr>
          <w:noProof/>
        </w:rPr>
        <w:t>Økonomisk udvikling</w:t>
      </w:r>
    </w:p>
    <w:p>
      <w:pPr>
        <w:pStyle w:val="Text2"/>
        <w:ind w:left="476"/>
        <w:rPr>
          <w:noProof/>
        </w:rPr>
      </w:pPr>
      <w:r>
        <w:rPr>
          <w:noProof/>
        </w:rPr>
        <w:t xml:space="preserve">I 2017 svarede BNP pr. indbygger på Gozo i købekraftsstandarder (KKS) til 60 % af EU-28-gennemsnittet, et niveau, der er betydeligt lavere end i Malta, som omtrentligt ligger på EU-28-gennemsnittet. Fra 2000-2011 lå BNP pr. indbygger for øen Malta under EU-gennemsnittet. Forskellen begyndte at blive mindre i 2012. Til sammenligning faldt BNP pr. indbygger for Gozo relativt til EU-gennemsnittet i perioden 2000-2007. Fra 2008 blev denne nedadgående tendens standset. Regionen begyndte at nærme sig EU-gennemsnittet fra 2013, selv om det skete i et langsommere tempo end for hovedlandet. </w:t>
      </w:r>
    </w:p>
    <w:p>
      <w:pPr>
        <w:pStyle w:val="Text2"/>
        <w:ind w:left="476"/>
        <w:rPr>
          <w:noProof/>
        </w:rPr>
      </w:pPr>
      <w:r>
        <w:rPr>
          <w:noProof/>
        </w:rPr>
        <w:t xml:space="preserve">Forskellen i den relative økonomiske udvikling mellem de to øer blev større i perioden 2000-2017, hvor den steg fra 26 til 41 procentpoint. Det skal imidlertid bemærkes, at de to øers relativt tætte beliggenhed giver arbejdstagere mulighed for at pendle til øen Malta og samtidig bo på Gozo. Mere end 20 % af Gozos erhvervsaktive befolkning arbejder faktisk på øen Malta. BNP pr. indbygger måler økonomiske aktiviteter på produktionssiden og tager ikke højde for husstandsindkomsten. De gozitanske indbyggeres økonomiske velstand er derfor undervurderet i BNP pr. indbygger. </w:t>
      </w:r>
    </w:p>
    <w:p>
      <w:pPr>
        <w:pStyle w:val="Text2"/>
        <w:ind w:left="476"/>
        <w:rPr>
          <w:noProof/>
        </w:rPr>
      </w:pPr>
      <w:r>
        <w:rPr>
          <w:noProof/>
        </w:rPr>
        <w:t xml:space="preserve">Med hensyn til den sektorielle sammensætning af bruttoværditilvæksten for de to regioner er Gozos økonomi generelt mere baseret på landbrug og fiskeri (+3 procentpoint) og bygge- og anlægssektoren (+5 procentpoint) sammenlignet med øen Malta og mindre på finansielle tjenester, forsikringstjenester, fast ejendom og andre tjenester (-4 procentpoint)  </w:t>
      </w:r>
    </w:p>
    <w:p>
      <w:pPr>
        <w:spacing w:after="0"/>
        <w:jc w:val="left"/>
        <w:rPr>
          <w:noProof/>
        </w:rPr>
      </w:pPr>
      <w:r>
        <w:rPr>
          <w:noProof/>
        </w:rPr>
        <w:br w:type="page"/>
      </w:r>
    </w:p>
    <w:p>
      <w:pPr>
        <w:spacing w:after="0"/>
        <w:rPr>
          <w:noProof/>
        </w:rPr>
      </w:pPr>
    </w:p>
    <w:p>
      <w:pPr>
        <w:pStyle w:val="Text2"/>
        <w:ind w:left="0"/>
        <w:rPr>
          <w:b/>
          <w:noProof/>
        </w:rPr>
      </w:pPr>
      <w:r>
        <w:rPr>
          <w:b/>
          <w:noProof/>
        </w:rPr>
        <w:t>Figur 2. Udvikling i BNP pr. indbygger i købekraftstandarder i regionerne Malta, Gozo og Comino, 2000-2017 (EU-28 = 100)</w:t>
      </w:r>
    </w:p>
    <w:p>
      <w:pPr>
        <w:pStyle w:val="Text2"/>
        <w:ind w:left="476"/>
        <w:rPr>
          <w:noProof/>
        </w:rPr>
      </w:pPr>
      <w:r>
        <w:rPr>
          <w:noProof/>
          <w:lang w:val="en-GB"/>
        </w:rPr>
        <w:drawing>
          <wp:inline distT="0" distB="0" distL="0" distR="0">
            <wp:extent cx="5472430" cy="3195899"/>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72430" cy="3195899"/>
                    </a:xfrm>
                    <a:prstGeom prst="rect">
                      <a:avLst/>
                    </a:prstGeom>
                    <a:noFill/>
                    <a:ln>
                      <a:noFill/>
                    </a:ln>
                  </pic:spPr>
                </pic:pic>
              </a:graphicData>
            </a:graphic>
          </wp:inline>
        </w:drawing>
      </w:r>
    </w:p>
    <w:p>
      <w:pPr>
        <w:pStyle w:val="Text2"/>
        <w:ind w:left="0"/>
        <w:rPr>
          <w:i/>
          <w:noProof/>
          <w:sz w:val="20"/>
        </w:rPr>
      </w:pPr>
      <w:r>
        <w:rPr>
          <w:i/>
          <w:noProof/>
          <w:sz w:val="20"/>
        </w:rPr>
        <w:t>Kilde: Eurostat</w:t>
      </w:r>
    </w:p>
    <w:p>
      <w:pPr>
        <w:pStyle w:val="Text2"/>
        <w:ind w:left="0"/>
        <w:rPr>
          <w:b/>
          <w:noProof/>
        </w:rPr>
      </w:pPr>
      <w:r>
        <w:rPr>
          <w:b/>
          <w:noProof/>
        </w:rPr>
        <w:t>Figur 3. Sammensætning af bruttoværditilvæksten for regionerne Malta, Gozo og Comino 2016</w:t>
      </w:r>
    </w:p>
    <w:p>
      <w:pPr>
        <w:pStyle w:val="Text2"/>
        <w:ind w:left="0"/>
        <w:rPr>
          <w:i/>
          <w:noProof/>
          <w:sz w:val="20"/>
        </w:rPr>
      </w:pPr>
      <w:r>
        <w:rPr>
          <w:noProof/>
          <w:lang w:val="en-GB"/>
        </w:rPr>
        <w:drawing>
          <wp:inline distT="0" distB="0" distL="0" distR="0">
            <wp:extent cx="5472430" cy="209931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472430" cy="2099310"/>
                    </a:xfrm>
                    <a:prstGeom prst="rect">
                      <a:avLst/>
                    </a:prstGeom>
                  </pic:spPr>
                </pic:pic>
              </a:graphicData>
            </a:graphic>
          </wp:inline>
        </w:drawing>
      </w:r>
      <w:r>
        <w:rPr>
          <w:i/>
          <w:noProof/>
          <w:sz w:val="20"/>
        </w:rPr>
        <w:t>Kilde: Eurostat</w:t>
      </w:r>
    </w:p>
    <w:p>
      <w:pPr>
        <w:pStyle w:val="Heading2"/>
        <w:rPr>
          <w:noProof/>
        </w:rPr>
      </w:pPr>
      <w:r>
        <w:rPr>
          <w:noProof/>
        </w:rPr>
        <w:t>Arbejdsmarkedet</w:t>
      </w:r>
    </w:p>
    <w:p>
      <w:pPr>
        <w:pStyle w:val="Text2"/>
        <w:ind w:left="476"/>
        <w:rPr>
          <w:noProof/>
        </w:rPr>
      </w:pPr>
      <w:r>
        <w:rPr>
          <w:noProof/>
        </w:rPr>
        <w:t>Udviklingen i beskæftigelsen var den samme for Malta og Gozo i perioden 2015-2017 med årlige vækstrater på 5-6 %, mens Gozo kunne konstatere en lidt højere stigning i beskæftigelsen i perioden 2016-2017 sammenlignet med Malta. På begge øer steg beskæftigelsesfrekvensen i samme periode, idet Gozo oplevede hurtigere vækst (årlig stigning på +4 procentpoint) i perioden 2015-2017 sammenlignet med Malta. I 2017 oversteg Gozos beskæftigelsesfrekvens (74 %) Maltas (72 %).</w:t>
      </w:r>
    </w:p>
    <w:p>
      <w:pPr>
        <w:pStyle w:val="Text2"/>
        <w:ind w:left="476"/>
        <w:rPr>
          <w:noProof/>
        </w:rPr>
      </w:pPr>
      <w:r>
        <w:rPr>
          <w:noProof/>
        </w:rPr>
        <w:t xml:space="preserve">Den tætte beliggenhed mellem de to øer og hyppigheden af færgeforbindelser gør det muligt at pendle fra Gozo til Malta: En sammenligning af beskæftigelsen efter bopæl med beskæftigelsen efter arbejdssted viser, at mere end 3 500 af Gozos indbyggere faktisk arbejder på øen Malta, hvilket svarer til omkring 22 % af Gozos erhvervsaktive befolkning.  </w:t>
      </w:r>
    </w:p>
    <w:p>
      <w:pPr>
        <w:pStyle w:val="Text2"/>
        <w:ind w:left="0"/>
        <w:rPr>
          <w:b/>
          <w:noProof/>
        </w:rPr>
      </w:pPr>
      <w:r>
        <w:rPr>
          <w:b/>
          <w:noProof/>
        </w:rPr>
        <w:t xml:space="preserve">Tabel 1. Beskæftigelse efter bopæl og efter arbejdssted for Malta, Gozo og Comino og beskæftigelsesfrekvens </w:t>
      </w:r>
    </w:p>
    <w:tbl>
      <w:tblPr>
        <w:tblW w:w="7360" w:type="dxa"/>
        <w:jc w:val="center"/>
        <w:tblLook w:val="04A0" w:firstRow="1" w:lastRow="0" w:firstColumn="1" w:lastColumn="0" w:noHBand="0" w:noVBand="1"/>
      </w:tblPr>
      <w:tblGrid>
        <w:gridCol w:w="2560"/>
        <w:gridCol w:w="960"/>
        <w:gridCol w:w="960"/>
        <w:gridCol w:w="960"/>
        <w:gridCol w:w="960"/>
        <w:gridCol w:w="960"/>
      </w:tblGrid>
      <w:tr>
        <w:trPr>
          <w:trHeight w:val="567"/>
          <w:jc w:val="center"/>
        </w:trPr>
        <w:tc>
          <w:tcPr>
            <w:tcW w:w="2560" w:type="dxa"/>
            <w:tcBorders>
              <w:top w:val="single" w:sz="4" w:space="0" w:color="auto"/>
              <w:left w:val="single" w:sz="4" w:space="0" w:color="auto"/>
              <w:bottom w:val="single" w:sz="4" w:space="0" w:color="auto"/>
              <w:right w:val="single" w:sz="4" w:space="0" w:color="auto"/>
            </w:tcBorders>
            <w:shd w:val="clear" w:color="auto" w:fill="E7E6E6" w:themeFill="background2"/>
            <w:vAlign w:val="bottom"/>
            <w:hideMark/>
          </w:tcPr>
          <w:p>
            <w:pPr>
              <w:spacing w:after="0"/>
              <w:jc w:val="left"/>
              <w:rPr>
                <w:rFonts w:ascii="Calibri" w:hAnsi="Calibri" w:cs="Calibri"/>
                <w:i/>
                <w:iCs/>
                <w:noProof/>
                <w:color w:val="000000"/>
                <w:sz w:val="22"/>
                <w:szCs w:val="22"/>
              </w:rPr>
            </w:pPr>
            <w:r>
              <w:rPr>
                <w:rFonts w:ascii="Calibri" w:hAnsi="Calibri"/>
                <w:i/>
                <w:iCs/>
                <w:noProof/>
                <w:sz w:val="22"/>
                <w:szCs w:val="22"/>
              </w:rPr>
              <w:t>Beskæftigelse efter bopæl</w:t>
            </w:r>
          </w:p>
        </w:tc>
        <w:tc>
          <w:tcPr>
            <w:tcW w:w="960" w:type="dxa"/>
            <w:tcBorders>
              <w:top w:val="single" w:sz="4" w:space="0" w:color="auto"/>
              <w:left w:val="nil"/>
              <w:bottom w:val="single" w:sz="4" w:space="0" w:color="auto"/>
              <w:right w:val="single" w:sz="4" w:space="0" w:color="auto"/>
            </w:tcBorders>
            <w:shd w:val="clear" w:color="auto" w:fill="E7E6E6" w:themeFill="background2"/>
            <w:noWrap/>
            <w:vAlign w:val="center"/>
            <w:hideMark/>
          </w:tcPr>
          <w:p>
            <w:pPr>
              <w:spacing w:after="0"/>
              <w:jc w:val="center"/>
              <w:rPr>
                <w:rFonts w:ascii="Calibri" w:hAnsi="Calibri" w:cs="Calibri"/>
                <w:b/>
                <w:bCs/>
                <w:noProof/>
                <w:color w:val="000000"/>
                <w:sz w:val="22"/>
                <w:szCs w:val="22"/>
              </w:rPr>
            </w:pPr>
            <w:r>
              <w:rPr>
                <w:rFonts w:ascii="Calibri" w:hAnsi="Calibri"/>
                <w:b/>
                <w:bCs/>
                <w:noProof/>
                <w:sz w:val="22"/>
                <w:szCs w:val="22"/>
              </w:rPr>
              <w:t>2015</w:t>
            </w:r>
          </w:p>
        </w:tc>
        <w:tc>
          <w:tcPr>
            <w:tcW w:w="960" w:type="dxa"/>
            <w:tcBorders>
              <w:top w:val="single" w:sz="4" w:space="0" w:color="auto"/>
              <w:left w:val="nil"/>
              <w:bottom w:val="single" w:sz="4" w:space="0" w:color="auto"/>
              <w:right w:val="single" w:sz="4" w:space="0" w:color="auto"/>
            </w:tcBorders>
            <w:shd w:val="clear" w:color="auto" w:fill="E7E6E6" w:themeFill="background2"/>
            <w:noWrap/>
            <w:vAlign w:val="center"/>
            <w:hideMark/>
          </w:tcPr>
          <w:p>
            <w:pPr>
              <w:spacing w:after="0"/>
              <w:jc w:val="center"/>
              <w:rPr>
                <w:rFonts w:ascii="Calibri" w:hAnsi="Calibri" w:cs="Calibri"/>
                <w:b/>
                <w:bCs/>
                <w:noProof/>
                <w:color w:val="000000"/>
                <w:sz w:val="22"/>
                <w:szCs w:val="22"/>
              </w:rPr>
            </w:pPr>
            <w:r>
              <w:rPr>
                <w:rFonts w:ascii="Calibri" w:hAnsi="Calibri"/>
                <w:b/>
                <w:bCs/>
                <w:noProof/>
                <w:sz w:val="22"/>
                <w:szCs w:val="22"/>
              </w:rPr>
              <w:t>2016</w:t>
            </w:r>
          </w:p>
        </w:tc>
        <w:tc>
          <w:tcPr>
            <w:tcW w:w="960" w:type="dxa"/>
            <w:tcBorders>
              <w:top w:val="single" w:sz="4" w:space="0" w:color="auto"/>
              <w:left w:val="nil"/>
              <w:bottom w:val="single" w:sz="4" w:space="0" w:color="auto"/>
              <w:right w:val="single" w:sz="4" w:space="0" w:color="auto"/>
            </w:tcBorders>
            <w:shd w:val="clear" w:color="auto" w:fill="E7E6E6" w:themeFill="background2"/>
            <w:noWrap/>
            <w:vAlign w:val="center"/>
            <w:hideMark/>
          </w:tcPr>
          <w:p>
            <w:pPr>
              <w:spacing w:after="0"/>
              <w:jc w:val="center"/>
              <w:rPr>
                <w:rFonts w:ascii="Calibri" w:hAnsi="Calibri" w:cs="Calibri"/>
                <w:b/>
                <w:bCs/>
                <w:noProof/>
                <w:color w:val="000000"/>
                <w:sz w:val="22"/>
                <w:szCs w:val="22"/>
              </w:rPr>
            </w:pPr>
            <w:r>
              <w:rPr>
                <w:rFonts w:ascii="Calibri" w:hAnsi="Calibri"/>
                <w:b/>
                <w:bCs/>
                <w:noProof/>
                <w:sz w:val="22"/>
                <w:szCs w:val="22"/>
              </w:rPr>
              <w:t>2017</w:t>
            </w:r>
          </w:p>
        </w:tc>
        <w:tc>
          <w:tcPr>
            <w:tcW w:w="960" w:type="dxa"/>
            <w:tcBorders>
              <w:top w:val="single" w:sz="4" w:space="0" w:color="auto"/>
              <w:left w:val="nil"/>
              <w:bottom w:val="single" w:sz="4" w:space="0" w:color="auto"/>
              <w:right w:val="single" w:sz="4" w:space="0" w:color="auto"/>
            </w:tcBorders>
            <w:shd w:val="clear" w:color="auto" w:fill="E7E6E6" w:themeFill="background2"/>
            <w:vAlign w:val="bottom"/>
            <w:hideMark/>
          </w:tcPr>
          <w:p>
            <w:pPr>
              <w:spacing w:after="0"/>
              <w:jc w:val="center"/>
              <w:rPr>
                <w:rFonts w:ascii="Calibri" w:hAnsi="Calibri" w:cs="Calibri"/>
                <w:b/>
                <w:bCs/>
                <w:noProof/>
                <w:color w:val="000000"/>
                <w:sz w:val="22"/>
                <w:szCs w:val="22"/>
              </w:rPr>
            </w:pPr>
            <w:r>
              <w:rPr>
                <w:rFonts w:ascii="Calibri" w:hAnsi="Calibri"/>
                <w:b/>
                <w:bCs/>
                <w:noProof/>
                <w:sz w:val="22"/>
                <w:szCs w:val="22"/>
              </w:rPr>
              <w:t>Vækst 15/16</w:t>
            </w:r>
          </w:p>
        </w:tc>
        <w:tc>
          <w:tcPr>
            <w:tcW w:w="960" w:type="dxa"/>
            <w:tcBorders>
              <w:top w:val="single" w:sz="4" w:space="0" w:color="auto"/>
              <w:left w:val="nil"/>
              <w:bottom w:val="single" w:sz="4" w:space="0" w:color="auto"/>
              <w:right w:val="single" w:sz="4" w:space="0" w:color="auto"/>
            </w:tcBorders>
            <w:shd w:val="clear" w:color="auto" w:fill="E7E6E6" w:themeFill="background2"/>
            <w:vAlign w:val="bottom"/>
            <w:hideMark/>
          </w:tcPr>
          <w:p>
            <w:pPr>
              <w:spacing w:after="0"/>
              <w:jc w:val="center"/>
              <w:rPr>
                <w:rFonts w:ascii="Calibri" w:hAnsi="Calibri" w:cs="Calibri"/>
                <w:b/>
                <w:bCs/>
                <w:noProof/>
                <w:color w:val="000000"/>
                <w:sz w:val="22"/>
                <w:szCs w:val="22"/>
              </w:rPr>
            </w:pPr>
            <w:r>
              <w:rPr>
                <w:rFonts w:ascii="Calibri" w:hAnsi="Calibri"/>
                <w:b/>
                <w:bCs/>
                <w:noProof/>
                <w:sz w:val="22"/>
                <w:szCs w:val="22"/>
              </w:rPr>
              <w:t>Vækst 16/17</w:t>
            </w:r>
          </w:p>
        </w:tc>
      </w:tr>
      <w:tr>
        <w:trPr>
          <w:trHeight w:val="300"/>
          <w:jc w:val="center"/>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pPr>
              <w:spacing w:after="0"/>
              <w:jc w:val="left"/>
              <w:rPr>
                <w:rFonts w:ascii="Calibri" w:hAnsi="Calibri" w:cs="Calibri"/>
                <w:noProof/>
                <w:color w:val="000000"/>
                <w:sz w:val="22"/>
                <w:szCs w:val="22"/>
              </w:rPr>
            </w:pPr>
            <w:r>
              <w:rPr>
                <w:rFonts w:ascii="Calibri" w:hAnsi="Calibri"/>
                <w:noProof/>
                <w:sz w:val="22"/>
                <w:szCs w:val="22"/>
              </w:rPr>
              <w:t xml:space="preserve">Malta </w:t>
            </w:r>
          </w:p>
        </w:tc>
        <w:tc>
          <w:tcPr>
            <w:tcW w:w="960" w:type="dxa"/>
            <w:tcBorders>
              <w:top w:val="nil"/>
              <w:left w:val="nil"/>
              <w:bottom w:val="single" w:sz="4" w:space="0" w:color="auto"/>
              <w:right w:val="single" w:sz="4" w:space="0" w:color="auto"/>
            </w:tcBorders>
            <w:shd w:val="clear" w:color="auto" w:fill="auto"/>
            <w:noWrap/>
            <w:vAlign w:val="bottom"/>
            <w:hideMark/>
          </w:tcPr>
          <w:p>
            <w:pPr>
              <w:spacing w:after="0"/>
              <w:jc w:val="right"/>
              <w:rPr>
                <w:rFonts w:ascii="Calibri" w:hAnsi="Calibri" w:cs="Calibri"/>
                <w:noProof/>
                <w:color w:val="000000"/>
                <w:sz w:val="22"/>
                <w:szCs w:val="22"/>
              </w:rPr>
            </w:pPr>
            <w:r>
              <w:rPr>
                <w:rFonts w:ascii="Calibri" w:hAnsi="Calibri"/>
                <w:noProof/>
                <w:sz w:val="22"/>
                <w:szCs w:val="22"/>
              </w:rPr>
              <w:t>194 329</w:t>
            </w:r>
          </w:p>
        </w:tc>
        <w:tc>
          <w:tcPr>
            <w:tcW w:w="960" w:type="dxa"/>
            <w:tcBorders>
              <w:top w:val="nil"/>
              <w:left w:val="nil"/>
              <w:bottom w:val="single" w:sz="4" w:space="0" w:color="auto"/>
              <w:right w:val="single" w:sz="4" w:space="0" w:color="auto"/>
            </w:tcBorders>
            <w:shd w:val="clear" w:color="auto" w:fill="auto"/>
            <w:noWrap/>
            <w:vAlign w:val="bottom"/>
            <w:hideMark/>
          </w:tcPr>
          <w:p>
            <w:pPr>
              <w:spacing w:after="0"/>
              <w:jc w:val="right"/>
              <w:rPr>
                <w:rFonts w:ascii="Calibri" w:hAnsi="Calibri" w:cs="Calibri"/>
                <w:noProof/>
                <w:color w:val="000000"/>
                <w:sz w:val="22"/>
                <w:szCs w:val="22"/>
              </w:rPr>
            </w:pPr>
            <w:r>
              <w:rPr>
                <w:rFonts w:ascii="Calibri" w:hAnsi="Calibri"/>
                <w:noProof/>
                <w:sz w:val="22"/>
                <w:szCs w:val="22"/>
              </w:rPr>
              <w:t>205 002</w:t>
            </w:r>
          </w:p>
        </w:tc>
        <w:tc>
          <w:tcPr>
            <w:tcW w:w="960" w:type="dxa"/>
            <w:tcBorders>
              <w:top w:val="nil"/>
              <w:left w:val="nil"/>
              <w:bottom w:val="single" w:sz="4" w:space="0" w:color="auto"/>
              <w:right w:val="single" w:sz="4" w:space="0" w:color="auto"/>
            </w:tcBorders>
            <w:shd w:val="clear" w:color="auto" w:fill="auto"/>
            <w:noWrap/>
            <w:vAlign w:val="bottom"/>
            <w:hideMark/>
          </w:tcPr>
          <w:p>
            <w:pPr>
              <w:spacing w:after="0"/>
              <w:jc w:val="right"/>
              <w:rPr>
                <w:rFonts w:ascii="Calibri" w:hAnsi="Calibri" w:cs="Calibri"/>
                <w:noProof/>
                <w:color w:val="000000"/>
                <w:sz w:val="22"/>
                <w:szCs w:val="22"/>
              </w:rPr>
            </w:pPr>
            <w:r>
              <w:rPr>
                <w:rFonts w:ascii="Calibri" w:hAnsi="Calibri"/>
                <w:noProof/>
                <w:sz w:val="22"/>
                <w:szCs w:val="22"/>
              </w:rPr>
              <w:t>216 492</w:t>
            </w:r>
          </w:p>
        </w:tc>
        <w:tc>
          <w:tcPr>
            <w:tcW w:w="960" w:type="dxa"/>
            <w:tcBorders>
              <w:top w:val="nil"/>
              <w:left w:val="nil"/>
              <w:bottom w:val="single" w:sz="4" w:space="0" w:color="auto"/>
              <w:right w:val="single" w:sz="4" w:space="0" w:color="auto"/>
            </w:tcBorders>
            <w:shd w:val="clear" w:color="auto" w:fill="auto"/>
            <w:noWrap/>
            <w:vAlign w:val="bottom"/>
            <w:hideMark/>
          </w:tcPr>
          <w:p>
            <w:pPr>
              <w:spacing w:after="0"/>
              <w:jc w:val="center"/>
              <w:rPr>
                <w:rFonts w:ascii="Calibri" w:hAnsi="Calibri" w:cs="Calibri"/>
                <w:noProof/>
                <w:color w:val="000000"/>
                <w:sz w:val="22"/>
                <w:szCs w:val="22"/>
              </w:rPr>
            </w:pPr>
            <w:r>
              <w:rPr>
                <w:rFonts w:ascii="Calibri" w:hAnsi="Calibri"/>
                <w:noProof/>
                <w:sz w:val="22"/>
                <w:szCs w:val="22"/>
              </w:rPr>
              <w:t>5,5 %</w:t>
            </w:r>
          </w:p>
        </w:tc>
        <w:tc>
          <w:tcPr>
            <w:tcW w:w="960" w:type="dxa"/>
            <w:tcBorders>
              <w:top w:val="nil"/>
              <w:left w:val="nil"/>
              <w:bottom w:val="single" w:sz="4" w:space="0" w:color="auto"/>
              <w:right w:val="single" w:sz="4" w:space="0" w:color="auto"/>
            </w:tcBorders>
            <w:shd w:val="clear" w:color="auto" w:fill="auto"/>
            <w:noWrap/>
            <w:vAlign w:val="bottom"/>
            <w:hideMark/>
          </w:tcPr>
          <w:p>
            <w:pPr>
              <w:spacing w:after="0"/>
              <w:jc w:val="center"/>
              <w:rPr>
                <w:rFonts w:ascii="Calibri" w:hAnsi="Calibri" w:cs="Calibri"/>
                <w:noProof/>
                <w:color w:val="000000"/>
                <w:sz w:val="22"/>
                <w:szCs w:val="22"/>
              </w:rPr>
            </w:pPr>
            <w:r>
              <w:rPr>
                <w:rFonts w:ascii="Calibri" w:hAnsi="Calibri"/>
                <w:noProof/>
                <w:sz w:val="22"/>
                <w:szCs w:val="22"/>
              </w:rPr>
              <w:t>5,6 %</w:t>
            </w:r>
          </w:p>
        </w:tc>
      </w:tr>
      <w:tr>
        <w:trPr>
          <w:trHeight w:val="300"/>
          <w:jc w:val="center"/>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pPr>
              <w:spacing w:after="0"/>
              <w:jc w:val="left"/>
              <w:rPr>
                <w:rFonts w:ascii="Calibri" w:hAnsi="Calibri" w:cs="Calibri"/>
                <w:noProof/>
                <w:color w:val="000000"/>
                <w:sz w:val="22"/>
                <w:szCs w:val="22"/>
              </w:rPr>
            </w:pPr>
            <w:r>
              <w:rPr>
                <w:rFonts w:ascii="Calibri" w:hAnsi="Calibri"/>
                <w:noProof/>
                <w:sz w:val="22"/>
                <w:szCs w:val="22"/>
              </w:rPr>
              <w:t>Gozo og Comino</w:t>
            </w:r>
          </w:p>
        </w:tc>
        <w:tc>
          <w:tcPr>
            <w:tcW w:w="960" w:type="dxa"/>
            <w:tcBorders>
              <w:top w:val="nil"/>
              <w:left w:val="nil"/>
              <w:bottom w:val="single" w:sz="4" w:space="0" w:color="auto"/>
              <w:right w:val="single" w:sz="4" w:space="0" w:color="auto"/>
            </w:tcBorders>
            <w:shd w:val="clear" w:color="auto" w:fill="auto"/>
            <w:noWrap/>
            <w:vAlign w:val="bottom"/>
            <w:hideMark/>
          </w:tcPr>
          <w:p>
            <w:pPr>
              <w:spacing w:after="0"/>
              <w:jc w:val="right"/>
              <w:rPr>
                <w:rFonts w:ascii="Calibri" w:hAnsi="Calibri" w:cs="Calibri"/>
                <w:noProof/>
                <w:color w:val="000000"/>
                <w:sz w:val="22"/>
                <w:szCs w:val="22"/>
              </w:rPr>
            </w:pPr>
            <w:r>
              <w:rPr>
                <w:rFonts w:ascii="Calibri" w:hAnsi="Calibri"/>
                <w:noProof/>
                <w:sz w:val="22"/>
                <w:szCs w:val="22"/>
              </w:rPr>
              <w:t>13 901</w:t>
            </w:r>
          </w:p>
        </w:tc>
        <w:tc>
          <w:tcPr>
            <w:tcW w:w="960" w:type="dxa"/>
            <w:tcBorders>
              <w:top w:val="nil"/>
              <w:left w:val="nil"/>
              <w:bottom w:val="single" w:sz="4" w:space="0" w:color="auto"/>
              <w:right w:val="single" w:sz="4" w:space="0" w:color="auto"/>
            </w:tcBorders>
            <w:shd w:val="clear" w:color="auto" w:fill="auto"/>
            <w:noWrap/>
            <w:vAlign w:val="bottom"/>
            <w:hideMark/>
          </w:tcPr>
          <w:p>
            <w:pPr>
              <w:spacing w:after="0"/>
              <w:jc w:val="right"/>
              <w:rPr>
                <w:rFonts w:ascii="Calibri" w:hAnsi="Calibri" w:cs="Calibri"/>
                <w:noProof/>
                <w:color w:val="000000"/>
                <w:sz w:val="22"/>
                <w:szCs w:val="22"/>
              </w:rPr>
            </w:pPr>
            <w:r>
              <w:rPr>
                <w:rFonts w:ascii="Calibri" w:hAnsi="Calibri"/>
                <w:noProof/>
                <w:sz w:val="22"/>
                <w:szCs w:val="22"/>
              </w:rPr>
              <w:t>14 678</w:t>
            </w:r>
          </w:p>
        </w:tc>
        <w:tc>
          <w:tcPr>
            <w:tcW w:w="960" w:type="dxa"/>
            <w:tcBorders>
              <w:top w:val="nil"/>
              <w:left w:val="nil"/>
              <w:bottom w:val="single" w:sz="4" w:space="0" w:color="auto"/>
              <w:right w:val="single" w:sz="4" w:space="0" w:color="auto"/>
            </w:tcBorders>
            <w:shd w:val="clear" w:color="auto" w:fill="auto"/>
            <w:noWrap/>
            <w:vAlign w:val="bottom"/>
            <w:hideMark/>
          </w:tcPr>
          <w:p>
            <w:pPr>
              <w:spacing w:after="0"/>
              <w:jc w:val="right"/>
              <w:rPr>
                <w:rFonts w:ascii="Calibri" w:hAnsi="Calibri" w:cs="Calibri"/>
                <w:noProof/>
                <w:color w:val="000000"/>
                <w:sz w:val="22"/>
                <w:szCs w:val="22"/>
              </w:rPr>
            </w:pPr>
            <w:r>
              <w:rPr>
                <w:rFonts w:ascii="Calibri" w:hAnsi="Calibri"/>
                <w:noProof/>
                <w:sz w:val="22"/>
                <w:szCs w:val="22"/>
              </w:rPr>
              <w:t>15 677</w:t>
            </w:r>
          </w:p>
        </w:tc>
        <w:tc>
          <w:tcPr>
            <w:tcW w:w="960" w:type="dxa"/>
            <w:tcBorders>
              <w:top w:val="nil"/>
              <w:left w:val="nil"/>
              <w:bottom w:val="single" w:sz="4" w:space="0" w:color="auto"/>
              <w:right w:val="single" w:sz="4" w:space="0" w:color="auto"/>
            </w:tcBorders>
            <w:shd w:val="clear" w:color="auto" w:fill="auto"/>
            <w:noWrap/>
            <w:vAlign w:val="bottom"/>
            <w:hideMark/>
          </w:tcPr>
          <w:p>
            <w:pPr>
              <w:spacing w:after="0"/>
              <w:jc w:val="center"/>
              <w:rPr>
                <w:rFonts w:ascii="Calibri" w:hAnsi="Calibri" w:cs="Calibri"/>
                <w:noProof/>
                <w:color w:val="000000"/>
                <w:sz w:val="22"/>
                <w:szCs w:val="22"/>
              </w:rPr>
            </w:pPr>
            <w:r>
              <w:rPr>
                <w:rFonts w:ascii="Calibri" w:hAnsi="Calibri"/>
                <w:noProof/>
                <w:sz w:val="22"/>
                <w:szCs w:val="22"/>
              </w:rPr>
              <w:t>5,6 %</w:t>
            </w:r>
          </w:p>
        </w:tc>
        <w:tc>
          <w:tcPr>
            <w:tcW w:w="960" w:type="dxa"/>
            <w:tcBorders>
              <w:top w:val="nil"/>
              <w:left w:val="nil"/>
              <w:bottom w:val="single" w:sz="4" w:space="0" w:color="auto"/>
              <w:right w:val="single" w:sz="4" w:space="0" w:color="auto"/>
            </w:tcBorders>
            <w:shd w:val="clear" w:color="auto" w:fill="auto"/>
            <w:noWrap/>
            <w:vAlign w:val="bottom"/>
            <w:hideMark/>
          </w:tcPr>
          <w:p>
            <w:pPr>
              <w:spacing w:after="0"/>
              <w:jc w:val="center"/>
              <w:rPr>
                <w:rFonts w:ascii="Calibri" w:hAnsi="Calibri" w:cs="Calibri"/>
                <w:noProof/>
                <w:color w:val="000000"/>
                <w:sz w:val="22"/>
                <w:szCs w:val="22"/>
              </w:rPr>
            </w:pPr>
            <w:r>
              <w:rPr>
                <w:rFonts w:ascii="Calibri" w:hAnsi="Calibri"/>
                <w:noProof/>
                <w:sz w:val="22"/>
                <w:szCs w:val="22"/>
              </w:rPr>
              <w:t>6,8 %</w:t>
            </w:r>
          </w:p>
        </w:tc>
      </w:tr>
      <w:tr>
        <w:trPr>
          <w:trHeight w:val="600"/>
          <w:jc w:val="center"/>
        </w:trPr>
        <w:tc>
          <w:tcPr>
            <w:tcW w:w="2560" w:type="dxa"/>
            <w:tcBorders>
              <w:top w:val="nil"/>
              <w:left w:val="single" w:sz="4" w:space="0" w:color="auto"/>
              <w:bottom w:val="single" w:sz="4" w:space="0" w:color="auto"/>
              <w:right w:val="single" w:sz="4" w:space="0" w:color="auto"/>
            </w:tcBorders>
            <w:shd w:val="clear" w:color="auto" w:fill="E7E6E6" w:themeFill="background2"/>
            <w:vAlign w:val="bottom"/>
            <w:hideMark/>
          </w:tcPr>
          <w:p>
            <w:pPr>
              <w:spacing w:after="0"/>
              <w:jc w:val="left"/>
              <w:rPr>
                <w:rFonts w:ascii="Calibri" w:hAnsi="Calibri" w:cs="Calibri"/>
                <w:i/>
                <w:iCs/>
                <w:noProof/>
                <w:color w:val="000000"/>
                <w:sz w:val="22"/>
                <w:szCs w:val="22"/>
              </w:rPr>
            </w:pPr>
            <w:r>
              <w:rPr>
                <w:rFonts w:ascii="Calibri" w:hAnsi="Calibri"/>
                <w:i/>
                <w:iCs/>
                <w:noProof/>
                <w:sz w:val="22"/>
                <w:szCs w:val="22"/>
              </w:rPr>
              <w:t>Beskæftigelse efter arbejdssted</w:t>
            </w:r>
          </w:p>
        </w:tc>
        <w:tc>
          <w:tcPr>
            <w:tcW w:w="960" w:type="dxa"/>
            <w:tcBorders>
              <w:top w:val="nil"/>
              <w:left w:val="nil"/>
              <w:bottom w:val="single" w:sz="4" w:space="0" w:color="auto"/>
              <w:right w:val="single" w:sz="4" w:space="0" w:color="auto"/>
            </w:tcBorders>
            <w:shd w:val="clear" w:color="auto" w:fill="E7E6E6" w:themeFill="background2"/>
            <w:noWrap/>
            <w:vAlign w:val="center"/>
            <w:hideMark/>
          </w:tcPr>
          <w:p>
            <w:pPr>
              <w:spacing w:after="0"/>
              <w:jc w:val="center"/>
              <w:rPr>
                <w:rFonts w:ascii="Calibri" w:hAnsi="Calibri" w:cs="Calibri"/>
                <w:b/>
                <w:bCs/>
                <w:noProof/>
                <w:color w:val="000000"/>
                <w:sz w:val="22"/>
                <w:szCs w:val="22"/>
              </w:rPr>
            </w:pPr>
            <w:r>
              <w:rPr>
                <w:rFonts w:ascii="Calibri" w:hAnsi="Calibri"/>
                <w:b/>
                <w:bCs/>
                <w:noProof/>
                <w:sz w:val="22"/>
                <w:szCs w:val="22"/>
              </w:rPr>
              <w:t>2015</w:t>
            </w:r>
          </w:p>
        </w:tc>
        <w:tc>
          <w:tcPr>
            <w:tcW w:w="960" w:type="dxa"/>
            <w:tcBorders>
              <w:top w:val="nil"/>
              <w:left w:val="nil"/>
              <w:bottom w:val="single" w:sz="4" w:space="0" w:color="auto"/>
              <w:right w:val="single" w:sz="4" w:space="0" w:color="auto"/>
            </w:tcBorders>
            <w:shd w:val="clear" w:color="auto" w:fill="E7E6E6" w:themeFill="background2"/>
            <w:noWrap/>
            <w:vAlign w:val="center"/>
            <w:hideMark/>
          </w:tcPr>
          <w:p>
            <w:pPr>
              <w:spacing w:after="0"/>
              <w:jc w:val="center"/>
              <w:rPr>
                <w:rFonts w:ascii="Calibri" w:hAnsi="Calibri" w:cs="Calibri"/>
                <w:b/>
                <w:bCs/>
                <w:noProof/>
                <w:color w:val="000000"/>
                <w:sz w:val="22"/>
                <w:szCs w:val="22"/>
              </w:rPr>
            </w:pPr>
            <w:r>
              <w:rPr>
                <w:rFonts w:ascii="Calibri" w:hAnsi="Calibri"/>
                <w:b/>
                <w:bCs/>
                <w:noProof/>
                <w:sz w:val="22"/>
                <w:szCs w:val="22"/>
              </w:rPr>
              <w:t>2016</w:t>
            </w:r>
          </w:p>
        </w:tc>
        <w:tc>
          <w:tcPr>
            <w:tcW w:w="960" w:type="dxa"/>
            <w:tcBorders>
              <w:top w:val="nil"/>
              <w:left w:val="nil"/>
              <w:bottom w:val="single" w:sz="4" w:space="0" w:color="auto"/>
              <w:right w:val="single" w:sz="4" w:space="0" w:color="auto"/>
            </w:tcBorders>
            <w:shd w:val="clear" w:color="auto" w:fill="E7E6E6" w:themeFill="background2"/>
            <w:noWrap/>
            <w:vAlign w:val="center"/>
            <w:hideMark/>
          </w:tcPr>
          <w:p>
            <w:pPr>
              <w:spacing w:after="0"/>
              <w:jc w:val="center"/>
              <w:rPr>
                <w:rFonts w:ascii="Calibri" w:hAnsi="Calibri" w:cs="Calibri"/>
                <w:b/>
                <w:bCs/>
                <w:noProof/>
                <w:color w:val="000000"/>
                <w:sz w:val="22"/>
                <w:szCs w:val="22"/>
              </w:rPr>
            </w:pPr>
            <w:r>
              <w:rPr>
                <w:rFonts w:ascii="Calibri" w:hAnsi="Calibri"/>
                <w:b/>
                <w:bCs/>
                <w:noProof/>
                <w:sz w:val="22"/>
                <w:szCs w:val="22"/>
              </w:rPr>
              <w:t>2017</w:t>
            </w:r>
          </w:p>
        </w:tc>
        <w:tc>
          <w:tcPr>
            <w:tcW w:w="960" w:type="dxa"/>
            <w:tcBorders>
              <w:top w:val="nil"/>
              <w:left w:val="nil"/>
              <w:bottom w:val="single" w:sz="4" w:space="0" w:color="auto"/>
              <w:right w:val="single" w:sz="4" w:space="0" w:color="auto"/>
            </w:tcBorders>
            <w:shd w:val="clear" w:color="auto" w:fill="E7E6E6" w:themeFill="background2"/>
            <w:vAlign w:val="bottom"/>
            <w:hideMark/>
          </w:tcPr>
          <w:p>
            <w:pPr>
              <w:spacing w:after="0"/>
              <w:jc w:val="center"/>
              <w:rPr>
                <w:rFonts w:ascii="Calibri" w:hAnsi="Calibri" w:cs="Calibri"/>
                <w:b/>
                <w:bCs/>
                <w:noProof/>
                <w:color w:val="000000"/>
                <w:sz w:val="22"/>
                <w:szCs w:val="22"/>
              </w:rPr>
            </w:pPr>
            <w:r>
              <w:rPr>
                <w:rFonts w:ascii="Calibri" w:hAnsi="Calibri"/>
                <w:b/>
                <w:bCs/>
                <w:noProof/>
                <w:sz w:val="22"/>
                <w:szCs w:val="22"/>
              </w:rPr>
              <w:t>Vækst 15/16</w:t>
            </w:r>
          </w:p>
        </w:tc>
        <w:tc>
          <w:tcPr>
            <w:tcW w:w="960" w:type="dxa"/>
            <w:tcBorders>
              <w:top w:val="nil"/>
              <w:left w:val="nil"/>
              <w:bottom w:val="single" w:sz="4" w:space="0" w:color="auto"/>
              <w:right w:val="single" w:sz="4" w:space="0" w:color="auto"/>
            </w:tcBorders>
            <w:shd w:val="clear" w:color="auto" w:fill="E7E6E6" w:themeFill="background2"/>
            <w:vAlign w:val="bottom"/>
            <w:hideMark/>
          </w:tcPr>
          <w:p>
            <w:pPr>
              <w:spacing w:after="0"/>
              <w:jc w:val="center"/>
              <w:rPr>
                <w:rFonts w:ascii="Calibri" w:hAnsi="Calibri" w:cs="Calibri"/>
                <w:b/>
                <w:bCs/>
                <w:noProof/>
                <w:color w:val="000000"/>
                <w:sz w:val="22"/>
                <w:szCs w:val="22"/>
              </w:rPr>
            </w:pPr>
            <w:r>
              <w:rPr>
                <w:rFonts w:ascii="Calibri" w:hAnsi="Calibri"/>
                <w:b/>
                <w:bCs/>
                <w:noProof/>
                <w:sz w:val="22"/>
                <w:szCs w:val="22"/>
              </w:rPr>
              <w:t>Vækst 16/17</w:t>
            </w:r>
          </w:p>
        </w:tc>
      </w:tr>
      <w:tr>
        <w:trPr>
          <w:trHeight w:val="300"/>
          <w:jc w:val="center"/>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pPr>
              <w:spacing w:after="0"/>
              <w:jc w:val="left"/>
              <w:rPr>
                <w:rFonts w:ascii="Calibri" w:hAnsi="Calibri" w:cs="Calibri"/>
                <w:noProof/>
                <w:color w:val="000000"/>
                <w:sz w:val="22"/>
                <w:szCs w:val="22"/>
              </w:rPr>
            </w:pPr>
            <w:r>
              <w:rPr>
                <w:rFonts w:ascii="Calibri" w:hAnsi="Calibri"/>
                <w:noProof/>
                <w:sz w:val="22"/>
                <w:szCs w:val="22"/>
              </w:rPr>
              <w:t xml:space="preserve">Malta </w:t>
            </w:r>
          </w:p>
        </w:tc>
        <w:tc>
          <w:tcPr>
            <w:tcW w:w="960" w:type="dxa"/>
            <w:tcBorders>
              <w:top w:val="nil"/>
              <w:left w:val="nil"/>
              <w:bottom w:val="single" w:sz="4" w:space="0" w:color="auto"/>
              <w:right w:val="single" w:sz="4" w:space="0" w:color="auto"/>
            </w:tcBorders>
            <w:shd w:val="clear" w:color="auto" w:fill="auto"/>
            <w:noWrap/>
            <w:vAlign w:val="bottom"/>
            <w:hideMark/>
          </w:tcPr>
          <w:p>
            <w:pPr>
              <w:spacing w:after="0"/>
              <w:jc w:val="right"/>
              <w:rPr>
                <w:rFonts w:ascii="Calibri" w:hAnsi="Calibri" w:cs="Calibri"/>
                <w:noProof/>
                <w:color w:val="000000"/>
                <w:sz w:val="22"/>
                <w:szCs w:val="22"/>
              </w:rPr>
            </w:pPr>
            <w:r>
              <w:rPr>
                <w:rFonts w:ascii="Calibri" w:hAnsi="Calibri"/>
                <w:noProof/>
                <w:sz w:val="22"/>
                <w:szCs w:val="22"/>
              </w:rPr>
              <w:t>197 403</w:t>
            </w:r>
          </w:p>
        </w:tc>
        <w:tc>
          <w:tcPr>
            <w:tcW w:w="960" w:type="dxa"/>
            <w:tcBorders>
              <w:top w:val="nil"/>
              <w:left w:val="nil"/>
              <w:bottom w:val="single" w:sz="4" w:space="0" w:color="auto"/>
              <w:right w:val="single" w:sz="4" w:space="0" w:color="auto"/>
            </w:tcBorders>
            <w:shd w:val="clear" w:color="auto" w:fill="auto"/>
            <w:noWrap/>
            <w:vAlign w:val="bottom"/>
            <w:hideMark/>
          </w:tcPr>
          <w:p>
            <w:pPr>
              <w:spacing w:after="0"/>
              <w:jc w:val="right"/>
              <w:rPr>
                <w:rFonts w:ascii="Calibri" w:hAnsi="Calibri" w:cs="Calibri"/>
                <w:noProof/>
                <w:color w:val="000000"/>
                <w:sz w:val="22"/>
                <w:szCs w:val="22"/>
              </w:rPr>
            </w:pPr>
            <w:r>
              <w:rPr>
                <w:rFonts w:ascii="Calibri" w:hAnsi="Calibri"/>
                <w:noProof/>
                <w:sz w:val="22"/>
                <w:szCs w:val="22"/>
              </w:rPr>
              <w:t>208 423</w:t>
            </w:r>
          </w:p>
        </w:tc>
        <w:tc>
          <w:tcPr>
            <w:tcW w:w="960" w:type="dxa"/>
            <w:tcBorders>
              <w:top w:val="nil"/>
              <w:left w:val="nil"/>
              <w:bottom w:val="single" w:sz="4" w:space="0" w:color="auto"/>
              <w:right w:val="single" w:sz="4" w:space="0" w:color="auto"/>
            </w:tcBorders>
            <w:shd w:val="clear" w:color="auto" w:fill="auto"/>
            <w:noWrap/>
            <w:vAlign w:val="bottom"/>
            <w:hideMark/>
          </w:tcPr>
          <w:p>
            <w:pPr>
              <w:spacing w:after="0"/>
              <w:jc w:val="right"/>
              <w:rPr>
                <w:rFonts w:ascii="Calibri" w:hAnsi="Calibri" w:cs="Calibri"/>
                <w:noProof/>
                <w:color w:val="000000"/>
                <w:sz w:val="22"/>
                <w:szCs w:val="22"/>
              </w:rPr>
            </w:pPr>
            <w:r>
              <w:rPr>
                <w:rFonts w:ascii="Calibri" w:hAnsi="Calibri"/>
                <w:noProof/>
                <w:sz w:val="22"/>
                <w:szCs w:val="22"/>
              </w:rPr>
              <w:t>219 998</w:t>
            </w:r>
          </w:p>
        </w:tc>
        <w:tc>
          <w:tcPr>
            <w:tcW w:w="960" w:type="dxa"/>
            <w:tcBorders>
              <w:top w:val="nil"/>
              <w:left w:val="nil"/>
              <w:bottom w:val="single" w:sz="4" w:space="0" w:color="auto"/>
              <w:right w:val="single" w:sz="4" w:space="0" w:color="auto"/>
            </w:tcBorders>
            <w:shd w:val="clear" w:color="auto" w:fill="auto"/>
            <w:noWrap/>
            <w:vAlign w:val="bottom"/>
            <w:hideMark/>
          </w:tcPr>
          <w:p>
            <w:pPr>
              <w:spacing w:after="0"/>
              <w:jc w:val="center"/>
              <w:rPr>
                <w:rFonts w:ascii="Calibri" w:hAnsi="Calibri" w:cs="Calibri"/>
                <w:noProof/>
                <w:color w:val="000000"/>
                <w:sz w:val="22"/>
                <w:szCs w:val="22"/>
              </w:rPr>
            </w:pPr>
            <w:r>
              <w:rPr>
                <w:rFonts w:ascii="Calibri" w:hAnsi="Calibri"/>
                <w:noProof/>
                <w:sz w:val="22"/>
                <w:szCs w:val="22"/>
              </w:rPr>
              <w:t>5,6 %</w:t>
            </w:r>
          </w:p>
        </w:tc>
        <w:tc>
          <w:tcPr>
            <w:tcW w:w="960" w:type="dxa"/>
            <w:tcBorders>
              <w:top w:val="nil"/>
              <w:left w:val="nil"/>
              <w:bottom w:val="single" w:sz="4" w:space="0" w:color="auto"/>
              <w:right w:val="single" w:sz="4" w:space="0" w:color="auto"/>
            </w:tcBorders>
            <w:shd w:val="clear" w:color="auto" w:fill="auto"/>
            <w:noWrap/>
            <w:vAlign w:val="bottom"/>
            <w:hideMark/>
          </w:tcPr>
          <w:p>
            <w:pPr>
              <w:spacing w:after="0"/>
              <w:jc w:val="center"/>
              <w:rPr>
                <w:rFonts w:ascii="Calibri" w:hAnsi="Calibri" w:cs="Calibri"/>
                <w:noProof/>
                <w:color w:val="000000"/>
                <w:sz w:val="22"/>
                <w:szCs w:val="22"/>
              </w:rPr>
            </w:pPr>
            <w:r>
              <w:rPr>
                <w:rFonts w:ascii="Calibri" w:hAnsi="Calibri"/>
                <w:noProof/>
                <w:sz w:val="22"/>
                <w:szCs w:val="22"/>
              </w:rPr>
              <w:t>5,6 %</w:t>
            </w:r>
          </w:p>
        </w:tc>
      </w:tr>
      <w:tr>
        <w:trPr>
          <w:trHeight w:val="300"/>
          <w:jc w:val="center"/>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pPr>
              <w:spacing w:after="0"/>
              <w:jc w:val="left"/>
              <w:rPr>
                <w:rFonts w:ascii="Calibri" w:hAnsi="Calibri" w:cs="Calibri"/>
                <w:noProof/>
                <w:color w:val="000000"/>
                <w:sz w:val="22"/>
                <w:szCs w:val="22"/>
              </w:rPr>
            </w:pPr>
            <w:r>
              <w:rPr>
                <w:rFonts w:ascii="Calibri" w:hAnsi="Calibri"/>
                <w:noProof/>
                <w:sz w:val="22"/>
                <w:szCs w:val="22"/>
              </w:rPr>
              <w:t>Gozo og Comino</w:t>
            </w:r>
          </w:p>
        </w:tc>
        <w:tc>
          <w:tcPr>
            <w:tcW w:w="960" w:type="dxa"/>
            <w:tcBorders>
              <w:top w:val="nil"/>
              <w:left w:val="nil"/>
              <w:bottom w:val="single" w:sz="4" w:space="0" w:color="auto"/>
              <w:right w:val="single" w:sz="4" w:space="0" w:color="auto"/>
            </w:tcBorders>
            <w:shd w:val="clear" w:color="auto" w:fill="auto"/>
            <w:noWrap/>
            <w:vAlign w:val="bottom"/>
            <w:hideMark/>
          </w:tcPr>
          <w:p>
            <w:pPr>
              <w:spacing w:after="0"/>
              <w:jc w:val="right"/>
              <w:rPr>
                <w:rFonts w:ascii="Calibri" w:hAnsi="Calibri" w:cs="Calibri"/>
                <w:noProof/>
                <w:color w:val="000000"/>
                <w:sz w:val="22"/>
                <w:szCs w:val="22"/>
              </w:rPr>
            </w:pPr>
            <w:r>
              <w:rPr>
                <w:rFonts w:ascii="Calibri" w:hAnsi="Calibri"/>
                <w:noProof/>
                <w:sz w:val="22"/>
                <w:szCs w:val="22"/>
              </w:rPr>
              <w:t>10 827</w:t>
            </w:r>
          </w:p>
        </w:tc>
        <w:tc>
          <w:tcPr>
            <w:tcW w:w="960" w:type="dxa"/>
            <w:tcBorders>
              <w:top w:val="nil"/>
              <w:left w:val="nil"/>
              <w:bottom w:val="single" w:sz="4" w:space="0" w:color="auto"/>
              <w:right w:val="single" w:sz="4" w:space="0" w:color="auto"/>
            </w:tcBorders>
            <w:shd w:val="clear" w:color="auto" w:fill="auto"/>
            <w:noWrap/>
            <w:vAlign w:val="bottom"/>
            <w:hideMark/>
          </w:tcPr>
          <w:p>
            <w:pPr>
              <w:spacing w:after="0"/>
              <w:jc w:val="right"/>
              <w:rPr>
                <w:rFonts w:ascii="Calibri" w:hAnsi="Calibri" w:cs="Calibri"/>
                <w:noProof/>
                <w:color w:val="000000"/>
                <w:sz w:val="22"/>
                <w:szCs w:val="22"/>
              </w:rPr>
            </w:pPr>
            <w:r>
              <w:rPr>
                <w:rFonts w:ascii="Calibri" w:hAnsi="Calibri"/>
                <w:noProof/>
                <w:sz w:val="22"/>
                <w:szCs w:val="22"/>
              </w:rPr>
              <w:t>11 257</w:t>
            </w:r>
          </w:p>
        </w:tc>
        <w:tc>
          <w:tcPr>
            <w:tcW w:w="960" w:type="dxa"/>
            <w:tcBorders>
              <w:top w:val="nil"/>
              <w:left w:val="nil"/>
              <w:bottom w:val="single" w:sz="4" w:space="0" w:color="auto"/>
              <w:right w:val="single" w:sz="4" w:space="0" w:color="auto"/>
            </w:tcBorders>
            <w:shd w:val="clear" w:color="auto" w:fill="auto"/>
            <w:noWrap/>
            <w:vAlign w:val="bottom"/>
            <w:hideMark/>
          </w:tcPr>
          <w:p>
            <w:pPr>
              <w:spacing w:after="0"/>
              <w:jc w:val="right"/>
              <w:rPr>
                <w:rFonts w:ascii="Calibri" w:hAnsi="Calibri" w:cs="Calibri"/>
                <w:noProof/>
                <w:color w:val="000000"/>
                <w:sz w:val="22"/>
                <w:szCs w:val="22"/>
              </w:rPr>
            </w:pPr>
            <w:r>
              <w:rPr>
                <w:rFonts w:ascii="Calibri" w:hAnsi="Calibri"/>
                <w:noProof/>
                <w:sz w:val="22"/>
                <w:szCs w:val="22"/>
              </w:rPr>
              <w:t>12 171</w:t>
            </w:r>
          </w:p>
        </w:tc>
        <w:tc>
          <w:tcPr>
            <w:tcW w:w="960" w:type="dxa"/>
            <w:tcBorders>
              <w:top w:val="nil"/>
              <w:left w:val="nil"/>
              <w:bottom w:val="single" w:sz="4" w:space="0" w:color="auto"/>
              <w:right w:val="single" w:sz="4" w:space="0" w:color="auto"/>
            </w:tcBorders>
            <w:shd w:val="clear" w:color="auto" w:fill="auto"/>
            <w:noWrap/>
            <w:vAlign w:val="bottom"/>
            <w:hideMark/>
          </w:tcPr>
          <w:p>
            <w:pPr>
              <w:spacing w:after="0"/>
              <w:jc w:val="center"/>
              <w:rPr>
                <w:rFonts w:ascii="Calibri" w:hAnsi="Calibri" w:cs="Calibri"/>
                <w:noProof/>
                <w:color w:val="000000"/>
                <w:sz w:val="22"/>
                <w:szCs w:val="22"/>
              </w:rPr>
            </w:pPr>
            <w:r>
              <w:rPr>
                <w:rFonts w:ascii="Calibri" w:hAnsi="Calibri"/>
                <w:noProof/>
                <w:sz w:val="22"/>
                <w:szCs w:val="22"/>
              </w:rPr>
              <w:t>4,0 %</w:t>
            </w:r>
          </w:p>
        </w:tc>
        <w:tc>
          <w:tcPr>
            <w:tcW w:w="960" w:type="dxa"/>
            <w:tcBorders>
              <w:top w:val="nil"/>
              <w:left w:val="nil"/>
              <w:bottom w:val="single" w:sz="4" w:space="0" w:color="auto"/>
              <w:right w:val="single" w:sz="4" w:space="0" w:color="auto"/>
            </w:tcBorders>
            <w:shd w:val="clear" w:color="auto" w:fill="auto"/>
            <w:noWrap/>
            <w:vAlign w:val="bottom"/>
            <w:hideMark/>
          </w:tcPr>
          <w:p>
            <w:pPr>
              <w:spacing w:after="0"/>
              <w:jc w:val="center"/>
              <w:rPr>
                <w:rFonts w:ascii="Calibri" w:hAnsi="Calibri" w:cs="Calibri"/>
                <w:noProof/>
                <w:color w:val="000000"/>
                <w:sz w:val="22"/>
                <w:szCs w:val="22"/>
              </w:rPr>
            </w:pPr>
            <w:r>
              <w:rPr>
                <w:rFonts w:ascii="Calibri" w:hAnsi="Calibri"/>
                <w:noProof/>
                <w:sz w:val="22"/>
                <w:szCs w:val="22"/>
              </w:rPr>
              <w:t>8,1 %</w:t>
            </w:r>
          </w:p>
        </w:tc>
      </w:tr>
      <w:tr>
        <w:trPr>
          <w:trHeight w:val="300"/>
          <w:jc w:val="center"/>
        </w:trPr>
        <w:tc>
          <w:tcPr>
            <w:tcW w:w="2560" w:type="dxa"/>
            <w:tcBorders>
              <w:top w:val="nil"/>
              <w:left w:val="nil"/>
              <w:bottom w:val="nil"/>
              <w:right w:val="nil"/>
            </w:tcBorders>
            <w:shd w:val="clear" w:color="auto" w:fill="auto"/>
            <w:noWrap/>
            <w:vAlign w:val="bottom"/>
            <w:hideMark/>
          </w:tcPr>
          <w:p>
            <w:pPr>
              <w:spacing w:after="0"/>
              <w:jc w:val="center"/>
              <w:rPr>
                <w:rFonts w:ascii="Calibri" w:hAnsi="Calibri" w:cs="Calibri"/>
                <w:noProof/>
                <w:color w:val="000000"/>
                <w:sz w:val="22"/>
                <w:szCs w:val="22"/>
              </w:rPr>
            </w:pPr>
          </w:p>
        </w:tc>
        <w:tc>
          <w:tcPr>
            <w:tcW w:w="960" w:type="dxa"/>
            <w:tcBorders>
              <w:top w:val="nil"/>
              <w:left w:val="nil"/>
              <w:bottom w:val="nil"/>
              <w:right w:val="nil"/>
            </w:tcBorders>
            <w:shd w:val="clear" w:color="auto" w:fill="auto"/>
            <w:noWrap/>
            <w:vAlign w:val="bottom"/>
            <w:hideMark/>
          </w:tcPr>
          <w:p>
            <w:pPr>
              <w:spacing w:after="0"/>
              <w:jc w:val="left"/>
              <w:rPr>
                <w:noProof/>
                <w:sz w:val="20"/>
              </w:rPr>
            </w:pPr>
          </w:p>
        </w:tc>
        <w:tc>
          <w:tcPr>
            <w:tcW w:w="960" w:type="dxa"/>
            <w:tcBorders>
              <w:top w:val="nil"/>
              <w:left w:val="nil"/>
              <w:bottom w:val="nil"/>
              <w:right w:val="nil"/>
            </w:tcBorders>
            <w:shd w:val="clear" w:color="auto" w:fill="auto"/>
            <w:noWrap/>
            <w:vAlign w:val="bottom"/>
            <w:hideMark/>
          </w:tcPr>
          <w:p>
            <w:pPr>
              <w:spacing w:after="0"/>
              <w:jc w:val="left"/>
              <w:rPr>
                <w:noProof/>
                <w:sz w:val="20"/>
              </w:rPr>
            </w:pPr>
          </w:p>
        </w:tc>
        <w:tc>
          <w:tcPr>
            <w:tcW w:w="960" w:type="dxa"/>
            <w:tcBorders>
              <w:top w:val="nil"/>
              <w:left w:val="nil"/>
              <w:bottom w:val="nil"/>
              <w:right w:val="nil"/>
            </w:tcBorders>
            <w:shd w:val="clear" w:color="auto" w:fill="auto"/>
            <w:noWrap/>
            <w:vAlign w:val="bottom"/>
            <w:hideMark/>
          </w:tcPr>
          <w:p>
            <w:pPr>
              <w:spacing w:after="0"/>
              <w:jc w:val="left"/>
              <w:rPr>
                <w:noProof/>
                <w:sz w:val="20"/>
              </w:rPr>
            </w:pPr>
          </w:p>
        </w:tc>
        <w:tc>
          <w:tcPr>
            <w:tcW w:w="960" w:type="dxa"/>
            <w:tcBorders>
              <w:top w:val="nil"/>
              <w:left w:val="nil"/>
              <w:bottom w:val="nil"/>
              <w:right w:val="nil"/>
            </w:tcBorders>
            <w:shd w:val="clear" w:color="auto" w:fill="auto"/>
            <w:noWrap/>
            <w:vAlign w:val="bottom"/>
            <w:hideMark/>
          </w:tcPr>
          <w:p>
            <w:pPr>
              <w:spacing w:after="0"/>
              <w:jc w:val="left"/>
              <w:rPr>
                <w:noProof/>
                <w:sz w:val="20"/>
              </w:rPr>
            </w:pPr>
          </w:p>
        </w:tc>
        <w:tc>
          <w:tcPr>
            <w:tcW w:w="960" w:type="dxa"/>
            <w:tcBorders>
              <w:top w:val="nil"/>
              <w:left w:val="nil"/>
              <w:bottom w:val="nil"/>
              <w:right w:val="nil"/>
            </w:tcBorders>
            <w:shd w:val="clear" w:color="auto" w:fill="auto"/>
            <w:noWrap/>
            <w:vAlign w:val="bottom"/>
            <w:hideMark/>
          </w:tcPr>
          <w:p>
            <w:pPr>
              <w:spacing w:after="0"/>
              <w:jc w:val="left"/>
              <w:rPr>
                <w:noProof/>
                <w:sz w:val="20"/>
              </w:rPr>
            </w:pPr>
          </w:p>
        </w:tc>
      </w:tr>
      <w:tr>
        <w:trPr>
          <w:trHeight w:val="300"/>
          <w:jc w:val="center"/>
        </w:trPr>
        <w:tc>
          <w:tcPr>
            <w:tcW w:w="2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pPr>
              <w:spacing w:after="0"/>
              <w:jc w:val="left"/>
              <w:rPr>
                <w:rFonts w:ascii="Calibri" w:hAnsi="Calibri" w:cs="Calibri"/>
                <w:i/>
                <w:iCs/>
                <w:noProof/>
                <w:color w:val="000000"/>
                <w:sz w:val="22"/>
                <w:szCs w:val="22"/>
              </w:rPr>
            </w:pPr>
            <w:r>
              <w:rPr>
                <w:rFonts w:ascii="Calibri" w:hAnsi="Calibri"/>
                <w:i/>
                <w:iCs/>
                <w:noProof/>
                <w:sz w:val="22"/>
                <w:szCs w:val="22"/>
              </w:rPr>
              <w:t>Forskel (pendlere)</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pPr>
              <w:spacing w:after="0"/>
              <w:jc w:val="right"/>
              <w:rPr>
                <w:rFonts w:ascii="Calibri" w:hAnsi="Calibri" w:cs="Calibri"/>
                <w:noProof/>
                <w:color w:val="000000"/>
                <w:sz w:val="22"/>
                <w:szCs w:val="22"/>
              </w:rPr>
            </w:pPr>
            <w:r>
              <w:rPr>
                <w:rFonts w:ascii="Calibri" w:hAnsi="Calibri"/>
                <w:noProof/>
                <w:sz w:val="22"/>
                <w:szCs w:val="22"/>
              </w:rPr>
              <w:t>3 074</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pPr>
              <w:spacing w:after="0"/>
              <w:jc w:val="right"/>
              <w:rPr>
                <w:rFonts w:ascii="Calibri" w:hAnsi="Calibri" w:cs="Calibri"/>
                <w:noProof/>
                <w:color w:val="000000"/>
                <w:sz w:val="22"/>
                <w:szCs w:val="22"/>
              </w:rPr>
            </w:pPr>
            <w:r>
              <w:rPr>
                <w:rFonts w:ascii="Calibri" w:hAnsi="Calibri"/>
                <w:noProof/>
                <w:sz w:val="22"/>
                <w:szCs w:val="22"/>
              </w:rPr>
              <w:t>3 421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pPr>
              <w:spacing w:after="0"/>
              <w:jc w:val="right"/>
              <w:rPr>
                <w:rFonts w:ascii="Calibri" w:hAnsi="Calibri" w:cs="Calibri"/>
                <w:noProof/>
                <w:color w:val="000000"/>
                <w:sz w:val="22"/>
                <w:szCs w:val="22"/>
              </w:rPr>
            </w:pPr>
            <w:r>
              <w:rPr>
                <w:rFonts w:ascii="Calibri" w:hAnsi="Calibri"/>
                <w:noProof/>
                <w:sz w:val="22"/>
                <w:szCs w:val="22"/>
              </w:rPr>
              <w:t>3 506</w:t>
            </w:r>
          </w:p>
        </w:tc>
        <w:tc>
          <w:tcPr>
            <w:tcW w:w="960" w:type="dxa"/>
            <w:tcBorders>
              <w:top w:val="nil"/>
              <w:left w:val="nil"/>
              <w:bottom w:val="nil"/>
              <w:right w:val="nil"/>
            </w:tcBorders>
            <w:shd w:val="clear" w:color="auto" w:fill="auto"/>
            <w:noWrap/>
            <w:vAlign w:val="bottom"/>
            <w:hideMark/>
          </w:tcPr>
          <w:p>
            <w:pPr>
              <w:spacing w:after="0"/>
              <w:jc w:val="right"/>
              <w:rPr>
                <w:rFonts w:ascii="Calibri" w:hAnsi="Calibri" w:cs="Calibri"/>
                <w:noProof/>
                <w:color w:val="000000"/>
                <w:sz w:val="22"/>
                <w:szCs w:val="22"/>
              </w:rPr>
            </w:pPr>
          </w:p>
        </w:tc>
        <w:tc>
          <w:tcPr>
            <w:tcW w:w="960" w:type="dxa"/>
            <w:tcBorders>
              <w:top w:val="nil"/>
              <w:left w:val="nil"/>
              <w:bottom w:val="nil"/>
              <w:right w:val="nil"/>
            </w:tcBorders>
            <w:shd w:val="clear" w:color="auto" w:fill="auto"/>
            <w:noWrap/>
            <w:vAlign w:val="bottom"/>
            <w:hideMark/>
          </w:tcPr>
          <w:p>
            <w:pPr>
              <w:spacing w:after="0"/>
              <w:jc w:val="left"/>
              <w:rPr>
                <w:noProof/>
                <w:sz w:val="20"/>
              </w:rPr>
            </w:pPr>
          </w:p>
        </w:tc>
      </w:tr>
      <w:tr>
        <w:trPr>
          <w:trHeight w:val="300"/>
          <w:jc w:val="center"/>
        </w:trPr>
        <w:tc>
          <w:tcPr>
            <w:tcW w:w="2560" w:type="dxa"/>
            <w:tcBorders>
              <w:top w:val="nil"/>
              <w:left w:val="nil"/>
              <w:bottom w:val="nil"/>
              <w:right w:val="nil"/>
            </w:tcBorders>
            <w:shd w:val="clear" w:color="auto" w:fill="auto"/>
            <w:noWrap/>
            <w:vAlign w:val="bottom"/>
            <w:hideMark/>
          </w:tcPr>
          <w:p>
            <w:pPr>
              <w:spacing w:after="0"/>
              <w:jc w:val="left"/>
              <w:rPr>
                <w:noProof/>
                <w:sz w:val="20"/>
              </w:rPr>
            </w:pPr>
          </w:p>
        </w:tc>
        <w:tc>
          <w:tcPr>
            <w:tcW w:w="960" w:type="dxa"/>
            <w:tcBorders>
              <w:top w:val="nil"/>
              <w:left w:val="nil"/>
              <w:bottom w:val="nil"/>
              <w:right w:val="nil"/>
            </w:tcBorders>
            <w:shd w:val="clear" w:color="auto" w:fill="auto"/>
            <w:noWrap/>
            <w:vAlign w:val="bottom"/>
            <w:hideMark/>
          </w:tcPr>
          <w:p>
            <w:pPr>
              <w:spacing w:after="0"/>
              <w:jc w:val="left"/>
              <w:rPr>
                <w:noProof/>
                <w:sz w:val="20"/>
              </w:rPr>
            </w:pPr>
          </w:p>
        </w:tc>
        <w:tc>
          <w:tcPr>
            <w:tcW w:w="960" w:type="dxa"/>
            <w:tcBorders>
              <w:top w:val="nil"/>
              <w:left w:val="nil"/>
              <w:bottom w:val="nil"/>
              <w:right w:val="nil"/>
            </w:tcBorders>
            <w:shd w:val="clear" w:color="auto" w:fill="auto"/>
            <w:noWrap/>
            <w:vAlign w:val="bottom"/>
            <w:hideMark/>
          </w:tcPr>
          <w:p>
            <w:pPr>
              <w:spacing w:after="0"/>
              <w:jc w:val="left"/>
              <w:rPr>
                <w:noProof/>
                <w:sz w:val="20"/>
              </w:rPr>
            </w:pPr>
          </w:p>
        </w:tc>
        <w:tc>
          <w:tcPr>
            <w:tcW w:w="960" w:type="dxa"/>
            <w:tcBorders>
              <w:top w:val="nil"/>
              <w:left w:val="nil"/>
              <w:bottom w:val="nil"/>
              <w:right w:val="nil"/>
            </w:tcBorders>
            <w:shd w:val="clear" w:color="auto" w:fill="auto"/>
            <w:noWrap/>
            <w:vAlign w:val="bottom"/>
            <w:hideMark/>
          </w:tcPr>
          <w:p>
            <w:pPr>
              <w:spacing w:after="0"/>
              <w:jc w:val="left"/>
              <w:rPr>
                <w:noProof/>
                <w:sz w:val="20"/>
              </w:rPr>
            </w:pPr>
          </w:p>
        </w:tc>
        <w:tc>
          <w:tcPr>
            <w:tcW w:w="960" w:type="dxa"/>
            <w:tcBorders>
              <w:top w:val="nil"/>
              <w:left w:val="nil"/>
              <w:bottom w:val="nil"/>
              <w:right w:val="nil"/>
            </w:tcBorders>
            <w:shd w:val="clear" w:color="auto" w:fill="auto"/>
            <w:noWrap/>
            <w:vAlign w:val="bottom"/>
            <w:hideMark/>
          </w:tcPr>
          <w:p>
            <w:pPr>
              <w:spacing w:after="0"/>
              <w:jc w:val="left"/>
              <w:rPr>
                <w:noProof/>
                <w:sz w:val="20"/>
              </w:rPr>
            </w:pPr>
          </w:p>
        </w:tc>
        <w:tc>
          <w:tcPr>
            <w:tcW w:w="960" w:type="dxa"/>
            <w:tcBorders>
              <w:top w:val="nil"/>
              <w:left w:val="nil"/>
              <w:bottom w:val="nil"/>
              <w:right w:val="nil"/>
            </w:tcBorders>
            <w:shd w:val="clear" w:color="auto" w:fill="auto"/>
            <w:noWrap/>
            <w:vAlign w:val="bottom"/>
            <w:hideMark/>
          </w:tcPr>
          <w:p>
            <w:pPr>
              <w:spacing w:after="0"/>
              <w:jc w:val="left"/>
              <w:rPr>
                <w:noProof/>
                <w:sz w:val="20"/>
              </w:rPr>
            </w:pPr>
          </w:p>
        </w:tc>
      </w:tr>
      <w:tr>
        <w:trPr>
          <w:trHeight w:val="300"/>
          <w:jc w:val="center"/>
        </w:trPr>
        <w:tc>
          <w:tcPr>
            <w:tcW w:w="2560"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pPr>
              <w:spacing w:after="0"/>
              <w:jc w:val="left"/>
              <w:rPr>
                <w:rFonts w:ascii="Calibri" w:hAnsi="Calibri" w:cs="Calibri"/>
                <w:i/>
                <w:iCs/>
                <w:noProof/>
                <w:color w:val="000000"/>
                <w:sz w:val="22"/>
                <w:szCs w:val="22"/>
              </w:rPr>
            </w:pPr>
            <w:r>
              <w:rPr>
                <w:rFonts w:ascii="Calibri" w:hAnsi="Calibri"/>
                <w:i/>
                <w:iCs/>
                <w:noProof/>
                <w:sz w:val="22"/>
                <w:szCs w:val="22"/>
              </w:rPr>
              <w:t>Beskæftigelsesfrekvens</w:t>
            </w:r>
          </w:p>
        </w:tc>
        <w:tc>
          <w:tcPr>
            <w:tcW w:w="960" w:type="dxa"/>
            <w:tcBorders>
              <w:top w:val="single" w:sz="4" w:space="0" w:color="auto"/>
              <w:left w:val="nil"/>
              <w:bottom w:val="single" w:sz="4" w:space="0" w:color="auto"/>
              <w:right w:val="single" w:sz="4" w:space="0" w:color="auto"/>
            </w:tcBorders>
            <w:shd w:val="clear" w:color="auto" w:fill="E7E6E6" w:themeFill="background2"/>
            <w:noWrap/>
            <w:vAlign w:val="center"/>
            <w:hideMark/>
          </w:tcPr>
          <w:p>
            <w:pPr>
              <w:spacing w:after="0"/>
              <w:jc w:val="center"/>
              <w:rPr>
                <w:rFonts w:ascii="Calibri" w:hAnsi="Calibri" w:cs="Calibri"/>
                <w:b/>
                <w:bCs/>
                <w:noProof/>
                <w:color w:val="000000"/>
                <w:sz w:val="22"/>
                <w:szCs w:val="22"/>
              </w:rPr>
            </w:pPr>
            <w:r>
              <w:rPr>
                <w:rFonts w:ascii="Calibri" w:hAnsi="Calibri"/>
                <w:b/>
                <w:bCs/>
                <w:noProof/>
                <w:sz w:val="22"/>
                <w:szCs w:val="22"/>
              </w:rPr>
              <w:t>2015</w:t>
            </w:r>
          </w:p>
        </w:tc>
        <w:tc>
          <w:tcPr>
            <w:tcW w:w="960" w:type="dxa"/>
            <w:tcBorders>
              <w:top w:val="single" w:sz="4" w:space="0" w:color="auto"/>
              <w:left w:val="nil"/>
              <w:bottom w:val="single" w:sz="4" w:space="0" w:color="auto"/>
              <w:right w:val="single" w:sz="4" w:space="0" w:color="auto"/>
            </w:tcBorders>
            <w:shd w:val="clear" w:color="auto" w:fill="E7E6E6" w:themeFill="background2"/>
            <w:noWrap/>
            <w:vAlign w:val="center"/>
            <w:hideMark/>
          </w:tcPr>
          <w:p>
            <w:pPr>
              <w:spacing w:after="0"/>
              <w:jc w:val="center"/>
              <w:rPr>
                <w:rFonts w:ascii="Calibri" w:hAnsi="Calibri" w:cs="Calibri"/>
                <w:b/>
                <w:bCs/>
                <w:noProof/>
                <w:color w:val="000000"/>
                <w:sz w:val="22"/>
                <w:szCs w:val="22"/>
              </w:rPr>
            </w:pPr>
            <w:r>
              <w:rPr>
                <w:rFonts w:ascii="Calibri" w:hAnsi="Calibri"/>
                <w:b/>
                <w:bCs/>
                <w:noProof/>
                <w:sz w:val="22"/>
                <w:szCs w:val="22"/>
              </w:rPr>
              <w:t>2016</w:t>
            </w:r>
          </w:p>
        </w:tc>
        <w:tc>
          <w:tcPr>
            <w:tcW w:w="960" w:type="dxa"/>
            <w:tcBorders>
              <w:top w:val="single" w:sz="4" w:space="0" w:color="auto"/>
              <w:left w:val="nil"/>
              <w:bottom w:val="single" w:sz="4" w:space="0" w:color="auto"/>
              <w:right w:val="single" w:sz="4" w:space="0" w:color="auto"/>
            </w:tcBorders>
            <w:shd w:val="clear" w:color="auto" w:fill="E7E6E6" w:themeFill="background2"/>
            <w:noWrap/>
            <w:vAlign w:val="center"/>
            <w:hideMark/>
          </w:tcPr>
          <w:p>
            <w:pPr>
              <w:spacing w:after="0"/>
              <w:jc w:val="center"/>
              <w:rPr>
                <w:rFonts w:ascii="Calibri" w:hAnsi="Calibri" w:cs="Calibri"/>
                <w:b/>
                <w:bCs/>
                <w:noProof/>
                <w:color w:val="000000"/>
                <w:sz w:val="22"/>
                <w:szCs w:val="22"/>
              </w:rPr>
            </w:pPr>
            <w:r>
              <w:rPr>
                <w:rFonts w:ascii="Calibri" w:hAnsi="Calibri"/>
                <w:b/>
                <w:bCs/>
                <w:noProof/>
                <w:sz w:val="22"/>
                <w:szCs w:val="22"/>
              </w:rPr>
              <w:t>2017</w:t>
            </w:r>
          </w:p>
        </w:tc>
        <w:tc>
          <w:tcPr>
            <w:tcW w:w="960" w:type="dxa"/>
            <w:tcBorders>
              <w:top w:val="nil"/>
              <w:left w:val="nil"/>
              <w:bottom w:val="nil"/>
              <w:right w:val="nil"/>
            </w:tcBorders>
            <w:shd w:val="clear" w:color="auto" w:fill="auto"/>
            <w:noWrap/>
            <w:vAlign w:val="bottom"/>
            <w:hideMark/>
          </w:tcPr>
          <w:p>
            <w:pPr>
              <w:spacing w:after="0"/>
              <w:jc w:val="center"/>
              <w:rPr>
                <w:rFonts w:ascii="Calibri" w:hAnsi="Calibri" w:cs="Calibri"/>
                <w:b/>
                <w:bCs/>
                <w:noProof/>
                <w:color w:val="000000"/>
                <w:sz w:val="22"/>
                <w:szCs w:val="22"/>
              </w:rPr>
            </w:pPr>
          </w:p>
        </w:tc>
        <w:tc>
          <w:tcPr>
            <w:tcW w:w="960" w:type="dxa"/>
            <w:tcBorders>
              <w:top w:val="nil"/>
              <w:left w:val="nil"/>
              <w:bottom w:val="nil"/>
              <w:right w:val="nil"/>
            </w:tcBorders>
            <w:shd w:val="clear" w:color="auto" w:fill="auto"/>
            <w:noWrap/>
            <w:vAlign w:val="bottom"/>
            <w:hideMark/>
          </w:tcPr>
          <w:p>
            <w:pPr>
              <w:spacing w:after="0"/>
              <w:jc w:val="left"/>
              <w:rPr>
                <w:noProof/>
                <w:sz w:val="20"/>
              </w:rPr>
            </w:pPr>
          </w:p>
        </w:tc>
      </w:tr>
      <w:tr>
        <w:trPr>
          <w:trHeight w:val="300"/>
          <w:jc w:val="center"/>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pPr>
              <w:spacing w:after="0"/>
              <w:jc w:val="left"/>
              <w:rPr>
                <w:rFonts w:ascii="Calibri" w:hAnsi="Calibri" w:cs="Calibri"/>
                <w:noProof/>
                <w:color w:val="000000"/>
                <w:sz w:val="22"/>
                <w:szCs w:val="22"/>
              </w:rPr>
            </w:pPr>
            <w:r>
              <w:rPr>
                <w:rFonts w:ascii="Calibri" w:hAnsi="Calibri"/>
                <w:noProof/>
                <w:sz w:val="22"/>
                <w:szCs w:val="22"/>
              </w:rPr>
              <w:t xml:space="preserve">Malta </w:t>
            </w:r>
          </w:p>
        </w:tc>
        <w:tc>
          <w:tcPr>
            <w:tcW w:w="960" w:type="dxa"/>
            <w:tcBorders>
              <w:top w:val="nil"/>
              <w:left w:val="nil"/>
              <w:bottom w:val="single" w:sz="4" w:space="0" w:color="auto"/>
              <w:right w:val="single" w:sz="4" w:space="0" w:color="auto"/>
            </w:tcBorders>
            <w:shd w:val="clear" w:color="auto" w:fill="auto"/>
            <w:noWrap/>
            <w:vAlign w:val="bottom"/>
            <w:hideMark/>
          </w:tcPr>
          <w:p>
            <w:pPr>
              <w:spacing w:after="0"/>
              <w:jc w:val="right"/>
              <w:rPr>
                <w:rFonts w:ascii="Calibri" w:hAnsi="Calibri" w:cs="Calibri"/>
                <w:noProof/>
                <w:color w:val="000000"/>
                <w:sz w:val="22"/>
                <w:szCs w:val="22"/>
              </w:rPr>
            </w:pPr>
            <w:r>
              <w:rPr>
                <w:rFonts w:ascii="Calibri" w:hAnsi="Calibri"/>
                <w:noProof/>
                <w:sz w:val="22"/>
                <w:szCs w:val="22"/>
              </w:rPr>
              <w:t>69 %</w:t>
            </w:r>
          </w:p>
        </w:tc>
        <w:tc>
          <w:tcPr>
            <w:tcW w:w="960" w:type="dxa"/>
            <w:tcBorders>
              <w:top w:val="nil"/>
              <w:left w:val="nil"/>
              <w:bottom w:val="single" w:sz="4" w:space="0" w:color="auto"/>
              <w:right w:val="single" w:sz="4" w:space="0" w:color="auto"/>
            </w:tcBorders>
            <w:shd w:val="clear" w:color="auto" w:fill="auto"/>
            <w:noWrap/>
            <w:vAlign w:val="bottom"/>
            <w:hideMark/>
          </w:tcPr>
          <w:p>
            <w:pPr>
              <w:spacing w:after="0"/>
              <w:jc w:val="right"/>
              <w:rPr>
                <w:rFonts w:ascii="Calibri" w:hAnsi="Calibri" w:cs="Calibri"/>
                <w:noProof/>
                <w:color w:val="000000"/>
                <w:sz w:val="22"/>
                <w:szCs w:val="22"/>
              </w:rPr>
            </w:pPr>
            <w:r>
              <w:rPr>
                <w:rFonts w:ascii="Calibri" w:hAnsi="Calibri"/>
                <w:noProof/>
                <w:sz w:val="22"/>
                <w:szCs w:val="22"/>
              </w:rPr>
              <w:t>71 %</w:t>
            </w:r>
          </w:p>
        </w:tc>
        <w:tc>
          <w:tcPr>
            <w:tcW w:w="960" w:type="dxa"/>
            <w:tcBorders>
              <w:top w:val="nil"/>
              <w:left w:val="nil"/>
              <w:bottom w:val="single" w:sz="4" w:space="0" w:color="auto"/>
              <w:right w:val="single" w:sz="4" w:space="0" w:color="auto"/>
            </w:tcBorders>
            <w:shd w:val="clear" w:color="auto" w:fill="auto"/>
            <w:noWrap/>
            <w:vAlign w:val="bottom"/>
            <w:hideMark/>
          </w:tcPr>
          <w:p>
            <w:pPr>
              <w:spacing w:after="0"/>
              <w:jc w:val="right"/>
              <w:rPr>
                <w:rFonts w:ascii="Calibri" w:hAnsi="Calibri" w:cs="Calibri"/>
                <w:noProof/>
                <w:color w:val="000000"/>
                <w:sz w:val="22"/>
                <w:szCs w:val="22"/>
              </w:rPr>
            </w:pPr>
            <w:r>
              <w:rPr>
                <w:rFonts w:ascii="Calibri" w:hAnsi="Calibri"/>
                <w:noProof/>
                <w:sz w:val="22"/>
                <w:szCs w:val="22"/>
              </w:rPr>
              <w:t>72 %</w:t>
            </w:r>
          </w:p>
        </w:tc>
        <w:tc>
          <w:tcPr>
            <w:tcW w:w="960" w:type="dxa"/>
            <w:tcBorders>
              <w:top w:val="nil"/>
              <w:left w:val="nil"/>
              <w:bottom w:val="nil"/>
              <w:right w:val="nil"/>
            </w:tcBorders>
            <w:shd w:val="clear" w:color="auto" w:fill="auto"/>
            <w:noWrap/>
            <w:vAlign w:val="bottom"/>
            <w:hideMark/>
          </w:tcPr>
          <w:p>
            <w:pPr>
              <w:spacing w:after="0"/>
              <w:jc w:val="right"/>
              <w:rPr>
                <w:rFonts w:ascii="Calibri" w:hAnsi="Calibri" w:cs="Calibri"/>
                <w:noProof/>
                <w:color w:val="000000"/>
                <w:sz w:val="22"/>
                <w:szCs w:val="22"/>
              </w:rPr>
            </w:pPr>
          </w:p>
        </w:tc>
        <w:tc>
          <w:tcPr>
            <w:tcW w:w="960" w:type="dxa"/>
            <w:tcBorders>
              <w:top w:val="nil"/>
              <w:left w:val="nil"/>
              <w:bottom w:val="nil"/>
              <w:right w:val="nil"/>
            </w:tcBorders>
            <w:shd w:val="clear" w:color="auto" w:fill="auto"/>
            <w:noWrap/>
            <w:vAlign w:val="bottom"/>
            <w:hideMark/>
          </w:tcPr>
          <w:p>
            <w:pPr>
              <w:spacing w:after="0"/>
              <w:jc w:val="left"/>
              <w:rPr>
                <w:noProof/>
                <w:sz w:val="20"/>
              </w:rPr>
            </w:pPr>
          </w:p>
        </w:tc>
      </w:tr>
      <w:tr>
        <w:trPr>
          <w:trHeight w:val="300"/>
          <w:jc w:val="center"/>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pPr>
              <w:spacing w:after="0"/>
              <w:jc w:val="left"/>
              <w:rPr>
                <w:rFonts w:ascii="Calibri" w:hAnsi="Calibri" w:cs="Calibri"/>
                <w:noProof/>
                <w:color w:val="000000"/>
                <w:sz w:val="22"/>
                <w:szCs w:val="22"/>
              </w:rPr>
            </w:pPr>
            <w:r>
              <w:rPr>
                <w:rFonts w:ascii="Calibri" w:hAnsi="Calibri"/>
                <w:noProof/>
                <w:sz w:val="22"/>
                <w:szCs w:val="22"/>
              </w:rPr>
              <w:t>Gozo og Comino</w:t>
            </w:r>
          </w:p>
        </w:tc>
        <w:tc>
          <w:tcPr>
            <w:tcW w:w="960" w:type="dxa"/>
            <w:tcBorders>
              <w:top w:val="nil"/>
              <w:left w:val="nil"/>
              <w:bottom w:val="single" w:sz="4" w:space="0" w:color="auto"/>
              <w:right w:val="single" w:sz="4" w:space="0" w:color="auto"/>
            </w:tcBorders>
            <w:shd w:val="clear" w:color="auto" w:fill="auto"/>
            <w:noWrap/>
            <w:vAlign w:val="bottom"/>
            <w:hideMark/>
          </w:tcPr>
          <w:p>
            <w:pPr>
              <w:spacing w:after="0"/>
              <w:jc w:val="right"/>
              <w:rPr>
                <w:rFonts w:ascii="Calibri" w:hAnsi="Calibri" w:cs="Calibri"/>
                <w:noProof/>
                <w:color w:val="000000"/>
                <w:sz w:val="22"/>
                <w:szCs w:val="22"/>
              </w:rPr>
            </w:pPr>
            <w:r>
              <w:rPr>
                <w:rFonts w:ascii="Calibri" w:hAnsi="Calibri"/>
                <w:noProof/>
                <w:sz w:val="22"/>
                <w:szCs w:val="22"/>
              </w:rPr>
              <w:t>66 %</w:t>
            </w:r>
          </w:p>
        </w:tc>
        <w:tc>
          <w:tcPr>
            <w:tcW w:w="960" w:type="dxa"/>
            <w:tcBorders>
              <w:top w:val="nil"/>
              <w:left w:val="nil"/>
              <w:bottom w:val="single" w:sz="4" w:space="0" w:color="auto"/>
              <w:right w:val="single" w:sz="4" w:space="0" w:color="auto"/>
            </w:tcBorders>
            <w:shd w:val="clear" w:color="auto" w:fill="auto"/>
            <w:noWrap/>
            <w:vAlign w:val="bottom"/>
            <w:hideMark/>
          </w:tcPr>
          <w:p>
            <w:pPr>
              <w:spacing w:after="0"/>
              <w:jc w:val="right"/>
              <w:rPr>
                <w:rFonts w:ascii="Calibri" w:hAnsi="Calibri" w:cs="Calibri"/>
                <w:noProof/>
                <w:color w:val="000000"/>
                <w:sz w:val="22"/>
                <w:szCs w:val="22"/>
              </w:rPr>
            </w:pPr>
            <w:r>
              <w:rPr>
                <w:rFonts w:ascii="Calibri" w:hAnsi="Calibri"/>
                <w:noProof/>
                <w:sz w:val="22"/>
                <w:szCs w:val="22"/>
              </w:rPr>
              <w:t>70 %</w:t>
            </w:r>
          </w:p>
        </w:tc>
        <w:tc>
          <w:tcPr>
            <w:tcW w:w="960" w:type="dxa"/>
            <w:tcBorders>
              <w:top w:val="nil"/>
              <w:left w:val="nil"/>
              <w:bottom w:val="single" w:sz="4" w:space="0" w:color="auto"/>
              <w:right w:val="single" w:sz="4" w:space="0" w:color="auto"/>
            </w:tcBorders>
            <w:shd w:val="clear" w:color="auto" w:fill="auto"/>
            <w:noWrap/>
            <w:vAlign w:val="bottom"/>
            <w:hideMark/>
          </w:tcPr>
          <w:p>
            <w:pPr>
              <w:spacing w:after="0"/>
              <w:jc w:val="right"/>
              <w:rPr>
                <w:rFonts w:ascii="Calibri" w:hAnsi="Calibri" w:cs="Calibri"/>
                <w:noProof/>
                <w:color w:val="000000"/>
                <w:sz w:val="22"/>
                <w:szCs w:val="22"/>
              </w:rPr>
            </w:pPr>
            <w:r>
              <w:rPr>
                <w:rFonts w:ascii="Calibri" w:hAnsi="Calibri"/>
                <w:noProof/>
                <w:sz w:val="22"/>
                <w:szCs w:val="22"/>
              </w:rPr>
              <w:t>74 %</w:t>
            </w:r>
          </w:p>
        </w:tc>
        <w:tc>
          <w:tcPr>
            <w:tcW w:w="960" w:type="dxa"/>
            <w:tcBorders>
              <w:top w:val="nil"/>
              <w:left w:val="nil"/>
              <w:bottom w:val="nil"/>
              <w:right w:val="nil"/>
            </w:tcBorders>
            <w:shd w:val="clear" w:color="auto" w:fill="auto"/>
            <w:noWrap/>
            <w:vAlign w:val="bottom"/>
            <w:hideMark/>
          </w:tcPr>
          <w:p>
            <w:pPr>
              <w:spacing w:after="0"/>
              <w:jc w:val="right"/>
              <w:rPr>
                <w:rFonts w:ascii="Calibri" w:hAnsi="Calibri" w:cs="Calibri"/>
                <w:noProof/>
                <w:color w:val="000000"/>
                <w:sz w:val="22"/>
                <w:szCs w:val="22"/>
              </w:rPr>
            </w:pPr>
          </w:p>
        </w:tc>
        <w:tc>
          <w:tcPr>
            <w:tcW w:w="960" w:type="dxa"/>
            <w:tcBorders>
              <w:top w:val="nil"/>
              <w:left w:val="nil"/>
              <w:bottom w:val="nil"/>
              <w:right w:val="nil"/>
            </w:tcBorders>
            <w:shd w:val="clear" w:color="auto" w:fill="auto"/>
            <w:noWrap/>
            <w:vAlign w:val="bottom"/>
            <w:hideMark/>
          </w:tcPr>
          <w:p>
            <w:pPr>
              <w:spacing w:after="0"/>
              <w:jc w:val="left"/>
              <w:rPr>
                <w:noProof/>
                <w:sz w:val="20"/>
              </w:rPr>
            </w:pPr>
          </w:p>
        </w:tc>
      </w:tr>
    </w:tbl>
    <w:p>
      <w:pPr>
        <w:pStyle w:val="Text2"/>
        <w:spacing w:after="120"/>
        <w:ind w:left="0"/>
        <w:rPr>
          <w:noProof/>
          <w:sz w:val="22"/>
        </w:rPr>
      </w:pPr>
      <w:r>
        <w:rPr>
          <w:noProof/>
          <w:sz w:val="22"/>
        </w:rPr>
        <w:t>Beskæftigelsesfrekvens beregnet med befolkningen i aldersgruppen 15-64 år som nævner.</w:t>
      </w:r>
    </w:p>
    <w:p>
      <w:pPr>
        <w:pStyle w:val="Text2"/>
        <w:ind w:left="0"/>
        <w:rPr>
          <w:i/>
          <w:noProof/>
          <w:sz w:val="20"/>
        </w:rPr>
      </w:pPr>
      <w:r>
        <w:rPr>
          <w:i/>
          <w:noProof/>
          <w:sz w:val="20"/>
        </w:rPr>
        <w:t>Kilde: Maltas nationale statistikkontor og Eurostat.</w:t>
      </w:r>
    </w:p>
    <w:p>
      <w:pPr>
        <w:pStyle w:val="Text2"/>
        <w:ind w:left="476"/>
        <w:rPr>
          <w:noProof/>
        </w:rPr>
      </w:pPr>
      <w:r>
        <w:rPr>
          <w:noProof/>
        </w:rPr>
        <w:t xml:space="preserve">Arbejdsstyrkens sammensætning på de to øer ligner sammensætningen af bruttoværditilvæksten: Gozo beskæftiger 4 procentpoint flere mennesker inden for landbrug og fiskeri og 3 procentpoint flere inden for byggeri og anlæg end Malta, men 7 procentpoint færre inden for finansielle tjenester, forsikringstjenester, fast ejendom og andre tjenester. </w:t>
      </w:r>
    </w:p>
    <w:p>
      <w:pPr>
        <w:spacing w:after="0"/>
        <w:jc w:val="left"/>
        <w:rPr>
          <w:noProof/>
        </w:rPr>
      </w:pPr>
      <w:r>
        <w:rPr>
          <w:noProof/>
        </w:rPr>
        <w:br w:type="page"/>
      </w:r>
    </w:p>
    <w:p>
      <w:pPr>
        <w:pStyle w:val="Text2"/>
        <w:ind w:left="0"/>
        <w:rPr>
          <w:b/>
          <w:noProof/>
        </w:rPr>
      </w:pPr>
      <w:r>
        <w:rPr>
          <w:b/>
          <w:noProof/>
        </w:rPr>
        <w:t>Figur 4. Sammensætning af beskæftigelsen i regionerne Malta, Gozo og Comino 2016</w:t>
      </w:r>
    </w:p>
    <w:p>
      <w:pPr>
        <w:pStyle w:val="Text2"/>
        <w:ind w:left="0"/>
        <w:rPr>
          <w:i/>
          <w:noProof/>
          <w:sz w:val="20"/>
        </w:rPr>
      </w:pPr>
      <w:r>
        <w:rPr>
          <w:noProof/>
          <w:lang w:val="en-GB"/>
        </w:rPr>
        <w:drawing>
          <wp:inline distT="0" distB="0" distL="0" distR="0">
            <wp:extent cx="5472430" cy="216090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472430" cy="2160905"/>
                    </a:xfrm>
                    <a:prstGeom prst="rect">
                      <a:avLst/>
                    </a:prstGeom>
                  </pic:spPr>
                </pic:pic>
              </a:graphicData>
            </a:graphic>
          </wp:inline>
        </w:drawing>
      </w:r>
      <w:r>
        <w:rPr>
          <w:i/>
          <w:noProof/>
          <w:sz w:val="20"/>
        </w:rPr>
        <w:t>Kilde: Eurostat</w:t>
      </w:r>
    </w:p>
    <w:p>
      <w:pPr>
        <w:pStyle w:val="Heading2"/>
        <w:rPr>
          <w:noProof/>
        </w:rPr>
      </w:pPr>
      <w:r>
        <w:rPr>
          <w:noProof/>
        </w:rPr>
        <w:t>Tilgængelighed og turisme</w:t>
      </w:r>
    </w:p>
    <w:p>
      <w:pPr>
        <w:pStyle w:val="Text2"/>
        <w:ind w:left="476"/>
        <w:rPr>
          <w:noProof/>
        </w:rPr>
      </w:pPr>
      <w:r>
        <w:rPr>
          <w:noProof/>
        </w:rPr>
        <w:t>Gozo ligger 5,3 km fra hovedøen. Overfartstiden med færge mellem de to øer er ca. 30 minutter i roligt vejr. Som nævnt ovenfor pendler mange arbejdstagere fra Gozo til hovedøen Malta, især til hovedstaden, med de hyppige færgeforbindelser med de to øer.</w:t>
      </w:r>
    </w:p>
    <w:p>
      <w:pPr>
        <w:pStyle w:val="Text2"/>
        <w:ind w:left="476"/>
        <w:rPr>
          <w:noProof/>
        </w:rPr>
      </w:pPr>
      <w:r>
        <w:rPr>
          <w:noProof/>
        </w:rPr>
        <w:t>Antallet af færgepassagerer mellem havnene Ċirkewwa på Malta og Mġarr</w:t>
      </w:r>
      <w:r>
        <w:rPr>
          <w:b/>
          <w:bCs/>
          <w:noProof/>
        </w:rPr>
        <w:t xml:space="preserve"> </w:t>
      </w:r>
      <w:r>
        <w:rPr>
          <w:noProof/>
        </w:rPr>
        <w:t xml:space="preserve">på Gozo steg med næsten 60 % i perioden 2003-2017 og med næsten 34 % i perioden 2010-2017. Dette svarer til en årlig gennemsnitlig stigning i antallet af færgepassagerer mellem de to havne på 3,4 %. I perioden 2013-2017 var stigningen med en årlig vækst på næsten 6 % endnu mere markant. </w:t>
      </w:r>
    </w:p>
    <w:p>
      <w:pPr>
        <w:pStyle w:val="Text2"/>
        <w:ind w:left="476"/>
        <w:rPr>
          <w:noProof/>
        </w:rPr>
      </w:pPr>
      <w:r>
        <w:rPr>
          <w:noProof/>
        </w:rPr>
        <w:t xml:space="preserve">Gozo er ikke kun hjem for pendlere. Den tiltrækker også turister. Ligesom Malta kunne Gozo registrere en stigning i antallet af turister i perioden 2012-2017, om end lidt lavere (+33 % i forhold til +36 %). Antallet af turister, der besøger og opholder sig mindst én nat på Gozo og Comino, er markant lavere end antallet af turister, der besøger øen Malta. I 2017 var antallet af turister imidlertid næsten det tredobbelte af antallet af indbyggere på Gozo. Med hensyn til tilbud steg antallet af sengepladser på Gozo hurtigere end på Malta fra 1 756 til 2 165 enheder i perioden 2012-2017 (+23 %), sammenlignet med de omkring 40 000 enheder, der findes på Malta (+7 %). Varigheden af ophold er dog generelt kortere: I gennemsnit opholder turister sig i fem nætter på Malta i forhold til tre nætter på Gozo og Comino. </w:t>
      </w:r>
    </w:p>
    <w:p>
      <w:pPr>
        <w:spacing w:after="0"/>
        <w:jc w:val="left"/>
        <w:rPr>
          <w:noProof/>
        </w:rPr>
      </w:pPr>
      <w:r>
        <w:rPr>
          <w:noProof/>
        </w:rPr>
        <w:br w:type="page"/>
      </w:r>
    </w:p>
    <w:p>
      <w:pPr>
        <w:pStyle w:val="Text2"/>
        <w:ind w:left="0"/>
        <w:rPr>
          <w:b/>
          <w:noProof/>
        </w:rPr>
      </w:pPr>
      <w:r>
        <w:rPr>
          <w:b/>
          <w:noProof/>
        </w:rPr>
        <w:t>Figur 5. Udvikling i antallet af færgepassagerer mellem Ċirkewwa og Mġarr (i tusinder)</w:t>
      </w:r>
    </w:p>
    <w:p>
      <w:pPr>
        <w:pStyle w:val="Text2"/>
        <w:ind w:left="476"/>
        <w:jc w:val="center"/>
        <w:rPr>
          <w:noProof/>
        </w:rPr>
      </w:pPr>
      <w:r>
        <w:rPr>
          <w:noProof/>
          <w:lang w:val="en-GB"/>
        </w:rPr>
        <w:drawing>
          <wp:inline distT="0" distB="0" distL="0" distR="0">
            <wp:extent cx="4343400" cy="2230394"/>
            <wp:effectExtent l="0" t="0" r="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pPr>
        <w:pStyle w:val="Text2"/>
        <w:ind w:left="0"/>
        <w:rPr>
          <w:i/>
          <w:noProof/>
          <w:sz w:val="20"/>
        </w:rPr>
      </w:pPr>
      <w:r>
        <w:rPr>
          <w:i/>
          <w:noProof/>
          <w:sz w:val="20"/>
        </w:rPr>
        <w:t>Kilde: Eurostat</w:t>
      </w:r>
    </w:p>
    <w:p>
      <w:pPr>
        <w:pStyle w:val="Text2"/>
        <w:ind w:left="0"/>
        <w:rPr>
          <w:b/>
          <w:noProof/>
        </w:rPr>
      </w:pPr>
      <w:r>
        <w:rPr>
          <w:b/>
          <w:noProof/>
        </w:rPr>
        <w:t>Tabel 2. Antallet af turister og sengepladser på Malta og Gozo</w:t>
      </w:r>
    </w:p>
    <w:tbl>
      <w:tblPr>
        <w:tblW w:w="9073" w:type="dxa"/>
        <w:tblInd w:w="-34" w:type="dxa"/>
        <w:tblLook w:val="04A0" w:firstRow="1" w:lastRow="0" w:firstColumn="1" w:lastColumn="0" w:noHBand="0" w:noVBand="1"/>
      </w:tblPr>
      <w:tblGrid>
        <w:gridCol w:w="1287"/>
        <w:gridCol w:w="1127"/>
        <w:gridCol w:w="1016"/>
        <w:gridCol w:w="1016"/>
        <w:gridCol w:w="1016"/>
        <w:gridCol w:w="1016"/>
        <w:gridCol w:w="1016"/>
        <w:gridCol w:w="890"/>
        <w:gridCol w:w="1421"/>
      </w:tblGrid>
      <w:tr>
        <w:trPr>
          <w:trHeight w:val="795"/>
        </w:trPr>
        <w:tc>
          <w:tcPr>
            <w:tcW w:w="969" w:type="dxa"/>
            <w:tcBorders>
              <w:top w:val="single" w:sz="4" w:space="0" w:color="auto"/>
              <w:left w:val="single" w:sz="4" w:space="0" w:color="auto"/>
              <w:bottom w:val="single" w:sz="4" w:space="0" w:color="auto"/>
              <w:right w:val="single" w:sz="4" w:space="0" w:color="auto"/>
            </w:tcBorders>
            <w:shd w:val="clear" w:color="auto" w:fill="E7E6E6" w:themeFill="background2"/>
            <w:vAlign w:val="bottom"/>
            <w:hideMark/>
          </w:tcPr>
          <w:p>
            <w:pPr>
              <w:spacing w:after="0"/>
              <w:jc w:val="left"/>
              <w:rPr>
                <w:rFonts w:asciiTheme="minorHAnsi" w:hAnsiTheme="minorHAnsi" w:cstheme="minorHAnsi"/>
                <w:i/>
                <w:iCs/>
                <w:noProof/>
                <w:sz w:val="20"/>
              </w:rPr>
            </w:pPr>
            <w:r>
              <w:rPr>
                <w:rFonts w:asciiTheme="minorHAnsi" w:hAnsiTheme="minorHAnsi"/>
                <w:i/>
                <w:iCs/>
                <w:noProof/>
                <w:sz w:val="20"/>
              </w:rPr>
              <w:t>Antal turister</w:t>
            </w:r>
          </w:p>
        </w:tc>
        <w:tc>
          <w:tcPr>
            <w:tcW w:w="1127"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pPr>
              <w:spacing w:after="0"/>
              <w:jc w:val="center"/>
              <w:rPr>
                <w:rFonts w:asciiTheme="minorHAnsi" w:hAnsiTheme="minorHAnsi" w:cstheme="minorHAnsi"/>
                <w:b/>
                <w:bCs/>
                <w:noProof/>
                <w:sz w:val="20"/>
              </w:rPr>
            </w:pPr>
            <w:r>
              <w:rPr>
                <w:rFonts w:asciiTheme="minorHAnsi" w:hAnsiTheme="minorHAnsi"/>
                <w:b/>
                <w:bCs/>
                <w:noProof/>
                <w:sz w:val="20"/>
              </w:rPr>
              <w:t>2012</w:t>
            </w:r>
          </w:p>
        </w:tc>
        <w:tc>
          <w:tcPr>
            <w:tcW w:w="1001"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pPr>
              <w:spacing w:after="0"/>
              <w:jc w:val="center"/>
              <w:rPr>
                <w:rFonts w:asciiTheme="minorHAnsi" w:hAnsiTheme="minorHAnsi" w:cstheme="minorHAnsi"/>
                <w:b/>
                <w:bCs/>
                <w:noProof/>
                <w:sz w:val="20"/>
              </w:rPr>
            </w:pPr>
            <w:r>
              <w:rPr>
                <w:rFonts w:asciiTheme="minorHAnsi" w:hAnsiTheme="minorHAnsi"/>
                <w:b/>
                <w:bCs/>
                <w:noProof/>
                <w:sz w:val="20"/>
              </w:rPr>
              <w:t>2013</w:t>
            </w:r>
          </w:p>
        </w:tc>
        <w:tc>
          <w:tcPr>
            <w:tcW w:w="1001"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pPr>
              <w:spacing w:after="0"/>
              <w:jc w:val="center"/>
              <w:rPr>
                <w:rFonts w:asciiTheme="minorHAnsi" w:hAnsiTheme="minorHAnsi" w:cstheme="minorHAnsi"/>
                <w:b/>
                <w:bCs/>
                <w:noProof/>
                <w:sz w:val="20"/>
              </w:rPr>
            </w:pPr>
            <w:r>
              <w:rPr>
                <w:rFonts w:asciiTheme="minorHAnsi" w:hAnsiTheme="minorHAnsi"/>
                <w:b/>
                <w:bCs/>
                <w:noProof/>
                <w:sz w:val="20"/>
              </w:rPr>
              <w:t>2014</w:t>
            </w:r>
          </w:p>
        </w:tc>
        <w:tc>
          <w:tcPr>
            <w:tcW w:w="1001"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pPr>
              <w:spacing w:after="0"/>
              <w:jc w:val="center"/>
              <w:rPr>
                <w:rFonts w:asciiTheme="minorHAnsi" w:hAnsiTheme="minorHAnsi" w:cstheme="minorHAnsi"/>
                <w:b/>
                <w:bCs/>
                <w:noProof/>
                <w:sz w:val="20"/>
              </w:rPr>
            </w:pPr>
            <w:r>
              <w:rPr>
                <w:rFonts w:asciiTheme="minorHAnsi" w:hAnsiTheme="minorHAnsi"/>
                <w:b/>
                <w:bCs/>
                <w:noProof/>
                <w:sz w:val="20"/>
              </w:rPr>
              <w:t>2015</w:t>
            </w:r>
          </w:p>
        </w:tc>
        <w:tc>
          <w:tcPr>
            <w:tcW w:w="1001"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pPr>
              <w:spacing w:after="0"/>
              <w:jc w:val="center"/>
              <w:rPr>
                <w:rFonts w:asciiTheme="minorHAnsi" w:hAnsiTheme="minorHAnsi" w:cstheme="minorHAnsi"/>
                <w:b/>
                <w:bCs/>
                <w:noProof/>
                <w:sz w:val="20"/>
              </w:rPr>
            </w:pPr>
            <w:r>
              <w:rPr>
                <w:rFonts w:asciiTheme="minorHAnsi" w:hAnsiTheme="minorHAnsi"/>
                <w:b/>
                <w:bCs/>
                <w:noProof/>
                <w:sz w:val="20"/>
              </w:rPr>
              <w:t>2016</w:t>
            </w:r>
          </w:p>
        </w:tc>
        <w:tc>
          <w:tcPr>
            <w:tcW w:w="1001"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pPr>
              <w:spacing w:after="0"/>
              <w:jc w:val="center"/>
              <w:rPr>
                <w:rFonts w:asciiTheme="minorHAnsi" w:hAnsiTheme="minorHAnsi" w:cstheme="minorHAnsi"/>
                <w:b/>
                <w:bCs/>
                <w:noProof/>
                <w:sz w:val="20"/>
              </w:rPr>
            </w:pPr>
            <w:r>
              <w:rPr>
                <w:rFonts w:asciiTheme="minorHAnsi" w:hAnsiTheme="minorHAnsi"/>
                <w:b/>
                <w:bCs/>
                <w:noProof/>
                <w:sz w:val="20"/>
              </w:rPr>
              <w:t>2017</w:t>
            </w:r>
          </w:p>
        </w:tc>
        <w:tc>
          <w:tcPr>
            <w:tcW w:w="890" w:type="dxa"/>
            <w:tcBorders>
              <w:top w:val="single" w:sz="4" w:space="0" w:color="auto"/>
              <w:left w:val="single" w:sz="4" w:space="0" w:color="auto"/>
              <w:bottom w:val="single" w:sz="4" w:space="0" w:color="auto"/>
              <w:right w:val="single" w:sz="4" w:space="0" w:color="auto"/>
            </w:tcBorders>
            <w:shd w:val="clear" w:color="auto" w:fill="E7E6E6" w:themeFill="background2"/>
            <w:vAlign w:val="bottom"/>
            <w:hideMark/>
          </w:tcPr>
          <w:p>
            <w:pPr>
              <w:spacing w:after="0"/>
              <w:jc w:val="center"/>
              <w:rPr>
                <w:rFonts w:asciiTheme="minorHAnsi" w:hAnsiTheme="minorHAnsi" w:cstheme="minorHAnsi"/>
                <w:b/>
                <w:bCs/>
                <w:noProof/>
                <w:sz w:val="20"/>
              </w:rPr>
            </w:pPr>
            <w:r>
              <w:rPr>
                <w:rFonts w:asciiTheme="minorHAnsi" w:hAnsiTheme="minorHAnsi"/>
                <w:b/>
                <w:bCs/>
                <w:noProof/>
                <w:sz w:val="20"/>
              </w:rPr>
              <w:t>Stigning 12/17</w:t>
            </w:r>
          </w:p>
        </w:tc>
        <w:tc>
          <w:tcPr>
            <w:tcW w:w="1082" w:type="dxa"/>
            <w:tcBorders>
              <w:top w:val="single" w:sz="4" w:space="0" w:color="auto"/>
              <w:left w:val="single" w:sz="4" w:space="0" w:color="auto"/>
              <w:bottom w:val="single" w:sz="4" w:space="0" w:color="auto"/>
              <w:right w:val="single" w:sz="4" w:space="0" w:color="auto"/>
            </w:tcBorders>
            <w:shd w:val="clear" w:color="auto" w:fill="E7E6E6" w:themeFill="background2"/>
            <w:vAlign w:val="bottom"/>
            <w:hideMark/>
          </w:tcPr>
          <w:p>
            <w:pPr>
              <w:spacing w:after="0"/>
              <w:jc w:val="center"/>
              <w:rPr>
                <w:rFonts w:asciiTheme="minorHAnsi" w:hAnsiTheme="minorHAnsi" w:cstheme="minorHAnsi"/>
                <w:b/>
                <w:bCs/>
                <w:noProof/>
                <w:sz w:val="20"/>
              </w:rPr>
            </w:pPr>
            <w:r>
              <w:rPr>
                <w:rFonts w:asciiTheme="minorHAnsi" w:hAnsiTheme="minorHAnsi"/>
                <w:b/>
                <w:bCs/>
                <w:noProof/>
                <w:sz w:val="20"/>
              </w:rPr>
              <w:t>Gennemsnitlig årlig vækst</w:t>
            </w:r>
          </w:p>
        </w:tc>
      </w:tr>
      <w:tr>
        <w:trPr>
          <w:trHeight w:val="251"/>
        </w:trPr>
        <w:tc>
          <w:tcPr>
            <w:tcW w:w="9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pPr>
              <w:spacing w:after="0"/>
              <w:jc w:val="left"/>
              <w:rPr>
                <w:rFonts w:asciiTheme="minorHAnsi" w:hAnsiTheme="minorHAnsi" w:cstheme="minorHAnsi"/>
                <w:noProof/>
                <w:sz w:val="20"/>
              </w:rPr>
            </w:pPr>
            <w:r>
              <w:rPr>
                <w:rFonts w:asciiTheme="minorHAnsi" w:hAnsiTheme="minorHAnsi"/>
                <w:noProof/>
                <w:sz w:val="20"/>
              </w:rPr>
              <w:t>Malta</w:t>
            </w:r>
          </w:p>
        </w:tc>
        <w:tc>
          <w:tcPr>
            <w:tcW w:w="11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pPr>
              <w:spacing w:after="0"/>
              <w:jc w:val="right"/>
              <w:rPr>
                <w:rFonts w:asciiTheme="minorHAnsi" w:hAnsiTheme="minorHAnsi" w:cstheme="minorHAnsi"/>
                <w:noProof/>
                <w:sz w:val="20"/>
              </w:rPr>
            </w:pPr>
            <w:r>
              <w:rPr>
                <w:rFonts w:asciiTheme="minorHAnsi" w:hAnsiTheme="minorHAnsi"/>
                <w:noProof/>
                <w:sz w:val="20"/>
              </w:rPr>
              <w:t>1 274 123</w:t>
            </w:r>
          </w:p>
        </w:tc>
        <w:tc>
          <w:tcPr>
            <w:tcW w:w="10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pPr>
              <w:spacing w:after="0"/>
              <w:jc w:val="right"/>
              <w:rPr>
                <w:rFonts w:asciiTheme="minorHAnsi" w:hAnsiTheme="minorHAnsi" w:cstheme="minorHAnsi"/>
                <w:noProof/>
                <w:sz w:val="20"/>
              </w:rPr>
            </w:pPr>
            <w:r>
              <w:rPr>
                <w:rFonts w:asciiTheme="minorHAnsi" w:hAnsiTheme="minorHAnsi"/>
                <w:noProof/>
                <w:sz w:val="20"/>
              </w:rPr>
              <w:t>1 377 594</w:t>
            </w:r>
          </w:p>
        </w:tc>
        <w:tc>
          <w:tcPr>
            <w:tcW w:w="10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pPr>
              <w:spacing w:after="0"/>
              <w:jc w:val="right"/>
              <w:rPr>
                <w:rFonts w:asciiTheme="minorHAnsi" w:hAnsiTheme="minorHAnsi" w:cstheme="minorHAnsi"/>
                <w:noProof/>
                <w:sz w:val="20"/>
              </w:rPr>
            </w:pPr>
            <w:r>
              <w:rPr>
                <w:rFonts w:asciiTheme="minorHAnsi" w:hAnsiTheme="minorHAnsi"/>
                <w:noProof/>
                <w:sz w:val="20"/>
              </w:rPr>
              <w:t>1 464 903</w:t>
            </w:r>
          </w:p>
        </w:tc>
        <w:tc>
          <w:tcPr>
            <w:tcW w:w="10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pPr>
              <w:spacing w:after="0"/>
              <w:jc w:val="right"/>
              <w:rPr>
                <w:rFonts w:asciiTheme="minorHAnsi" w:hAnsiTheme="minorHAnsi" w:cstheme="minorHAnsi"/>
                <w:noProof/>
                <w:sz w:val="20"/>
              </w:rPr>
            </w:pPr>
            <w:r>
              <w:rPr>
                <w:rFonts w:asciiTheme="minorHAnsi" w:hAnsiTheme="minorHAnsi"/>
                <w:noProof/>
                <w:sz w:val="20"/>
              </w:rPr>
              <w:t>1 499 117</w:t>
            </w:r>
          </w:p>
        </w:tc>
        <w:tc>
          <w:tcPr>
            <w:tcW w:w="10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pPr>
              <w:spacing w:after="0"/>
              <w:jc w:val="right"/>
              <w:rPr>
                <w:rFonts w:asciiTheme="minorHAnsi" w:hAnsiTheme="minorHAnsi" w:cstheme="minorHAnsi"/>
                <w:noProof/>
                <w:sz w:val="20"/>
              </w:rPr>
            </w:pPr>
            <w:r>
              <w:rPr>
                <w:rFonts w:asciiTheme="minorHAnsi" w:hAnsiTheme="minorHAnsi"/>
                <w:noProof/>
                <w:sz w:val="20"/>
              </w:rPr>
              <w:t>1 532 666</w:t>
            </w:r>
          </w:p>
        </w:tc>
        <w:tc>
          <w:tcPr>
            <w:tcW w:w="10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pPr>
              <w:spacing w:after="0"/>
              <w:jc w:val="right"/>
              <w:rPr>
                <w:rFonts w:asciiTheme="minorHAnsi" w:hAnsiTheme="minorHAnsi" w:cstheme="minorHAnsi"/>
                <w:noProof/>
                <w:sz w:val="20"/>
              </w:rPr>
            </w:pPr>
            <w:r>
              <w:rPr>
                <w:rFonts w:asciiTheme="minorHAnsi" w:hAnsiTheme="minorHAnsi"/>
                <w:noProof/>
                <w:sz w:val="20"/>
              </w:rPr>
              <w:t>1 731 687</w:t>
            </w:r>
          </w:p>
        </w:tc>
        <w:tc>
          <w:tcPr>
            <w:tcW w:w="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pPr>
              <w:spacing w:after="0"/>
              <w:jc w:val="right"/>
              <w:rPr>
                <w:rFonts w:asciiTheme="minorHAnsi" w:hAnsiTheme="minorHAnsi" w:cstheme="minorHAnsi"/>
                <w:noProof/>
                <w:sz w:val="20"/>
              </w:rPr>
            </w:pPr>
            <w:r>
              <w:rPr>
                <w:rFonts w:asciiTheme="minorHAnsi" w:hAnsiTheme="minorHAnsi"/>
                <w:noProof/>
                <w:sz w:val="20"/>
              </w:rPr>
              <w:t>36 %</w:t>
            </w:r>
          </w:p>
        </w:tc>
        <w:tc>
          <w:tcPr>
            <w:tcW w:w="10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pPr>
              <w:spacing w:after="0"/>
              <w:jc w:val="right"/>
              <w:rPr>
                <w:rFonts w:asciiTheme="minorHAnsi" w:hAnsiTheme="minorHAnsi" w:cstheme="minorHAnsi"/>
                <w:noProof/>
                <w:sz w:val="20"/>
              </w:rPr>
            </w:pPr>
            <w:r>
              <w:rPr>
                <w:rFonts w:asciiTheme="minorHAnsi" w:hAnsiTheme="minorHAnsi"/>
                <w:noProof/>
                <w:sz w:val="20"/>
              </w:rPr>
              <w:t>6,3 %</w:t>
            </w:r>
          </w:p>
        </w:tc>
      </w:tr>
      <w:tr>
        <w:trPr>
          <w:trHeight w:val="251"/>
        </w:trPr>
        <w:tc>
          <w:tcPr>
            <w:tcW w:w="9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pPr>
              <w:spacing w:after="0"/>
              <w:jc w:val="left"/>
              <w:rPr>
                <w:rFonts w:asciiTheme="minorHAnsi" w:hAnsiTheme="minorHAnsi" w:cstheme="minorHAnsi"/>
                <w:noProof/>
                <w:sz w:val="20"/>
              </w:rPr>
            </w:pPr>
            <w:r>
              <w:rPr>
                <w:rFonts w:asciiTheme="minorHAnsi" w:hAnsiTheme="minorHAnsi"/>
                <w:noProof/>
                <w:sz w:val="20"/>
              </w:rPr>
              <w:t>Gozo og Comino</w:t>
            </w:r>
          </w:p>
        </w:tc>
        <w:tc>
          <w:tcPr>
            <w:tcW w:w="11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pPr>
              <w:spacing w:after="0"/>
              <w:jc w:val="right"/>
              <w:rPr>
                <w:rFonts w:asciiTheme="minorHAnsi" w:hAnsiTheme="minorHAnsi" w:cstheme="minorHAnsi"/>
                <w:noProof/>
                <w:sz w:val="20"/>
              </w:rPr>
            </w:pPr>
            <w:r>
              <w:rPr>
                <w:rFonts w:asciiTheme="minorHAnsi" w:hAnsiTheme="minorHAnsi"/>
                <w:noProof/>
                <w:sz w:val="20"/>
              </w:rPr>
              <w:t>73 585</w:t>
            </w:r>
          </w:p>
        </w:tc>
        <w:tc>
          <w:tcPr>
            <w:tcW w:w="10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pPr>
              <w:spacing w:after="0"/>
              <w:jc w:val="right"/>
              <w:rPr>
                <w:rFonts w:asciiTheme="minorHAnsi" w:hAnsiTheme="minorHAnsi" w:cstheme="minorHAnsi"/>
                <w:noProof/>
                <w:sz w:val="20"/>
              </w:rPr>
            </w:pPr>
            <w:r>
              <w:rPr>
                <w:rFonts w:asciiTheme="minorHAnsi" w:hAnsiTheme="minorHAnsi"/>
                <w:noProof/>
                <w:sz w:val="20"/>
              </w:rPr>
              <w:t>83 051</w:t>
            </w:r>
          </w:p>
        </w:tc>
        <w:tc>
          <w:tcPr>
            <w:tcW w:w="10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pPr>
              <w:spacing w:after="0"/>
              <w:jc w:val="right"/>
              <w:rPr>
                <w:rFonts w:asciiTheme="minorHAnsi" w:hAnsiTheme="minorHAnsi" w:cstheme="minorHAnsi"/>
                <w:noProof/>
                <w:sz w:val="20"/>
              </w:rPr>
            </w:pPr>
            <w:r>
              <w:rPr>
                <w:rFonts w:asciiTheme="minorHAnsi" w:hAnsiTheme="minorHAnsi"/>
                <w:noProof/>
                <w:sz w:val="20"/>
              </w:rPr>
              <w:t>86 644</w:t>
            </w:r>
          </w:p>
        </w:tc>
        <w:tc>
          <w:tcPr>
            <w:tcW w:w="10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pPr>
              <w:spacing w:after="0"/>
              <w:jc w:val="right"/>
              <w:rPr>
                <w:rFonts w:asciiTheme="minorHAnsi" w:hAnsiTheme="minorHAnsi" w:cstheme="minorHAnsi"/>
                <w:noProof/>
                <w:sz w:val="20"/>
              </w:rPr>
            </w:pPr>
            <w:r>
              <w:rPr>
                <w:rFonts w:asciiTheme="minorHAnsi" w:hAnsiTheme="minorHAnsi"/>
                <w:noProof/>
                <w:sz w:val="20"/>
              </w:rPr>
              <w:t>86 951</w:t>
            </w:r>
          </w:p>
        </w:tc>
        <w:tc>
          <w:tcPr>
            <w:tcW w:w="10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pPr>
              <w:spacing w:after="0"/>
              <w:jc w:val="right"/>
              <w:rPr>
                <w:rFonts w:asciiTheme="minorHAnsi" w:hAnsiTheme="minorHAnsi" w:cstheme="minorHAnsi"/>
                <w:noProof/>
                <w:sz w:val="20"/>
              </w:rPr>
            </w:pPr>
            <w:r>
              <w:rPr>
                <w:rFonts w:asciiTheme="minorHAnsi" w:hAnsiTheme="minorHAnsi"/>
                <w:noProof/>
                <w:sz w:val="20"/>
              </w:rPr>
              <w:t>86 866</w:t>
            </w:r>
          </w:p>
        </w:tc>
        <w:tc>
          <w:tcPr>
            <w:tcW w:w="10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pPr>
              <w:spacing w:after="0"/>
              <w:jc w:val="right"/>
              <w:rPr>
                <w:rFonts w:asciiTheme="minorHAnsi" w:hAnsiTheme="minorHAnsi" w:cstheme="minorHAnsi"/>
                <w:noProof/>
                <w:sz w:val="20"/>
              </w:rPr>
            </w:pPr>
            <w:r>
              <w:rPr>
                <w:rFonts w:asciiTheme="minorHAnsi" w:hAnsiTheme="minorHAnsi"/>
                <w:noProof/>
                <w:sz w:val="20"/>
              </w:rPr>
              <w:t>97 781</w:t>
            </w:r>
          </w:p>
        </w:tc>
        <w:tc>
          <w:tcPr>
            <w:tcW w:w="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pPr>
              <w:spacing w:after="0"/>
              <w:jc w:val="right"/>
              <w:rPr>
                <w:rFonts w:asciiTheme="minorHAnsi" w:hAnsiTheme="minorHAnsi" w:cstheme="minorHAnsi"/>
                <w:noProof/>
                <w:sz w:val="20"/>
              </w:rPr>
            </w:pPr>
            <w:r>
              <w:rPr>
                <w:rFonts w:asciiTheme="minorHAnsi" w:hAnsiTheme="minorHAnsi"/>
                <w:noProof/>
                <w:sz w:val="20"/>
              </w:rPr>
              <w:t>33 %</w:t>
            </w:r>
          </w:p>
        </w:tc>
        <w:tc>
          <w:tcPr>
            <w:tcW w:w="10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pPr>
              <w:spacing w:after="0"/>
              <w:jc w:val="right"/>
              <w:rPr>
                <w:rFonts w:asciiTheme="minorHAnsi" w:hAnsiTheme="minorHAnsi" w:cstheme="minorHAnsi"/>
                <w:noProof/>
                <w:sz w:val="20"/>
              </w:rPr>
            </w:pPr>
            <w:r>
              <w:rPr>
                <w:rFonts w:asciiTheme="minorHAnsi" w:hAnsiTheme="minorHAnsi"/>
                <w:noProof/>
                <w:sz w:val="20"/>
              </w:rPr>
              <w:t>5,9 %</w:t>
            </w:r>
          </w:p>
        </w:tc>
      </w:tr>
      <w:tr>
        <w:trPr>
          <w:trHeight w:val="795"/>
        </w:trPr>
        <w:tc>
          <w:tcPr>
            <w:tcW w:w="969" w:type="dxa"/>
            <w:tcBorders>
              <w:top w:val="single" w:sz="4" w:space="0" w:color="auto"/>
              <w:left w:val="single" w:sz="4" w:space="0" w:color="auto"/>
              <w:bottom w:val="single" w:sz="4" w:space="0" w:color="auto"/>
              <w:right w:val="single" w:sz="4" w:space="0" w:color="auto"/>
            </w:tcBorders>
            <w:shd w:val="clear" w:color="auto" w:fill="E7E6E6" w:themeFill="background2"/>
            <w:vAlign w:val="bottom"/>
            <w:hideMark/>
          </w:tcPr>
          <w:p>
            <w:pPr>
              <w:spacing w:after="0"/>
              <w:jc w:val="left"/>
              <w:rPr>
                <w:rFonts w:asciiTheme="minorHAnsi" w:hAnsiTheme="minorHAnsi" w:cstheme="minorHAnsi"/>
                <w:i/>
                <w:iCs/>
                <w:noProof/>
                <w:sz w:val="20"/>
              </w:rPr>
            </w:pPr>
            <w:r>
              <w:rPr>
                <w:rFonts w:asciiTheme="minorHAnsi" w:hAnsiTheme="minorHAnsi"/>
                <w:i/>
                <w:iCs/>
                <w:noProof/>
                <w:sz w:val="20"/>
              </w:rPr>
              <w:t>Antal sengepladser</w:t>
            </w:r>
          </w:p>
        </w:tc>
        <w:tc>
          <w:tcPr>
            <w:tcW w:w="1127"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pPr>
              <w:spacing w:after="0"/>
              <w:jc w:val="center"/>
              <w:rPr>
                <w:rFonts w:asciiTheme="minorHAnsi" w:hAnsiTheme="minorHAnsi" w:cstheme="minorHAnsi"/>
                <w:b/>
                <w:bCs/>
                <w:noProof/>
                <w:sz w:val="20"/>
              </w:rPr>
            </w:pPr>
            <w:r>
              <w:rPr>
                <w:rFonts w:asciiTheme="minorHAnsi" w:hAnsiTheme="minorHAnsi"/>
                <w:b/>
                <w:bCs/>
                <w:noProof/>
                <w:sz w:val="20"/>
              </w:rPr>
              <w:t>2012</w:t>
            </w:r>
          </w:p>
        </w:tc>
        <w:tc>
          <w:tcPr>
            <w:tcW w:w="1001"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pPr>
              <w:spacing w:after="0"/>
              <w:jc w:val="center"/>
              <w:rPr>
                <w:rFonts w:asciiTheme="minorHAnsi" w:hAnsiTheme="minorHAnsi" w:cstheme="minorHAnsi"/>
                <w:b/>
                <w:bCs/>
                <w:noProof/>
                <w:sz w:val="20"/>
              </w:rPr>
            </w:pPr>
            <w:r>
              <w:rPr>
                <w:rFonts w:asciiTheme="minorHAnsi" w:hAnsiTheme="minorHAnsi"/>
                <w:b/>
                <w:bCs/>
                <w:noProof/>
                <w:sz w:val="20"/>
              </w:rPr>
              <w:t>2013</w:t>
            </w:r>
          </w:p>
        </w:tc>
        <w:tc>
          <w:tcPr>
            <w:tcW w:w="1001"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pPr>
              <w:spacing w:after="0"/>
              <w:jc w:val="center"/>
              <w:rPr>
                <w:rFonts w:asciiTheme="minorHAnsi" w:hAnsiTheme="minorHAnsi" w:cstheme="minorHAnsi"/>
                <w:b/>
                <w:bCs/>
                <w:noProof/>
                <w:sz w:val="20"/>
              </w:rPr>
            </w:pPr>
            <w:r>
              <w:rPr>
                <w:rFonts w:asciiTheme="minorHAnsi" w:hAnsiTheme="minorHAnsi"/>
                <w:b/>
                <w:bCs/>
                <w:noProof/>
                <w:sz w:val="20"/>
              </w:rPr>
              <w:t>2014</w:t>
            </w:r>
          </w:p>
        </w:tc>
        <w:tc>
          <w:tcPr>
            <w:tcW w:w="1001"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pPr>
              <w:spacing w:after="0"/>
              <w:jc w:val="center"/>
              <w:rPr>
                <w:rFonts w:asciiTheme="minorHAnsi" w:hAnsiTheme="minorHAnsi" w:cstheme="minorHAnsi"/>
                <w:b/>
                <w:bCs/>
                <w:noProof/>
                <w:sz w:val="20"/>
              </w:rPr>
            </w:pPr>
            <w:r>
              <w:rPr>
                <w:rFonts w:asciiTheme="minorHAnsi" w:hAnsiTheme="minorHAnsi"/>
                <w:b/>
                <w:bCs/>
                <w:noProof/>
                <w:sz w:val="20"/>
              </w:rPr>
              <w:t>2015</w:t>
            </w:r>
          </w:p>
        </w:tc>
        <w:tc>
          <w:tcPr>
            <w:tcW w:w="1001"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pPr>
              <w:spacing w:after="0"/>
              <w:jc w:val="center"/>
              <w:rPr>
                <w:rFonts w:asciiTheme="minorHAnsi" w:hAnsiTheme="minorHAnsi" w:cstheme="minorHAnsi"/>
                <w:b/>
                <w:bCs/>
                <w:noProof/>
                <w:sz w:val="20"/>
              </w:rPr>
            </w:pPr>
            <w:r>
              <w:rPr>
                <w:rFonts w:asciiTheme="minorHAnsi" w:hAnsiTheme="minorHAnsi"/>
                <w:b/>
                <w:bCs/>
                <w:noProof/>
                <w:sz w:val="20"/>
              </w:rPr>
              <w:t>2016</w:t>
            </w:r>
          </w:p>
        </w:tc>
        <w:tc>
          <w:tcPr>
            <w:tcW w:w="1001"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pPr>
              <w:spacing w:after="0"/>
              <w:jc w:val="center"/>
              <w:rPr>
                <w:rFonts w:asciiTheme="minorHAnsi" w:hAnsiTheme="minorHAnsi" w:cstheme="minorHAnsi"/>
                <w:b/>
                <w:bCs/>
                <w:noProof/>
                <w:sz w:val="20"/>
              </w:rPr>
            </w:pPr>
            <w:r>
              <w:rPr>
                <w:rFonts w:asciiTheme="minorHAnsi" w:hAnsiTheme="minorHAnsi"/>
                <w:b/>
                <w:bCs/>
                <w:noProof/>
                <w:sz w:val="20"/>
              </w:rPr>
              <w:t>2017</w:t>
            </w:r>
          </w:p>
        </w:tc>
        <w:tc>
          <w:tcPr>
            <w:tcW w:w="890" w:type="dxa"/>
            <w:tcBorders>
              <w:top w:val="single" w:sz="4" w:space="0" w:color="auto"/>
              <w:left w:val="single" w:sz="4" w:space="0" w:color="auto"/>
              <w:bottom w:val="single" w:sz="4" w:space="0" w:color="auto"/>
              <w:right w:val="single" w:sz="4" w:space="0" w:color="auto"/>
            </w:tcBorders>
            <w:shd w:val="clear" w:color="auto" w:fill="E7E6E6" w:themeFill="background2"/>
            <w:vAlign w:val="bottom"/>
            <w:hideMark/>
          </w:tcPr>
          <w:p>
            <w:pPr>
              <w:spacing w:after="0"/>
              <w:jc w:val="center"/>
              <w:rPr>
                <w:rFonts w:asciiTheme="minorHAnsi" w:hAnsiTheme="minorHAnsi" w:cstheme="minorHAnsi"/>
                <w:b/>
                <w:bCs/>
                <w:noProof/>
                <w:sz w:val="20"/>
              </w:rPr>
            </w:pPr>
            <w:r>
              <w:rPr>
                <w:rFonts w:asciiTheme="minorHAnsi" w:hAnsiTheme="minorHAnsi"/>
                <w:b/>
                <w:bCs/>
                <w:noProof/>
                <w:sz w:val="20"/>
              </w:rPr>
              <w:t>Stigning 12/17</w:t>
            </w:r>
          </w:p>
        </w:tc>
        <w:tc>
          <w:tcPr>
            <w:tcW w:w="1082" w:type="dxa"/>
            <w:tcBorders>
              <w:top w:val="single" w:sz="4" w:space="0" w:color="auto"/>
              <w:left w:val="single" w:sz="4" w:space="0" w:color="auto"/>
              <w:bottom w:val="single" w:sz="4" w:space="0" w:color="auto"/>
              <w:right w:val="single" w:sz="4" w:space="0" w:color="auto"/>
            </w:tcBorders>
            <w:shd w:val="clear" w:color="auto" w:fill="E7E6E6" w:themeFill="background2"/>
            <w:vAlign w:val="bottom"/>
            <w:hideMark/>
          </w:tcPr>
          <w:p>
            <w:pPr>
              <w:spacing w:after="0"/>
              <w:jc w:val="center"/>
              <w:rPr>
                <w:rFonts w:asciiTheme="minorHAnsi" w:hAnsiTheme="minorHAnsi" w:cstheme="minorHAnsi"/>
                <w:b/>
                <w:bCs/>
                <w:noProof/>
                <w:sz w:val="20"/>
              </w:rPr>
            </w:pPr>
            <w:r>
              <w:rPr>
                <w:rFonts w:asciiTheme="minorHAnsi" w:hAnsiTheme="minorHAnsi"/>
                <w:b/>
                <w:bCs/>
                <w:noProof/>
                <w:sz w:val="20"/>
              </w:rPr>
              <w:t>Gennemsnitlig årlig vækst</w:t>
            </w:r>
          </w:p>
        </w:tc>
      </w:tr>
      <w:tr>
        <w:trPr>
          <w:trHeight w:val="251"/>
        </w:trPr>
        <w:tc>
          <w:tcPr>
            <w:tcW w:w="9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pPr>
              <w:spacing w:after="0"/>
              <w:jc w:val="left"/>
              <w:rPr>
                <w:rFonts w:asciiTheme="minorHAnsi" w:hAnsiTheme="minorHAnsi" w:cstheme="minorHAnsi"/>
                <w:noProof/>
                <w:sz w:val="20"/>
              </w:rPr>
            </w:pPr>
            <w:r>
              <w:rPr>
                <w:rFonts w:asciiTheme="minorHAnsi" w:hAnsiTheme="minorHAnsi"/>
                <w:noProof/>
                <w:sz w:val="20"/>
              </w:rPr>
              <w:t>Malta</w:t>
            </w:r>
          </w:p>
        </w:tc>
        <w:tc>
          <w:tcPr>
            <w:tcW w:w="1127" w:type="dxa"/>
            <w:tcBorders>
              <w:top w:val="single" w:sz="4" w:space="0" w:color="auto"/>
              <w:left w:val="nil"/>
              <w:bottom w:val="single" w:sz="4" w:space="0" w:color="auto"/>
              <w:right w:val="single" w:sz="4" w:space="0" w:color="auto"/>
            </w:tcBorders>
            <w:shd w:val="clear" w:color="auto" w:fill="auto"/>
            <w:noWrap/>
            <w:vAlign w:val="bottom"/>
            <w:hideMark/>
          </w:tcPr>
          <w:p>
            <w:pPr>
              <w:spacing w:after="0"/>
              <w:jc w:val="right"/>
              <w:rPr>
                <w:rFonts w:asciiTheme="minorHAnsi" w:hAnsiTheme="minorHAnsi" w:cstheme="minorHAnsi"/>
                <w:noProof/>
                <w:sz w:val="20"/>
              </w:rPr>
            </w:pPr>
            <w:r>
              <w:rPr>
                <w:rFonts w:asciiTheme="minorHAnsi" w:hAnsiTheme="minorHAnsi"/>
                <w:noProof/>
                <w:sz w:val="20"/>
              </w:rPr>
              <w:t>38 187</w:t>
            </w:r>
          </w:p>
        </w:tc>
        <w:tc>
          <w:tcPr>
            <w:tcW w:w="1001" w:type="dxa"/>
            <w:tcBorders>
              <w:top w:val="single" w:sz="4" w:space="0" w:color="auto"/>
              <w:left w:val="nil"/>
              <w:bottom w:val="single" w:sz="4" w:space="0" w:color="auto"/>
              <w:right w:val="single" w:sz="4" w:space="0" w:color="auto"/>
            </w:tcBorders>
            <w:shd w:val="clear" w:color="auto" w:fill="auto"/>
            <w:noWrap/>
            <w:vAlign w:val="bottom"/>
            <w:hideMark/>
          </w:tcPr>
          <w:p>
            <w:pPr>
              <w:spacing w:after="0"/>
              <w:jc w:val="right"/>
              <w:rPr>
                <w:rFonts w:asciiTheme="minorHAnsi" w:hAnsiTheme="minorHAnsi" w:cstheme="minorHAnsi"/>
                <w:noProof/>
                <w:sz w:val="20"/>
              </w:rPr>
            </w:pPr>
            <w:r>
              <w:rPr>
                <w:rFonts w:asciiTheme="minorHAnsi" w:hAnsiTheme="minorHAnsi"/>
                <w:noProof/>
                <w:sz w:val="20"/>
              </w:rPr>
              <w:t>40 895</w:t>
            </w:r>
          </w:p>
        </w:tc>
        <w:tc>
          <w:tcPr>
            <w:tcW w:w="1001" w:type="dxa"/>
            <w:tcBorders>
              <w:top w:val="single" w:sz="4" w:space="0" w:color="auto"/>
              <w:left w:val="nil"/>
              <w:bottom w:val="single" w:sz="4" w:space="0" w:color="auto"/>
              <w:right w:val="single" w:sz="4" w:space="0" w:color="auto"/>
            </w:tcBorders>
            <w:shd w:val="clear" w:color="auto" w:fill="auto"/>
            <w:noWrap/>
            <w:vAlign w:val="bottom"/>
            <w:hideMark/>
          </w:tcPr>
          <w:p>
            <w:pPr>
              <w:spacing w:after="0"/>
              <w:jc w:val="right"/>
              <w:rPr>
                <w:rFonts w:asciiTheme="minorHAnsi" w:hAnsiTheme="minorHAnsi" w:cstheme="minorHAnsi"/>
                <w:noProof/>
                <w:sz w:val="20"/>
              </w:rPr>
            </w:pPr>
            <w:r>
              <w:rPr>
                <w:rFonts w:asciiTheme="minorHAnsi" w:hAnsiTheme="minorHAnsi"/>
                <w:noProof/>
                <w:sz w:val="20"/>
              </w:rPr>
              <w:t>39 473</w:t>
            </w:r>
          </w:p>
        </w:tc>
        <w:tc>
          <w:tcPr>
            <w:tcW w:w="1001" w:type="dxa"/>
            <w:tcBorders>
              <w:top w:val="single" w:sz="4" w:space="0" w:color="auto"/>
              <w:left w:val="nil"/>
              <w:bottom w:val="single" w:sz="4" w:space="0" w:color="auto"/>
              <w:right w:val="single" w:sz="4" w:space="0" w:color="auto"/>
            </w:tcBorders>
            <w:shd w:val="clear" w:color="auto" w:fill="auto"/>
            <w:noWrap/>
            <w:vAlign w:val="bottom"/>
            <w:hideMark/>
          </w:tcPr>
          <w:p>
            <w:pPr>
              <w:spacing w:after="0"/>
              <w:jc w:val="right"/>
              <w:rPr>
                <w:rFonts w:asciiTheme="minorHAnsi" w:hAnsiTheme="minorHAnsi" w:cstheme="minorHAnsi"/>
                <w:noProof/>
                <w:sz w:val="20"/>
              </w:rPr>
            </w:pPr>
            <w:r>
              <w:rPr>
                <w:rFonts w:asciiTheme="minorHAnsi" w:hAnsiTheme="minorHAnsi"/>
                <w:noProof/>
                <w:sz w:val="20"/>
              </w:rPr>
              <w:t>40 217</w:t>
            </w:r>
          </w:p>
        </w:tc>
        <w:tc>
          <w:tcPr>
            <w:tcW w:w="1001" w:type="dxa"/>
            <w:tcBorders>
              <w:top w:val="single" w:sz="4" w:space="0" w:color="auto"/>
              <w:left w:val="nil"/>
              <w:bottom w:val="single" w:sz="4" w:space="0" w:color="auto"/>
              <w:right w:val="single" w:sz="4" w:space="0" w:color="auto"/>
            </w:tcBorders>
            <w:shd w:val="clear" w:color="auto" w:fill="auto"/>
            <w:noWrap/>
            <w:vAlign w:val="bottom"/>
            <w:hideMark/>
          </w:tcPr>
          <w:p>
            <w:pPr>
              <w:spacing w:after="0"/>
              <w:jc w:val="right"/>
              <w:rPr>
                <w:rFonts w:asciiTheme="minorHAnsi" w:hAnsiTheme="minorHAnsi" w:cstheme="minorHAnsi"/>
                <w:noProof/>
                <w:sz w:val="20"/>
              </w:rPr>
            </w:pPr>
            <w:r>
              <w:rPr>
                <w:rFonts w:asciiTheme="minorHAnsi" w:hAnsiTheme="minorHAnsi"/>
                <w:noProof/>
                <w:sz w:val="20"/>
              </w:rPr>
              <w:t>39 163</w:t>
            </w:r>
          </w:p>
        </w:tc>
        <w:tc>
          <w:tcPr>
            <w:tcW w:w="1001" w:type="dxa"/>
            <w:tcBorders>
              <w:top w:val="single" w:sz="4" w:space="0" w:color="auto"/>
              <w:left w:val="nil"/>
              <w:bottom w:val="single" w:sz="4" w:space="0" w:color="auto"/>
              <w:right w:val="single" w:sz="4" w:space="0" w:color="auto"/>
            </w:tcBorders>
            <w:shd w:val="clear" w:color="auto" w:fill="auto"/>
            <w:noWrap/>
            <w:vAlign w:val="bottom"/>
            <w:hideMark/>
          </w:tcPr>
          <w:p>
            <w:pPr>
              <w:spacing w:after="0"/>
              <w:jc w:val="right"/>
              <w:rPr>
                <w:rFonts w:asciiTheme="minorHAnsi" w:hAnsiTheme="minorHAnsi" w:cstheme="minorHAnsi"/>
                <w:noProof/>
                <w:sz w:val="20"/>
              </w:rPr>
            </w:pPr>
            <w:r>
              <w:rPr>
                <w:rFonts w:asciiTheme="minorHAnsi" w:hAnsiTheme="minorHAnsi"/>
                <w:noProof/>
                <w:sz w:val="20"/>
              </w:rPr>
              <w:t>40 762</w:t>
            </w:r>
          </w:p>
        </w:tc>
        <w:tc>
          <w:tcPr>
            <w:tcW w:w="890" w:type="dxa"/>
            <w:tcBorders>
              <w:top w:val="single" w:sz="4" w:space="0" w:color="auto"/>
              <w:left w:val="nil"/>
              <w:bottom w:val="single" w:sz="4" w:space="0" w:color="auto"/>
              <w:right w:val="single" w:sz="4" w:space="0" w:color="auto"/>
            </w:tcBorders>
            <w:shd w:val="clear" w:color="auto" w:fill="auto"/>
            <w:noWrap/>
            <w:vAlign w:val="bottom"/>
            <w:hideMark/>
          </w:tcPr>
          <w:p>
            <w:pPr>
              <w:spacing w:after="0"/>
              <w:jc w:val="right"/>
              <w:rPr>
                <w:rFonts w:asciiTheme="minorHAnsi" w:hAnsiTheme="minorHAnsi" w:cstheme="minorHAnsi"/>
                <w:noProof/>
                <w:sz w:val="20"/>
              </w:rPr>
            </w:pPr>
            <w:r>
              <w:rPr>
                <w:rFonts w:asciiTheme="minorHAnsi" w:hAnsiTheme="minorHAnsi"/>
                <w:noProof/>
                <w:sz w:val="20"/>
              </w:rPr>
              <w:t>7 %</w:t>
            </w:r>
          </w:p>
        </w:tc>
        <w:tc>
          <w:tcPr>
            <w:tcW w:w="1082" w:type="dxa"/>
            <w:tcBorders>
              <w:top w:val="single" w:sz="4" w:space="0" w:color="auto"/>
              <w:left w:val="nil"/>
              <w:bottom w:val="single" w:sz="4" w:space="0" w:color="auto"/>
              <w:right w:val="single" w:sz="4" w:space="0" w:color="auto"/>
            </w:tcBorders>
            <w:shd w:val="clear" w:color="auto" w:fill="auto"/>
            <w:noWrap/>
            <w:vAlign w:val="bottom"/>
            <w:hideMark/>
          </w:tcPr>
          <w:p>
            <w:pPr>
              <w:spacing w:after="0"/>
              <w:jc w:val="right"/>
              <w:rPr>
                <w:rFonts w:asciiTheme="minorHAnsi" w:hAnsiTheme="minorHAnsi" w:cstheme="minorHAnsi"/>
                <w:noProof/>
                <w:sz w:val="20"/>
              </w:rPr>
            </w:pPr>
            <w:r>
              <w:rPr>
                <w:rFonts w:asciiTheme="minorHAnsi" w:hAnsiTheme="minorHAnsi"/>
                <w:noProof/>
                <w:sz w:val="20"/>
              </w:rPr>
              <w:t>1,3 %</w:t>
            </w:r>
          </w:p>
        </w:tc>
      </w:tr>
      <w:tr>
        <w:trPr>
          <w:trHeight w:val="251"/>
        </w:trPr>
        <w:tc>
          <w:tcPr>
            <w:tcW w:w="969" w:type="dxa"/>
            <w:tcBorders>
              <w:top w:val="nil"/>
              <w:left w:val="single" w:sz="4" w:space="0" w:color="auto"/>
              <w:bottom w:val="single" w:sz="4" w:space="0" w:color="auto"/>
              <w:right w:val="single" w:sz="4" w:space="0" w:color="auto"/>
            </w:tcBorders>
            <w:shd w:val="clear" w:color="auto" w:fill="auto"/>
            <w:noWrap/>
            <w:vAlign w:val="bottom"/>
            <w:hideMark/>
          </w:tcPr>
          <w:p>
            <w:pPr>
              <w:spacing w:after="0"/>
              <w:jc w:val="left"/>
              <w:rPr>
                <w:rFonts w:asciiTheme="minorHAnsi" w:hAnsiTheme="minorHAnsi" w:cstheme="minorHAnsi"/>
                <w:noProof/>
                <w:sz w:val="20"/>
              </w:rPr>
            </w:pPr>
            <w:r>
              <w:rPr>
                <w:rFonts w:asciiTheme="minorHAnsi" w:hAnsiTheme="minorHAnsi"/>
                <w:noProof/>
                <w:sz w:val="20"/>
              </w:rPr>
              <w:t>Gozo og Comino</w:t>
            </w:r>
          </w:p>
        </w:tc>
        <w:tc>
          <w:tcPr>
            <w:tcW w:w="1127" w:type="dxa"/>
            <w:tcBorders>
              <w:top w:val="nil"/>
              <w:left w:val="nil"/>
              <w:bottom w:val="single" w:sz="4" w:space="0" w:color="auto"/>
              <w:right w:val="single" w:sz="4" w:space="0" w:color="auto"/>
            </w:tcBorders>
            <w:shd w:val="clear" w:color="auto" w:fill="auto"/>
            <w:noWrap/>
            <w:vAlign w:val="bottom"/>
            <w:hideMark/>
          </w:tcPr>
          <w:p>
            <w:pPr>
              <w:spacing w:after="0"/>
              <w:jc w:val="right"/>
              <w:rPr>
                <w:rFonts w:asciiTheme="minorHAnsi" w:hAnsiTheme="minorHAnsi" w:cstheme="minorHAnsi"/>
                <w:noProof/>
                <w:sz w:val="20"/>
              </w:rPr>
            </w:pPr>
            <w:r>
              <w:rPr>
                <w:rFonts w:asciiTheme="minorHAnsi" w:hAnsiTheme="minorHAnsi"/>
                <w:noProof/>
                <w:sz w:val="20"/>
              </w:rPr>
              <w:t>1 756</w:t>
            </w:r>
          </w:p>
        </w:tc>
        <w:tc>
          <w:tcPr>
            <w:tcW w:w="1001" w:type="dxa"/>
            <w:tcBorders>
              <w:top w:val="nil"/>
              <w:left w:val="nil"/>
              <w:bottom w:val="single" w:sz="4" w:space="0" w:color="auto"/>
              <w:right w:val="single" w:sz="4" w:space="0" w:color="auto"/>
            </w:tcBorders>
            <w:shd w:val="clear" w:color="auto" w:fill="auto"/>
            <w:noWrap/>
            <w:vAlign w:val="bottom"/>
            <w:hideMark/>
          </w:tcPr>
          <w:p>
            <w:pPr>
              <w:spacing w:after="0"/>
              <w:jc w:val="right"/>
              <w:rPr>
                <w:rFonts w:asciiTheme="minorHAnsi" w:hAnsiTheme="minorHAnsi" w:cstheme="minorHAnsi"/>
                <w:noProof/>
                <w:sz w:val="20"/>
              </w:rPr>
            </w:pPr>
            <w:r>
              <w:rPr>
                <w:rFonts w:asciiTheme="minorHAnsi" w:hAnsiTheme="minorHAnsi"/>
                <w:noProof/>
                <w:sz w:val="20"/>
              </w:rPr>
              <w:t>1 800</w:t>
            </w:r>
          </w:p>
        </w:tc>
        <w:tc>
          <w:tcPr>
            <w:tcW w:w="1001" w:type="dxa"/>
            <w:tcBorders>
              <w:top w:val="nil"/>
              <w:left w:val="nil"/>
              <w:bottom w:val="single" w:sz="4" w:space="0" w:color="auto"/>
              <w:right w:val="single" w:sz="4" w:space="0" w:color="auto"/>
            </w:tcBorders>
            <w:shd w:val="clear" w:color="auto" w:fill="auto"/>
            <w:noWrap/>
            <w:vAlign w:val="bottom"/>
            <w:hideMark/>
          </w:tcPr>
          <w:p>
            <w:pPr>
              <w:spacing w:after="0"/>
              <w:jc w:val="right"/>
              <w:rPr>
                <w:rFonts w:asciiTheme="minorHAnsi" w:hAnsiTheme="minorHAnsi" w:cstheme="minorHAnsi"/>
                <w:noProof/>
                <w:sz w:val="20"/>
              </w:rPr>
            </w:pPr>
            <w:r>
              <w:rPr>
                <w:rFonts w:asciiTheme="minorHAnsi" w:hAnsiTheme="minorHAnsi"/>
                <w:noProof/>
                <w:sz w:val="20"/>
              </w:rPr>
              <w:t>1 855</w:t>
            </w:r>
          </w:p>
        </w:tc>
        <w:tc>
          <w:tcPr>
            <w:tcW w:w="1001" w:type="dxa"/>
            <w:tcBorders>
              <w:top w:val="nil"/>
              <w:left w:val="nil"/>
              <w:bottom w:val="single" w:sz="4" w:space="0" w:color="auto"/>
              <w:right w:val="single" w:sz="4" w:space="0" w:color="auto"/>
            </w:tcBorders>
            <w:shd w:val="clear" w:color="auto" w:fill="auto"/>
            <w:noWrap/>
            <w:vAlign w:val="bottom"/>
            <w:hideMark/>
          </w:tcPr>
          <w:p>
            <w:pPr>
              <w:spacing w:after="0"/>
              <w:jc w:val="right"/>
              <w:rPr>
                <w:rFonts w:asciiTheme="minorHAnsi" w:hAnsiTheme="minorHAnsi" w:cstheme="minorHAnsi"/>
                <w:noProof/>
                <w:sz w:val="20"/>
              </w:rPr>
            </w:pPr>
            <w:r>
              <w:rPr>
                <w:rFonts w:asciiTheme="minorHAnsi" w:hAnsiTheme="minorHAnsi"/>
                <w:noProof/>
                <w:sz w:val="20"/>
              </w:rPr>
              <w:t>1 948</w:t>
            </w:r>
          </w:p>
        </w:tc>
        <w:tc>
          <w:tcPr>
            <w:tcW w:w="1001" w:type="dxa"/>
            <w:tcBorders>
              <w:top w:val="nil"/>
              <w:left w:val="nil"/>
              <w:bottom w:val="single" w:sz="4" w:space="0" w:color="auto"/>
              <w:right w:val="single" w:sz="4" w:space="0" w:color="auto"/>
            </w:tcBorders>
            <w:shd w:val="clear" w:color="auto" w:fill="auto"/>
            <w:noWrap/>
            <w:vAlign w:val="bottom"/>
            <w:hideMark/>
          </w:tcPr>
          <w:p>
            <w:pPr>
              <w:spacing w:after="0"/>
              <w:jc w:val="right"/>
              <w:rPr>
                <w:rFonts w:asciiTheme="minorHAnsi" w:hAnsiTheme="minorHAnsi" w:cstheme="minorHAnsi"/>
                <w:noProof/>
                <w:sz w:val="20"/>
              </w:rPr>
            </w:pPr>
            <w:r>
              <w:rPr>
                <w:rFonts w:asciiTheme="minorHAnsi" w:hAnsiTheme="minorHAnsi"/>
                <w:noProof/>
                <w:sz w:val="20"/>
              </w:rPr>
              <w:t>2 074</w:t>
            </w:r>
          </w:p>
        </w:tc>
        <w:tc>
          <w:tcPr>
            <w:tcW w:w="1001" w:type="dxa"/>
            <w:tcBorders>
              <w:top w:val="nil"/>
              <w:left w:val="nil"/>
              <w:bottom w:val="single" w:sz="4" w:space="0" w:color="auto"/>
              <w:right w:val="single" w:sz="4" w:space="0" w:color="auto"/>
            </w:tcBorders>
            <w:shd w:val="clear" w:color="auto" w:fill="auto"/>
            <w:noWrap/>
            <w:vAlign w:val="bottom"/>
            <w:hideMark/>
          </w:tcPr>
          <w:p>
            <w:pPr>
              <w:spacing w:after="0"/>
              <w:jc w:val="right"/>
              <w:rPr>
                <w:rFonts w:asciiTheme="minorHAnsi" w:hAnsiTheme="minorHAnsi" w:cstheme="minorHAnsi"/>
                <w:noProof/>
                <w:sz w:val="20"/>
              </w:rPr>
            </w:pPr>
            <w:r>
              <w:rPr>
                <w:rFonts w:asciiTheme="minorHAnsi" w:hAnsiTheme="minorHAnsi"/>
                <w:noProof/>
                <w:sz w:val="20"/>
              </w:rPr>
              <w:t>2 165</w:t>
            </w:r>
          </w:p>
        </w:tc>
        <w:tc>
          <w:tcPr>
            <w:tcW w:w="890" w:type="dxa"/>
            <w:tcBorders>
              <w:top w:val="nil"/>
              <w:left w:val="nil"/>
              <w:bottom w:val="single" w:sz="4" w:space="0" w:color="auto"/>
              <w:right w:val="single" w:sz="4" w:space="0" w:color="auto"/>
            </w:tcBorders>
            <w:shd w:val="clear" w:color="auto" w:fill="auto"/>
            <w:noWrap/>
            <w:vAlign w:val="bottom"/>
            <w:hideMark/>
          </w:tcPr>
          <w:p>
            <w:pPr>
              <w:spacing w:after="0"/>
              <w:jc w:val="right"/>
              <w:rPr>
                <w:rFonts w:asciiTheme="minorHAnsi" w:hAnsiTheme="minorHAnsi" w:cstheme="minorHAnsi"/>
                <w:noProof/>
                <w:sz w:val="20"/>
              </w:rPr>
            </w:pPr>
            <w:r>
              <w:rPr>
                <w:rFonts w:asciiTheme="minorHAnsi" w:hAnsiTheme="minorHAnsi"/>
                <w:noProof/>
                <w:sz w:val="20"/>
              </w:rPr>
              <w:t>23 %</w:t>
            </w:r>
          </w:p>
        </w:tc>
        <w:tc>
          <w:tcPr>
            <w:tcW w:w="1082" w:type="dxa"/>
            <w:tcBorders>
              <w:top w:val="nil"/>
              <w:left w:val="nil"/>
              <w:bottom w:val="single" w:sz="4" w:space="0" w:color="auto"/>
              <w:right w:val="single" w:sz="4" w:space="0" w:color="auto"/>
            </w:tcBorders>
            <w:shd w:val="clear" w:color="auto" w:fill="auto"/>
            <w:noWrap/>
            <w:vAlign w:val="bottom"/>
            <w:hideMark/>
          </w:tcPr>
          <w:p>
            <w:pPr>
              <w:spacing w:after="0"/>
              <w:jc w:val="right"/>
              <w:rPr>
                <w:rFonts w:asciiTheme="minorHAnsi" w:hAnsiTheme="minorHAnsi" w:cstheme="minorHAnsi"/>
                <w:noProof/>
                <w:sz w:val="20"/>
              </w:rPr>
            </w:pPr>
            <w:r>
              <w:rPr>
                <w:rFonts w:asciiTheme="minorHAnsi" w:hAnsiTheme="minorHAnsi"/>
                <w:noProof/>
                <w:sz w:val="20"/>
              </w:rPr>
              <w:t>4,3 %</w:t>
            </w:r>
          </w:p>
        </w:tc>
      </w:tr>
    </w:tbl>
    <w:p>
      <w:pPr>
        <w:pStyle w:val="Text2"/>
        <w:ind w:left="0"/>
        <w:rPr>
          <w:i/>
          <w:noProof/>
          <w:sz w:val="20"/>
        </w:rPr>
      </w:pPr>
      <w:r>
        <w:rPr>
          <w:i/>
          <w:noProof/>
          <w:sz w:val="20"/>
        </w:rPr>
        <w:t>Kilde: Maltas nationale statistikkontor</w:t>
      </w:r>
    </w:p>
    <w:p>
      <w:pPr>
        <w:pStyle w:val="Heading2"/>
        <w:rPr>
          <w:noProof/>
        </w:rPr>
      </w:pPr>
      <w:r>
        <w:rPr>
          <w:noProof/>
        </w:rPr>
        <w:t xml:space="preserve">Sammenligning med andre europæiske øer </w:t>
      </w:r>
    </w:p>
    <w:p>
      <w:pPr>
        <w:pStyle w:val="Text2"/>
        <w:ind w:left="476"/>
        <w:rPr>
          <w:noProof/>
        </w:rPr>
      </w:pPr>
      <w:r>
        <w:rPr>
          <w:noProof/>
        </w:rPr>
        <w:t xml:space="preserve">Sammenlignet med andre øregioner af samme størrelse (med hensyn til befolkning) var BNP pr. indbygger for Gozo og Comino i KKS i 2016 generelt lavere end for andre øer (med undtagelse af de græske øregioner Lesvos, Limnos, Ikaria, Samos og Chios). Gozo og Comino er imidlertid en af de få øregioner, hvor BNP pr. indbygger er steget, navnlig i perioden efter finanskrisen (2009-2016). </w:t>
      </w:r>
    </w:p>
    <w:p>
      <w:pPr>
        <w:pStyle w:val="Text2"/>
        <w:ind w:left="0"/>
        <w:rPr>
          <w:noProof/>
        </w:rPr>
      </w:pPr>
    </w:p>
    <w:p>
      <w:pPr>
        <w:pStyle w:val="Text2"/>
        <w:ind w:left="0"/>
        <w:rPr>
          <w:i/>
          <w:noProof/>
        </w:rPr>
      </w:pPr>
    </w:p>
    <w:p>
      <w:pPr>
        <w:pStyle w:val="Text2"/>
        <w:ind w:left="0"/>
        <w:rPr>
          <w:i/>
          <w:noProof/>
        </w:rPr>
      </w:pPr>
    </w:p>
    <w:p>
      <w:pPr>
        <w:pStyle w:val="Text2"/>
        <w:ind w:left="0"/>
        <w:rPr>
          <w:i/>
          <w:noProof/>
        </w:rPr>
      </w:pPr>
    </w:p>
    <w:p>
      <w:pPr>
        <w:pStyle w:val="Text2"/>
        <w:ind w:left="0"/>
        <w:rPr>
          <w:i/>
          <w:noProof/>
        </w:rPr>
      </w:pPr>
    </w:p>
    <w:p>
      <w:pPr>
        <w:pStyle w:val="Text2"/>
        <w:ind w:left="0"/>
        <w:rPr>
          <w:b/>
          <w:noProof/>
        </w:rPr>
      </w:pPr>
      <w:r>
        <w:rPr>
          <w:b/>
          <w:noProof/>
        </w:rPr>
        <w:t>Tabel 3. Udvikling i BNP pr. indbygger i købekraftstandarder i udvalgte øregioner (EU-28 = 100)</w:t>
      </w:r>
    </w:p>
    <w:tbl>
      <w:tblPr>
        <w:tblW w:w="7522" w:type="dxa"/>
        <w:jc w:val="center"/>
        <w:tblLook w:val="04A0" w:firstRow="1" w:lastRow="0" w:firstColumn="1" w:lastColumn="0" w:noHBand="0" w:noVBand="1"/>
      </w:tblPr>
      <w:tblGrid>
        <w:gridCol w:w="1330"/>
        <w:gridCol w:w="1837"/>
        <w:gridCol w:w="700"/>
        <w:gridCol w:w="700"/>
        <w:gridCol w:w="1013"/>
        <w:gridCol w:w="1135"/>
        <w:gridCol w:w="1135"/>
      </w:tblGrid>
      <w:tr>
        <w:trPr>
          <w:trHeight w:val="300"/>
          <w:jc w:val="center"/>
        </w:trPr>
        <w:tc>
          <w:tcPr>
            <w:tcW w:w="1330"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pPr>
              <w:spacing w:after="0"/>
              <w:jc w:val="left"/>
              <w:rPr>
                <w:rFonts w:ascii="Calibri" w:hAnsi="Calibri" w:cs="Calibri"/>
                <w:b/>
                <w:noProof/>
                <w:color w:val="000000"/>
                <w:sz w:val="22"/>
                <w:szCs w:val="22"/>
              </w:rPr>
            </w:pPr>
            <w:r>
              <w:rPr>
                <w:rFonts w:ascii="Calibri" w:hAnsi="Calibri"/>
                <w:b/>
                <w:noProof/>
                <w:sz w:val="22"/>
                <w:szCs w:val="22"/>
              </w:rPr>
              <w:t>EU-land</w:t>
            </w:r>
          </w:p>
        </w:tc>
        <w:tc>
          <w:tcPr>
            <w:tcW w:w="1837"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pPr>
              <w:spacing w:after="0"/>
              <w:jc w:val="left"/>
              <w:rPr>
                <w:rFonts w:ascii="Calibri" w:hAnsi="Calibri" w:cs="Calibri"/>
                <w:b/>
                <w:noProof/>
                <w:color w:val="000000"/>
                <w:sz w:val="22"/>
                <w:szCs w:val="22"/>
              </w:rPr>
            </w:pPr>
            <w:r>
              <w:rPr>
                <w:rFonts w:ascii="Calibri" w:hAnsi="Calibri"/>
                <w:b/>
                <w:noProof/>
                <w:sz w:val="22"/>
                <w:szCs w:val="22"/>
              </w:rPr>
              <w:t>NUTS 3-region</w:t>
            </w:r>
          </w:p>
        </w:tc>
        <w:tc>
          <w:tcPr>
            <w:tcW w:w="700"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pPr>
              <w:spacing w:after="0"/>
              <w:jc w:val="right"/>
              <w:rPr>
                <w:rFonts w:ascii="Calibri" w:hAnsi="Calibri" w:cs="Calibri"/>
                <w:b/>
                <w:noProof/>
                <w:color w:val="000000"/>
                <w:sz w:val="22"/>
                <w:szCs w:val="22"/>
              </w:rPr>
            </w:pPr>
            <w:r>
              <w:rPr>
                <w:rFonts w:ascii="Calibri" w:hAnsi="Calibri"/>
                <w:b/>
                <w:noProof/>
                <w:sz w:val="22"/>
                <w:szCs w:val="22"/>
              </w:rPr>
              <w:t>2002</w:t>
            </w:r>
          </w:p>
        </w:tc>
        <w:tc>
          <w:tcPr>
            <w:tcW w:w="700"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pPr>
              <w:spacing w:after="0"/>
              <w:jc w:val="right"/>
              <w:rPr>
                <w:rFonts w:ascii="Calibri" w:hAnsi="Calibri" w:cs="Calibri"/>
                <w:b/>
                <w:noProof/>
                <w:color w:val="000000"/>
                <w:sz w:val="22"/>
                <w:szCs w:val="22"/>
              </w:rPr>
            </w:pPr>
            <w:r>
              <w:rPr>
                <w:rFonts w:ascii="Calibri" w:hAnsi="Calibri"/>
                <w:b/>
                <w:noProof/>
                <w:sz w:val="22"/>
                <w:szCs w:val="22"/>
              </w:rPr>
              <w:t>2009</w:t>
            </w:r>
          </w:p>
        </w:tc>
        <w:tc>
          <w:tcPr>
            <w:tcW w:w="1013"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pPr>
              <w:spacing w:after="0"/>
              <w:jc w:val="right"/>
              <w:rPr>
                <w:rFonts w:ascii="Calibri" w:hAnsi="Calibri" w:cs="Calibri"/>
                <w:b/>
                <w:noProof/>
                <w:color w:val="000000"/>
                <w:sz w:val="22"/>
                <w:szCs w:val="22"/>
              </w:rPr>
            </w:pPr>
            <w:r>
              <w:rPr>
                <w:rFonts w:ascii="Calibri" w:hAnsi="Calibri"/>
                <w:b/>
                <w:noProof/>
                <w:sz w:val="22"/>
                <w:szCs w:val="22"/>
              </w:rPr>
              <w:t>2016</w:t>
            </w:r>
          </w:p>
        </w:tc>
        <w:tc>
          <w:tcPr>
            <w:tcW w:w="929"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pPr>
              <w:spacing w:after="0"/>
              <w:jc w:val="center"/>
              <w:rPr>
                <w:rFonts w:ascii="Calibri" w:hAnsi="Calibri" w:cs="Calibri"/>
                <w:b/>
                <w:noProof/>
                <w:color w:val="000000"/>
                <w:sz w:val="22"/>
                <w:szCs w:val="22"/>
              </w:rPr>
            </w:pPr>
            <w:r>
              <w:rPr>
                <w:rFonts w:ascii="Calibri" w:hAnsi="Calibri"/>
                <w:b/>
                <w:noProof/>
                <w:sz w:val="22"/>
                <w:szCs w:val="22"/>
              </w:rPr>
              <w:t>Årlig vækstrate 2002-2016</w:t>
            </w:r>
          </w:p>
        </w:tc>
        <w:tc>
          <w:tcPr>
            <w:tcW w:w="1013"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pPr>
              <w:spacing w:after="0"/>
              <w:jc w:val="center"/>
              <w:rPr>
                <w:rFonts w:ascii="Calibri" w:hAnsi="Calibri" w:cs="Calibri"/>
                <w:b/>
                <w:noProof/>
                <w:color w:val="000000"/>
                <w:sz w:val="22"/>
                <w:szCs w:val="22"/>
              </w:rPr>
            </w:pPr>
            <w:r>
              <w:rPr>
                <w:rFonts w:ascii="Calibri" w:hAnsi="Calibri"/>
                <w:b/>
                <w:noProof/>
                <w:sz w:val="22"/>
                <w:szCs w:val="22"/>
              </w:rPr>
              <w:t>Årlig vækstrate 2009-2016</w:t>
            </w:r>
          </w:p>
        </w:tc>
      </w:tr>
      <w:tr>
        <w:trPr>
          <w:trHeight w:val="300"/>
          <w:jc w:val="center"/>
        </w:trPr>
        <w:tc>
          <w:tcPr>
            <w:tcW w:w="13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pPr>
              <w:spacing w:after="0"/>
              <w:jc w:val="left"/>
              <w:rPr>
                <w:rFonts w:ascii="Calibri" w:hAnsi="Calibri" w:cs="Calibri"/>
                <w:noProof/>
                <w:color w:val="000000"/>
                <w:sz w:val="22"/>
                <w:szCs w:val="22"/>
              </w:rPr>
            </w:pPr>
            <w:r>
              <w:rPr>
                <w:rFonts w:ascii="Calibri" w:hAnsi="Calibri"/>
                <w:noProof/>
                <w:sz w:val="22"/>
                <w:szCs w:val="22"/>
              </w:rPr>
              <w:t>DK</w:t>
            </w:r>
          </w:p>
        </w:tc>
        <w:tc>
          <w:tcPr>
            <w:tcW w:w="1837" w:type="dxa"/>
            <w:tcBorders>
              <w:top w:val="single" w:sz="4" w:space="0" w:color="auto"/>
              <w:left w:val="nil"/>
              <w:bottom w:val="single" w:sz="4" w:space="0" w:color="auto"/>
              <w:right w:val="single" w:sz="4" w:space="0" w:color="auto"/>
            </w:tcBorders>
            <w:shd w:val="clear" w:color="auto" w:fill="auto"/>
            <w:noWrap/>
            <w:vAlign w:val="bottom"/>
            <w:hideMark/>
          </w:tcPr>
          <w:p>
            <w:pPr>
              <w:spacing w:after="0"/>
              <w:jc w:val="left"/>
              <w:rPr>
                <w:rFonts w:ascii="Calibri" w:hAnsi="Calibri" w:cs="Calibri"/>
                <w:noProof/>
                <w:color w:val="000000"/>
                <w:sz w:val="22"/>
                <w:szCs w:val="22"/>
              </w:rPr>
            </w:pPr>
            <w:r>
              <w:rPr>
                <w:rFonts w:ascii="Calibri" w:hAnsi="Calibri"/>
                <w:noProof/>
                <w:sz w:val="22"/>
                <w:szCs w:val="22"/>
              </w:rPr>
              <w:t>Bornholm</w:t>
            </w:r>
          </w:p>
        </w:tc>
        <w:tc>
          <w:tcPr>
            <w:tcW w:w="700" w:type="dxa"/>
            <w:tcBorders>
              <w:top w:val="single" w:sz="4" w:space="0" w:color="auto"/>
              <w:left w:val="nil"/>
              <w:bottom w:val="single" w:sz="4" w:space="0" w:color="auto"/>
              <w:right w:val="single" w:sz="4" w:space="0" w:color="auto"/>
            </w:tcBorders>
            <w:shd w:val="clear" w:color="auto" w:fill="auto"/>
            <w:noWrap/>
            <w:vAlign w:val="bottom"/>
            <w:hideMark/>
          </w:tcPr>
          <w:p>
            <w:pPr>
              <w:spacing w:after="0"/>
              <w:jc w:val="right"/>
              <w:rPr>
                <w:rFonts w:ascii="Calibri" w:hAnsi="Calibri" w:cs="Calibri"/>
                <w:noProof/>
                <w:color w:val="000000"/>
                <w:sz w:val="22"/>
                <w:szCs w:val="22"/>
              </w:rPr>
            </w:pPr>
            <w:r>
              <w:rPr>
                <w:rFonts w:ascii="Calibri" w:hAnsi="Calibri"/>
                <w:noProof/>
                <w:sz w:val="22"/>
                <w:szCs w:val="22"/>
              </w:rPr>
              <w:t>88</w:t>
            </w:r>
          </w:p>
        </w:tc>
        <w:tc>
          <w:tcPr>
            <w:tcW w:w="700" w:type="dxa"/>
            <w:tcBorders>
              <w:top w:val="single" w:sz="4" w:space="0" w:color="auto"/>
              <w:left w:val="nil"/>
              <w:bottom w:val="single" w:sz="4" w:space="0" w:color="auto"/>
              <w:right w:val="single" w:sz="4" w:space="0" w:color="auto"/>
            </w:tcBorders>
            <w:shd w:val="clear" w:color="auto" w:fill="auto"/>
            <w:noWrap/>
            <w:vAlign w:val="bottom"/>
            <w:hideMark/>
          </w:tcPr>
          <w:p>
            <w:pPr>
              <w:spacing w:after="0"/>
              <w:jc w:val="right"/>
              <w:rPr>
                <w:rFonts w:ascii="Calibri" w:hAnsi="Calibri" w:cs="Calibri"/>
                <w:noProof/>
                <w:color w:val="000000"/>
                <w:sz w:val="22"/>
                <w:szCs w:val="22"/>
              </w:rPr>
            </w:pPr>
            <w:r>
              <w:rPr>
                <w:rFonts w:ascii="Calibri" w:hAnsi="Calibri"/>
                <w:noProof/>
                <w:sz w:val="22"/>
                <w:szCs w:val="22"/>
              </w:rPr>
              <w:t>87</w:t>
            </w:r>
          </w:p>
        </w:tc>
        <w:tc>
          <w:tcPr>
            <w:tcW w:w="1013" w:type="dxa"/>
            <w:tcBorders>
              <w:top w:val="single" w:sz="4" w:space="0" w:color="auto"/>
              <w:left w:val="nil"/>
              <w:bottom w:val="single" w:sz="4" w:space="0" w:color="auto"/>
              <w:right w:val="single" w:sz="4" w:space="0" w:color="auto"/>
            </w:tcBorders>
            <w:shd w:val="clear" w:color="auto" w:fill="auto"/>
            <w:noWrap/>
            <w:vAlign w:val="bottom"/>
            <w:hideMark/>
          </w:tcPr>
          <w:p>
            <w:pPr>
              <w:spacing w:after="0"/>
              <w:jc w:val="right"/>
              <w:rPr>
                <w:rFonts w:ascii="Calibri" w:hAnsi="Calibri" w:cs="Calibri"/>
                <w:noProof/>
                <w:color w:val="000000"/>
                <w:sz w:val="22"/>
                <w:szCs w:val="22"/>
              </w:rPr>
            </w:pPr>
            <w:r>
              <w:rPr>
                <w:rFonts w:ascii="Calibri" w:hAnsi="Calibri"/>
                <w:noProof/>
                <w:sz w:val="22"/>
                <w:szCs w:val="22"/>
              </w:rPr>
              <w:t>89</w:t>
            </w:r>
          </w:p>
        </w:tc>
        <w:tc>
          <w:tcPr>
            <w:tcW w:w="929" w:type="dxa"/>
            <w:tcBorders>
              <w:top w:val="single" w:sz="4" w:space="0" w:color="auto"/>
              <w:left w:val="nil"/>
              <w:bottom w:val="single" w:sz="4" w:space="0" w:color="auto"/>
              <w:right w:val="single" w:sz="4" w:space="0" w:color="auto"/>
            </w:tcBorders>
            <w:shd w:val="clear" w:color="auto" w:fill="auto"/>
            <w:noWrap/>
            <w:vAlign w:val="bottom"/>
            <w:hideMark/>
          </w:tcPr>
          <w:p>
            <w:pPr>
              <w:spacing w:after="0"/>
              <w:jc w:val="right"/>
              <w:rPr>
                <w:rFonts w:ascii="Calibri" w:hAnsi="Calibri" w:cs="Calibri"/>
                <w:noProof/>
                <w:color w:val="000000"/>
                <w:sz w:val="22"/>
                <w:szCs w:val="22"/>
              </w:rPr>
            </w:pPr>
            <w:r>
              <w:rPr>
                <w:rFonts w:ascii="Calibri" w:hAnsi="Calibri"/>
                <w:noProof/>
                <w:sz w:val="22"/>
                <w:szCs w:val="22"/>
              </w:rPr>
              <w:t>0,1 %</w:t>
            </w:r>
          </w:p>
        </w:tc>
        <w:tc>
          <w:tcPr>
            <w:tcW w:w="1013" w:type="dxa"/>
            <w:tcBorders>
              <w:top w:val="single" w:sz="4" w:space="0" w:color="auto"/>
              <w:left w:val="nil"/>
              <w:bottom w:val="single" w:sz="4" w:space="0" w:color="auto"/>
              <w:right w:val="single" w:sz="4" w:space="0" w:color="auto"/>
            </w:tcBorders>
            <w:shd w:val="clear" w:color="auto" w:fill="auto"/>
            <w:noWrap/>
            <w:vAlign w:val="bottom"/>
            <w:hideMark/>
          </w:tcPr>
          <w:p>
            <w:pPr>
              <w:spacing w:after="0"/>
              <w:jc w:val="right"/>
              <w:rPr>
                <w:rFonts w:ascii="Calibri" w:hAnsi="Calibri" w:cs="Calibri"/>
                <w:noProof/>
                <w:color w:val="000000"/>
                <w:sz w:val="22"/>
                <w:szCs w:val="22"/>
              </w:rPr>
            </w:pPr>
            <w:r>
              <w:rPr>
                <w:rFonts w:ascii="Calibri" w:hAnsi="Calibri"/>
                <w:noProof/>
                <w:sz w:val="22"/>
                <w:szCs w:val="22"/>
              </w:rPr>
              <w:t>0,3 %</w:t>
            </w:r>
          </w:p>
        </w:tc>
      </w:tr>
      <w:tr>
        <w:trPr>
          <w:trHeight w:val="300"/>
          <w:jc w:val="center"/>
        </w:trPr>
        <w:tc>
          <w:tcPr>
            <w:tcW w:w="1330" w:type="dxa"/>
            <w:tcBorders>
              <w:top w:val="nil"/>
              <w:left w:val="single" w:sz="4" w:space="0" w:color="auto"/>
              <w:bottom w:val="single" w:sz="4" w:space="0" w:color="auto"/>
              <w:right w:val="single" w:sz="4" w:space="0" w:color="auto"/>
            </w:tcBorders>
            <w:shd w:val="clear" w:color="auto" w:fill="auto"/>
            <w:noWrap/>
            <w:vAlign w:val="bottom"/>
            <w:hideMark/>
          </w:tcPr>
          <w:p>
            <w:pPr>
              <w:spacing w:after="0"/>
              <w:jc w:val="left"/>
              <w:rPr>
                <w:rFonts w:ascii="Calibri" w:hAnsi="Calibri" w:cs="Calibri"/>
                <w:noProof/>
                <w:color w:val="000000"/>
                <w:sz w:val="22"/>
                <w:szCs w:val="22"/>
              </w:rPr>
            </w:pPr>
            <w:r>
              <w:rPr>
                <w:rFonts w:ascii="Calibri" w:hAnsi="Calibri"/>
                <w:noProof/>
                <w:sz w:val="22"/>
                <w:szCs w:val="22"/>
              </w:rPr>
              <w:t>ES</w:t>
            </w:r>
          </w:p>
        </w:tc>
        <w:tc>
          <w:tcPr>
            <w:tcW w:w="1837" w:type="dxa"/>
            <w:tcBorders>
              <w:top w:val="nil"/>
              <w:left w:val="nil"/>
              <w:bottom w:val="single" w:sz="4" w:space="0" w:color="auto"/>
              <w:right w:val="single" w:sz="4" w:space="0" w:color="auto"/>
            </w:tcBorders>
            <w:shd w:val="clear" w:color="auto" w:fill="auto"/>
            <w:noWrap/>
            <w:vAlign w:val="bottom"/>
            <w:hideMark/>
          </w:tcPr>
          <w:p>
            <w:pPr>
              <w:spacing w:after="0"/>
              <w:jc w:val="left"/>
              <w:rPr>
                <w:rFonts w:ascii="Calibri" w:hAnsi="Calibri" w:cs="Calibri"/>
                <w:noProof/>
                <w:color w:val="000000"/>
                <w:sz w:val="22"/>
                <w:szCs w:val="22"/>
              </w:rPr>
            </w:pPr>
            <w:r>
              <w:rPr>
                <w:rFonts w:ascii="Calibri" w:hAnsi="Calibri"/>
                <w:noProof/>
                <w:sz w:val="22"/>
                <w:szCs w:val="22"/>
              </w:rPr>
              <w:t>Fuerteventura</w:t>
            </w:r>
          </w:p>
        </w:tc>
        <w:tc>
          <w:tcPr>
            <w:tcW w:w="700" w:type="dxa"/>
            <w:tcBorders>
              <w:top w:val="nil"/>
              <w:left w:val="nil"/>
              <w:bottom w:val="single" w:sz="4" w:space="0" w:color="auto"/>
              <w:right w:val="single" w:sz="4" w:space="0" w:color="auto"/>
            </w:tcBorders>
            <w:shd w:val="clear" w:color="auto" w:fill="auto"/>
            <w:noWrap/>
            <w:vAlign w:val="bottom"/>
            <w:hideMark/>
          </w:tcPr>
          <w:p>
            <w:pPr>
              <w:spacing w:after="0"/>
              <w:jc w:val="right"/>
              <w:rPr>
                <w:rFonts w:ascii="Calibri" w:hAnsi="Calibri" w:cs="Calibri"/>
                <w:noProof/>
                <w:color w:val="000000"/>
                <w:sz w:val="22"/>
                <w:szCs w:val="22"/>
              </w:rPr>
            </w:pPr>
            <w:r>
              <w:rPr>
                <w:rFonts w:ascii="Calibri" w:hAnsi="Calibri"/>
                <w:noProof/>
                <w:sz w:val="22"/>
                <w:szCs w:val="22"/>
              </w:rPr>
              <w:t>132</w:t>
            </w:r>
          </w:p>
        </w:tc>
        <w:tc>
          <w:tcPr>
            <w:tcW w:w="700" w:type="dxa"/>
            <w:tcBorders>
              <w:top w:val="nil"/>
              <w:left w:val="nil"/>
              <w:bottom w:val="single" w:sz="4" w:space="0" w:color="auto"/>
              <w:right w:val="single" w:sz="4" w:space="0" w:color="auto"/>
            </w:tcBorders>
            <w:shd w:val="clear" w:color="auto" w:fill="auto"/>
            <w:noWrap/>
            <w:vAlign w:val="bottom"/>
            <w:hideMark/>
          </w:tcPr>
          <w:p>
            <w:pPr>
              <w:spacing w:after="0"/>
              <w:jc w:val="right"/>
              <w:rPr>
                <w:rFonts w:ascii="Calibri" w:hAnsi="Calibri" w:cs="Calibri"/>
                <w:noProof/>
                <w:color w:val="000000"/>
                <w:sz w:val="22"/>
                <w:szCs w:val="22"/>
              </w:rPr>
            </w:pPr>
            <w:r>
              <w:rPr>
                <w:rFonts w:ascii="Calibri" w:hAnsi="Calibri"/>
                <w:noProof/>
                <w:sz w:val="22"/>
                <w:szCs w:val="22"/>
              </w:rPr>
              <w:t>88</w:t>
            </w:r>
          </w:p>
        </w:tc>
        <w:tc>
          <w:tcPr>
            <w:tcW w:w="1013" w:type="dxa"/>
            <w:tcBorders>
              <w:top w:val="nil"/>
              <w:left w:val="nil"/>
              <w:bottom w:val="single" w:sz="4" w:space="0" w:color="auto"/>
              <w:right w:val="single" w:sz="4" w:space="0" w:color="auto"/>
            </w:tcBorders>
            <w:shd w:val="clear" w:color="auto" w:fill="auto"/>
            <w:noWrap/>
            <w:vAlign w:val="bottom"/>
            <w:hideMark/>
          </w:tcPr>
          <w:p>
            <w:pPr>
              <w:spacing w:after="0"/>
              <w:jc w:val="right"/>
              <w:rPr>
                <w:rFonts w:ascii="Calibri" w:hAnsi="Calibri" w:cs="Calibri"/>
                <w:noProof/>
                <w:color w:val="000000"/>
                <w:sz w:val="22"/>
                <w:szCs w:val="22"/>
              </w:rPr>
            </w:pPr>
            <w:r>
              <w:rPr>
                <w:rFonts w:ascii="Calibri" w:hAnsi="Calibri"/>
                <w:noProof/>
                <w:sz w:val="22"/>
                <w:szCs w:val="22"/>
              </w:rPr>
              <w:t>85</w:t>
            </w:r>
          </w:p>
        </w:tc>
        <w:tc>
          <w:tcPr>
            <w:tcW w:w="929" w:type="dxa"/>
            <w:tcBorders>
              <w:top w:val="nil"/>
              <w:left w:val="nil"/>
              <w:bottom w:val="single" w:sz="4" w:space="0" w:color="auto"/>
              <w:right w:val="single" w:sz="4" w:space="0" w:color="auto"/>
            </w:tcBorders>
            <w:shd w:val="clear" w:color="auto" w:fill="auto"/>
            <w:noWrap/>
            <w:vAlign w:val="bottom"/>
            <w:hideMark/>
          </w:tcPr>
          <w:p>
            <w:pPr>
              <w:spacing w:after="0"/>
              <w:jc w:val="right"/>
              <w:rPr>
                <w:rFonts w:ascii="Calibri" w:hAnsi="Calibri" w:cs="Calibri"/>
                <w:noProof/>
                <w:color w:val="000000"/>
                <w:sz w:val="22"/>
                <w:szCs w:val="22"/>
              </w:rPr>
            </w:pPr>
            <w:r>
              <w:rPr>
                <w:rFonts w:ascii="Calibri" w:hAnsi="Calibri"/>
                <w:noProof/>
                <w:sz w:val="22"/>
                <w:szCs w:val="22"/>
              </w:rPr>
              <w:t>-3,1 %</w:t>
            </w:r>
          </w:p>
        </w:tc>
        <w:tc>
          <w:tcPr>
            <w:tcW w:w="1013" w:type="dxa"/>
            <w:tcBorders>
              <w:top w:val="nil"/>
              <w:left w:val="nil"/>
              <w:bottom w:val="single" w:sz="4" w:space="0" w:color="auto"/>
              <w:right w:val="single" w:sz="4" w:space="0" w:color="auto"/>
            </w:tcBorders>
            <w:shd w:val="clear" w:color="auto" w:fill="auto"/>
            <w:noWrap/>
            <w:vAlign w:val="bottom"/>
            <w:hideMark/>
          </w:tcPr>
          <w:p>
            <w:pPr>
              <w:spacing w:after="0"/>
              <w:jc w:val="right"/>
              <w:rPr>
                <w:rFonts w:ascii="Calibri" w:hAnsi="Calibri" w:cs="Calibri"/>
                <w:noProof/>
                <w:color w:val="000000"/>
                <w:sz w:val="22"/>
                <w:szCs w:val="22"/>
              </w:rPr>
            </w:pPr>
            <w:r>
              <w:rPr>
                <w:rFonts w:ascii="Calibri" w:hAnsi="Calibri"/>
                <w:noProof/>
                <w:sz w:val="22"/>
                <w:szCs w:val="22"/>
              </w:rPr>
              <w:t>-0,5 %</w:t>
            </w:r>
          </w:p>
        </w:tc>
      </w:tr>
      <w:tr>
        <w:trPr>
          <w:trHeight w:val="300"/>
          <w:jc w:val="center"/>
        </w:trPr>
        <w:tc>
          <w:tcPr>
            <w:tcW w:w="1330" w:type="dxa"/>
            <w:tcBorders>
              <w:top w:val="nil"/>
              <w:left w:val="single" w:sz="4" w:space="0" w:color="auto"/>
              <w:bottom w:val="single" w:sz="4" w:space="0" w:color="auto"/>
              <w:right w:val="single" w:sz="4" w:space="0" w:color="auto"/>
            </w:tcBorders>
            <w:shd w:val="clear" w:color="auto" w:fill="auto"/>
            <w:noWrap/>
            <w:vAlign w:val="bottom"/>
            <w:hideMark/>
          </w:tcPr>
          <w:p>
            <w:pPr>
              <w:spacing w:after="0"/>
              <w:jc w:val="left"/>
              <w:rPr>
                <w:rFonts w:ascii="Calibri" w:hAnsi="Calibri" w:cs="Calibri"/>
                <w:noProof/>
                <w:color w:val="000000"/>
                <w:sz w:val="22"/>
                <w:szCs w:val="22"/>
              </w:rPr>
            </w:pPr>
            <w:r>
              <w:rPr>
                <w:rFonts w:ascii="Calibri" w:hAnsi="Calibri"/>
                <w:noProof/>
                <w:sz w:val="22"/>
                <w:szCs w:val="22"/>
              </w:rPr>
              <w:t>ES</w:t>
            </w:r>
          </w:p>
        </w:tc>
        <w:tc>
          <w:tcPr>
            <w:tcW w:w="1837" w:type="dxa"/>
            <w:tcBorders>
              <w:top w:val="nil"/>
              <w:left w:val="nil"/>
              <w:bottom w:val="single" w:sz="4" w:space="0" w:color="auto"/>
              <w:right w:val="single" w:sz="4" w:space="0" w:color="auto"/>
            </w:tcBorders>
            <w:shd w:val="clear" w:color="auto" w:fill="auto"/>
            <w:noWrap/>
            <w:vAlign w:val="bottom"/>
            <w:hideMark/>
          </w:tcPr>
          <w:p>
            <w:pPr>
              <w:spacing w:after="0"/>
              <w:jc w:val="left"/>
              <w:rPr>
                <w:rFonts w:ascii="Calibri" w:hAnsi="Calibri" w:cs="Calibri"/>
                <w:noProof/>
                <w:color w:val="000000"/>
                <w:sz w:val="22"/>
                <w:szCs w:val="22"/>
              </w:rPr>
            </w:pPr>
            <w:r>
              <w:rPr>
                <w:rFonts w:ascii="Calibri" w:hAnsi="Calibri"/>
                <w:noProof/>
                <w:sz w:val="22"/>
                <w:szCs w:val="22"/>
              </w:rPr>
              <w:t>Menorca</w:t>
            </w:r>
          </w:p>
        </w:tc>
        <w:tc>
          <w:tcPr>
            <w:tcW w:w="700" w:type="dxa"/>
            <w:tcBorders>
              <w:top w:val="nil"/>
              <w:left w:val="nil"/>
              <w:bottom w:val="single" w:sz="4" w:space="0" w:color="auto"/>
              <w:right w:val="single" w:sz="4" w:space="0" w:color="auto"/>
            </w:tcBorders>
            <w:shd w:val="clear" w:color="auto" w:fill="auto"/>
            <w:noWrap/>
            <w:vAlign w:val="bottom"/>
            <w:hideMark/>
          </w:tcPr>
          <w:p>
            <w:pPr>
              <w:spacing w:after="0"/>
              <w:jc w:val="right"/>
              <w:rPr>
                <w:rFonts w:ascii="Calibri" w:hAnsi="Calibri" w:cs="Calibri"/>
                <w:noProof/>
                <w:color w:val="000000"/>
                <w:sz w:val="22"/>
                <w:szCs w:val="22"/>
              </w:rPr>
            </w:pPr>
            <w:r>
              <w:rPr>
                <w:rFonts w:ascii="Calibri" w:hAnsi="Calibri"/>
                <w:noProof/>
                <w:sz w:val="22"/>
                <w:szCs w:val="22"/>
              </w:rPr>
              <w:t>103</w:t>
            </w:r>
          </w:p>
        </w:tc>
        <w:tc>
          <w:tcPr>
            <w:tcW w:w="700" w:type="dxa"/>
            <w:tcBorders>
              <w:top w:val="nil"/>
              <w:left w:val="nil"/>
              <w:bottom w:val="single" w:sz="4" w:space="0" w:color="auto"/>
              <w:right w:val="single" w:sz="4" w:space="0" w:color="auto"/>
            </w:tcBorders>
            <w:shd w:val="clear" w:color="auto" w:fill="auto"/>
            <w:noWrap/>
            <w:vAlign w:val="bottom"/>
            <w:hideMark/>
          </w:tcPr>
          <w:p>
            <w:pPr>
              <w:spacing w:after="0"/>
              <w:jc w:val="right"/>
              <w:rPr>
                <w:rFonts w:ascii="Calibri" w:hAnsi="Calibri" w:cs="Calibri"/>
                <w:noProof/>
                <w:color w:val="000000"/>
                <w:sz w:val="22"/>
                <w:szCs w:val="22"/>
              </w:rPr>
            </w:pPr>
            <w:r>
              <w:rPr>
                <w:rFonts w:ascii="Calibri" w:hAnsi="Calibri"/>
                <w:noProof/>
                <w:sz w:val="22"/>
                <w:szCs w:val="22"/>
              </w:rPr>
              <w:t>85</w:t>
            </w:r>
          </w:p>
        </w:tc>
        <w:tc>
          <w:tcPr>
            <w:tcW w:w="1013" w:type="dxa"/>
            <w:tcBorders>
              <w:top w:val="nil"/>
              <w:left w:val="nil"/>
              <w:bottom w:val="single" w:sz="4" w:space="0" w:color="auto"/>
              <w:right w:val="single" w:sz="4" w:space="0" w:color="auto"/>
            </w:tcBorders>
            <w:shd w:val="clear" w:color="auto" w:fill="auto"/>
            <w:noWrap/>
            <w:vAlign w:val="bottom"/>
            <w:hideMark/>
          </w:tcPr>
          <w:p>
            <w:pPr>
              <w:spacing w:after="0"/>
              <w:jc w:val="right"/>
              <w:rPr>
                <w:rFonts w:ascii="Calibri" w:hAnsi="Calibri" w:cs="Calibri"/>
                <w:noProof/>
                <w:color w:val="000000"/>
                <w:sz w:val="22"/>
                <w:szCs w:val="22"/>
              </w:rPr>
            </w:pPr>
            <w:r>
              <w:rPr>
                <w:rFonts w:ascii="Calibri" w:hAnsi="Calibri"/>
                <w:noProof/>
                <w:sz w:val="22"/>
                <w:szCs w:val="22"/>
              </w:rPr>
              <w:t>75</w:t>
            </w:r>
          </w:p>
        </w:tc>
        <w:tc>
          <w:tcPr>
            <w:tcW w:w="929" w:type="dxa"/>
            <w:tcBorders>
              <w:top w:val="nil"/>
              <w:left w:val="nil"/>
              <w:bottom w:val="single" w:sz="4" w:space="0" w:color="auto"/>
              <w:right w:val="single" w:sz="4" w:space="0" w:color="auto"/>
            </w:tcBorders>
            <w:shd w:val="clear" w:color="auto" w:fill="auto"/>
            <w:noWrap/>
            <w:vAlign w:val="bottom"/>
            <w:hideMark/>
          </w:tcPr>
          <w:p>
            <w:pPr>
              <w:spacing w:after="0"/>
              <w:jc w:val="right"/>
              <w:rPr>
                <w:rFonts w:ascii="Calibri" w:hAnsi="Calibri" w:cs="Calibri"/>
                <w:noProof/>
                <w:color w:val="000000"/>
                <w:sz w:val="22"/>
                <w:szCs w:val="22"/>
              </w:rPr>
            </w:pPr>
            <w:r>
              <w:rPr>
                <w:rFonts w:ascii="Calibri" w:hAnsi="Calibri"/>
                <w:noProof/>
                <w:sz w:val="22"/>
                <w:szCs w:val="22"/>
              </w:rPr>
              <w:t>-2,2 %</w:t>
            </w:r>
          </w:p>
        </w:tc>
        <w:tc>
          <w:tcPr>
            <w:tcW w:w="1013" w:type="dxa"/>
            <w:tcBorders>
              <w:top w:val="nil"/>
              <w:left w:val="nil"/>
              <w:bottom w:val="single" w:sz="4" w:space="0" w:color="auto"/>
              <w:right w:val="single" w:sz="4" w:space="0" w:color="auto"/>
            </w:tcBorders>
            <w:shd w:val="clear" w:color="auto" w:fill="auto"/>
            <w:noWrap/>
            <w:vAlign w:val="bottom"/>
            <w:hideMark/>
          </w:tcPr>
          <w:p>
            <w:pPr>
              <w:spacing w:after="0"/>
              <w:jc w:val="right"/>
              <w:rPr>
                <w:rFonts w:ascii="Calibri" w:hAnsi="Calibri" w:cs="Calibri"/>
                <w:noProof/>
                <w:color w:val="000000"/>
                <w:sz w:val="22"/>
                <w:szCs w:val="22"/>
              </w:rPr>
            </w:pPr>
            <w:r>
              <w:rPr>
                <w:rFonts w:ascii="Calibri" w:hAnsi="Calibri"/>
                <w:noProof/>
                <w:sz w:val="22"/>
                <w:szCs w:val="22"/>
              </w:rPr>
              <w:t>-1,8 %</w:t>
            </w:r>
          </w:p>
        </w:tc>
      </w:tr>
      <w:tr>
        <w:trPr>
          <w:trHeight w:val="300"/>
          <w:jc w:val="center"/>
        </w:trPr>
        <w:tc>
          <w:tcPr>
            <w:tcW w:w="1330" w:type="dxa"/>
            <w:tcBorders>
              <w:top w:val="nil"/>
              <w:left w:val="single" w:sz="4" w:space="0" w:color="auto"/>
              <w:bottom w:val="single" w:sz="4" w:space="0" w:color="auto"/>
              <w:right w:val="single" w:sz="4" w:space="0" w:color="auto"/>
            </w:tcBorders>
            <w:shd w:val="clear" w:color="auto" w:fill="auto"/>
            <w:noWrap/>
            <w:vAlign w:val="bottom"/>
            <w:hideMark/>
          </w:tcPr>
          <w:p>
            <w:pPr>
              <w:spacing w:after="0"/>
              <w:jc w:val="left"/>
              <w:rPr>
                <w:rFonts w:ascii="Calibri" w:hAnsi="Calibri" w:cs="Calibri"/>
                <w:noProof/>
                <w:color w:val="000000"/>
                <w:sz w:val="22"/>
                <w:szCs w:val="22"/>
              </w:rPr>
            </w:pPr>
            <w:r>
              <w:rPr>
                <w:rFonts w:ascii="Calibri" w:hAnsi="Calibri"/>
                <w:noProof/>
                <w:sz w:val="22"/>
                <w:szCs w:val="22"/>
              </w:rPr>
              <w:t>ES</w:t>
            </w:r>
          </w:p>
        </w:tc>
        <w:tc>
          <w:tcPr>
            <w:tcW w:w="1837" w:type="dxa"/>
            <w:tcBorders>
              <w:top w:val="nil"/>
              <w:left w:val="nil"/>
              <w:bottom w:val="single" w:sz="4" w:space="0" w:color="auto"/>
              <w:right w:val="single" w:sz="4" w:space="0" w:color="auto"/>
            </w:tcBorders>
            <w:shd w:val="clear" w:color="auto" w:fill="auto"/>
            <w:noWrap/>
            <w:vAlign w:val="bottom"/>
            <w:hideMark/>
          </w:tcPr>
          <w:p>
            <w:pPr>
              <w:spacing w:after="0"/>
              <w:jc w:val="left"/>
              <w:rPr>
                <w:rFonts w:ascii="Calibri" w:hAnsi="Calibri" w:cs="Calibri"/>
                <w:noProof/>
                <w:color w:val="000000"/>
                <w:sz w:val="22"/>
                <w:szCs w:val="22"/>
              </w:rPr>
            </w:pPr>
            <w:r>
              <w:rPr>
                <w:rFonts w:ascii="Calibri" w:hAnsi="Calibri"/>
                <w:noProof/>
                <w:sz w:val="22"/>
                <w:szCs w:val="22"/>
              </w:rPr>
              <w:t>El Hierro</w:t>
            </w:r>
          </w:p>
        </w:tc>
        <w:tc>
          <w:tcPr>
            <w:tcW w:w="700" w:type="dxa"/>
            <w:tcBorders>
              <w:top w:val="nil"/>
              <w:left w:val="nil"/>
              <w:bottom w:val="single" w:sz="4" w:space="0" w:color="auto"/>
              <w:right w:val="single" w:sz="4" w:space="0" w:color="auto"/>
            </w:tcBorders>
            <w:shd w:val="clear" w:color="auto" w:fill="auto"/>
            <w:noWrap/>
            <w:vAlign w:val="bottom"/>
            <w:hideMark/>
          </w:tcPr>
          <w:p>
            <w:pPr>
              <w:spacing w:after="0"/>
              <w:jc w:val="right"/>
              <w:rPr>
                <w:rFonts w:ascii="Calibri" w:hAnsi="Calibri" w:cs="Calibri"/>
                <w:noProof/>
                <w:color w:val="000000"/>
                <w:sz w:val="22"/>
                <w:szCs w:val="22"/>
              </w:rPr>
            </w:pPr>
            <w:r>
              <w:rPr>
                <w:rFonts w:ascii="Calibri" w:hAnsi="Calibri"/>
                <w:noProof/>
                <w:sz w:val="22"/>
                <w:szCs w:val="22"/>
              </w:rPr>
              <w:t>72</w:t>
            </w:r>
          </w:p>
        </w:tc>
        <w:tc>
          <w:tcPr>
            <w:tcW w:w="700" w:type="dxa"/>
            <w:tcBorders>
              <w:top w:val="nil"/>
              <w:left w:val="nil"/>
              <w:bottom w:val="single" w:sz="4" w:space="0" w:color="auto"/>
              <w:right w:val="single" w:sz="4" w:space="0" w:color="auto"/>
            </w:tcBorders>
            <w:shd w:val="clear" w:color="auto" w:fill="auto"/>
            <w:noWrap/>
            <w:vAlign w:val="bottom"/>
            <w:hideMark/>
          </w:tcPr>
          <w:p>
            <w:pPr>
              <w:spacing w:after="0"/>
              <w:jc w:val="right"/>
              <w:rPr>
                <w:rFonts w:ascii="Calibri" w:hAnsi="Calibri" w:cs="Calibri"/>
                <w:noProof/>
                <w:color w:val="000000"/>
                <w:sz w:val="22"/>
                <w:szCs w:val="22"/>
              </w:rPr>
            </w:pPr>
            <w:r>
              <w:rPr>
                <w:rFonts w:ascii="Calibri" w:hAnsi="Calibri"/>
                <w:noProof/>
                <w:sz w:val="22"/>
                <w:szCs w:val="22"/>
              </w:rPr>
              <w:t>87</w:t>
            </w:r>
          </w:p>
        </w:tc>
        <w:tc>
          <w:tcPr>
            <w:tcW w:w="1013" w:type="dxa"/>
            <w:tcBorders>
              <w:top w:val="nil"/>
              <w:left w:val="nil"/>
              <w:bottom w:val="single" w:sz="4" w:space="0" w:color="auto"/>
              <w:right w:val="single" w:sz="4" w:space="0" w:color="auto"/>
            </w:tcBorders>
            <w:shd w:val="clear" w:color="auto" w:fill="auto"/>
            <w:noWrap/>
            <w:vAlign w:val="bottom"/>
            <w:hideMark/>
          </w:tcPr>
          <w:p>
            <w:pPr>
              <w:spacing w:after="0"/>
              <w:jc w:val="right"/>
              <w:rPr>
                <w:rFonts w:ascii="Calibri" w:hAnsi="Calibri" w:cs="Calibri"/>
                <w:noProof/>
                <w:color w:val="000000"/>
                <w:sz w:val="22"/>
                <w:szCs w:val="22"/>
              </w:rPr>
            </w:pPr>
            <w:r>
              <w:rPr>
                <w:rFonts w:ascii="Calibri" w:hAnsi="Calibri"/>
                <w:noProof/>
                <w:sz w:val="22"/>
                <w:szCs w:val="22"/>
              </w:rPr>
              <w:t>65</w:t>
            </w:r>
          </w:p>
        </w:tc>
        <w:tc>
          <w:tcPr>
            <w:tcW w:w="929" w:type="dxa"/>
            <w:tcBorders>
              <w:top w:val="nil"/>
              <w:left w:val="nil"/>
              <w:bottom w:val="single" w:sz="4" w:space="0" w:color="auto"/>
              <w:right w:val="single" w:sz="4" w:space="0" w:color="auto"/>
            </w:tcBorders>
            <w:shd w:val="clear" w:color="auto" w:fill="auto"/>
            <w:noWrap/>
            <w:vAlign w:val="bottom"/>
            <w:hideMark/>
          </w:tcPr>
          <w:p>
            <w:pPr>
              <w:spacing w:after="0"/>
              <w:jc w:val="right"/>
              <w:rPr>
                <w:rFonts w:ascii="Calibri" w:hAnsi="Calibri" w:cs="Calibri"/>
                <w:noProof/>
                <w:color w:val="000000"/>
                <w:sz w:val="22"/>
                <w:szCs w:val="22"/>
              </w:rPr>
            </w:pPr>
            <w:r>
              <w:rPr>
                <w:rFonts w:ascii="Calibri" w:hAnsi="Calibri"/>
                <w:noProof/>
                <w:sz w:val="22"/>
                <w:szCs w:val="22"/>
              </w:rPr>
              <w:t>-0,7 %</w:t>
            </w:r>
          </w:p>
        </w:tc>
        <w:tc>
          <w:tcPr>
            <w:tcW w:w="1013" w:type="dxa"/>
            <w:tcBorders>
              <w:top w:val="nil"/>
              <w:left w:val="nil"/>
              <w:bottom w:val="single" w:sz="4" w:space="0" w:color="auto"/>
              <w:right w:val="single" w:sz="4" w:space="0" w:color="auto"/>
            </w:tcBorders>
            <w:shd w:val="clear" w:color="auto" w:fill="auto"/>
            <w:noWrap/>
            <w:vAlign w:val="bottom"/>
            <w:hideMark/>
          </w:tcPr>
          <w:p>
            <w:pPr>
              <w:spacing w:after="0"/>
              <w:jc w:val="right"/>
              <w:rPr>
                <w:rFonts w:ascii="Calibri" w:hAnsi="Calibri" w:cs="Calibri"/>
                <w:noProof/>
                <w:color w:val="000000"/>
                <w:sz w:val="22"/>
                <w:szCs w:val="22"/>
              </w:rPr>
            </w:pPr>
            <w:r>
              <w:rPr>
                <w:rFonts w:ascii="Calibri" w:hAnsi="Calibri"/>
                <w:noProof/>
                <w:sz w:val="22"/>
                <w:szCs w:val="22"/>
              </w:rPr>
              <w:t>-4,1 %</w:t>
            </w:r>
          </w:p>
        </w:tc>
      </w:tr>
      <w:tr>
        <w:trPr>
          <w:trHeight w:val="300"/>
          <w:jc w:val="center"/>
        </w:trPr>
        <w:tc>
          <w:tcPr>
            <w:tcW w:w="1330" w:type="dxa"/>
            <w:tcBorders>
              <w:top w:val="nil"/>
              <w:left w:val="single" w:sz="4" w:space="0" w:color="auto"/>
              <w:bottom w:val="single" w:sz="4" w:space="0" w:color="auto"/>
              <w:right w:val="single" w:sz="4" w:space="0" w:color="auto"/>
            </w:tcBorders>
            <w:shd w:val="clear" w:color="auto" w:fill="auto"/>
            <w:noWrap/>
            <w:vAlign w:val="bottom"/>
            <w:hideMark/>
          </w:tcPr>
          <w:p>
            <w:pPr>
              <w:spacing w:after="0"/>
              <w:jc w:val="left"/>
              <w:rPr>
                <w:rFonts w:ascii="Calibri" w:hAnsi="Calibri" w:cs="Calibri"/>
                <w:noProof/>
                <w:color w:val="000000"/>
                <w:sz w:val="22"/>
                <w:szCs w:val="22"/>
              </w:rPr>
            </w:pPr>
            <w:r>
              <w:rPr>
                <w:rFonts w:ascii="Calibri" w:hAnsi="Calibri"/>
                <w:noProof/>
                <w:sz w:val="22"/>
                <w:szCs w:val="22"/>
              </w:rPr>
              <w:t>ES</w:t>
            </w:r>
          </w:p>
        </w:tc>
        <w:tc>
          <w:tcPr>
            <w:tcW w:w="1837" w:type="dxa"/>
            <w:tcBorders>
              <w:top w:val="nil"/>
              <w:left w:val="nil"/>
              <w:bottom w:val="single" w:sz="4" w:space="0" w:color="auto"/>
              <w:right w:val="single" w:sz="4" w:space="0" w:color="auto"/>
            </w:tcBorders>
            <w:shd w:val="clear" w:color="auto" w:fill="auto"/>
            <w:noWrap/>
            <w:vAlign w:val="bottom"/>
            <w:hideMark/>
          </w:tcPr>
          <w:p>
            <w:pPr>
              <w:spacing w:after="0"/>
              <w:jc w:val="left"/>
              <w:rPr>
                <w:rFonts w:ascii="Calibri" w:hAnsi="Calibri" w:cs="Calibri"/>
                <w:noProof/>
                <w:color w:val="000000"/>
                <w:sz w:val="22"/>
                <w:szCs w:val="22"/>
              </w:rPr>
            </w:pPr>
            <w:r>
              <w:rPr>
                <w:rFonts w:ascii="Calibri" w:hAnsi="Calibri"/>
                <w:noProof/>
                <w:sz w:val="22"/>
                <w:szCs w:val="22"/>
              </w:rPr>
              <w:t>La Gomera</w:t>
            </w:r>
          </w:p>
        </w:tc>
        <w:tc>
          <w:tcPr>
            <w:tcW w:w="700" w:type="dxa"/>
            <w:tcBorders>
              <w:top w:val="nil"/>
              <w:left w:val="nil"/>
              <w:bottom w:val="single" w:sz="4" w:space="0" w:color="auto"/>
              <w:right w:val="single" w:sz="4" w:space="0" w:color="auto"/>
            </w:tcBorders>
            <w:shd w:val="clear" w:color="auto" w:fill="auto"/>
            <w:noWrap/>
            <w:vAlign w:val="bottom"/>
            <w:hideMark/>
          </w:tcPr>
          <w:p>
            <w:pPr>
              <w:spacing w:after="0"/>
              <w:jc w:val="right"/>
              <w:rPr>
                <w:rFonts w:ascii="Calibri" w:hAnsi="Calibri" w:cs="Calibri"/>
                <w:noProof/>
                <w:color w:val="000000"/>
                <w:sz w:val="22"/>
                <w:szCs w:val="22"/>
              </w:rPr>
            </w:pPr>
            <w:r>
              <w:rPr>
                <w:rFonts w:ascii="Calibri" w:hAnsi="Calibri"/>
                <w:noProof/>
                <w:sz w:val="22"/>
                <w:szCs w:val="22"/>
              </w:rPr>
              <w:t>85</w:t>
            </w:r>
          </w:p>
        </w:tc>
        <w:tc>
          <w:tcPr>
            <w:tcW w:w="700" w:type="dxa"/>
            <w:tcBorders>
              <w:top w:val="nil"/>
              <w:left w:val="nil"/>
              <w:bottom w:val="single" w:sz="4" w:space="0" w:color="auto"/>
              <w:right w:val="single" w:sz="4" w:space="0" w:color="auto"/>
            </w:tcBorders>
            <w:shd w:val="clear" w:color="auto" w:fill="auto"/>
            <w:noWrap/>
            <w:vAlign w:val="bottom"/>
            <w:hideMark/>
          </w:tcPr>
          <w:p>
            <w:pPr>
              <w:spacing w:after="0"/>
              <w:jc w:val="right"/>
              <w:rPr>
                <w:rFonts w:ascii="Calibri" w:hAnsi="Calibri" w:cs="Calibri"/>
                <w:noProof/>
                <w:color w:val="000000"/>
                <w:sz w:val="22"/>
                <w:szCs w:val="22"/>
              </w:rPr>
            </w:pPr>
            <w:r>
              <w:rPr>
                <w:rFonts w:ascii="Calibri" w:hAnsi="Calibri"/>
                <w:noProof/>
                <w:sz w:val="22"/>
                <w:szCs w:val="22"/>
              </w:rPr>
              <w:t>87</w:t>
            </w:r>
          </w:p>
        </w:tc>
        <w:tc>
          <w:tcPr>
            <w:tcW w:w="1013" w:type="dxa"/>
            <w:tcBorders>
              <w:top w:val="nil"/>
              <w:left w:val="nil"/>
              <w:bottom w:val="single" w:sz="4" w:space="0" w:color="auto"/>
              <w:right w:val="single" w:sz="4" w:space="0" w:color="auto"/>
            </w:tcBorders>
            <w:shd w:val="clear" w:color="auto" w:fill="auto"/>
            <w:noWrap/>
            <w:vAlign w:val="bottom"/>
            <w:hideMark/>
          </w:tcPr>
          <w:p>
            <w:pPr>
              <w:spacing w:after="0"/>
              <w:jc w:val="right"/>
              <w:rPr>
                <w:rFonts w:ascii="Calibri" w:hAnsi="Calibri" w:cs="Calibri"/>
                <w:noProof/>
                <w:color w:val="000000"/>
                <w:sz w:val="22"/>
                <w:szCs w:val="22"/>
              </w:rPr>
            </w:pPr>
            <w:r>
              <w:rPr>
                <w:rFonts w:ascii="Calibri" w:hAnsi="Calibri"/>
                <w:noProof/>
                <w:sz w:val="22"/>
                <w:szCs w:val="22"/>
              </w:rPr>
              <w:t>70</w:t>
            </w:r>
          </w:p>
        </w:tc>
        <w:tc>
          <w:tcPr>
            <w:tcW w:w="929" w:type="dxa"/>
            <w:tcBorders>
              <w:top w:val="nil"/>
              <w:left w:val="nil"/>
              <w:bottom w:val="single" w:sz="4" w:space="0" w:color="auto"/>
              <w:right w:val="single" w:sz="4" w:space="0" w:color="auto"/>
            </w:tcBorders>
            <w:shd w:val="clear" w:color="auto" w:fill="auto"/>
            <w:noWrap/>
            <w:vAlign w:val="bottom"/>
            <w:hideMark/>
          </w:tcPr>
          <w:p>
            <w:pPr>
              <w:spacing w:after="0"/>
              <w:jc w:val="right"/>
              <w:rPr>
                <w:rFonts w:ascii="Calibri" w:hAnsi="Calibri" w:cs="Calibri"/>
                <w:noProof/>
                <w:color w:val="000000"/>
                <w:sz w:val="22"/>
                <w:szCs w:val="22"/>
              </w:rPr>
            </w:pPr>
            <w:r>
              <w:rPr>
                <w:rFonts w:ascii="Calibri" w:hAnsi="Calibri"/>
                <w:noProof/>
                <w:sz w:val="22"/>
                <w:szCs w:val="22"/>
              </w:rPr>
              <w:t>-1,4 %</w:t>
            </w:r>
          </w:p>
        </w:tc>
        <w:tc>
          <w:tcPr>
            <w:tcW w:w="1013" w:type="dxa"/>
            <w:tcBorders>
              <w:top w:val="nil"/>
              <w:left w:val="nil"/>
              <w:bottom w:val="single" w:sz="4" w:space="0" w:color="auto"/>
              <w:right w:val="single" w:sz="4" w:space="0" w:color="auto"/>
            </w:tcBorders>
            <w:shd w:val="clear" w:color="auto" w:fill="auto"/>
            <w:noWrap/>
            <w:vAlign w:val="bottom"/>
            <w:hideMark/>
          </w:tcPr>
          <w:p>
            <w:pPr>
              <w:spacing w:after="0"/>
              <w:jc w:val="right"/>
              <w:rPr>
                <w:rFonts w:ascii="Calibri" w:hAnsi="Calibri" w:cs="Calibri"/>
                <w:noProof/>
                <w:color w:val="000000"/>
                <w:sz w:val="22"/>
                <w:szCs w:val="22"/>
              </w:rPr>
            </w:pPr>
            <w:r>
              <w:rPr>
                <w:rFonts w:ascii="Calibri" w:hAnsi="Calibri"/>
                <w:noProof/>
                <w:sz w:val="22"/>
                <w:szCs w:val="22"/>
              </w:rPr>
              <w:t>-3,1 %</w:t>
            </w:r>
          </w:p>
        </w:tc>
      </w:tr>
      <w:tr>
        <w:trPr>
          <w:trHeight w:val="300"/>
          <w:jc w:val="center"/>
        </w:trPr>
        <w:tc>
          <w:tcPr>
            <w:tcW w:w="1330" w:type="dxa"/>
            <w:tcBorders>
              <w:top w:val="nil"/>
              <w:left w:val="single" w:sz="4" w:space="0" w:color="auto"/>
              <w:bottom w:val="single" w:sz="4" w:space="0" w:color="auto"/>
              <w:right w:val="single" w:sz="4" w:space="0" w:color="auto"/>
            </w:tcBorders>
            <w:shd w:val="clear" w:color="auto" w:fill="auto"/>
            <w:noWrap/>
            <w:vAlign w:val="bottom"/>
            <w:hideMark/>
          </w:tcPr>
          <w:p>
            <w:pPr>
              <w:spacing w:after="0"/>
              <w:jc w:val="left"/>
              <w:rPr>
                <w:rFonts w:ascii="Calibri" w:hAnsi="Calibri" w:cs="Calibri"/>
                <w:noProof/>
                <w:color w:val="000000"/>
                <w:sz w:val="22"/>
                <w:szCs w:val="22"/>
              </w:rPr>
            </w:pPr>
            <w:r>
              <w:rPr>
                <w:rFonts w:ascii="Calibri" w:hAnsi="Calibri"/>
                <w:noProof/>
                <w:sz w:val="22"/>
                <w:szCs w:val="22"/>
              </w:rPr>
              <w:t>ES</w:t>
            </w:r>
          </w:p>
        </w:tc>
        <w:tc>
          <w:tcPr>
            <w:tcW w:w="1837" w:type="dxa"/>
            <w:tcBorders>
              <w:top w:val="nil"/>
              <w:left w:val="nil"/>
              <w:bottom w:val="single" w:sz="4" w:space="0" w:color="auto"/>
              <w:right w:val="single" w:sz="4" w:space="0" w:color="auto"/>
            </w:tcBorders>
            <w:shd w:val="clear" w:color="auto" w:fill="auto"/>
            <w:noWrap/>
            <w:vAlign w:val="bottom"/>
            <w:hideMark/>
          </w:tcPr>
          <w:p>
            <w:pPr>
              <w:spacing w:after="0"/>
              <w:jc w:val="left"/>
              <w:rPr>
                <w:rFonts w:ascii="Calibri" w:hAnsi="Calibri" w:cs="Calibri"/>
                <w:noProof/>
                <w:color w:val="000000"/>
                <w:sz w:val="22"/>
                <w:szCs w:val="22"/>
              </w:rPr>
            </w:pPr>
            <w:r>
              <w:rPr>
                <w:rFonts w:ascii="Calibri" w:hAnsi="Calibri"/>
                <w:noProof/>
                <w:sz w:val="22"/>
                <w:szCs w:val="22"/>
              </w:rPr>
              <w:t>La Palma</w:t>
            </w:r>
          </w:p>
        </w:tc>
        <w:tc>
          <w:tcPr>
            <w:tcW w:w="700" w:type="dxa"/>
            <w:tcBorders>
              <w:top w:val="nil"/>
              <w:left w:val="nil"/>
              <w:bottom w:val="single" w:sz="4" w:space="0" w:color="auto"/>
              <w:right w:val="single" w:sz="4" w:space="0" w:color="auto"/>
            </w:tcBorders>
            <w:shd w:val="clear" w:color="auto" w:fill="auto"/>
            <w:noWrap/>
            <w:vAlign w:val="bottom"/>
            <w:hideMark/>
          </w:tcPr>
          <w:p>
            <w:pPr>
              <w:spacing w:after="0"/>
              <w:jc w:val="right"/>
              <w:rPr>
                <w:rFonts w:ascii="Calibri" w:hAnsi="Calibri" w:cs="Calibri"/>
                <w:noProof/>
                <w:color w:val="000000"/>
                <w:sz w:val="22"/>
                <w:szCs w:val="22"/>
              </w:rPr>
            </w:pPr>
            <w:r>
              <w:rPr>
                <w:rFonts w:ascii="Calibri" w:hAnsi="Calibri"/>
                <w:noProof/>
                <w:sz w:val="22"/>
                <w:szCs w:val="22"/>
              </w:rPr>
              <w:t>66</w:t>
            </w:r>
          </w:p>
        </w:tc>
        <w:tc>
          <w:tcPr>
            <w:tcW w:w="700" w:type="dxa"/>
            <w:tcBorders>
              <w:top w:val="nil"/>
              <w:left w:val="nil"/>
              <w:bottom w:val="single" w:sz="4" w:space="0" w:color="auto"/>
              <w:right w:val="single" w:sz="4" w:space="0" w:color="auto"/>
            </w:tcBorders>
            <w:shd w:val="clear" w:color="auto" w:fill="auto"/>
            <w:noWrap/>
            <w:vAlign w:val="bottom"/>
            <w:hideMark/>
          </w:tcPr>
          <w:p>
            <w:pPr>
              <w:spacing w:after="0"/>
              <w:jc w:val="right"/>
              <w:rPr>
                <w:rFonts w:ascii="Calibri" w:hAnsi="Calibri" w:cs="Calibri"/>
                <w:noProof/>
                <w:color w:val="000000"/>
                <w:sz w:val="22"/>
                <w:szCs w:val="22"/>
              </w:rPr>
            </w:pPr>
            <w:r>
              <w:rPr>
                <w:rFonts w:ascii="Calibri" w:hAnsi="Calibri"/>
                <w:noProof/>
                <w:sz w:val="22"/>
                <w:szCs w:val="22"/>
              </w:rPr>
              <w:t>80</w:t>
            </w:r>
          </w:p>
        </w:tc>
        <w:tc>
          <w:tcPr>
            <w:tcW w:w="1013" w:type="dxa"/>
            <w:tcBorders>
              <w:top w:val="nil"/>
              <w:left w:val="nil"/>
              <w:bottom w:val="single" w:sz="4" w:space="0" w:color="auto"/>
              <w:right w:val="single" w:sz="4" w:space="0" w:color="auto"/>
            </w:tcBorders>
            <w:shd w:val="clear" w:color="auto" w:fill="auto"/>
            <w:noWrap/>
            <w:vAlign w:val="bottom"/>
            <w:hideMark/>
          </w:tcPr>
          <w:p>
            <w:pPr>
              <w:spacing w:after="0"/>
              <w:jc w:val="right"/>
              <w:rPr>
                <w:rFonts w:ascii="Calibri" w:hAnsi="Calibri" w:cs="Calibri"/>
                <w:noProof/>
                <w:color w:val="000000"/>
                <w:sz w:val="22"/>
                <w:szCs w:val="22"/>
              </w:rPr>
            </w:pPr>
            <w:r>
              <w:rPr>
                <w:rFonts w:ascii="Calibri" w:hAnsi="Calibri"/>
                <w:noProof/>
                <w:sz w:val="22"/>
                <w:szCs w:val="22"/>
              </w:rPr>
              <w:t>68</w:t>
            </w:r>
          </w:p>
        </w:tc>
        <w:tc>
          <w:tcPr>
            <w:tcW w:w="929" w:type="dxa"/>
            <w:tcBorders>
              <w:top w:val="nil"/>
              <w:left w:val="nil"/>
              <w:bottom w:val="single" w:sz="4" w:space="0" w:color="auto"/>
              <w:right w:val="single" w:sz="4" w:space="0" w:color="auto"/>
            </w:tcBorders>
            <w:shd w:val="clear" w:color="auto" w:fill="auto"/>
            <w:noWrap/>
            <w:vAlign w:val="bottom"/>
            <w:hideMark/>
          </w:tcPr>
          <w:p>
            <w:pPr>
              <w:spacing w:after="0"/>
              <w:jc w:val="right"/>
              <w:rPr>
                <w:rFonts w:ascii="Calibri" w:hAnsi="Calibri" w:cs="Calibri"/>
                <w:noProof/>
                <w:color w:val="000000"/>
                <w:sz w:val="22"/>
                <w:szCs w:val="22"/>
              </w:rPr>
            </w:pPr>
            <w:r>
              <w:rPr>
                <w:rFonts w:ascii="Calibri" w:hAnsi="Calibri"/>
                <w:noProof/>
                <w:sz w:val="22"/>
                <w:szCs w:val="22"/>
              </w:rPr>
              <w:t>0,2 %</w:t>
            </w:r>
          </w:p>
        </w:tc>
        <w:tc>
          <w:tcPr>
            <w:tcW w:w="1013" w:type="dxa"/>
            <w:tcBorders>
              <w:top w:val="nil"/>
              <w:left w:val="nil"/>
              <w:bottom w:val="single" w:sz="4" w:space="0" w:color="auto"/>
              <w:right w:val="single" w:sz="4" w:space="0" w:color="auto"/>
            </w:tcBorders>
            <w:shd w:val="clear" w:color="auto" w:fill="auto"/>
            <w:noWrap/>
            <w:vAlign w:val="bottom"/>
            <w:hideMark/>
          </w:tcPr>
          <w:p>
            <w:pPr>
              <w:spacing w:after="0"/>
              <w:jc w:val="right"/>
              <w:rPr>
                <w:rFonts w:ascii="Calibri" w:hAnsi="Calibri" w:cs="Calibri"/>
                <w:noProof/>
                <w:color w:val="000000"/>
                <w:sz w:val="22"/>
                <w:szCs w:val="22"/>
              </w:rPr>
            </w:pPr>
            <w:r>
              <w:rPr>
                <w:rFonts w:ascii="Calibri" w:hAnsi="Calibri"/>
                <w:noProof/>
                <w:sz w:val="22"/>
                <w:szCs w:val="22"/>
              </w:rPr>
              <w:t>-2,3 %</w:t>
            </w:r>
          </w:p>
        </w:tc>
      </w:tr>
      <w:tr>
        <w:trPr>
          <w:trHeight w:val="300"/>
          <w:jc w:val="center"/>
        </w:trPr>
        <w:tc>
          <w:tcPr>
            <w:tcW w:w="1330" w:type="dxa"/>
            <w:tcBorders>
              <w:top w:val="nil"/>
              <w:left w:val="single" w:sz="4" w:space="0" w:color="auto"/>
              <w:bottom w:val="single" w:sz="4" w:space="0" w:color="auto"/>
              <w:right w:val="single" w:sz="4" w:space="0" w:color="auto"/>
            </w:tcBorders>
            <w:shd w:val="clear" w:color="auto" w:fill="auto"/>
            <w:noWrap/>
            <w:vAlign w:val="bottom"/>
            <w:hideMark/>
          </w:tcPr>
          <w:p>
            <w:pPr>
              <w:spacing w:after="0"/>
              <w:jc w:val="left"/>
              <w:rPr>
                <w:rFonts w:ascii="Calibri" w:hAnsi="Calibri" w:cs="Calibri"/>
                <w:noProof/>
                <w:color w:val="000000"/>
                <w:sz w:val="22"/>
                <w:szCs w:val="22"/>
              </w:rPr>
            </w:pPr>
            <w:r>
              <w:rPr>
                <w:rFonts w:ascii="Calibri" w:hAnsi="Calibri"/>
                <w:noProof/>
                <w:sz w:val="22"/>
                <w:szCs w:val="22"/>
              </w:rPr>
              <w:t>FI</w:t>
            </w:r>
          </w:p>
        </w:tc>
        <w:tc>
          <w:tcPr>
            <w:tcW w:w="1837" w:type="dxa"/>
            <w:tcBorders>
              <w:top w:val="nil"/>
              <w:left w:val="nil"/>
              <w:bottom w:val="single" w:sz="4" w:space="0" w:color="auto"/>
              <w:right w:val="single" w:sz="4" w:space="0" w:color="auto"/>
            </w:tcBorders>
            <w:shd w:val="clear" w:color="auto" w:fill="auto"/>
            <w:noWrap/>
            <w:vAlign w:val="bottom"/>
            <w:hideMark/>
          </w:tcPr>
          <w:p>
            <w:pPr>
              <w:spacing w:after="0"/>
              <w:jc w:val="left"/>
              <w:rPr>
                <w:rFonts w:ascii="Calibri" w:hAnsi="Calibri" w:cs="Calibri"/>
                <w:noProof/>
                <w:color w:val="000000"/>
                <w:sz w:val="22"/>
                <w:szCs w:val="22"/>
              </w:rPr>
            </w:pPr>
            <w:r>
              <w:rPr>
                <w:rFonts w:ascii="Calibri" w:hAnsi="Calibri"/>
                <w:noProof/>
                <w:sz w:val="22"/>
                <w:szCs w:val="22"/>
              </w:rPr>
              <w:t>Åland</w:t>
            </w:r>
          </w:p>
        </w:tc>
        <w:tc>
          <w:tcPr>
            <w:tcW w:w="700" w:type="dxa"/>
            <w:tcBorders>
              <w:top w:val="nil"/>
              <w:left w:val="nil"/>
              <w:bottom w:val="single" w:sz="4" w:space="0" w:color="auto"/>
              <w:right w:val="single" w:sz="4" w:space="0" w:color="auto"/>
            </w:tcBorders>
            <w:shd w:val="clear" w:color="auto" w:fill="auto"/>
            <w:noWrap/>
            <w:vAlign w:val="bottom"/>
            <w:hideMark/>
          </w:tcPr>
          <w:p>
            <w:pPr>
              <w:spacing w:after="0"/>
              <w:jc w:val="right"/>
              <w:rPr>
                <w:rFonts w:ascii="Calibri" w:hAnsi="Calibri" w:cs="Calibri"/>
                <w:noProof/>
                <w:color w:val="000000"/>
                <w:sz w:val="22"/>
                <w:szCs w:val="22"/>
              </w:rPr>
            </w:pPr>
            <w:r>
              <w:rPr>
                <w:rFonts w:ascii="Calibri" w:hAnsi="Calibri"/>
                <w:noProof/>
                <w:sz w:val="22"/>
                <w:szCs w:val="22"/>
              </w:rPr>
              <w:t>151</w:t>
            </w:r>
          </w:p>
        </w:tc>
        <w:tc>
          <w:tcPr>
            <w:tcW w:w="700" w:type="dxa"/>
            <w:tcBorders>
              <w:top w:val="nil"/>
              <w:left w:val="nil"/>
              <w:bottom w:val="single" w:sz="4" w:space="0" w:color="auto"/>
              <w:right w:val="single" w:sz="4" w:space="0" w:color="auto"/>
            </w:tcBorders>
            <w:shd w:val="clear" w:color="auto" w:fill="auto"/>
            <w:noWrap/>
            <w:vAlign w:val="bottom"/>
            <w:hideMark/>
          </w:tcPr>
          <w:p>
            <w:pPr>
              <w:spacing w:after="0"/>
              <w:jc w:val="right"/>
              <w:rPr>
                <w:rFonts w:ascii="Calibri" w:hAnsi="Calibri" w:cs="Calibri"/>
                <w:noProof/>
                <w:color w:val="000000"/>
                <w:sz w:val="22"/>
                <w:szCs w:val="22"/>
              </w:rPr>
            </w:pPr>
            <w:r>
              <w:rPr>
                <w:rFonts w:ascii="Calibri" w:hAnsi="Calibri"/>
                <w:noProof/>
                <w:sz w:val="22"/>
                <w:szCs w:val="22"/>
              </w:rPr>
              <w:t>144</w:t>
            </w:r>
          </w:p>
        </w:tc>
        <w:tc>
          <w:tcPr>
            <w:tcW w:w="1013" w:type="dxa"/>
            <w:tcBorders>
              <w:top w:val="nil"/>
              <w:left w:val="nil"/>
              <w:bottom w:val="single" w:sz="4" w:space="0" w:color="auto"/>
              <w:right w:val="single" w:sz="4" w:space="0" w:color="auto"/>
            </w:tcBorders>
            <w:shd w:val="clear" w:color="auto" w:fill="auto"/>
            <w:noWrap/>
            <w:vAlign w:val="bottom"/>
            <w:hideMark/>
          </w:tcPr>
          <w:p>
            <w:pPr>
              <w:spacing w:after="0"/>
              <w:jc w:val="right"/>
              <w:rPr>
                <w:rFonts w:ascii="Calibri" w:hAnsi="Calibri" w:cs="Calibri"/>
                <w:noProof/>
                <w:color w:val="000000"/>
                <w:sz w:val="22"/>
                <w:szCs w:val="22"/>
              </w:rPr>
            </w:pPr>
            <w:r>
              <w:rPr>
                <w:rFonts w:ascii="Calibri" w:hAnsi="Calibri"/>
                <w:noProof/>
                <w:sz w:val="22"/>
                <w:szCs w:val="22"/>
              </w:rPr>
              <w:t>129</w:t>
            </w:r>
          </w:p>
        </w:tc>
        <w:tc>
          <w:tcPr>
            <w:tcW w:w="929" w:type="dxa"/>
            <w:tcBorders>
              <w:top w:val="nil"/>
              <w:left w:val="nil"/>
              <w:bottom w:val="single" w:sz="4" w:space="0" w:color="auto"/>
              <w:right w:val="single" w:sz="4" w:space="0" w:color="auto"/>
            </w:tcBorders>
            <w:shd w:val="clear" w:color="auto" w:fill="auto"/>
            <w:noWrap/>
            <w:vAlign w:val="bottom"/>
            <w:hideMark/>
          </w:tcPr>
          <w:p>
            <w:pPr>
              <w:spacing w:after="0"/>
              <w:jc w:val="right"/>
              <w:rPr>
                <w:rFonts w:ascii="Calibri" w:hAnsi="Calibri" w:cs="Calibri"/>
                <w:noProof/>
                <w:color w:val="000000"/>
                <w:sz w:val="22"/>
                <w:szCs w:val="22"/>
              </w:rPr>
            </w:pPr>
            <w:r>
              <w:rPr>
                <w:rFonts w:ascii="Calibri" w:hAnsi="Calibri"/>
                <w:noProof/>
                <w:sz w:val="22"/>
                <w:szCs w:val="22"/>
              </w:rPr>
              <w:t>-1,1 %</w:t>
            </w:r>
          </w:p>
        </w:tc>
        <w:tc>
          <w:tcPr>
            <w:tcW w:w="1013" w:type="dxa"/>
            <w:tcBorders>
              <w:top w:val="nil"/>
              <w:left w:val="nil"/>
              <w:bottom w:val="single" w:sz="4" w:space="0" w:color="auto"/>
              <w:right w:val="single" w:sz="4" w:space="0" w:color="auto"/>
            </w:tcBorders>
            <w:shd w:val="clear" w:color="auto" w:fill="auto"/>
            <w:noWrap/>
            <w:vAlign w:val="bottom"/>
            <w:hideMark/>
          </w:tcPr>
          <w:p>
            <w:pPr>
              <w:spacing w:after="0"/>
              <w:jc w:val="right"/>
              <w:rPr>
                <w:rFonts w:ascii="Calibri" w:hAnsi="Calibri" w:cs="Calibri"/>
                <w:noProof/>
                <w:color w:val="000000"/>
                <w:sz w:val="22"/>
                <w:szCs w:val="22"/>
              </w:rPr>
            </w:pPr>
            <w:r>
              <w:rPr>
                <w:rFonts w:ascii="Calibri" w:hAnsi="Calibri"/>
                <w:noProof/>
                <w:sz w:val="22"/>
                <w:szCs w:val="22"/>
              </w:rPr>
              <w:t>-1,6 %</w:t>
            </w:r>
          </w:p>
        </w:tc>
      </w:tr>
      <w:tr>
        <w:trPr>
          <w:trHeight w:val="300"/>
          <w:jc w:val="center"/>
        </w:trPr>
        <w:tc>
          <w:tcPr>
            <w:tcW w:w="1330" w:type="dxa"/>
            <w:tcBorders>
              <w:top w:val="nil"/>
              <w:left w:val="single" w:sz="4" w:space="0" w:color="auto"/>
              <w:bottom w:val="single" w:sz="4" w:space="0" w:color="auto"/>
              <w:right w:val="single" w:sz="4" w:space="0" w:color="auto"/>
            </w:tcBorders>
            <w:shd w:val="clear" w:color="auto" w:fill="auto"/>
            <w:noWrap/>
            <w:vAlign w:val="bottom"/>
            <w:hideMark/>
          </w:tcPr>
          <w:p>
            <w:pPr>
              <w:spacing w:after="0"/>
              <w:jc w:val="left"/>
              <w:rPr>
                <w:rFonts w:ascii="Calibri" w:hAnsi="Calibri" w:cs="Calibri"/>
                <w:noProof/>
                <w:color w:val="000000"/>
                <w:sz w:val="22"/>
                <w:szCs w:val="22"/>
              </w:rPr>
            </w:pPr>
            <w:r>
              <w:rPr>
                <w:rFonts w:ascii="Calibri" w:hAnsi="Calibri"/>
                <w:noProof/>
                <w:sz w:val="22"/>
                <w:szCs w:val="22"/>
              </w:rPr>
              <w:t>EL</w:t>
            </w:r>
          </w:p>
        </w:tc>
        <w:tc>
          <w:tcPr>
            <w:tcW w:w="1837" w:type="dxa"/>
            <w:tcBorders>
              <w:top w:val="nil"/>
              <w:left w:val="nil"/>
              <w:bottom w:val="single" w:sz="4" w:space="0" w:color="auto"/>
              <w:right w:val="single" w:sz="4" w:space="0" w:color="auto"/>
            </w:tcBorders>
            <w:shd w:val="clear" w:color="auto" w:fill="auto"/>
            <w:noWrap/>
            <w:vAlign w:val="bottom"/>
            <w:hideMark/>
          </w:tcPr>
          <w:p>
            <w:pPr>
              <w:spacing w:after="0"/>
              <w:jc w:val="left"/>
              <w:rPr>
                <w:rFonts w:ascii="Calibri" w:hAnsi="Calibri" w:cs="Calibri"/>
                <w:noProof/>
                <w:color w:val="000000"/>
                <w:sz w:val="22"/>
                <w:szCs w:val="22"/>
              </w:rPr>
            </w:pPr>
            <w:r>
              <w:rPr>
                <w:rFonts w:ascii="Calibri" w:hAnsi="Calibri"/>
                <w:noProof/>
                <w:sz w:val="22"/>
                <w:szCs w:val="22"/>
              </w:rPr>
              <w:t>Chios</w:t>
            </w:r>
          </w:p>
        </w:tc>
        <w:tc>
          <w:tcPr>
            <w:tcW w:w="700" w:type="dxa"/>
            <w:tcBorders>
              <w:top w:val="nil"/>
              <w:left w:val="nil"/>
              <w:bottom w:val="single" w:sz="4" w:space="0" w:color="auto"/>
              <w:right w:val="single" w:sz="4" w:space="0" w:color="auto"/>
            </w:tcBorders>
            <w:shd w:val="clear" w:color="auto" w:fill="auto"/>
            <w:noWrap/>
            <w:vAlign w:val="bottom"/>
            <w:hideMark/>
          </w:tcPr>
          <w:p>
            <w:pPr>
              <w:spacing w:after="0"/>
              <w:jc w:val="right"/>
              <w:rPr>
                <w:rFonts w:ascii="Calibri" w:hAnsi="Calibri" w:cs="Calibri"/>
                <w:noProof/>
                <w:color w:val="000000"/>
                <w:sz w:val="22"/>
                <w:szCs w:val="22"/>
              </w:rPr>
            </w:pPr>
            <w:r>
              <w:rPr>
                <w:rFonts w:ascii="Calibri" w:hAnsi="Calibri"/>
                <w:noProof/>
                <w:sz w:val="22"/>
                <w:szCs w:val="22"/>
              </w:rPr>
              <w:t>66</w:t>
            </w:r>
          </w:p>
        </w:tc>
        <w:tc>
          <w:tcPr>
            <w:tcW w:w="700" w:type="dxa"/>
            <w:tcBorders>
              <w:top w:val="nil"/>
              <w:left w:val="nil"/>
              <w:bottom w:val="single" w:sz="4" w:space="0" w:color="auto"/>
              <w:right w:val="single" w:sz="4" w:space="0" w:color="auto"/>
            </w:tcBorders>
            <w:shd w:val="clear" w:color="auto" w:fill="auto"/>
            <w:noWrap/>
            <w:vAlign w:val="bottom"/>
            <w:hideMark/>
          </w:tcPr>
          <w:p>
            <w:pPr>
              <w:spacing w:after="0"/>
              <w:jc w:val="right"/>
              <w:rPr>
                <w:rFonts w:ascii="Calibri" w:hAnsi="Calibri" w:cs="Calibri"/>
                <w:noProof/>
                <w:color w:val="000000"/>
                <w:sz w:val="22"/>
                <w:szCs w:val="22"/>
              </w:rPr>
            </w:pPr>
            <w:r>
              <w:rPr>
                <w:rFonts w:ascii="Calibri" w:hAnsi="Calibri"/>
                <w:noProof/>
                <w:sz w:val="22"/>
                <w:szCs w:val="22"/>
              </w:rPr>
              <w:t>73</w:t>
            </w:r>
          </w:p>
        </w:tc>
        <w:tc>
          <w:tcPr>
            <w:tcW w:w="1013" w:type="dxa"/>
            <w:tcBorders>
              <w:top w:val="nil"/>
              <w:left w:val="nil"/>
              <w:bottom w:val="single" w:sz="4" w:space="0" w:color="auto"/>
              <w:right w:val="single" w:sz="4" w:space="0" w:color="auto"/>
            </w:tcBorders>
            <w:shd w:val="clear" w:color="auto" w:fill="auto"/>
            <w:noWrap/>
            <w:vAlign w:val="bottom"/>
            <w:hideMark/>
          </w:tcPr>
          <w:p>
            <w:pPr>
              <w:spacing w:after="0"/>
              <w:jc w:val="right"/>
              <w:rPr>
                <w:rFonts w:ascii="Calibri" w:hAnsi="Calibri" w:cs="Calibri"/>
                <w:noProof/>
                <w:color w:val="000000"/>
                <w:sz w:val="22"/>
                <w:szCs w:val="22"/>
              </w:rPr>
            </w:pPr>
            <w:r>
              <w:rPr>
                <w:rFonts w:ascii="Calibri" w:hAnsi="Calibri"/>
                <w:noProof/>
                <w:sz w:val="22"/>
                <w:szCs w:val="22"/>
              </w:rPr>
              <w:t>50</w:t>
            </w:r>
          </w:p>
        </w:tc>
        <w:tc>
          <w:tcPr>
            <w:tcW w:w="929" w:type="dxa"/>
            <w:tcBorders>
              <w:top w:val="nil"/>
              <w:left w:val="nil"/>
              <w:bottom w:val="single" w:sz="4" w:space="0" w:color="auto"/>
              <w:right w:val="single" w:sz="4" w:space="0" w:color="auto"/>
            </w:tcBorders>
            <w:shd w:val="clear" w:color="auto" w:fill="auto"/>
            <w:noWrap/>
            <w:vAlign w:val="bottom"/>
            <w:hideMark/>
          </w:tcPr>
          <w:p>
            <w:pPr>
              <w:spacing w:after="0"/>
              <w:jc w:val="right"/>
              <w:rPr>
                <w:rFonts w:ascii="Calibri" w:hAnsi="Calibri" w:cs="Calibri"/>
                <w:noProof/>
                <w:color w:val="000000"/>
                <w:sz w:val="22"/>
                <w:szCs w:val="22"/>
              </w:rPr>
            </w:pPr>
            <w:r>
              <w:rPr>
                <w:rFonts w:ascii="Calibri" w:hAnsi="Calibri"/>
                <w:noProof/>
                <w:sz w:val="22"/>
                <w:szCs w:val="22"/>
              </w:rPr>
              <w:t>-2,0 %</w:t>
            </w:r>
          </w:p>
        </w:tc>
        <w:tc>
          <w:tcPr>
            <w:tcW w:w="1013" w:type="dxa"/>
            <w:tcBorders>
              <w:top w:val="nil"/>
              <w:left w:val="nil"/>
              <w:bottom w:val="single" w:sz="4" w:space="0" w:color="auto"/>
              <w:right w:val="single" w:sz="4" w:space="0" w:color="auto"/>
            </w:tcBorders>
            <w:shd w:val="clear" w:color="auto" w:fill="auto"/>
            <w:noWrap/>
            <w:vAlign w:val="bottom"/>
            <w:hideMark/>
          </w:tcPr>
          <w:p>
            <w:pPr>
              <w:spacing w:after="0"/>
              <w:jc w:val="right"/>
              <w:rPr>
                <w:rFonts w:ascii="Calibri" w:hAnsi="Calibri" w:cs="Calibri"/>
                <w:noProof/>
                <w:color w:val="000000"/>
                <w:sz w:val="22"/>
                <w:szCs w:val="22"/>
              </w:rPr>
            </w:pPr>
            <w:r>
              <w:rPr>
                <w:rFonts w:ascii="Calibri" w:hAnsi="Calibri"/>
                <w:noProof/>
                <w:sz w:val="22"/>
                <w:szCs w:val="22"/>
              </w:rPr>
              <w:t>-5,3 %</w:t>
            </w:r>
          </w:p>
        </w:tc>
      </w:tr>
      <w:tr>
        <w:trPr>
          <w:trHeight w:val="300"/>
          <w:jc w:val="center"/>
        </w:trPr>
        <w:tc>
          <w:tcPr>
            <w:tcW w:w="1330" w:type="dxa"/>
            <w:tcBorders>
              <w:top w:val="nil"/>
              <w:left w:val="single" w:sz="4" w:space="0" w:color="auto"/>
              <w:bottom w:val="single" w:sz="4" w:space="0" w:color="auto"/>
              <w:right w:val="single" w:sz="4" w:space="0" w:color="auto"/>
            </w:tcBorders>
            <w:shd w:val="clear" w:color="auto" w:fill="auto"/>
            <w:noWrap/>
            <w:vAlign w:val="bottom"/>
            <w:hideMark/>
          </w:tcPr>
          <w:p>
            <w:pPr>
              <w:spacing w:after="0"/>
              <w:jc w:val="left"/>
              <w:rPr>
                <w:rFonts w:ascii="Calibri" w:hAnsi="Calibri" w:cs="Calibri"/>
                <w:noProof/>
                <w:color w:val="000000"/>
                <w:sz w:val="22"/>
                <w:szCs w:val="22"/>
              </w:rPr>
            </w:pPr>
            <w:r>
              <w:rPr>
                <w:rFonts w:ascii="Calibri" w:hAnsi="Calibri"/>
                <w:noProof/>
                <w:sz w:val="22"/>
                <w:szCs w:val="22"/>
              </w:rPr>
              <w:t>EL</w:t>
            </w:r>
          </w:p>
        </w:tc>
        <w:tc>
          <w:tcPr>
            <w:tcW w:w="1837" w:type="dxa"/>
            <w:tcBorders>
              <w:top w:val="nil"/>
              <w:left w:val="nil"/>
              <w:bottom w:val="single" w:sz="4" w:space="0" w:color="auto"/>
              <w:right w:val="single" w:sz="4" w:space="0" w:color="auto"/>
            </w:tcBorders>
            <w:shd w:val="clear" w:color="auto" w:fill="auto"/>
            <w:noWrap/>
            <w:vAlign w:val="bottom"/>
            <w:hideMark/>
          </w:tcPr>
          <w:p>
            <w:pPr>
              <w:spacing w:after="0"/>
              <w:jc w:val="left"/>
              <w:rPr>
                <w:rFonts w:ascii="Calibri" w:hAnsi="Calibri" w:cs="Calibri"/>
                <w:noProof/>
                <w:color w:val="000000"/>
                <w:sz w:val="22"/>
                <w:szCs w:val="22"/>
              </w:rPr>
            </w:pPr>
            <w:r>
              <w:rPr>
                <w:rFonts w:ascii="Calibri" w:hAnsi="Calibri"/>
                <w:noProof/>
                <w:sz w:val="22"/>
                <w:szCs w:val="22"/>
              </w:rPr>
              <w:t>Zakynthos</w:t>
            </w:r>
          </w:p>
        </w:tc>
        <w:tc>
          <w:tcPr>
            <w:tcW w:w="700" w:type="dxa"/>
            <w:tcBorders>
              <w:top w:val="nil"/>
              <w:left w:val="nil"/>
              <w:bottom w:val="single" w:sz="4" w:space="0" w:color="auto"/>
              <w:right w:val="single" w:sz="4" w:space="0" w:color="auto"/>
            </w:tcBorders>
            <w:shd w:val="clear" w:color="auto" w:fill="auto"/>
            <w:noWrap/>
            <w:vAlign w:val="bottom"/>
            <w:hideMark/>
          </w:tcPr>
          <w:p>
            <w:pPr>
              <w:spacing w:after="0"/>
              <w:jc w:val="right"/>
              <w:rPr>
                <w:rFonts w:ascii="Calibri" w:hAnsi="Calibri" w:cs="Calibri"/>
                <w:noProof/>
                <w:color w:val="000000"/>
                <w:sz w:val="22"/>
                <w:szCs w:val="22"/>
              </w:rPr>
            </w:pPr>
            <w:r>
              <w:rPr>
                <w:rFonts w:ascii="Calibri" w:hAnsi="Calibri"/>
                <w:noProof/>
                <w:sz w:val="22"/>
                <w:szCs w:val="22"/>
              </w:rPr>
              <w:t>104</w:t>
            </w:r>
          </w:p>
        </w:tc>
        <w:tc>
          <w:tcPr>
            <w:tcW w:w="700" w:type="dxa"/>
            <w:tcBorders>
              <w:top w:val="nil"/>
              <w:left w:val="nil"/>
              <w:bottom w:val="single" w:sz="4" w:space="0" w:color="auto"/>
              <w:right w:val="single" w:sz="4" w:space="0" w:color="auto"/>
            </w:tcBorders>
            <w:shd w:val="clear" w:color="auto" w:fill="auto"/>
            <w:noWrap/>
            <w:vAlign w:val="bottom"/>
            <w:hideMark/>
          </w:tcPr>
          <w:p>
            <w:pPr>
              <w:spacing w:after="0"/>
              <w:jc w:val="right"/>
              <w:rPr>
                <w:rFonts w:ascii="Calibri" w:hAnsi="Calibri" w:cs="Calibri"/>
                <w:noProof/>
                <w:color w:val="000000"/>
                <w:sz w:val="22"/>
                <w:szCs w:val="22"/>
              </w:rPr>
            </w:pPr>
            <w:r>
              <w:rPr>
                <w:rFonts w:ascii="Calibri" w:hAnsi="Calibri"/>
                <w:noProof/>
                <w:sz w:val="22"/>
                <w:szCs w:val="22"/>
              </w:rPr>
              <w:t>104</w:t>
            </w:r>
          </w:p>
        </w:tc>
        <w:tc>
          <w:tcPr>
            <w:tcW w:w="1013" w:type="dxa"/>
            <w:tcBorders>
              <w:top w:val="nil"/>
              <w:left w:val="nil"/>
              <w:bottom w:val="single" w:sz="4" w:space="0" w:color="auto"/>
              <w:right w:val="single" w:sz="4" w:space="0" w:color="auto"/>
            </w:tcBorders>
            <w:shd w:val="clear" w:color="auto" w:fill="auto"/>
            <w:noWrap/>
            <w:vAlign w:val="bottom"/>
            <w:hideMark/>
          </w:tcPr>
          <w:p>
            <w:pPr>
              <w:spacing w:after="0"/>
              <w:jc w:val="right"/>
              <w:rPr>
                <w:rFonts w:ascii="Calibri" w:hAnsi="Calibri" w:cs="Calibri"/>
                <w:noProof/>
                <w:color w:val="000000"/>
                <w:sz w:val="22"/>
                <w:szCs w:val="22"/>
              </w:rPr>
            </w:pPr>
            <w:r>
              <w:rPr>
                <w:rFonts w:ascii="Calibri" w:hAnsi="Calibri"/>
                <w:noProof/>
                <w:sz w:val="22"/>
                <w:szCs w:val="22"/>
              </w:rPr>
              <w:t>75</w:t>
            </w:r>
          </w:p>
        </w:tc>
        <w:tc>
          <w:tcPr>
            <w:tcW w:w="929" w:type="dxa"/>
            <w:tcBorders>
              <w:top w:val="nil"/>
              <w:left w:val="nil"/>
              <w:bottom w:val="single" w:sz="4" w:space="0" w:color="auto"/>
              <w:right w:val="single" w:sz="4" w:space="0" w:color="auto"/>
            </w:tcBorders>
            <w:shd w:val="clear" w:color="auto" w:fill="auto"/>
            <w:noWrap/>
            <w:vAlign w:val="bottom"/>
            <w:hideMark/>
          </w:tcPr>
          <w:p>
            <w:pPr>
              <w:spacing w:after="0"/>
              <w:jc w:val="right"/>
              <w:rPr>
                <w:rFonts w:ascii="Calibri" w:hAnsi="Calibri" w:cs="Calibri"/>
                <w:noProof/>
                <w:color w:val="000000"/>
                <w:sz w:val="22"/>
                <w:szCs w:val="22"/>
              </w:rPr>
            </w:pPr>
            <w:r>
              <w:rPr>
                <w:rFonts w:ascii="Calibri" w:hAnsi="Calibri"/>
                <w:noProof/>
                <w:sz w:val="22"/>
                <w:szCs w:val="22"/>
              </w:rPr>
              <w:t>-2,3 %</w:t>
            </w:r>
          </w:p>
        </w:tc>
        <w:tc>
          <w:tcPr>
            <w:tcW w:w="1013" w:type="dxa"/>
            <w:tcBorders>
              <w:top w:val="nil"/>
              <w:left w:val="nil"/>
              <w:bottom w:val="single" w:sz="4" w:space="0" w:color="auto"/>
              <w:right w:val="single" w:sz="4" w:space="0" w:color="auto"/>
            </w:tcBorders>
            <w:shd w:val="clear" w:color="auto" w:fill="auto"/>
            <w:noWrap/>
            <w:vAlign w:val="bottom"/>
            <w:hideMark/>
          </w:tcPr>
          <w:p>
            <w:pPr>
              <w:spacing w:after="0"/>
              <w:jc w:val="right"/>
              <w:rPr>
                <w:rFonts w:ascii="Calibri" w:hAnsi="Calibri" w:cs="Calibri"/>
                <w:noProof/>
                <w:color w:val="000000"/>
                <w:sz w:val="22"/>
                <w:szCs w:val="22"/>
              </w:rPr>
            </w:pPr>
            <w:r>
              <w:rPr>
                <w:rFonts w:ascii="Calibri" w:hAnsi="Calibri"/>
                <w:noProof/>
                <w:sz w:val="22"/>
                <w:szCs w:val="22"/>
              </w:rPr>
              <w:t>-4,6 %</w:t>
            </w:r>
          </w:p>
        </w:tc>
      </w:tr>
      <w:tr>
        <w:trPr>
          <w:trHeight w:val="300"/>
          <w:jc w:val="center"/>
        </w:trPr>
        <w:tc>
          <w:tcPr>
            <w:tcW w:w="1330" w:type="dxa"/>
            <w:tcBorders>
              <w:top w:val="nil"/>
              <w:left w:val="single" w:sz="4" w:space="0" w:color="auto"/>
              <w:bottom w:val="single" w:sz="4" w:space="0" w:color="auto"/>
              <w:right w:val="single" w:sz="4" w:space="0" w:color="auto"/>
            </w:tcBorders>
            <w:shd w:val="clear" w:color="auto" w:fill="auto"/>
            <w:noWrap/>
            <w:vAlign w:val="bottom"/>
            <w:hideMark/>
          </w:tcPr>
          <w:p>
            <w:pPr>
              <w:spacing w:after="0"/>
              <w:jc w:val="left"/>
              <w:rPr>
                <w:rFonts w:ascii="Calibri" w:hAnsi="Calibri" w:cs="Calibri"/>
                <w:noProof/>
                <w:color w:val="000000"/>
                <w:sz w:val="22"/>
                <w:szCs w:val="22"/>
              </w:rPr>
            </w:pPr>
            <w:r>
              <w:rPr>
                <w:rFonts w:ascii="Calibri" w:hAnsi="Calibri"/>
                <w:noProof/>
                <w:sz w:val="22"/>
                <w:szCs w:val="22"/>
              </w:rPr>
              <w:t>EL</w:t>
            </w:r>
          </w:p>
        </w:tc>
        <w:tc>
          <w:tcPr>
            <w:tcW w:w="1837" w:type="dxa"/>
            <w:tcBorders>
              <w:top w:val="nil"/>
              <w:left w:val="nil"/>
              <w:bottom w:val="single" w:sz="4" w:space="0" w:color="auto"/>
              <w:right w:val="single" w:sz="4" w:space="0" w:color="auto"/>
            </w:tcBorders>
            <w:shd w:val="clear" w:color="auto" w:fill="auto"/>
            <w:noWrap/>
            <w:vAlign w:val="bottom"/>
            <w:hideMark/>
          </w:tcPr>
          <w:p>
            <w:pPr>
              <w:spacing w:after="0"/>
              <w:jc w:val="left"/>
              <w:rPr>
                <w:rFonts w:ascii="Calibri" w:hAnsi="Calibri" w:cs="Calibri"/>
                <w:noProof/>
                <w:color w:val="000000"/>
                <w:sz w:val="22"/>
                <w:szCs w:val="22"/>
              </w:rPr>
            </w:pPr>
            <w:r>
              <w:rPr>
                <w:rFonts w:ascii="Calibri" w:hAnsi="Calibri"/>
                <w:noProof/>
                <w:sz w:val="22"/>
                <w:szCs w:val="22"/>
              </w:rPr>
              <w:t>Ikaria, Samos</w:t>
            </w:r>
          </w:p>
        </w:tc>
        <w:tc>
          <w:tcPr>
            <w:tcW w:w="700" w:type="dxa"/>
            <w:tcBorders>
              <w:top w:val="nil"/>
              <w:left w:val="nil"/>
              <w:bottom w:val="single" w:sz="4" w:space="0" w:color="auto"/>
              <w:right w:val="single" w:sz="4" w:space="0" w:color="auto"/>
            </w:tcBorders>
            <w:shd w:val="clear" w:color="auto" w:fill="auto"/>
            <w:noWrap/>
            <w:vAlign w:val="bottom"/>
            <w:hideMark/>
          </w:tcPr>
          <w:p>
            <w:pPr>
              <w:spacing w:after="0"/>
              <w:jc w:val="right"/>
              <w:rPr>
                <w:rFonts w:ascii="Calibri" w:hAnsi="Calibri" w:cs="Calibri"/>
                <w:noProof/>
                <w:color w:val="000000"/>
                <w:sz w:val="22"/>
                <w:szCs w:val="22"/>
              </w:rPr>
            </w:pPr>
            <w:r>
              <w:rPr>
                <w:rFonts w:ascii="Calibri" w:hAnsi="Calibri"/>
                <w:noProof/>
                <w:sz w:val="22"/>
                <w:szCs w:val="22"/>
              </w:rPr>
              <w:t>65</w:t>
            </w:r>
          </w:p>
        </w:tc>
        <w:tc>
          <w:tcPr>
            <w:tcW w:w="700" w:type="dxa"/>
            <w:tcBorders>
              <w:top w:val="nil"/>
              <w:left w:val="nil"/>
              <w:bottom w:val="single" w:sz="4" w:space="0" w:color="auto"/>
              <w:right w:val="single" w:sz="4" w:space="0" w:color="auto"/>
            </w:tcBorders>
            <w:shd w:val="clear" w:color="auto" w:fill="auto"/>
            <w:noWrap/>
            <w:vAlign w:val="bottom"/>
            <w:hideMark/>
          </w:tcPr>
          <w:p>
            <w:pPr>
              <w:spacing w:after="0"/>
              <w:jc w:val="right"/>
              <w:rPr>
                <w:rFonts w:ascii="Calibri" w:hAnsi="Calibri" w:cs="Calibri"/>
                <w:noProof/>
                <w:color w:val="000000"/>
                <w:sz w:val="22"/>
                <w:szCs w:val="22"/>
              </w:rPr>
            </w:pPr>
            <w:r>
              <w:rPr>
                <w:rFonts w:ascii="Calibri" w:hAnsi="Calibri"/>
                <w:noProof/>
                <w:sz w:val="22"/>
                <w:szCs w:val="22"/>
              </w:rPr>
              <w:t>79</w:t>
            </w:r>
          </w:p>
        </w:tc>
        <w:tc>
          <w:tcPr>
            <w:tcW w:w="1013" w:type="dxa"/>
            <w:tcBorders>
              <w:top w:val="nil"/>
              <w:left w:val="nil"/>
              <w:bottom w:val="single" w:sz="4" w:space="0" w:color="auto"/>
              <w:right w:val="single" w:sz="4" w:space="0" w:color="auto"/>
            </w:tcBorders>
            <w:shd w:val="clear" w:color="auto" w:fill="auto"/>
            <w:noWrap/>
            <w:vAlign w:val="bottom"/>
            <w:hideMark/>
          </w:tcPr>
          <w:p>
            <w:pPr>
              <w:spacing w:after="0"/>
              <w:jc w:val="right"/>
              <w:rPr>
                <w:rFonts w:ascii="Calibri" w:hAnsi="Calibri" w:cs="Calibri"/>
                <w:noProof/>
                <w:color w:val="000000"/>
                <w:sz w:val="22"/>
                <w:szCs w:val="22"/>
              </w:rPr>
            </w:pPr>
            <w:r>
              <w:rPr>
                <w:rFonts w:ascii="Calibri" w:hAnsi="Calibri"/>
                <w:noProof/>
                <w:sz w:val="22"/>
                <w:szCs w:val="22"/>
              </w:rPr>
              <w:t>51</w:t>
            </w:r>
          </w:p>
        </w:tc>
        <w:tc>
          <w:tcPr>
            <w:tcW w:w="929" w:type="dxa"/>
            <w:tcBorders>
              <w:top w:val="nil"/>
              <w:left w:val="nil"/>
              <w:bottom w:val="single" w:sz="4" w:space="0" w:color="auto"/>
              <w:right w:val="single" w:sz="4" w:space="0" w:color="auto"/>
            </w:tcBorders>
            <w:shd w:val="clear" w:color="auto" w:fill="auto"/>
            <w:noWrap/>
            <w:vAlign w:val="bottom"/>
            <w:hideMark/>
          </w:tcPr>
          <w:p>
            <w:pPr>
              <w:spacing w:after="0"/>
              <w:jc w:val="right"/>
              <w:rPr>
                <w:rFonts w:ascii="Calibri" w:hAnsi="Calibri" w:cs="Calibri"/>
                <w:noProof/>
                <w:color w:val="000000"/>
                <w:sz w:val="22"/>
                <w:szCs w:val="22"/>
              </w:rPr>
            </w:pPr>
            <w:r>
              <w:rPr>
                <w:rFonts w:ascii="Calibri" w:hAnsi="Calibri"/>
                <w:noProof/>
                <w:sz w:val="22"/>
                <w:szCs w:val="22"/>
              </w:rPr>
              <w:t>-1,7 %</w:t>
            </w:r>
          </w:p>
        </w:tc>
        <w:tc>
          <w:tcPr>
            <w:tcW w:w="1013" w:type="dxa"/>
            <w:tcBorders>
              <w:top w:val="nil"/>
              <w:left w:val="nil"/>
              <w:bottom w:val="single" w:sz="4" w:space="0" w:color="auto"/>
              <w:right w:val="single" w:sz="4" w:space="0" w:color="auto"/>
            </w:tcBorders>
            <w:shd w:val="clear" w:color="auto" w:fill="auto"/>
            <w:noWrap/>
            <w:vAlign w:val="bottom"/>
            <w:hideMark/>
          </w:tcPr>
          <w:p>
            <w:pPr>
              <w:spacing w:after="0"/>
              <w:jc w:val="right"/>
              <w:rPr>
                <w:rFonts w:ascii="Calibri" w:hAnsi="Calibri" w:cs="Calibri"/>
                <w:noProof/>
                <w:color w:val="000000"/>
                <w:sz w:val="22"/>
                <w:szCs w:val="22"/>
              </w:rPr>
            </w:pPr>
            <w:r>
              <w:rPr>
                <w:rFonts w:ascii="Calibri" w:hAnsi="Calibri"/>
                <w:noProof/>
                <w:sz w:val="22"/>
                <w:szCs w:val="22"/>
              </w:rPr>
              <w:t>-6,1 %</w:t>
            </w:r>
          </w:p>
        </w:tc>
      </w:tr>
      <w:tr>
        <w:trPr>
          <w:trHeight w:val="300"/>
          <w:jc w:val="center"/>
        </w:trPr>
        <w:tc>
          <w:tcPr>
            <w:tcW w:w="1330" w:type="dxa"/>
            <w:tcBorders>
              <w:top w:val="nil"/>
              <w:left w:val="single" w:sz="4" w:space="0" w:color="auto"/>
              <w:bottom w:val="single" w:sz="4" w:space="0" w:color="auto"/>
              <w:right w:val="single" w:sz="4" w:space="0" w:color="auto"/>
            </w:tcBorders>
            <w:shd w:val="clear" w:color="auto" w:fill="auto"/>
            <w:noWrap/>
            <w:vAlign w:val="bottom"/>
            <w:hideMark/>
          </w:tcPr>
          <w:p>
            <w:pPr>
              <w:spacing w:after="0"/>
              <w:jc w:val="left"/>
              <w:rPr>
                <w:rFonts w:ascii="Calibri" w:hAnsi="Calibri" w:cs="Calibri"/>
                <w:noProof/>
                <w:color w:val="000000"/>
                <w:sz w:val="22"/>
                <w:szCs w:val="22"/>
              </w:rPr>
            </w:pPr>
            <w:r>
              <w:rPr>
                <w:rFonts w:ascii="Calibri" w:hAnsi="Calibri"/>
                <w:noProof/>
                <w:sz w:val="22"/>
                <w:szCs w:val="22"/>
              </w:rPr>
              <w:t>EL</w:t>
            </w:r>
          </w:p>
        </w:tc>
        <w:tc>
          <w:tcPr>
            <w:tcW w:w="1837" w:type="dxa"/>
            <w:tcBorders>
              <w:top w:val="nil"/>
              <w:left w:val="nil"/>
              <w:bottom w:val="single" w:sz="4" w:space="0" w:color="auto"/>
              <w:right w:val="single" w:sz="4" w:space="0" w:color="auto"/>
            </w:tcBorders>
            <w:shd w:val="clear" w:color="auto" w:fill="auto"/>
            <w:noWrap/>
            <w:vAlign w:val="bottom"/>
            <w:hideMark/>
          </w:tcPr>
          <w:p>
            <w:pPr>
              <w:spacing w:after="0"/>
              <w:jc w:val="left"/>
              <w:rPr>
                <w:rFonts w:ascii="Calibri" w:hAnsi="Calibri" w:cs="Calibri"/>
                <w:noProof/>
                <w:color w:val="000000"/>
                <w:sz w:val="22"/>
                <w:szCs w:val="22"/>
              </w:rPr>
            </w:pPr>
            <w:r>
              <w:rPr>
                <w:rFonts w:ascii="Calibri" w:hAnsi="Calibri"/>
                <w:noProof/>
                <w:sz w:val="22"/>
                <w:szCs w:val="22"/>
              </w:rPr>
              <w:t>Ithaki, Kefallinia</w:t>
            </w:r>
          </w:p>
        </w:tc>
        <w:tc>
          <w:tcPr>
            <w:tcW w:w="700" w:type="dxa"/>
            <w:tcBorders>
              <w:top w:val="nil"/>
              <w:left w:val="nil"/>
              <w:bottom w:val="single" w:sz="4" w:space="0" w:color="auto"/>
              <w:right w:val="single" w:sz="4" w:space="0" w:color="auto"/>
            </w:tcBorders>
            <w:shd w:val="clear" w:color="auto" w:fill="auto"/>
            <w:noWrap/>
            <w:vAlign w:val="bottom"/>
            <w:hideMark/>
          </w:tcPr>
          <w:p>
            <w:pPr>
              <w:spacing w:after="0"/>
              <w:jc w:val="right"/>
              <w:rPr>
                <w:rFonts w:ascii="Calibri" w:hAnsi="Calibri" w:cs="Calibri"/>
                <w:noProof/>
                <w:color w:val="000000"/>
                <w:sz w:val="22"/>
                <w:szCs w:val="22"/>
              </w:rPr>
            </w:pPr>
            <w:r>
              <w:rPr>
                <w:rFonts w:ascii="Calibri" w:hAnsi="Calibri"/>
                <w:noProof/>
                <w:sz w:val="22"/>
                <w:szCs w:val="22"/>
              </w:rPr>
              <w:t>89</w:t>
            </w:r>
          </w:p>
        </w:tc>
        <w:tc>
          <w:tcPr>
            <w:tcW w:w="700" w:type="dxa"/>
            <w:tcBorders>
              <w:top w:val="nil"/>
              <w:left w:val="nil"/>
              <w:bottom w:val="single" w:sz="4" w:space="0" w:color="auto"/>
              <w:right w:val="single" w:sz="4" w:space="0" w:color="auto"/>
            </w:tcBorders>
            <w:shd w:val="clear" w:color="auto" w:fill="auto"/>
            <w:noWrap/>
            <w:vAlign w:val="bottom"/>
            <w:hideMark/>
          </w:tcPr>
          <w:p>
            <w:pPr>
              <w:spacing w:after="0"/>
              <w:jc w:val="right"/>
              <w:rPr>
                <w:rFonts w:ascii="Calibri" w:hAnsi="Calibri" w:cs="Calibri"/>
                <w:noProof/>
                <w:color w:val="000000"/>
                <w:sz w:val="22"/>
                <w:szCs w:val="22"/>
              </w:rPr>
            </w:pPr>
            <w:r>
              <w:rPr>
                <w:rFonts w:ascii="Calibri" w:hAnsi="Calibri"/>
                <w:noProof/>
                <w:sz w:val="22"/>
                <w:szCs w:val="22"/>
              </w:rPr>
              <w:t>94</w:t>
            </w:r>
          </w:p>
        </w:tc>
        <w:tc>
          <w:tcPr>
            <w:tcW w:w="1013" w:type="dxa"/>
            <w:tcBorders>
              <w:top w:val="nil"/>
              <w:left w:val="nil"/>
              <w:bottom w:val="single" w:sz="4" w:space="0" w:color="auto"/>
              <w:right w:val="single" w:sz="4" w:space="0" w:color="auto"/>
            </w:tcBorders>
            <w:shd w:val="clear" w:color="auto" w:fill="auto"/>
            <w:noWrap/>
            <w:vAlign w:val="bottom"/>
            <w:hideMark/>
          </w:tcPr>
          <w:p>
            <w:pPr>
              <w:spacing w:after="0"/>
              <w:jc w:val="right"/>
              <w:rPr>
                <w:rFonts w:ascii="Calibri" w:hAnsi="Calibri" w:cs="Calibri"/>
                <w:noProof/>
                <w:color w:val="000000"/>
                <w:sz w:val="22"/>
                <w:szCs w:val="22"/>
              </w:rPr>
            </w:pPr>
            <w:r>
              <w:rPr>
                <w:rFonts w:ascii="Calibri" w:hAnsi="Calibri"/>
                <w:noProof/>
                <w:sz w:val="22"/>
                <w:szCs w:val="22"/>
              </w:rPr>
              <w:t>60</w:t>
            </w:r>
          </w:p>
        </w:tc>
        <w:tc>
          <w:tcPr>
            <w:tcW w:w="929" w:type="dxa"/>
            <w:tcBorders>
              <w:top w:val="nil"/>
              <w:left w:val="nil"/>
              <w:bottom w:val="single" w:sz="4" w:space="0" w:color="auto"/>
              <w:right w:val="single" w:sz="4" w:space="0" w:color="auto"/>
            </w:tcBorders>
            <w:shd w:val="clear" w:color="auto" w:fill="auto"/>
            <w:noWrap/>
            <w:vAlign w:val="bottom"/>
            <w:hideMark/>
          </w:tcPr>
          <w:p>
            <w:pPr>
              <w:spacing w:after="0"/>
              <w:jc w:val="right"/>
              <w:rPr>
                <w:rFonts w:ascii="Calibri" w:hAnsi="Calibri" w:cs="Calibri"/>
                <w:noProof/>
                <w:color w:val="000000"/>
                <w:sz w:val="22"/>
                <w:szCs w:val="22"/>
              </w:rPr>
            </w:pPr>
            <w:r>
              <w:rPr>
                <w:rFonts w:ascii="Calibri" w:hAnsi="Calibri"/>
                <w:noProof/>
                <w:sz w:val="22"/>
                <w:szCs w:val="22"/>
              </w:rPr>
              <w:t>-2,8 %</w:t>
            </w:r>
          </w:p>
        </w:tc>
        <w:tc>
          <w:tcPr>
            <w:tcW w:w="1013" w:type="dxa"/>
            <w:tcBorders>
              <w:top w:val="nil"/>
              <w:left w:val="nil"/>
              <w:bottom w:val="single" w:sz="4" w:space="0" w:color="auto"/>
              <w:right w:val="single" w:sz="4" w:space="0" w:color="auto"/>
            </w:tcBorders>
            <w:shd w:val="clear" w:color="auto" w:fill="auto"/>
            <w:noWrap/>
            <w:vAlign w:val="bottom"/>
            <w:hideMark/>
          </w:tcPr>
          <w:p>
            <w:pPr>
              <w:spacing w:after="0"/>
              <w:jc w:val="right"/>
              <w:rPr>
                <w:rFonts w:ascii="Calibri" w:hAnsi="Calibri" w:cs="Calibri"/>
                <w:noProof/>
                <w:color w:val="000000"/>
                <w:sz w:val="22"/>
                <w:szCs w:val="22"/>
              </w:rPr>
            </w:pPr>
            <w:r>
              <w:rPr>
                <w:rFonts w:ascii="Calibri" w:hAnsi="Calibri"/>
                <w:noProof/>
                <w:sz w:val="22"/>
                <w:szCs w:val="22"/>
              </w:rPr>
              <w:t>-6,2 %</w:t>
            </w:r>
          </w:p>
        </w:tc>
      </w:tr>
      <w:tr>
        <w:trPr>
          <w:trHeight w:val="300"/>
          <w:jc w:val="center"/>
        </w:trPr>
        <w:tc>
          <w:tcPr>
            <w:tcW w:w="1330" w:type="dxa"/>
            <w:tcBorders>
              <w:top w:val="nil"/>
              <w:left w:val="single" w:sz="4" w:space="0" w:color="auto"/>
              <w:bottom w:val="single" w:sz="4" w:space="0" w:color="auto"/>
              <w:right w:val="single" w:sz="4" w:space="0" w:color="auto"/>
            </w:tcBorders>
            <w:shd w:val="clear" w:color="auto" w:fill="auto"/>
            <w:noWrap/>
            <w:vAlign w:val="bottom"/>
            <w:hideMark/>
          </w:tcPr>
          <w:p>
            <w:pPr>
              <w:spacing w:after="0"/>
              <w:jc w:val="left"/>
              <w:rPr>
                <w:rFonts w:ascii="Calibri" w:hAnsi="Calibri" w:cs="Calibri"/>
                <w:noProof/>
                <w:color w:val="000000"/>
                <w:sz w:val="22"/>
                <w:szCs w:val="22"/>
              </w:rPr>
            </w:pPr>
            <w:r>
              <w:rPr>
                <w:rFonts w:ascii="Calibri" w:hAnsi="Calibri"/>
                <w:noProof/>
                <w:sz w:val="22"/>
                <w:szCs w:val="22"/>
              </w:rPr>
              <w:t>EL</w:t>
            </w:r>
          </w:p>
        </w:tc>
        <w:tc>
          <w:tcPr>
            <w:tcW w:w="1837" w:type="dxa"/>
            <w:tcBorders>
              <w:top w:val="nil"/>
              <w:left w:val="nil"/>
              <w:bottom w:val="single" w:sz="4" w:space="0" w:color="auto"/>
              <w:right w:val="single" w:sz="4" w:space="0" w:color="auto"/>
            </w:tcBorders>
            <w:shd w:val="clear" w:color="auto" w:fill="auto"/>
            <w:noWrap/>
            <w:vAlign w:val="bottom"/>
            <w:hideMark/>
          </w:tcPr>
          <w:p>
            <w:pPr>
              <w:spacing w:after="0"/>
              <w:jc w:val="left"/>
              <w:rPr>
                <w:rFonts w:ascii="Calibri" w:hAnsi="Calibri" w:cs="Calibri"/>
                <w:noProof/>
                <w:color w:val="000000"/>
                <w:sz w:val="22"/>
                <w:szCs w:val="22"/>
              </w:rPr>
            </w:pPr>
            <w:r>
              <w:rPr>
                <w:rFonts w:ascii="Calibri" w:hAnsi="Calibri"/>
                <w:noProof/>
                <w:sz w:val="22"/>
                <w:szCs w:val="22"/>
              </w:rPr>
              <w:t>Lesvos, Limnos</w:t>
            </w:r>
          </w:p>
        </w:tc>
        <w:tc>
          <w:tcPr>
            <w:tcW w:w="700" w:type="dxa"/>
            <w:tcBorders>
              <w:top w:val="nil"/>
              <w:left w:val="nil"/>
              <w:bottom w:val="single" w:sz="4" w:space="0" w:color="auto"/>
              <w:right w:val="single" w:sz="4" w:space="0" w:color="auto"/>
            </w:tcBorders>
            <w:shd w:val="clear" w:color="auto" w:fill="auto"/>
            <w:noWrap/>
            <w:vAlign w:val="bottom"/>
            <w:hideMark/>
          </w:tcPr>
          <w:p>
            <w:pPr>
              <w:spacing w:after="0"/>
              <w:jc w:val="right"/>
              <w:rPr>
                <w:rFonts w:ascii="Calibri" w:hAnsi="Calibri" w:cs="Calibri"/>
                <w:noProof/>
                <w:color w:val="000000"/>
                <w:sz w:val="22"/>
                <w:szCs w:val="22"/>
              </w:rPr>
            </w:pPr>
            <w:r>
              <w:rPr>
                <w:rFonts w:ascii="Calibri" w:hAnsi="Calibri"/>
                <w:noProof/>
                <w:sz w:val="22"/>
                <w:szCs w:val="22"/>
              </w:rPr>
              <w:t>64</w:t>
            </w:r>
          </w:p>
        </w:tc>
        <w:tc>
          <w:tcPr>
            <w:tcW w:w="700" w:type="dxa"/>
            <w:tcBorders>
              <w:top w:val="nil"/>
              <w:left w:val="nil"/>
              <w:bottom w:val="single" w:sz="4" w:space="0" w:color="auto"/>
              <w:right w:val="single" w:sz="4" w:space="0" w:color="auto"/>
            </w:tcBorders>
            <w:shd w:val="clear" w:color="auto" w:fill="auto"/>
            <w:noWrap/>
            <w:vAlign w:val="bottom"/>
            <w:hideMark/>
          </w:tcPr>
          <w:p>
            <w:pPr>
              <w:spacing w:after="0"/>
              <w:jc w:val="right"/>
              <w:rPr>
                <w:rFonts w:ascii="Calibri" w:hAnsi="Calibri" w:cs="Calibri"/>
                <w:noProof/>
                <w:color w:val="000000"/>
                <w:sz w:val="22"/>
                <w:szCs w:val="22"/>
              </w:rPr>
            </w:pPr>
            <w:r>
              <w:rPr>
                <w:rFonts w:ascii="Calibri" w:hAnsi="Calibri"/>
                <w:noProof/>
                <w:sz w:val="22"/>
                <w:szCs w:val="22"/>
              </w:rPr>
              <w:t>74</w:t>
            </w:r>
          </w:p>
        </w:tc>
        <w:tc>
          <w:tcPr>
            <w:tcW w:w="1013" w:type="dxa"/>
            <w:tcBorders>
              <w:top w:val="nil"/>
              <w:left w:val="nil"/>
              <w:bottom w:val="single" w:sz="4" w:space="0" w:color="auto"/>
              <w:right w:val="single" w:sz="4" w:space="0" w:color="auto"/>
            </w:tcBorders>
            <w:shd w:val="clear" w:color="auto" w:fill="auto"/>
            <w:noWrap/>
            <w:vAlign w:val="bottom"/>
            <w:hideMark/>
          </w:tcPr>
          <w:p>
            <w:pPr>
              <w:spacing w:after="0"/>
              <w:jc w:val="right"/>
              <w:rPr>
                <w:rFonts w:ascii="Calibri" w:hAnsi="Calibri" w:cs="Calibri"/>
                <w:noProof/>
                <w:color w:val="000000"/>
                <w:sz w:val="22"/>
                <w:szCs w:val="22"/>
              </w:rPr>
            </w:pPr>
            <w:r>
              <w:rPr>
                <w:rFonts w:ascii="Calibri" w:hAnsi="Calibri"/>
                <w:noProof/>
                <w:sz w:val="22"/>
                <w:szCs w:val="22"/>
              </w:rPr>
              <w:t>51</w:t>
            </w:r>
          </w:p>
        </w:tc>
        <w:tc>
          <w:tcPr>
            <w:tcW w:w="929" w:type="dxa"/>
            <w:tcBorders>
              <w:top w:val="nil"/>
              <w:left w:val="nil"/>
              <w:bottom w:val="single" w:sz="4" w:space="0" w:color="auto"/>
              <w:right w:val="single" w:sz="4" w:space="0" w:color="auto"/>
            </w:tcBorders>
            <w:shd w:val="clear" w:color="auto" w:fill="auto"/>
            <w:noWrap/>
            <w:vAlign w:val="bottom"/>
            <w:hideMark/>
          </w:tcPr>
          <w:p>
            <w:pPr>
              <w:spacing w:after="0"/>
              <w:jc w:val="right"/>
              <w:rPr>
                <w:rFonts w:ascii="Calibri" w:hAnsi="Calibri" w:cs="Calibri"/>
                <w:noProof/>
                <w:color w:val="000000"/>
                <w:sz w:val="22"/>
                <w:szCs w:val="22"/>
              </w:rPr>
            </w:pPr>
            <w:r>
              <w:rPr>
                <w:rFonts w:ascii="Calibri" w:hAnsi="Calibri"/>
                <w:noProof/>
                <w:sz w:val="22"/>
                <w:szCs w:val="22"/>
              </w:rPr>
              <w:t>-1,6 %</w:t>
            </w:r>
          </w:p>
        </w:tc>
        <w:tc>
          <w:tcPr>
            <w:tcW w:w="1013" w:type="dxa"/>
            <w:tcBorders>
              <w:top w:val="nil"/>
              <w:left w:val="nil"/>
              <w:bottom w:val="single" w:sz="4" w:space="0" w:color="auto"/>
              <w:right w:val="single" w:sz="4" w:space="0" w:color="auto"/>
            </w:tcBorders>
            <w:shd w:val="clear" w:color="auto" w:fill="auto"/>
            <w:noWrap/>
            <w:vAlign w:val="bottom"/>
            <w:hideMark/>
          </w:tcPr>
          <w:p>
            <w:pPr>
              <w:spacing w:after="0"/>
              <w:jc w:val="right"/>
              <w:rPr>
                <w:rFonts w:ascii="Calibri" w:hAnsi="Calibri" w:cs="Calibri"/>
                <w:noProof/>
                <w:color w:val="000000"/>
                <w:sz w:val="22"/>
                <w:szCs w:val="22"/>
              </w:rPr>
            </w:pPr>
            <w:r>
              <w:rPr>
                <w:rFonts w:ascii="Calibri" w:hAnsi="Calibri"/>
                <w:noProof/>
                <w:sz w:val="22"/>
                <w:szCs w:val="22"/>
              </w:rPr>
              <w:t>-5,2 %</w:t>
            </w:r>
          </w:p>
        </w:tc>
      </w:tr>
      <w:tr>
        <w:trPr>
          <w:trHeight w:val="300"/>
          <w:jc w:val="center"/>
        </w:trPr>
        <w:tc>
          <w:tcPr>
            <w:tcW w:w="1330" w:type="dxa"/>
            <w:tcBorders>
              <w:top w:val="nil"/>
              <w:left w:val="single" w:sz="4" w:space="0" w:color="auto"/>
              <w:bottom w:val="single" w:sz="4" w:space="0" w:color="auto"/>
              <w:right w:val="single" w:sz="4" w:space="0" w:color="auto"/>
            </w:tcBorders>
            <w:shd w:val="clear" w:color="000000" w:fill="DDD9C4"/>
            <w:noWrap/>
            <w:vAlign w:val="bottom"/>
            <w:hideMark/>
          </w:tcPr>
          <w:p>
            <w:pPr>
              <w:spacing w:after="0"/>
              <w:jc w:val="left"/>
              <w:rPr>
                <w:rFonts w:ascii="Calibri" w:hAnsi="Calibri" w:cs="Calibri"/>
                <w:b/>
                <w:noProof/>
                <w:color w:val="000000"/>
                <w:sz w:val="22"/>
                <w:szCs w:val="22"/>
              </w:rPr>
            </w:pPr>
            <w:r>
              <w:rPr>
                <w:rFonts w:ascii="Calibri" w:hAnsi="Calibri"/>
                <w:b/>
                <w:noProof/>
                <w:sz w:val="22"/>
                <w:szCs w:val="22"/>
              </w:rPr>
              <w:t>MT</w:t>
            </w:r>
          </w:p>
        </w:tc>
        <w:tc>
          <w:tcPr>
            <w:tcW w:w="1837" w:type="dxa"/>
            <w:tcBorders>
              <w:top w:val="nil"/>
              <w:left w:val="nil"/>
              <w:bottom w:val="single" w:sz="4" w:space="0" w:color="auto"/>
              <w:right w:val="single" w:sz="4" w:space="0" w:color="auto"/>
            </w:tcBorders>
            <w:shd w:val="clear" w:color="000000" w:fill="DDD9C4"/>
            <w:noWrap/>
            <w:vAlign w:val="bottom"/>
            <w:hideMark/>
          </w:tcPr>
          <w:p>
            <w:pPr>
              <w:spacing w:after="0"/>
              <w:jc w:val="left"/>
              <w:rPr>
                <w:rFonts w:ascii="Calibri" w:hAnsi="Calibri" w:cs="Calibri"/>
                <w:b/>
                <w:noProof/>
                <w:color w:val="000000"/>
                <w:sz w:val="22"/>
                <w:szCs w:val="22"/>
              </w:rPr>
            </w:pPr>
            <w:r>
              <w:rPr>
                <w:rFonts w:ascii="Calibri" w:hAnsi="Calibri"/>
                <w:b/>
                <w:noProof/>
                <w:sz w:val="22"/>
                <w:szCs w:val="22"/>
              </w:rPr>
              <w:t>Gozo og Comino</w:t>
            </w:r>
          </w:p>
        </w:tc>
        <w:tc>
          <w:tcPr>
            <w:tcW w:w="700" w:type="dxa"/>
            <w:tcBorders>
              <w:top w:val="nil"/>
              <w:left w:val="nil"/>
              <w:bottom w:val="single" w:sz="4" w:space="0" w:color="auto"/>
              <w:right w:val="single" w:sz="4" w:space="0" w:color="auto"/>
            </w:tcBorders>
            <w:shd w:val="clear" w:color="000000" w:fill="DDD9C4"/>
            <w:noWrap/>
            <w:vAlign w:val="bottom"/>
            <w:hideMark/>
          </w:tcPr>
          <w:p>
            <w:pPr>
              <w:spacing w:after="0"/>
              <w:jc w:val="right"/>
              <w:rPr>
                <w:rFonts w:ascii="Calibri" w:hAnsi="Calibri" w:cs="Calibri"/>
                <w:b/>
                <w:noProof/>
                <w:color w:val="000000"/>
                <w:sz w:val="22"/>
                <w:szCs w:val="22"/>
              </w:rPr>
            </w:pPr>
            <w:r>
              <w:rPr>
                <w:rFonts w:ascii="Calibri" w:hAnsi="Calibri"/>
                <w:b/>
                <w:noProof/>
                <w:sz w:val="22"/>
                <w:szCs w:val="22"/>
              </w:rPr>
              <w:t>55</w:t>
            </w:r>
          </w:p>
        </w:tc>
        <w:tc>
          <w:tcPr>
            <w:tcW w:w="700" w:type="dxa"/>
            <w:tcBorders>
              <w:top w:val="nil"/>
              <w:left w:val="nil"/>
              <w:bottom w:val="single" w:sz="4" w:space="0" w:color="auto"/>
              <w:right w:val="single" w:sz="4" w:space="0" w:color="auto"/>
            </w:tcBorders>
            <w:shd w:val="clear" w:color="000000" w:fill="DDD9C4"/>
            <w:noWrap/>
            <w:vAlign w:val="bottom"/>
            <w:hideMark/>
          </w:tcPr>
          <w:p>
            <w:pPr>
              <w:spacing w:after="0"/>
              <w:jc w:val="right"/>
              <w:rPr>
                <w:rFonts w:ascii="Calibri" w:hAnsi="Calibri" w:cs="Calibri"/>
                <w:b/>
                <w:noProof/>
                <w:color w:val="000000"/>
                <w:sz w:val="22"/>
                <w:szCs w:val="22"/>
              </w:rPr>
            </w:pPr>
            <w:r>
              <w:rPr>
                <w:rFonts w:ascii="Calibri" w:hAnsi="Calibri"/>
                <w:b/>
                <w:noProof/>
                <w:sz w:val="22"/>
                <w:szCs w:val="22"/>
              </w:rPr>
              <w:t>51</w:t>
            </w:r>
          </w:p>
        </w:tc>
        <w:tc>
          <w:tcPr>
            <w:tcW w:w="1013" w:type="dxa"/>
            <w:tcBorders>
              <w:top w:val="nil"/>
              <w:left w:val="nil"/>
              <w:bottom w:val="single" w:sz="4" w:space="0" w:color="auto"/>
              <w:right w:val="single" w:sz="4" w:space="0" w:color="auto"/>
            </w:tcBorders>
            <w:shd w:val="clear" w:color="000000" w:fill="DDD9C4"/>
            <w:noWrap/>
            <w:vAlign w:val="bottom"/>
            <w:hideMark/>
          </w:tcPr>
          <w:p>
            <w:pPr>
              <w:spacing w:after="0"/>
              <w:jc w:val="right"/>
              <w:rPr>
                <w:rFonts w:ascii="Calibri" w:hAnsi="Calibri" w:cs="Calibri"/>
                <w:b/>
                <w:noProof/>
                <w:color w:val="000000"/>
                <w:sz w:val="22"/>
                <w:szCs w:val="22"/>
              </w:rPr>
            </w:pPr>
            <w:r>
              <w:rPr>
                <w:rFonts w:ascii="Calibri" w:hAnsi="Calibri"/>
                <w:b/>
                <w:noProof/>
                <w:sz w:val="22"/>
                <w:szCs w:val="22"/>
              </w:rPr>
              <w:t>56</w:t>
            </w:r>
          </w:p>
        </w:tc>
        <w:tc>
          <w:tcPr>
            <w:tcW w:w="929" w:type="dxa"/>
            <w:tcBorders>
              <w:top w:val="nil"/>
              <w:left w:val="nil"/>
              <w:bottom w:val="single" w:sz="4" w:space="0" w:color="auto"/>
              <w:right w:val="single" w:sz="4" w:space="0" w:color="auto"/>
            </w:tcBorders>
            <w:shd w:val="clear" w:color="000000" w:fill="DDD9C4"/>
            <w:noWrap/>
            <w:vAlign w:val="bottom"/>
            <w:hideMark/>
          </w:tcPr>
          <w:p>
            <w:pPr>
              <w:spacing w:after="0"/>
              <w:jc w:val="right"/>
              <w:rPr>
                <w:rFonts w:ascii="Calibri" w:hAnsi="Calibri" w:cs="Calibri"/>
                <w:b/>
                <w:noProof/>
                <w:color w:val="000000"/>
                <w:sz w:val="22"/>
                <w:szCs w:val="22"/>
              </w:rPr>
            </w:pPr>
            <w:r>
              <w:rPr>
                <w:rFonts w:ascii="Calibri" w:hAnsi="Calibri"/>
                <w:b/>
                <w:noProof/>
                <w:sz w:val="22"/>
                <w:szCs w:val="22"/>
              </w:rPr>
              <w:t>0,1 %</w:t>
            </w:r>
          </w:p>
        </w:tc>
        <w:tc>
          <w:tcPr>
            <w:tcW w:w="1013" w:type="dxa"/>
            <w:tcBorders>
              <w:top w:val="nil"/>
              <w:left w:val="nil"/>
              <w:bottom w:val="single" w:sz="4" w:space="0" w:color="auto"/>
              <w:right w:val="single" w:sz="4" w:space="0" w:color="auto"/>
            </w:tcBorders>
            <w:shd w:val="clear" w:color="000000" w:fill="DDD9C4"/>
            <w:noWrap/>
            <w:vAlign w:val="bottom"/>
            <w:hideMark/>
          </w:tcPr>
          <w:p>
            <w:pPr>
              <w:spacing w:after="0"/>
              <w:jc w:val="right"/>
              <w:rPr>
                <w:rFonts w:ascii="Calibri" w:hAnsi="Calibri" w:cs="Calibri"/>
                <w:b/>
                <w:noProof/>
                <w:color w:val="000000"/>
                <w:sz w:val="22"/>
                <w:szCs w:val="22"/>
              </w:rPr>
            </w:pPr>
            <w:r>
              <w:rPr>
                <w:rFonts w:ascii="Calibri" w:hAnsi="Calibri"/>
                <w:b/>
                <w:noProof/>
                <w:sz w:val="22"/>
                <w:szCs w:val="22"/>
              </w:rPr>
              <w:t>1,3 %</w:t>
            </w:r>
          </w:p>
        </w:tc>
      </w:tr>
      <w:tr>
        <w:trPr>
          <w:trHeight w:val="300"/>
          <w:jc w:val="center"/>
        </w:trPr>
        <w:tc>
          <w:tcPr>
            <w:tcW w:w="1330" w:type="dxa"/>
            <w:tcBorders>
              <w:top w:val="nil"/>
              <w:left w:val="single" w:sz="4" w:space="0" w:color="auto"/>
              <w:bottom w:val="single" w:sz="4" w:space="0" w:color="auto"/>
              <w:right w:val="single" w:sz="4" w:space="0" w:color="auto"/>
            </w:tcBorders>
            <w:shd w:val="clear" w:color="auto" w:fill="auto"/>
            <w:noWrap/>
            <w:vAlign w:val="bottom"/>
            <w:hideMark/>
          </w:tcPr>
          <w:p>
            <w:pPr>
              <w:spacing w:after="0"/>
              <w:jc w:val="left"/>
              <w:rPr>
                <w:rFonts w:ascii="Calibri" w:hAnsi="Calibri" w:cs="Calibri"/>
                <w:noProof/>
                <w:color w:val="000000"/>
                <w:sz w:val="22"/>
                <w:szCs w:val="22"/>
              </w:rPr>
            </w:pPr>
            <w:r>
              <w:rPr>
                <w:rFonts w:ascii="Calibri" w:hAnsi="Calibri"/>
                <w:noProof/>
                <w:sz w:val="22"/>
                <w:szCs w:val="22"/>
              </w:rPr>
              <w:t>SE</w:t>
            </w:r>
          </w:p>
        </w:tc>
        <w:tc>
          <w:tcPr>
            <w:tcW w:w="1837" w:type="dxa"/>
            <w:tcBorders>
              <w:top w:val="nil"/>
              <w:left w:val="nil"/>
              <w:bottom w:val="single" w:sz="4" w:space="0" w:color="auto"/>
              <w:right w:val="single" w:sz="4" w:space="0" w:color="auto"/>
            </w:tcBorders>
            <w:shd w:val="clear" w:color="auto" w:fill="auto"/>
            <w:noWrap/>
            <w:vAlign w:val="bottom"/>
            <w:hideMark/>
          </w:tcPr>
          <w:p>
            <w:pPr>
              <w:spacing w:after="0"/>
              <w:jc w:val="left"/>
              <w:rPr>
                <w:rFonts w:ascii="Calibri" w:hAnsi="Calibri" w:cs="Calibri"/>
                <w:noProof/>
                <w:color w:val="000000"/>
                <w:sz w:val="22"/>
                <w:szCs w:val="22"/>
              </w:rPr>
            </w:pPr>
            <w:r>
              <w:rPr>
                <w:rFonts w:ascii="Calibri" w:hAnsi="Calibri"/>
                <w:noProof/>
                <w:sz w:val="22"/>
                <w:szCs w:val="22"/>
              </w:rPr>
              <w:t>Gotlands län</w:t>
            </w:r>
          </w:p>
        </w:tc>
        <w:tc>
          <w:tcPr>
            <w:tcW w:w="700" w:type="dxa"/>
            <w:tcBorders>
              <w:top w:val="nil"/>
              <w:left w:val="nil"/>
              <w:bottom w:val="single" w:sz="4" w:space="0" w:color="auto"/>
              <w:right w:val="single" w:sz="4" w:space="0" w:color="auto"/>
            </w:tcBorders>
            <w:shd w:val="clear" w:color="auto" w:fill="auto"/>
            <w:noWrap/>
            <w:vAlign w:val="bottom"/>
            <w:hideMark/>
          </w:tcPr>
          <w:p>
            <w:pPr>
              <w:spacing w:after="0"/>
              <w:jc w:val="right"/>
              <w:rPr>
                <w:rFonts w:ascii="Calibri" w:hAnsi="Calibri" w:cs="Calibri"/>
                <w:noProof/>
                <w:color w:val="000000"/>
                <w:sz w:val="22"/>
                <w:szCs w:val="22"/>
              </w:rPr>
            </w:pPr>
            <w:r>
              <w:rPr>
                <w:rFonts w:ascii="Calibri" w:hAnsi="Calibri"/>
                <w:noProof/>
                <w:sz w:val="22"/>
                <w:szCs w:val="22"/>
              </w:rPr>
              <w:t>98</w:t>
            </w:r>
          </w:p>
        </w:tc>
        <w:tc>
          <w:tcPr>
            <w:tcW w:w="700" w:type="dxa"/>
            <w:tcBorders>
              <w:top w:val="nil"/>
              <w:left w:val="nil"/>
              <w:bottom w:val="single" w:sz="4" w:space="0" w:color="auto"/>
              <w:right w:val="single" w:sz="4" w:space="0" w:color="auto"/>
            </w:tcBorders>
            <w:shd w:val="clear" w:color="auto" w:fill="auto"/>
            <w:noWrap/>
            <w:vAlign w:val="bottom"/>
            <w:hideMark/>
          </w:tcPr>
          <w:p>
            <w:pPr>
              <w:spacing w:after="0"/>
              <w:jc w:val="right"/>
              <w:rPr>
                <w:rFonts w:ascii="Calibri" w:hAnsi="Calibri" w:cs="Calibri"/>
                <w:noProof/>
                <w:color w:val="000000"/>
                <w:sz w:val="22"/>
                <w:szCs w:val="22"/>
              </w:rPr>
            </w:pPr>
            <w:r>
              <w:rPr>
                <w:rFonts w:ascii="Calibri" w:hAnsi="Calibri"/>
                <w:noProof/>
                <w:sz w:val="22"/>
                <w:szCs w:val="22"/>
              </w:rPr>
              <w:t>93</w:t>
            </w:r>
          </w:p>
        </w:tc>
        <w:tc>
          <w:tcPr>
            <w:tcW w:w="1013" w:type="dxa"/>
            <w:tcBorders>
              <w:top w:val="nil"/>
              <w:left w:val="nil"/>
              <w:bottom w:val="single" w:sz="4" w:space="0" w:color="auto"/>
              <w:right w:val="single" w:sz="4" w:space="0" w:color="auto"/>
            </w:tcBorders>
            <w:shd w:val="clear" w:color="auto" w:fill="auto"/>
            <w:noWrap/>
            <w:vAlign w:val="bottom"/>
            <w:hideMark/>
          </w:tcPr>
          <w:p>
            <w:pPr>
              <w:spacing w:after="0"/>
              <w:jc w:val="right"/>
              <w:rPr>
                <w:rFonts w:ascii="Calibri" w:hAnsi="Calibri" w:cs="Calibri"/>
                <w:noProof/>
                <w:color w:val="000000"/>
                <w:sz w:val="22"/>
                <w:szCs w:val="22"/>
              </w:rPr>
            </w:pPr>
            <w:r>
              <w:rPr>
                <w:rFonts w:ascii="Calibri" w:hAnsi="Calibri"/>
                <w:noProof/>
                <w:sz w:val="22"/>
                <w:szCs w:val="22"/>
              </w:rPr>
              <w:t>92</w:t>
            </w:r>
          </w:p>
        </w:tc>
        <w:tc>
          <w:tcPr>
            <w:tcW w:w="929" w:type="dxa"/>
            <w:tcBorders>
              <w:top w:val="nil"/>
              <w:left w:val="nil"/>
              <w:bottom w:val="single" w:sz="4" w:space="0" w:color="auto"/>
              <w:right w:val="single" w:sz="4" w:space="0" w:color="auto"/>
            </w:tcBorders>
            <w:shd w:val="clear" w:color="auto" w:fill="auto"/>
            <w:noWrap/>
            <w:vAlign w:val="bottom"/>
            <w:hideMark/>
          </w:tcPr>
          <w:p>
            <w:pPr>
              <w:spacing w:after="0"/>
              <w:jc w:val="right"/>
              <w:rPr>
                <w:rFonts w:ascii="Calibri" w:hAnsi="Calibri" w:cs="Calibri"/>
                <w:noProof/>
                <w:color w:val="000000"/>
                <w:sz w:val="22"/>
                <w:szCs w:val="22"/>
              </w:rPr>
            </w:pPr>
            <w:r>
              <w:rPr>
                <w:rFonts w:ascii="Calibri" w:hAnsi="Calibri"/>
                <w:noProof/>
                <w:sz w:val="22"/>
                <w:szCs w:val="22"/>
              </w:rPr>
              <w:t>-0,5 %</w:t>
            </w:r>
          </w:p>
        </w:tc>
        <w:tc>
          <w:tcPr>
            <w:tcW w:w="1013" w:type="dxa"/>
            <w:tcBorders>
              <w:top w:val="nil"/>
              <w:left w:val="nil"/>
              <w:bottom w:val="single" w:sz="4" w:space="0" w:color="auto"/>
              <w:right w:val="single" w:sz="4" w:space="0" w:color="auto"/>
            </w:tcBorders>
            <w:shd w:val="clear" w:color="auto" w:fill="auto"/>
            <w:noWrap/>
            <w:vAlign w:val="bottom"/>
            <w:hideMark/>
          </w:tcPr>
          <w:p>
            <w:pPr>
              <w:spacing w:after="0"/>
              <w:jc w:val="right"/>
              <w:rPr>
                <w:rFonts w:ascii="Calibri" w:hAnsi="Calibri" w:cs="Calibri"/>
                <w:noProof/>
                <w:color w:val="000000"/>
                <w:sz w:val="22"/>
                <w:szCs w:val="22"/>
              </w:rPr>
            </w:pPr>
            <w:r>
              <w:rPr>
                <w:rFonts w:ascii="Calibri" w:hAnsi="Calibri"/>
                <w:noProof/>
                <w:sz w:val="22"/>
                <w:szCs w:val="22"/>
              </w:rPr>
              <w:t>-0,2 %</w:t>
            </w:r>
          </w:p>
        </w:tc>
      </w:tr>
      <w:tr>
        <w:trPr>
          <w:trHeight w:val="300"/>
          <w:jc w:val="center"/>
        </w:trPr>
        <w:tc>
          <w:tcPr>
            <w:tcW w:w="1330" w:type="dxa"/>
            <w:tcBorders>
              <w:top w:val="nil"/>
              <w:left w:val="single" w:sz="4" w:space="0" w:color="auto"/>
              <w:bottom w:val="single" w:sz="4" w:space="0" w:color="auto"/>
              <w:right w:val="single" w:sz="4" w:space="0" w:color="auto"/>
            </w:tcBorders>
            <w:shd w:val="clear" w:color="auto" w:fill="auto"/>
            <w:noWrap/>
            <w:vAlign w:val="bottom"/>
            <w:hideMark/>
          </w:tcPr>
          <w:p>
            <w:pPr>
              <w:spacing w:after="0"/>
              <w:jc w:val="left"/>
              <w:rPr>
                <w:rFonts w:ascii="Calibri" w:hAnsi="Calibri" w:cs="Calibri"/>
                <w:noProof/>
                <w:color w:val="000000"/>
                <w:sz w:val="22"/>
                <w:szCs w:val="22"/>
              </w:rPr>
            </w:pPr>
            <w:r>
              <w:rPr>
                <w:rFonts w:ascii="Calibri" w:hAnsi="Calibri"/>
                <w:noProof/>
                <w:sz w:val="22"/>
                <w:szCs w:val="22"/>
              </w:rPr>
              <w:t>UK</w:t>
            </w:r>
          </w:p>
        </w:tc>
        <w:tc>
          <w:tcPr>
            <w:tcW w:w="1837" w:type="dxa"/>
            <w:tcBorders>
              <w:top w:val="nil"/>
              <w:left w:val="nil"/>
              <w:bottom w:val="single" w:sz="4" w:space="0" w:color="auto"/>
              <w:right w:val="single" w:sz="4" w:space="0" w:color="auto"/>
            </w:tcBorders>
            <w:shd w:val="clear" w:color="auto" w:fill="auto"/>
            <w:noWrap/>
            <w:vAlign w:val="bottom"/>
            <w:hideMark/>
          </w:tcPr>
          <w:p>
            <w:pPr>
              <w:spacing w:after="0"/>
              <w:jc w:val="left"/>
              <w:rPr>
                <w:rFonts w:ascii="Calibri" w:hAnsi="Calibri" w:cs="Calibri"/>
                <w:noProof/>
                <w:color w:val="000000"/>
                <w:sz w:val="22"/>
                <w:szCs w:val="22"/>
              </w:rPr>
            </w:pPr>
            <w:r>
              <w:rPr>
                <w:rFonts w:ascii="Calibri" w:hAnsi="Calibri"/>
                <w:noProof/>
                <w:sz w:val="22"/>
                <w:szCs w:val="22"/>
              </w:rPr>
              <w:t>Western Isles</w:t>
            </w:r>
          </w:p>
        </w:tc>
        <w:tc>
          <w:tcPr>
            <w:tcW w:w="700" w:type="dxa"/>
            <w:tcBorders>
              <w:top w:val="nil"/>
              <w:left w:val="nil"/>
              <w:bottom w:val="single" w:sz="4" w:space="0" w:color="auto"/>
              <w:right w:val="single" w:sz="4" w:space="0" w:color="auto"/>
            </w:tcBorders>
            <w:shd w:val="clear" w:color="auto" w:fill="auto"/>
            <w:noWrap/>
            <w:vAlign w:val="bottom"/>
            <w:hideMark/>
          </w:tcPr>
          <w:p>
            <w:pPr>
              <w:spacing w:after="0"/>
              <w:jc w:val="right"/>
              <w:rPr>
                <w:rFonts w:ascii="Calibri" w:hAnsi="Calibri" w:cs="Calibri"/>
                <w:noProof/>
                <w:color w:val="000000"/>
                <w:sz w:val="22"/>
                <w:szCs w:val="22"/>
              </w:rPr>
            </w:pPr>
            <w:r>
              <w:rPr>
                <w:rFonts w:ascii="Calibri" w:hAnsi="Calibri"/>
                <w:noProof/>
                <w:sz w:val="22"/>
                <w:szCs w:val="22"/>
              </w:rPr>
              <w:t>88</w:t>
            </w:r>
          </w:p>
        </w:tc>
        <w:tc>
          <w:tcPr>
            <w:tcW w:w="700" w:type="dxa"/>
            <w:tcBorders>
              <w:top w:val="nil"/>
              <w:left w:val="nil"/>
              <w:bottom w:val="single" w:sz="4" w:space="0" w:color="auto"/>
              <w:right w:val="single" w:sz="4" w:space="0" w:color="auto"/>
            </w:tcBorders>
            <w:shd w:val="clear" w:color="auto" w:fill="auto"/>
            <w:noWrap/>
            <w:vAlign w:val="bottom"/>
            <w:hideMark/>
          </w:tcPr>
          <w:p>
            <w:pPr>
              <w:spacing w:after="0"/>
              <w:jc w:val="right"/>
              <w:rPr>
                <w:rFonts w:ascii="Calibri" w:hAnsi="Calibri" w:cs="Calibri"/>
                <w:noProof/>
                <w:color w:val="000000"/>
                <w:sz w:val="22"/>
                <w:szCs w:val="22"/>
              </w:rPr>
            </w:pPr>
            <w:r>
              <w:rPr>
                <w:rFonts w:ascii="Calibri" w:hAnsi="Calibri"/>
                <w:noProof/>
                <w:sz w:val="22"/>
                <w:szCs w:val="22"/>
              </w:rPr>
              <w:t>88</w:t>
            </w:r>
          </w:p>
        </w:tc>
        <w:tc>
          <w:tcPr>
            <w:tcW w:w="1013" w:type="dxa"/>
            <w:tcBorders>
              <w:top w:val="nil"/>
              <w:left w:val="nil"/>
              <w:bottom w:val="single" w:sz="4" w:space="0" w:color="auto"/>
              <w:right w:val="single" w:sz="4" w:space="0" w:color="auto"/>
            </w:tcBorders>
            <w:shd w:val="clear" w:color="auto" w:fill="auto"/>
            <w:noWrap/>
            <w:vAlign w:val="bottom"/>
            <w:hideMark/>
          </w:tcPr>
          <w:p>
            <w:pPr>
              <w:spacing w:after="0"/>
              <w:jc w:val="right"/>
              <w:rPr>
                <w:rFonts w:ascii="Calibri" w:hAnsi="Calibri" w:cs="Calibri"/>
                <w:noProof/>
                <w:color w:val="000000"/>
                <w:sz w:val="22"/>
                <w:szCs w:val="22"/>
              </w:rPr>
            </w:pPr>
            <w:r>
              <w:rPr>
                <w:rFonts w:ascii="Calibri" w:hAnsi="Calibri"/>
                <w:noProof/>
                <w:sz w:val="22"/>
                <w:szCs w:val="22"/>
              </w:rPr>
              <w:t>76</w:t>
            </w:r>
          </w:p>
        </w:tc>
        <w:tc>
          <w:tcPr>
            <w:tcW w:w="929" w:type="dxa"/>
            <w:tcBorders>
              <w:top w:val="nil"/>
              <w:left w:val="nil"/>
              <w:bottom w:val="single" w:sz="4" w:space="0" w:color="auto"/>
              <w:right w:val="single" w:sz="4" w:space="0" w:color="auto"/>
            </w:tcBorders>
            <w:shd w:val="clear" w:color="auto" w:fill="auto"/>
            <w:noWrap/>
            <w:vAlign w:val="bottom"/>
            <w:hideMark/>
          </w:tcPr>
          <w:p>
            <w:pPr>
              <w:spacing w:after="0"/>
              <w:jc w:val="right"/>
              <w:rPr>
                <w:rFonts w:ascii="Calibri" w:hAnsi="Calibri" w:cs="Calibri"/>
                <w:noProof/>
                <w:color w:val="000000"/>
                <w:sz w:val="22"/>
                <w:szCs w:val="22"/>
              </w:rPr>
            </w:pPr>
            <w:r>
              <w:rPr>
                <w:rFonts w:ascii="Calibri" w:hAnsi="Calibri"/>
                <w:noProof/>
                <w:sz w:val="22"/>
                <w:szCs w:val="22"/>
              </w:rPr>
              <w:t>-1,0 %</w:t>
            </w:r>
          </w:p>
        </w:tc>
        <w:tc>
          <w:tcPr>
            <w:tcW w:w="1013" w:type="dxa"/>
            <w:tcBorders>
              <w:top w:val="nil"/>
              <w:left w:val="nil"/>
              <w:bottom w:val="single" w:sz="4" w:space="0" w:color="auto"/>
              <w:right w:val="single" w:sz="4" w:space="0" w:color="auto"/>
            </w:tcBorders>
            <w:shd w:val="clear" w:color="auto" w:fill="auto"/>
            <w:noWrap/>
            <w:vAlign w:val="bottom"/>
            <w:hideMark/>
          </w:tcPr>
          <w:p>
            <w:pPr>
              <w:spacing w:after="0"/>
              <w:jc w:val="right"/>
              <w:rPr>
                <w:rFonts w:ascii="Calibri" w:hAnsi="Calibri" w:cs="Calibri"/>
                <w:noProof/>
                <w:color w:val="000000"/>
                <w:sz w:val="22"/>
                <w:szCs w:val="22"/>
              </w:rPr>
            </w:pPr>
            <w:r>
              <w:rPr>
                <w:rFonts w:ascii="Calibri" w:hAnsi="Calibri"/>
                <w:noProof/>
                <w:sz w:val="22"/>
                <w:szCs w:val="22"/>
              </w:rPr>
              <w:t>-2,1 %</w:t>
            </w:r>
          </w:p>
        </w:tc>
      </w:tr>
      <w:tr>
        <w:trPr>
          <w:trHeight w:val="300"/>
          <w:jc w:val="center"/>
        </w:trPr>
        <w:tc>
          <w:tcPr>
            <w:tcW w:w="1330" w:type="dxa"/>
            <w:tcBorders>
              <w:top w:val="nil"/>
              <w:left w:val="single" w:sz="4" w:space="0" w:color="auto"/>
              <w:bottom w:val="single" w:sz="4" w:space="0" w:color="auto"/>
              <w:right w:val="single" w:sz="4" w:space="0" w:color="auto"/>
            </w:tcBorders>
            <w:shd w:val="clear" w:color="auto" w:fill="auto"/>
            <w:noWrap/>
            <w:vAlign w:val="bottom"/>
            <w:hideMark/>
          </w:tcPr>
          <w:p>
            <w:pPr>
              <w:spacing w:after="0"/>
              <w:jc w:val="left"/>
              <w:rPr>
                <w:rFonts w:ascii="Calibri" w:hAnsi="Calibri" w:cs="Calibri"/>
                <w:noProof/>
                <w:color w:val="000000"/>
                <w:sz w:val="22"/>
                <w:szCs w:val="22"/>
              </w:rPr>
            </w:pPr>
            <w:r>
              <w:rPr>
                <w:rFonts w:ascii="Calibri" w:hAnsi="Calibri"/>
                <w:noProof/>
                <w:sz w:val="22"/>
                <w:szCs w:val="22"/>
              </w:rPr>
              <w:t>UK</w:t>
            </w:r>
          </w:p>
        </w:tc>
        <w:tc>
          <w:tcPr>
            <w:tcW w:w="1837" w:type="dxa"/>
            <w:tcBorders>
              <w:top w:val="nil"/>
              <w:left w:val="nil"/>
              <w:bottom w:val="single" w:sz="4" w:space="0" w:color="auto"/>
              <w:right w:val="single" w:sz="4" w:space="0" w:color="auto"/>
            </w:tcBorders>
            <w:shd w:val="clear" w:color="auto" w:fill="auto"/>
            <w:noWrap/>
            <w:vAlign w:val="bottom"/>
            <w:hideMark/>
          </w:tcPr>
          <w:p>
            <w:pPr>
              <w:spacing w:after="0"/>
              <w:jc w:val="left"/>
              <w:rPr>
                <w:rFonts w:ascii="Calibri" w:hAnsi="Calibri" w:cs="Calibri"/>
                <w:noProof/>
                <w:color w:val="000000"/>
                <w:sz w:val="22"/>
                <w:szCs w:val="22"/>
              </w:rPr>
            </w:pPr>
            <w:r>
              <w:rPr>
                <w:rFonts w:ascii="Calibri" w:hAnsi="Calibri"/>
                <w:noProof/>
                <w:sz w:val="22"/>
                <w:szCs w:val="22"/>
              </w:rPr>
              <w:t>Shetlandsøerne</w:t>
            </w:r>
          </w:p>
        </w:tc>
        <w:tc>
          <w:tcPr>
            <w:tcW w:w="700" w:type="dxa"/>
            <w:tcBorders>
              <w:top w:val="nil"/>
              <w:left w:val="nil"/>
              <w:bottom w:val="single" w:sz="4" w:space="0" w:color="auto"/>
              <w:right w:val="single" w:sz="4" w:space="0" w:color="auto"/>
            </w:tcBorders>
            <w:shd w:val="clear" w:color="auto" w:fill="auto"/>
            <w:noWrap/>
            <w:vAlign w:val="bottom"/>
            <w:hideMark/>
          </w:tcPr>
          <w:p>
            <w:pPr>
              <w:spacing w:after="0"/>
              <w:jc w:val="right"/>
              <w:rPr>
                <w:rFonts w:ascii="Calibri" w:hAnsi="Calibri" w:cs="Calibri"/>
                <w:noProof/>
                <w:color w:val="000000"/>
                <w:sz w:val="22"/>
                <w:szCs w:val="22"/>
              </w:rPr>
            </w:pPr>
            <w:r>
              <w:rPr>
                <w:rFonts w:ascii="Calibri" w:hAnsi="Calibri"/>
                <w:noProof/>
                <w:sz w:val="22"/>
                <w:szCs w:val="22"/>
              </w:rPr>
              <w:t>135</w:t>
            </w:r>
          </w:p>
        </w:tc>
        <w:tc>
          <w:tcPr>
            <w:tcW w:w="700" w:type="dxa"/>
            <w:tcBorders>
              <w:top w:val="nil"/>
              <w:left w:val="nil"/>
              <w:bottom w:val="single" w:sz="4" w:space="0" w:color="auto"/>
              <w:right w:val="single" w:sz="4" w:space="0" w:color="auto"/>
            </w:tcBorders>
            <w:shd w:val="clear" w:color="auto" w:fill="auto"/>
            <w:noWrap/>
            <w:vAlign w:val="bottom"/>
            <w:hideMark/>
          </w:tcPr>
          <w:p>
            <w:pPr>
              <w:spacing w:after="0"/>
              <w:jc w:val="right"/>
              <w:rPr>
                <w:rFonts w:ascii="Calibri" w:hAnsi="Calibri" w:cs="Calibri"/>
                <w:noProof/>
                <w:color w:val="000000"/>
                <w:sz w:val="22"/>
                <w:szCs w:val="22"/>
              </w:rPr>
            </w:pPr>
            <w:r>
              <w:rPr>
                <w:rFonts w:ascii="Calibri" w:hAnsi="Calibri"/>
                <w:noProof/>
                <w:sz w:val="22"/>
                <w:szCs w:val="22"/>
              </w:rPr>
              <w:t>127</w:t>
            </w:r>
          </w:p>
        </w:tc>
        <w:tc>
          <w:tcPr>
            <w:tcW w:w="1013" w:type="dxa"/>
            <w:tcBorders>
              <w:top w:val="nil"/>
              <w:left w:val="nil"/>
              <w:bottom w:val="single" w:sz="4" w:space="0" w:color="auto"/>
              <w:right w:val="single" w:sz="4" w:space="0" w:color="auto"/>
            </w:tcBorders>
            <w:shd w:val="clear" w:color="auto" w:fill="auto"/>
            <w:noWrap/>
            <w:vAlign w:val="bottom"/>
            <w:hideMark/>
          </w:tcPr>
          <w:p>
            <w:pPr>
              <w:spacing w:after="0"/>
              <w:jc w:val="right"/>
              <w:rPr>
                <w:rFonts w:ascii="Calibri" w:hAnsi="Calibri" w:cs="Calibri"/>
                <w:noProof/>
                <w:color w:val="000000"/>
                <w:sz w:val="22"/>
                <w:szCs w:val="22"/>
              </w:rPr>
            </w:pPr>
            <w:r>
              <w:rPr>
                <w:rFonts w:ascii="Calibri" w:hAnsi="Calibri"/>
                <w:noProof/>
                <w:sz w:val="22"/>
                <w:szCs w:val="22"/>
              </w:rPr>
              <w:t>133</w:t>
            </w:r>
          </w:p>
        </w:tc>
        <w:tc>
          <w:tcPr>
            <w:tcW w:w="929" w:type="dxa"/>
            <w:tcBorders>
              <w:top w:val="nil"/>
              <w:left w:val="nil"/>
              <w:bottom w:val="single" w:sz="4" w:space="0" w:color="auto"/>
              <w:right w:val="single" w:sz="4" w:space="0" w:color="auto"/>
            </w:tcBorders>
            <w:shd w:val="clear" w:color="auto" w:fill="auto"/>
            <w:noWrap/>
            <w:vAlign w:val="bottom"/>
            <w:hideMark/>
          </w:tcPr>
          <w:p>
            <w:pPr>
              <w:spacing w:after="0"/>
              <w:jc w:val="right"/>
              <w:rPr>
                <w:rFonts w:ascii="Calibri" w:hAnsi="Calibri" w:cs="Calibri"/>
                <w:noProof/>
                <w:color w:val="000000"/>
                <w:sz w:val="22"/>
                <w:szCs w:val="22"/>
              </w:rPr>
            </w:pPr>
            <w:r>
              <w:rPr>
                <w:rFonts w:ascii="Calibri" w:hAnsi="Calibri"/>
                <w:noProof/>
                <w:sz w:val="22"/>
                <w:szCs w:val="22"/>
              </w:rPr>
              <w:t>-0,1 %</w:t>
            </w:r>
          </w:p>
        </w:tc>
        <w:tc>
          <w:tcPr>
            <w:tcW w:w="1013" w:type="dxa"/>
            <w:tcBorders>
              <w:top w:val="nil"/>
              <w:left w:val="nil"/>
              <w:bottom w:val="single" w:sz="4" w:space="0" w:color="auto"/>
              <w:right w:val="single" w:sz="4" w:space="0" w:color="auto"/>
            </w:tcBorders>
            <w:shd w:val="clear" w:color="auto" w:fill="auto"/>
            <w:noWrap/>
            <w:vAlign w:val="bottom"/>
            <w:hideMark/>
          </w:tcPr>
          <w:p>
            <w:pPr>
              <w:spacing w:after="0"/>
              <w:jc w:val="right"/>
              <w:rPr>
                <w:rFonts w:ascii="Calibri" w:hAnsi="Calibri" w:cs="Calibri"/>
                <w:noProof/>
                <w:color w:val="000000"/>
                <w:sz w:val="22"/>
                <w:szCs w:val="22"/>
              </w:rPr>
            </w:pPr>
            <w:r>
              <w:rPr>
                <w:rFonts w:ascii="Calibri" w:hAnsi="Calibri"/>
                <w:noProof/>
                <w:sz w:val="22"/>
                <w:szCs w:val="22"/>
              </w:rPr>
              <w:t>0,7 %</w:t>
            </w:r>
          </w:p>
        </w:tc>
      </w:tr>
      <w:tr>
        <w:trPr>
          <w:trHeight w:val="300"/>
          <w:jc w:val="center"/>
        </w:trPr>
        <w:tc>
          <w:tcPr>
            <w:tcW w:w="1330" w:type="dxa"/>
            <w:tcBorders>
              <w:top w:val="nil"/>
              <w:left w:val="single" w:sz="4" w:space="0" w:color="auto"/>
              <w:bottom w:val="single" w:sz="4" w:space="0" w:color="auto"/>
              <w:right w:val="single" w:sz="4" w:space="0" w:color="auto"/>
            </w:tcBorders>
            <w:shd w:val="clear" w:color="auto" w:fill="auto"/>
            <w:noWrap/>
            <w:vAlign w:val="bottom"/>
            <w:hideMark/>
          </w:tcPr>
          <w:p>
            <w:pPr>
              <w:spacing w:after="0"/>
              <w:jc w:val="left"/>
              <w:rPr>
                <w:rFonts w:ascii="Calibri" w:hAnsi="Calibri" w:cs="Calibri"/>
                <w:noProof/>
                <w:color w:val="000000"/>
                <w:sz w:val="22"/>
                <w:szCs w:val="22"/>
              </w:rPr>
            </w:pPr>
            <w:r>
              <w:rPr>
                <w:rFonts w:ascii="Calibri" w:hAnsi="Calibri"/>
                <w:noProof/>
                <w:sz w:val="22"/>
                <w:szCs w:val="22"/>
              </w:rPr>
              <w:t>UK</w:t>
            </w:r>
          </w:p>
        </w:tc>
        <w:tc>
          <w:tcPr>
            <w:tcW w:w="1837" w:type="dxa"/>
            <w:tcBorders>
              <w:top w:val="nil"/>
              <w:left w:val="nil"/>
              <w:bottom w:val="single" w:sz="4" w:space="0" w:color="auto"/>
              <w:right w:val="single" w:sz="4" w:space="0" w:color="auto"/>
            </w:tcBorders>
            <w:shd w:val="clear" w:color="auto" w:fill="auto"/>
            <w:noWrap/>
            <w:vAlign w:val="bottom"/>
            <w:hideMark/>
          </w:tcPr>
          <w:p>
            <w:pPr>
              <w:spacing w:after="0"/>
              <w:jc w:val="left"/>
              <w:rPr>
                <w:rFonts w:ascii="Calibri" w:hAnsi="Calibri" w:cs="Calibri"/>
                <w:noProof/>
                <w:color w:val="000000"/>
                <w:sz w:val="22"/>
                <w:szCs w:val="22"/>
              </w:rPr>
            </w:pPr>
            <w:r>
              <w:rPr>
                <w:rFonts w:ascii="Calibri" w:hAnsi="Calibri"/>
                <w:noProof/>
                <w:sz w:val="22"/>
                <w:szCs w:val="22"/>
              </w:rPr>
              <w:t>Orkneyøerne</w:t>
            </w:r>
          </w:p>
        </w:tc>
        <w:tc>
          <w:tcPr>
            <w:tcW w:w="700" w:type="dxa"/>
            <w:tcBorders>
              <w:top w:val="nil"/>
              <w:left w:val="nil"/>
              <w:bottom w:val="single" w:sz="4" w:space="0" w:color="auto"/>
              <w:right w:val="single" w:sz="4" w:space="0" w:color="auto"/>
            </w:tcBorders>
            <w:shd w:val="clear" w:color="auto" w:fill="auto"/>
            <w:noWrap/>
            <w:vAlign w:val="bottom"/>
            <w:hideMark/>
          </w:tcPr>
          <w:p>
            <w:pPr>
              <w:spacing w:after="0"/>
              <w:jc w:val="right"/>
              <w:rPr>
                <w:rFonts w:ascii="Calibri" w:hAnsi="Calibri" w:cs="Calibri"/>
                <w:noProof/>
                <w:color w:val="000000"/>
                <w:sz w:val="22"/>
                <w:szCs w:val="22"/>
              </w:rPr>
            </w:pPr>
            <w:r>
              <w:rPr>
                <w:rFonts w:ascii="Calibri" w:hAnsi="Calibri"/>
                <w:noProof/>
                <w:sz w:val="22"/>
                <w:szCs w:val="22"/>
              </w:rPr>
              <w:t>95</w:t>
            </w:r>
          </w:p>
        </w:tc>
        <w:tc>
          <w:tcPr>
            <w:tcW w:w="700" w:type="dxa"/>
            <w:tcBorders>
              <w:top w:val="nil"/>
              <w:left w:val="nil"/>
              <w:bottom w:val="single" w:sz="4" w:space="0" w:color="auto"/>
              <w:right w:val="single" w:sz="4" w:space="0" w:color="auto"/>
            </w:tcBorders>
            <w:shd w:val="clear" w:color="auto" w:fill="auto"/>
            <w:noWrap/>
            <w:vAlign w:val="bottom"/>
            <w:hideMark/>
          </w:tcPr>
          <w:p>
            <w:pPr>
              <w:spacing w:after="0"/>
              <w:jc w:val="right"/>
              <w:rPr>
                <w:rFonts w:ascii="Calibri" w:hAnsi="Calibri" w:cs="Calibri"/>
                <w:noProof/>
                <w:color w:val="000000"/>
                <w:sz w:val="22"/>
                <w:szCs w:val="22"/>
              </w:rPr>
            </w:pPr>
            <w:r>
              <w:rPr>
                <w:rFonts w:ascii="Calibri" w:hAnsi="Calibri"/>
                <w:noProof/>
                <w:sz w:val="22"/>
                <w:szCs w:val="22"/>
              </w:rPr>
              <w:t>95</w:t>
            </w:r>
          </w:p>
        </w:tc>
        <w:tc>
          <w:tcPr>
            <w:tcW w:w="1013" w:type="dxa"/>
            <w:tcBorders>
              <w:top w:val="nil"/>
              <w:left w:val="nil"/>
              <w:bottom w:val="single" w:sz="4" w:space="0" w:color="auto"/>
              <w:right w:val="single" w:sz="4" w:space="0" w:color="auto"/>
            </w:tcBorders>
            <w:shd w:val="clear" w:color="auto" w:fill="auto"/>
            <w:noWrap/>
            <w:vAlign w:val="bottom"/>
            <w:hideMark/>
          </w:tcPr>
          <w:p>
            <w:pPr>
              <w:spacing w:after="0"/>
              <w:jc w:val="right"/>
              <w:rPr>
                <w:rFonts w:ascii="Calibri" w:hAnsi="Calibri" w:cs="Calibri"/>
                <w:noProof/>
                <w:color w:val="000000"/>
                <w:sz w:val="22"/>
                <w:szCs w:val="22"/>
              </w:rPr>
            </w:pPr>
            <w:r>
              <w:rPr>
                <w:rFonts w:ascii="Calibri" w:hAnsi="Calibri"/>
                <w:noProof/>
                <w:sz w:val="22"/>
                <w:szCs w:val="22"/>
              </w:rPr>
              <w:t>95</w:t>
            </w:r>
          </w:p>
        </w:tc>
        <w:tc>
          <w:tcPr>
            <w:tcW w:w="929" w:type="dxa"/>
            <w:tcBorders>
              <w:top w:val="nil"/>
              <w:left w:val="nil"/>
              <w:bottom w:val="single" w:sz="4" w:space="0" w:color="auto"/>
              <w:right w:val="single" w:sz="4" w:space="0" w:color="auto"/>
            </w:tcBorders>
            <w:shd w:val="clear" w:color="auto" w:fill="auto"/>
            <w:noWrap/>
            <w:vAlign w:val="bottom"/>
            <w:hideMark/>
          </w:tcPr>
          <w:p>
            <w:pPr>
              <w:spacing w:after="0"/>
              <w:jc w:val="right"/>
              <w:rPr>
                <w:rFonts w:ascii="Calibri" w:hAnsi="Calibri" w:cs="Calibri"/>
                <w:noProof/>
                <w:color w:val="000000"/>
                <w:sz w:val="22"/>
                <w:szCs w:val="22"/>
              </w:rPr>
            </w:pPr>
            <w:r>
              <w:rPr>
                <w:rFonts w:ascii="Calibri" w:hAnsi="Calibri"/>
                <w:noProof/>
                <w:sz w:val="22"/>
                <w:szCs w:val="22"/>
              </w:rPr>
              <w:t>0,0 %</w:t>
            </w:r>
          </w:p>
        </w:tc>
        <w:tc>
          <w:tcPr>
            <w:tcW w:w="1013" w:type="dxa"/>
            <w:tcBorders>
              <w:top w:val="nil"/>
              <w:left w:val="nil"/>
              <w:bottom w:val="single" w:sz="4" w:space="0" w:color="auto"/>
              <w:right w:val="single" w:sz="4" w:space="0" w:color="auto"/>
            </w:tcBorders>
            <w:shd w:val="clear" w:color="auto" w:fill="auto"/>
            <w:noWrap/>
            <w:vAlign w:val="bottom"/>
            <w:hideMark/>
          </w:tcPr>
          <w:p>
            <w:pPr>
              <w:spacing w:after="0"/>
              <w:jc w:val="right"/>
              <w:rPr>
                <w:rFonts w:ascii="Calibri" w:hAnsi="Calibri" w:cs="Calibri"/>
                <w:noProof/>
                <w:color w:val="000000"/>
                <w:sz w:val="22"/>
                <w:szCs w:val="22"/>
              </w:rPr>
            </w:pPr>
            <w:r>
              <w:rPr>
                <w:rFonts w:ascii="Calibri" w:hAnsi="Calibri"/>
                <w:noProof/>
                <w:sz w:val="22"/>
                <w:szCs w:val="22"/>
              </w:rPr>
              <w:t>0,0 %</w:t>
            </w:r>
          </w:p>
        </w:tc>
      </w:tr>
    </w:tbl>
    <w:p>
      <w:pPr>
        <w:pStyle w:val="Text2"/>
        <w:ind w:left="0"/>
        <w:rPr>
          <w:i/>
          <w:noProof/>
          <w:sz w:val="20"/>
        </w:rPr>
      </w:pPr>
      <w:r>
        <w:rPr>
          <w:i/>
          <w:noProof/>
          <w:sz w:val="20"/>
        </w:rPr>
        <w:t>Kilde: Eurostat.</w:t>
      </w:r>
    </w:p>
    <w:p>
      <w:pPr>
        <w:pStyle w:val="Heading2"/>
        <w:rPr>
          <w:noProof/>
        </w:rPr>
      </w:pPr>
      <w:r>
        <w:rPr>
          <w:noProof/>
        </w:rPr>
        <w:t>Interne forskelle</w:t>
      </w:r>
    </w:p>
    <w:p>
      <w:pPr>
        <w:pStyle w:val="Text2"/>
        <w:ind w:left="476"/>
        <w:rPr>
          <w:noProof/>
        </w:rPr>
      </w:pPr>
      <w:r>
        <w:rPr>
          <w:noProof/>
        </w:rPr>
        <w:t>I forbindelse med denne rapport måles de regionale forskelle inden for NUTS 2-regioner ved hjælp af BNP pr. indbygger på NUTS 3-niveau. I Maltas tilfælde er øerne Malta samt Gozo og Comino to NUTS 3-regioner, der er en del af én NUTS 2-region, som også falder sammen med landet.</w:t>
      </w:r>
    </w:p>
    <w:p>
      <w:pPr>
        <w:pStyle w:val="Text2"/>
        <w:ind w:left="476"/>
        <w:rPr>
          <w:noProof/>
        </w:rPr>
      </w:pPr>
      <w:r>
        <w:rPr>
          <w:noProof/>
        </w:rPr>
        <w:t xml:space="preserve">Interne forskelle kan naturligvis ikke vurderes for NUTS 2-regioner uden en NUTS 3-opdeling. Målinger af regionale forskelle afhænger desuden generelt af antallet af NUTS 3-områder inden for hver NUTS 2-region. </w:t>
      </w:r>
    </w:p>
    <w:p>
      <w:pPr>
        <w:pStyle w:val="Text2"/>
        <w:ind w:left="476"/>
        <w:rPr>
          <w:noProof/>
        </w:rPr>
      </w:pPr>
      <w:r>
        <w:rPr>
          <w:noProof/>
        </w:rPr>
        <w:t xml:space="preserve">I denne rapport anvendes der derfor fire målinger af interne forskelle, som tager tre forskellige sæt NUTS 2-regioner i betragtning: 1) alle NUTS 2-regioner i EU, 2) NUTS 2-overgangsregioner (hvor BNP pr. indbygger ligger på mellem 75 % og 90 % af EU-gennemsnittet) og 3) NUTS 2-regioner med en hovedstad, undtagen regioner uden yderligere underopdeling i NUTS 3-områder. </w:t>
      </w:r>
    </w:p>
    <w:p>
      <w:pPr>
        <w:pStyle w:val="Text2"/>
        <w:ind w:left="476"/>
        <w:rPr>
          <w:noProof/>
        </w:rPr>
      </w:pPr>
      <w:r>
        <w:rPr>
          <w:noProof/>
        </w:rPr>
        <w:t>De fire indikatorer er følgende:</w:t>
      </w:r>
    </w:p>
    <w:p>
      <w:pPr>
        <w:pStyle w:val="Text2"/>
        <w:numPr>
          <w:ilvl w:val="0"/>
          <w:numId w:val="24"/>
        </w:numPr>
        <w:rPr>
          <w:noProof/>
        </w:rPr>
      </w:pPr>
      <w:r>
        <w:rPr>
          <w:b/>
          <w:noProof/>
        </w:rPr>
        <w:t>Variationskoefficienten</w:t>
      </w:r>
      <w:r>
        <w:rPr>
          <w:noProof/>
        </w:rPr>
        <w:t>: forholdet mellem standardafvigelsen for alle NUTS 3 fra det gennemsnitlige BNP pr. indbygger for NUTS 2. Af de fire målinger er denne indikator den indikator, der er mindst afhængig af antallet af NUTS 3-regioner i den undersøgte NUTS 2-region.</w:t>
      </w:r>
    </w:p>
    <w:p>
      <w:pPr>
        <w:pStyle w:val="Text2"/>
        <w:numPr>
          <w:ilvl w:val="0"/>
          <w:numId w:val="24"/>
        </w:numPr>
        <w:rPr>
          <w:noProof/>
        </w:rPr>
      </w:pPr>
      <w:r>
        <w:rPr>
          <w:b/>
          <w:noProof/>
        </w:rPr>
        <w:t>Gini-indekset</w:t>
      </w:r>
      <w:r>
        <w:rPr>
          <w:noProof/>
        </w:rPr>
        <w:t>: et indeks på mellem 0 og 1, hvor 0 svarer til en situation med fuldstændig lighed på tværs af NUTS 3-regioner, og 1 svarer til en situation, hvor hele BNP er koncentreret i én NUTS 3-region.</w:t>
      </w:r>
    </w:p>
    <w:p>
      <w:pPr>
        <w:pStyle w:val="Text2"/>
        <w:numPr>
          <w:ilvl w:val="0"/>
          <w:numId w:val="24"/>
        </w:numPr>
        <w:rPr>
          <w:noProof/>
        </w:rPr>
      </w:pPr>
      <w:r>
        <w:rPr>
          <w:b/>
          <w:noProof/>
        </w:rPr>
        <w:t>Theil-indekset</w:t>
      </w:r>
      <w:r>
        <w:rPr>
          <w:noProof/>
        </w:rPr>
        <w:t xml:space="preserve">: et indeks, der giver værdier, som nærmer sig nul, når de interne forskelle bliver mindre. </w:t>
      </w:r>
    </w:p>
    <w:p>
      <w:pPr>
        <w:pStyle w:val="Text2"/>
        <w:numPr>
          <w:ilvl w:val="0"/>
          <w:numId w:val="24"/>
        </w:numPr>
        <w:rPr>
          <w:noProof/>
        </w:rPr>
      </w:pPr>
      <w:r>
        <w:rPr>
          <w:b/>
          <w:noProof/>
        </w:rPr>
        <w:t>Min/Max-forholdet</w:t>
      </w:r>
      <w:r>
        <w:rPr>
          <w:noProof/>
        </w:rPr>
        <w:t xml:space="preserve">: et simpelt forhold mellem BNP pr. indbygger i NUTS 3-regionen med den laveste værdi og NUTS 3-regionen med den højeste værdi inden for den samme NUTS 2-region. Af de fire målinger er denne indikator den indikator, der er mest afhængig af antallet af NUTS 3-regioner i hvert NUTS 2-område. </w:t>
      </w:r>
    </w:p>
    <w:p>
      <w:pPr>
        <w:pStyle w:val="Text2"/>
        <w:ind w:left="476"/>
        <w:rPr>
          <w:noProof/>
        </w:rPr>
      </w:pPr>
      <w:r>
        <w:rPr>
          <w:noProof/>
        </w:rPr>
        <w:t xml:space="preserve">Regionerne med de højeste scorer er de regioner, der har de laveste niveauer af interne forskelle: Scorerne beregnes i stigende orden for variationskoefficienten, Gini-indekset og Theil-indekset og i faldende orden for Min/Max-forholdet. </w:t>
      </w:r>
    </w:p>
    <w:p>
      <w:pPr>
        <w:pStyle w:val="Text2"/>
        <w:ind w:left="476"/>
        <w:rPr>
          <w:noProof/>
        </w:rPr>
      </w:pPr>
      <w:r>
        <w:rPr>
          <w:noProof/>
        </w:rPr>
        <w:t>Resultaterne for Malta vises i tabel 4.</w:t>
      </w:r>
    </w:p>
    <w:p>
      <w:pPr>
        <w:pStyle w:val="Text2"/>
        <w:ind w:left="476"/>
        <w:rPr>
          <w:noProof/>
        </w:rPr>
      </w:pPr>
      <w:r>
        <w:rPr>
          <w:noProof/>
        </w:rPr>
        <w:t xml:space="preserve">Ved en rangordning </w:t>
      </w:r>
      <w:r>
        <w:rPr>
          <w:b/>
          <w:noProof/>
        </w:rPr>
        <w:t>på tværs af de 237 NUTS 2-regioner</w:t>
      </w:r>
      <w:r>
        <w:rPr>
          <w:noProof/>
        </w:rPr>
        <w:t xml:space="preserve">, som har NUTS 3-underopdelinger, giver Theil-indekset og variationskoefficienten næsten samme resultater for Malta (henholdsvis nr. 99 ud af 237 og nr. 86 ud af 237). Gini-indekset undervurderer øjensynligt de økonomiske forskelle i Malta (nr. 33 ud af 237), mens Min/Max-forholdet øjensynligt overvurderer dem (nr. 164 ud af 237). </w:t>
      </w:r>
    </w:p>
    <w:p>
      <w:pPr>
        <w:pStyle w:val="Text2"/>
        <w:ind w:left="476"/>
        <w:rPr>
          <w:noProof/>
        </w:rPr>
      </w:pPr>
      <w:r>
        <w:rPr>
          <w:noProof/>
        </w:rPr>
        <w:t xml:space="preserve">Rangordningen </w:t>
      </w:r>
      <w:r>
        <w:rPr>
          <w:b/>
          <w:noProof/>
        </w:rPr>
        <w:t>på tværs af de 46 NUTS 2-overgangsregioner</w:t>
      </w:r>
      <w:r>
        <w:rPr>
          <w:noProof/>
        </w:rPr>
        <w:t xml:space="preserve"> giver et lidt klarere billede. Igen giver Theil-indekset og variationskoefficienten næsten ens placeringer til Malta (henholdsvis nr. 26 ud af 46 og nr. 24 ud af 46), og Gini-indekset giver Malta en 11. plads, mens Min/Max-forholdet giver Malta en 39. plads.</w:t>
      </w:r>
    </w:p>
    <w:p>
      <w:pPr>
        <w:pStyle w:val="Text2"/>
        <w:ind w:left="476"/>
        <w:rPr>
          <w:noProof/>
        </w:rPr>
      </w:pPr>
      <w:r>
        <w:rPr>
          <w:noProof/>
        </w:rPr>
        <w:t xml:space="preserve">Endelig er Malta også en </w:t>
      </w:r>
      <w:r>
        <w:rPr>
          <w:b/>
          <w:noProof/>
        </w:rPr>
        <w:t>hovedstadsregion</w:t>
      </w:r>
      <w:r>
        <w:rPr>
          <w:noProof/>
        </w:rPr>
        <w:t xml:space="preserve">, og den sammenlignes derfor med en tredje gruppe regioner, der tæller alle hovedstadsregioner i Europa med mere end én NUTS 3-region. Malta opnår en førsteplads efter variationskoefficienten, Gini-indekset og Theil-indekset og en andenplads efter Min/Max-forholdet og klarer sig dermed bedre end alle de øvrige hovedstadsregioner i EU med hensyn til interne forskelle.  </w:t>
      </w:r>
    </w:p>
    <w:p>
      <w:pPr>
        <w:spacing w:after="0"/>
        <w:jc w:val="left"/>
        <w:rPr>
          <w:noProof/>
        </w:rPr>
      </w:pPr>
      <w:r>
        <w:rPr>
          <w:noProof/>
        </w:rPr>
        <w:br w:type="page"/>
      </w:r>
    </w:p>
    <w:p>
      <w:pPr>
        <w:pStyle w:val="Text2"/>
        <w:ind w:left="0"/>
        <w:rPr>
          <w:b/>
          <w:noProof/>
        </w:rPr>
      </w:pPr>
      <w:r>
        <w:rPr>
          <w:b/>
          <w:noProof/>
        </w:rPr>
        <w:t>Tabel 4. Sammenlignende analyse af regionale forskelle med hensyn til BNP pr. indbygger 2016 for Malta baseret på fire forskellige indikatorer og tre forskellige rangordningsgrundlag</w:t>
      </w:r>
    </w:p>
    <w:tbl>
      <w:tblPr>
        <w:tblW w:w="4040" w:type="dxa"/>
        <w:jc w:val="center"/>
        <w:tblLook w:val="04A0" w:firstRow="1" w:lastRow="0" w:firstColumn="1" w:lastColumn="0" w:noHBand="0" w:noVBand="1"/>
      </w:tblPr>
      <w:tblGrid>
        <w:gridCol w:w="2129"/>
        <w:gridCol w:w="960"/>
        <w:gridCol w:w="960"/>
        <w:gridCol w:w="1145"/>
      </w:tblGrid>
      <w:tr>
        <w:trPr>
          <w:trHeight w:val="690"/>
          <w:jc w:val="center"/>
        </w:trPr>
        <w:tc>
          <w:tcPr>
            <w:tcW w:w="4040" w:type="dxa"/>
            <w:gridSpan w:val="4"/>
            <w:tcBorders>
              <w:top w:val="nil"/>
              <w:left w:val="nil"/>
              <w:bottom w:val="single" w:sz="4" w:space="0" w:color="auto"/>
              <w:right w:val="nil"/>
            </w:tcBorders>
            <w:shd w:val="clear" w:color="auto" w:fill="auto"/>
            <w:vAlign w:val="bottom"/>
            <w:hideMark/>
          </w:tcPr>
          <w:p>
            <w:pPr>
              <w:spacing w:after="0"/>
              <w:jc w:val="center"/>
              <w:rPr>
                <w:rFonts w:ascii="Calibri" w:hAnsi="Calibri"/>
                <w:b/>
                <w:bCs/>
                <w:noProof/>
                <w:color w:val="000000"/>
                <w:sz w:val="22"/>
                <w:szCs w:val="22"/>
              </w:rPr>
            </w:pPr>
            <w:r>
              <w:rPr>
                <w:rFonts w:ascii="Calibri" w:hAnsi="Calibri"/>
                <w:b/>
                <w:bCs/>
                <w:noProof/>
                <w:sz w:val="22"/>
                <w:szCs w:val="22"/>
              </w:rPr>
              <w:t>Værdier af de fire indikatorer for måling af regionale forskelle — Malta</w:t>
            </w:r>
          </w:p>
        </w:tc>
      </w:tr>
      <w:tr>
        <w:trPr>
          <w:trHeight w:val="735"/>
          <w:jc w:val="center"/>
        </w:trPr>
        <w:tc>
          <w:tcPr>
            <w:tcW w:w="1160" w:type="dxa"/>
            <w:tcBorders>
              <w:top w:val="nil"/>
              <w:left w:val="single" w:sz="4" w:space="0" w:color="auto"/>
              <w:bottom w:val="single" w:sz="4" w:space="0" w:color="auto"/>
              <w:right w:val="single" w:sz="4" w:space="0" w:color="auto"/>
            </w:tcBorders>
            <w:shd w:val="clear" w:color="auto" w:fill="D9D9D9" w:themeFill="background1" w:themeFillShade="D9"/>
            <w:vAlign w:val="bottom"/>
            <w:hideMark/>
          </w:tcPr>
          <w:p>
            <w:pPr>
              <w:spacing w:after="0"/>
              <w:jc w:val="center"/>
              <w:rPr>
                <w:rFonts w:ascii="Calibri" w:hAnsi="Calibri"/>
                <w:b/>
                <w:bCs/>
                <w:noProof/>
                <w:color w:val="000000"/>
                <w:sz w:val="22"/>
                <w:szCs w:val="22"/>
              </w:rPr>
            </w:pPr>
            <w:r>
              <w:rPr>
                <w:rFonts w:ascii="Calibri" w:hAnsi="Calibri"/>
                <w:b/>
                <w:bCs/>
                <w:noProof/>
                <w:sz w:val="22"/>
                <w:szCs w:val="22"/>
              </w:rPr>
              <w:t>Variationskoefficient</w:t>
            </w:r>
          </w:p>
        </w:tc>
        <w:tc>
          <w:tcPr>
            <w:tcW w:w="960" w:type="dxa"/>
            <w:tcBorders>
              <w:top w:val="nil"/>
              <w:left w:val="nil"/>
              <w:bottom w:val="single" w:sz="4" w:space="0" w:color="auto"/>
              <w:right w:val="single" w:sz="4" w:space="0" w:color="auto"/>
            </w:tcBorders>
            <w:shd w:val="clear" w:color="auto" w:fill="D9D9D9" w:themeFill="background1" w:themeFillShade="D9"/>
            <w:vAlign w:val="bottom"/>
            <w:hideMark/>
          </w:tcPr>
          <w:p>
            <w:pPr>
              <w:spacing w:after="0"/>
              <w:jc w:val="center"/>
              <w:rPr>
                <w:rFonts w:ascii="Calibri" w:hAnsi="Calibri"/>
                <w:b/>
                <w:bCs/>
                <w:noProof/>
                <w:color w:val="000000"/>
                <w:sz w:val="22"/>
                <w:szCs w:val="22"/>
              </w:rPr>
            </w:pPr>
            <w:r>
              <w:rPr>
                <w:rFonts w:ascii="Calibri" w:hAnsi="Calibri"/>
                <w:b/>
                <w:bCs/>
                <w:noProof/>
                <w:sz w:val="22"/>
                <w:szCs w:val="22"/>
              </w:rPr>
              <w:t>Gini-indeks</w:t>
            </w:r>
          </w:p>
        </w:tc>
        <w:tc>
          <w:tcPr>
            <w:tcW w:w="960" w:type="dxa"/>
            <w:tcBorders>
              <w:top w:val="nil"/>
              <w:left w:val="nil"/>
              <w:bottom w:val="single" w:sz="4" w:space="0" w:color="auto"/>
              <w:right w:val="single" w:sz="4" w:space="0" w:color="auto"/>
            </w:tcBorders>
            <w:shd w:val="clear" w:color="auto" w:fill="D9D9D9" w:themeFill="background1" w:themeFillShade="D9"/>
            <w:vAlign w:val="bottom"/>
            <w:hideMark/>
          </w:tcPr>
          <w:p>
            <w:pPr>
              <w:spacing w:after="0"/>
              <w:jc w:val="center"/>
              <w:rPr>
                <w:rFonts w:ascii="Calibri" w:hAnsi="Calibri"/>
                <w:b/>
                <w:bCs/>
                <w:noProof/>
                <w:color w:val="000000"/>
                <w:sz w:val="22"/>
                <w:szCs w:val="22"/>
              </w:rPr>
            </w:pPr>
            <w:r>
              <w:rPr>
                <w:rFonts w:ascii="Calibri" w:hAnsi="Calibri"/>
                <w:b/>
                <w:bCs/>
                <w:noProof/>
                <w:sz w:val="22"/>
                <w:szCs w:val="22"/>
              </w:rPr>
              <w:t>Theil-indeks</w:t>
            </w:r>
          </w:p>
        </w:tc>
        <w:tc>
          <w:tcPr>
            <w:tcW w:w="960" w:type="dxa"/>
            <w:tcBorders>
              <w:top w:val="nil"/>
              <w:left w:val="nil"/>
              <w:bottom w:val="single" w:sz="4" w:space="0" w:color="auto"/>
              <w:right w:val="single" w:sz="4" w:space="0" w:color="auto"/>
            </w:tcBorders>
            <w:shd w:val="clear" w:color="auto" w:fill="D9D9D9" w:themeFill="background1" w:themeFillShade="D9"/>
            <w:vAlign w:val="bottom"/>
            <w:hideMark/>
          </w:tcPr>
          <w:p>
            <w:pPr>
              <w:spacing w:after="0"/>
              <w:jc w:val="center"/>
              <w:rPr>
                <w:rFonts w:ascii="Calibri" w:hAnsi="Calibri"/>
                <w:b/>
                <w:bCs/>
                <w:noProof/>
                <w:color w:val="000000"/>
                <w:sz w:val="22"/>
                <w:szCs w:val="22"/>
              </w:rPr>
            </w:pPr>
            <w:r>
              <w:rPr>
                <w:rFonts w:ascii="Calibri" w:hAnsi="Calibri"/>
                <w:b/>
                <w:bCs/>
                <w:noProof/>
                <w:sz w:val="22"/>
                <w:szCs w:val="22"/>
              </w:rPr>
              <w:t>Min/Max-forhold</w:t>
            </w:r>
          </w:p>
        </w:tc>
      </w:tr>
      <w:tr>
        <w:trPr>
          <w:trHeight w:val="300"/>
          <w:jc w:val="center"/>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pPr>
              <w:spacing w:after="0"/>
              <w:jc w:val="center"/>
              <w:rPr>
                <w:rFonts w:ascii="Calibri" w:hAnsi="Calibri"/>
                <w:noProof/>
                <w:color w:val="000000"/>
                <w:sz w:val="22"/>
                <w:szCs w:val="22"/>
              </w:rPr>
            </w:pPr>
            <w:r>
              <w:rPr>
                <w:rFonts w:ascii="Calibri" w:hAnsi="Calibri"/>
                <w:noProof/>
                <w:sz w:val="22"/>
                <w:szCs w:val="22"/>
              </w:rPr>
              <w:t>0,11</w:t>
            </w:r>
          </w:p>
        </w:tc>
        <w:tc>
          <w:tcPr>
            <w:tcW w:w="960" w:type="dxa"/>
            <w:tcBorders>
              <w:top w:val="nil"/>
              <w:left w:val="nil"/>
              <w:bottom w:val="single" w:sz="4" w:space="0" w:color="auto"/>
              <w:right w:val="single" w:sz="4" w:space="0" w:color="auto"/>
            </w:tcBorders>
            <w:shd w:val="clear" w:color="auto" w:fill="auto"/>
            <w:noWrap/>
            <w:vAlign w:val="bottom"/>
            <w:hideMark/>
          </w:tcPr>
          <w:p>
            <w:pPr>
              <w:spacing w:after="0"/>
              <w:jc w:val="center"/>
              <w:rPr>
                <w:rFonts w:ascii="Calibri" w:hAnsi="Calibri"/>
                <w:noProof/>
                <w:color w:val="000000"/>
                <w:sz w:val="22"/>
                <w:szCs w:val="22"/>
              </w:rPr>
            </w:pPr>
            <w:r>
              <w:rPr>
                <w:rFonts w:ascii="Calibri" w:hAnsi="Calibri"/>
                <w:noProof/>
                <w:sz w:val="22"/>
                <w:szCs w:val="22"/>
              </w:rPr>
              <w:t>0,03</w:t>
            </w:r>
          </w:p>
        </w:tc>
        <w:tc>
          <w:tcPr>
            <w:tcW w:w="960" w:type="dxa"/>
            <w:tcBorders>
              <w:top w:val="nil"/>
              <w:left w:val="nil"/>
              <w:bottom w:val="single" w:sz="4" w:space="0" w:color="auto"/>
              <w:right w:val="single" w:sz="4" w:space="0" w:color="auto"/>
            </w:tcBorders>
            <w:shd w:val="clear" w:color="auto" w:fill="auto"/>
            <w:noWrap/>
            <w:vAlign w:val="bottom"/>
            <w:hideMark/>
          </w:tcPr>
          <w:p>
            <w:pPr>
              <w:spacing w:after="0"/>
              <w:jc w:val="center"/>
              <w:rPr>
                <w:rFonts w:ascii="Calibri" w:hAnsi="Calibri"/>
                <w:noProof/>
                <w:color w:val="000000"/>
                <w:sz w:val="22"/>
                <w:szCs w:val="22"/>
              </w:rPr>
            </w:pPr>
            <w:r>
              <w:rPr>
                <w:rFonts w:ascii="Calibri" w:hAnsi="Calibri"/>
                <w:noProof/>
                <w:sz w:val="22"/>
                <w:szCs w:val="22"/>
              </w:rPr>
              <w:t>0,01</w:t>
            </w:r>
          </w:p>
        </w:tc>
        <w:tc>
          <w:tcPr>
            <w:tcW w:w="960" w:type="dxa"/>
            <w:tcBorders>
              <w:top w:val="nil"/>
              <w:left w:val="nil"/>
              <w:bottom w:val="single" w:sz="4" w:space="0" w:color="auto"/>
              <w:right w:val="single" w:sz="4" w:space="0" w:color="auto"/>
            </w:tcBorders>
            <w:shd w:val="clear" w:color="auto" w:fill="auto"/>
            <w:noWrap/>
            <w:vAlign w:val="bottom"/>
            <w:hideMark/>
          </w:tcPr>
          <w:p>
            <w:pPr>
              <w:spacing w:after="0"/>
              <w:jc w:val="center"/>
              <w:rPr>
                <w:rFonts w:ascii="Calibri" w:hAnsi="Calibri"/>
                <w:noProof/>
                <w:color w:val="000000"/>
                <w:sz w:val="22"/>
                <w:szCs w:val="22"/>
              </w:rPr>
            </w:pPr>
            <w:r>
              <w:rPr>
                <w:rFonts w:ascii="Calibri" w:hAnsi="Calibri"/>
                <w:noProof/>
                <w:sz w:val="22"/>
                <w:szCs w:val="22"/>
              </w:rPr>
              <w:t>0,57</w:t>
            </w:r>
          </w:p>
        </w:tc>
      </w:tr>
      <w:tr>
        <w:trPr>
          <w:trHeight w:val="960"/>
          <w:jc w:val="center"/>
        </w:trPr>
        <w:tc>
          <w:tcPr>
            <w:tcW w:w="4040" w:type="dxa"/>
            <w:gridSpan w:val="4"/>
            <w:tcBorders>
              <w:top w:val="nil"/>
              <w:left w:val="nil"/>
              <w:bottom w:val="single" w:sz="4" w:space="0" w:color="auto"/>
              <w:right w:val="nil"/>
            </w:tcBorders>
            <w:shd w:val="clear" w:color="auto" w:fill="auto"/>
            <w:vAlign w:val="bottom"/>
            <w:hideMark/>
          </w:tcPr>
          <w:p>
            <w:pPr>
              <w:spacing w:after="0"/>
              <w:jc w:val="center"/>
              <w:rPr>
                <w:rFonts w:ascii="Calibri" w:hAnsi="Calibri"/>
                <w:b/>
                <w:bCs/>
                <w:noProof/>
                <w:color w:val="000000"/>
                <w:sz w:val="22"/>
                <w:szCs w:val="22"/>
              </w:rPr>
            </w:pPr>
            <w:r>
              <w:rPr>
                <w:rFonts w:ascii="Calibri" w:hAnsi="Calibri"/>
                <w:b/>
                <w:bCs/>
                <w:noProof/>
                <w:sz w:val="22"/>
                <w:szCs w:val="22"/>
              </w:rPr>
              <w:t>Rangordning af Malta blandt alle NUTS 2-regioner i EU med mere end én NUTS 3-region (237 regioner)</w:t>
            </w:r>
          </w:p>
        </w:tc>
      </w:tr>
      <w:tr>
        <w:trPr>
          <w:trHeight w:val="720"/>
          <w:jc w:val="center"/>
        </w:trPr>
        <w:tc>
          <w:tcPr>
            <w:tcW w:w="1160" w:type="dxa"/>
            <w:tcBorders>
              <w:top w:val="nil"/>
              <w:left w:val="single" w:sz="4" w:space="0" w:color="auto"/>
              <w:bottom w:val="single" w:sz="4" w:space="0" w:color="auto"/>
              <w:right w:val="single" w:sz="4" w:space="0" w:color="auto"/>
            </w:tcBorders>
            <w:shd w:val="clear" w:color="000000" w:fill="D9D9D9"/>
            <w:vAlign w:val="bottom"/>
            <w:hideMark/>
          </w:tcPr>
          <w:p>
            <w:pPr>
              <w:spacing w:after="0"/>
              <w:jc w:val="center"/>
              <w:rPr>
                <w:rFonts w:ascii="Calibri" w:hAnsi="Calibri"/>
                <w:b/>
                <w:bCs/>
                <w:noProof/>
                <w:color w:val="000000"/>
                <w:sz w:val="22"/>
                <w:szCs w:val="22"/>
              </w:rPr>
            </w:pPr>
            <w:r>
              <w:rPr>
                <w:rFonts w:ascii="Calibri" w:hAnsi="Calibri"/>
                <w:b/>
                <w:bCs/>
                <w:noProof/>
                <w:sz w:val="22"/>
                <w:szCs w:val="22"/>
              </w:rPr>
              <w:t>Variationskoefficient</w:t>
            </w:r>
          </w:p>
        </w:tc>
        <w:tc>
          <w:tcPr>
            <w:tcW w:w="960" w:type="dxa"/>
            <w:tcBorders>
              <w:top w:val="nil"/>
              <w:left w:val="nil"/>
              <w:bottom w:val="single" w:sz="4" w:space="0" w:color="auto"/>
              <w:right w:val="single" w:sz="4" w:space="0" w:color="auto"/>
            </w:tcBorders>
            <w:shd w:val="clear" w:color="000000" w:fill="D9D9D9"/>
            <w:vAlign w:val="bottom"/>
            <w:hideMark/>
          </w:tcPr>
          <w:p>
            <w:pPr>
              <w:spacing w:after="0"/>
              <w:jc w:val="center"/>
              <w:rPr>
                <w:rFonts w:ascii="Calibri" w:hAnsi="Calibri"/>
                <w:b/>
                <w:bCs/>
                <w:noProof/>
                <w:color w:val="000000"/>
                <w:sz w:val="22"/>
                <w:szCs w:val="22"/>
              </w:rPr>
            </w:pPr>
            <w:r>
              <w:rPr>
                <w:rFonts w:ascii="Calibri" w:hAnsi="Calibri"/>
                <w:b/>
                <w:bCs/>
                <w:noProof/>
                <w:sz w:val="22"/>
                <w:szCs w:val="22"/>
              </w:rPr>
              <w:t>Gini-indeks</w:t>
            </w:r>
          </w:p>
        </w:tc>
        <w:tc>
          <w:tcPr>
            <w:tcW w:w="960" w:type="dxa"/>
            <w:tcBorders>
              <w:top w:val="nil"/>
              <w:left w:val="nil"/>
              <w:bottom w:val="single" w:sz="4" w:space="0" w:color="auto"/>
              <w:right w:val="single" w:sz="4" w:space="0" w:color="auto"/>
            </w:tcBorders>
            <w:shd w:val="clear" w:color="000000" w:fill="D9D9D9"/>
            <w:vAlign w:val="bottom"/>
            <w:hideMark/>
          </w:tcPr>
          <w:p>
            <w:pPr>
              <w:spacing w:after="0"/>
              <w:jc w:val="center"/>
              <w:rPr>
                <w:rFonts w:ascii="Calibri" w:hAnsi="Calibri"/>
                <w:b/>
                <w:bCs/>
                <w:noProof/>
                <w:color w:val="000000"/>
                <w:sz w:val="22"/>
                <w:szCs w:val="22"/>
              </w:rPr>
            </w:pPr>
            <w:r>
              <w:rPr>
                <w:rFonts w:ascii="Calibri" w:hAnsi="Calibri"/>
                <w:b/>
                <w:bCs/>
                <w:noProof/>
                <w:sz w:val="22"/>
                <w:szCs w:val="22"/>
              </w:rPr>
              <w:t>Theil-indeks</w:t>
            </w:r>
          </w:p>
        </w:tc>
        <w:tc>
          <w:tcPr>
            <w:tcW w:w="960" w:type="dxa"/>
            <w:tcBorders>
              <w:top w:val="nil"/>
              <w:left w:val="nil"/>
              <w:bottom w:val="single" w:sz="4" w:space="0" w:color="auto"/>
              <w:right w:val="single" w:sz="4" w:space="0" w:color="auto"/>
            </w:tcBorders>
            <w:shd w:val="clear" w:color="000000" w:fill="D9D9D9"/>
            <w:vAlign w:val="bottom"/>
            <w:hideMark/>
          </w:tcPr>
          <w:p>
            <w:pPr>
              <w:spacing w:after="0"/>
              <w:jc w:val="center"/>
              <w:rPr>
                <w:rFonts w:ascii="Calibri" w:hAnsi="Calibri"/>
                <w:b/>
                <w:bCs/>
                <w:noProof/>
                <w:color w:val="000000"/>
                <w:sz w:val="22"/>
                <w:szCs w:val="22"/>
              </w:rPr>
            </w:pPr>
            <w:r>
              <w:rPr>
                <w:rFonts w:ascii="Calibri" w:hAnsi="Calibri"/>
                <w:b/>
                <w:bCs/>
                <w:noProof/>
                <w:sz w:val="22"/>
                <w:szCs w:val="22"/>
              </w:rPr>
              <w:t>Min/Max-forhold</w:t>
            </w:r>
          </w:p>
        </w:tc>
      </w:tr>
      <w:tr>
        <w:trPr>
          <w:trHeight w:val="300"/>
          <w:jc w:val="center"/>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pPr>
              <w:spacing w:after="0"/>
              <w:jc w:val="center"/>
              <w:rPr>
                <w:rFonts w:ascii="Calibri" w:hAnsi="Calibri"/>
                <w:noProof/>
                <w:color w:val="000000"/>
                <w:sz w:val="22"/>
                <w:szCs w:val="22"/>
              </w:rPr>
            </w:pPr>
            <w:r>
              <w:rPr>
                <w:rFonts w:ascii="Calibri" w:hAnsi="Calibri"/>
                <w:noProof/>
                <w:sz w:val="22"/>
                <w:szCs w:val="22"/>
              </w:rPr>
              <w:t>86</w:t>
            </w:r>
          </w:p>
        </w:tc>
        <w:tc>
          <w:tcPr>
            <w:tcW w:w="960" w:type="dxa"/>
            <w:tcBorders>
              <w:top w:val="nil"/>
              <w:left w:val="nil"/>
              <w:bottom w:val="single" w:sz="4" w:space="0" w:color="auto"/>
              <w:right w:val="single" w:sz="4" w:space="0" w:color="auto"/>
            </w:tcBorders>
            <w:shd w:val="clear" w:color="auto" w:fill="auto"/>
            <w:noWrap/>
            <w:vAlign w:val="bottom"/>
            <w:hideMark/>
          </w:tcPr>
          <w:p>
            <w:pPr>
              <w:spacing w:after="0"/>
              <w:jc w:val="center"/>
              <w:rPr>
                <w:rFonts w:ascii="Calibri" w:hAnsi="Calibri"/>
                <w:noProof/>
                <w:color w:val="000000"/>
                <w:sz w:val="22"/>
                <w:szCs w:val="22"/>
              </w:rPr>
            </w:pPr>
            <w:r>
              <w:rPr>
                <w:rFonts w:ascii="Calibri" w:hAnsi="Calibri"/>
                <w:noProof/>
                <w:sz w:val="22"/>
                <w:szCs w:val="22"/>
              </w:rPr>
              <w:t>33</w:t>
            </w:r>
          </w:p>
        </w:tc>
        <w:tc>
          <w:tcPr>
            <w:tcW w:w="960" w:type="dxa"/>
            <w:tcBorders>
              <w:top w:val="nil"/>
              <w:left w:val="nil"/>
              <w:bottom w:val="single" w:sz="4" w:space="0" w:color="auto"/>
              <w:right w:val="single" w:sz="4" w:space="0" w:color="auto"/>
            </w:tcBorders>
            <w:shd w:val="clear" w:color="auto" w:fill="auto"/>
            <w:noWrap/>
            <w:vAlign w:val="bottom"/>
            <w:hideMark/>
          </w:tcPr>
          <w:p>
            <w:pPr>
              <w:spacing w:after="0"/>
              <w:jc w:val="center"/>
              <w:rPr>
                <w:rFonts w:ascii="Calibri" w:hAnsi="Calibri"/>
                <w:noProof/>
                <w:color w:val="000000"/>
                <w:sz w:val="22"/>
                <w:szCs w:val="22"/>
              </w:rPr>
            </w:pPr>
            <w:r>
              <w:rPr>
                <w:rFonts w:ascii="Calibri" w:hAnsi="Calibri"/>
                <w:noProof/>
                <w:sz w:val="22"/>
                <w:szCs w:val="22"/>
              </w:rPr>
              <w:t>99</w:t>
            </w:r>
          </w:p>
        </w:tc>
        <w:tc>
          <w:tcPr>
            <w:tcW w:w="960" w:type="dxa"/>
            <w:tcBorders>
              <w:top w:val="nil"/>
              <w:left w:val="nil"/>
              <w:bottom w:val="single" w:sz="4" w:space="0" w:color="auto"/>
              <w:right w:val="single" w:sz="4" w:space="0" w:color="auto"/>
            </w:tcBorders>
            <w:shd w:val="clear" w:color="auto" w:fill="auto"/>
            <w:noWrap/>
            <w:vAlign w:val="bottom"/>
            <w:hideMark/>
          </w:tcPr>
          <w:p>
            <w:pPr>
              <w:spacing w:after="0"/>
              <w:jc w:val="center"/>
              <w:rPr>
                <w:rFonts w:ascii="Calibri" w:hAnsi="Calibri"/>
                <w:noProof/>
                <w:color w:val="000000"/>
                <w:sz w:val="22"/>
                <w:szCs w:val="22"/>
              </w:rPr>
            </w:pPr>
            <w:r>
              <w:rPr>
                <w:rFonts w:ascii="Calibri" w:hAnsi="Calibri"/>
                <w:noProof/>
                <w:sz w:val="22"/>
                <w:szCs w:val="22"/>
              </w:rPr>
              <w:t>164</w:t>
            </w:r>
          </w:p>
        </w:tc>
      </w:tr>
      <w:tr>
        <w:trPr>
          <w:trHeight w:val="1035"/>
          <w:jc w:val="center"/>
        </w:trPr>
        <w:tc>
          <w:tcPr>
            <w:tcW w:w="4040" w:type="dxa"/>
            <w:gridSpan w:val="4"/>
            <w:tcBorders>
              <w:top w:val="nil"/>
              <w:left w:val="nil"/>
              <w:bottom w:val="single" w:sz="4" w:space="0" w:color="auto"/>
              <w:right w:val="nil"/>
            </w:tcBorders>
            <w:shd w:val="clear" w:color="auto" w:fill="auto"/>
            <w:vAlign w:val="bottom"/>
            <w:hideMark/>
          </w:tcPr>
          <w:p>
            <w:pPr>
              <w:spacing w:after="0"/>
              <w:jc w:val="center"/>
              <w:rPr>
                <w:rFonts w:ascii="Calibri" w:hAnsi="Calibri"/>
                <w:b/>
                <w:bCs/>
                <w:noProof/>
                <w:color w:val="000000"/>
                <w:sz w:val="22"/>
                <w:szCs w:val="22"/>
              </w:rPr>
            </w:pPr>
            <w:r>
              <w:rPr>
                <w:rFonts w:ascii="Calibri" w:hAnsi="Calibri"/>
                <w:b/>
                <w:bCs/>
                <w:noProof/>
                <w:sz w:val="22"/>
                <w:szCs w:val="22"/>
              </w:rPr>
              <w:t>Rangordning af Malta blandt alle NUTS 2-overgangsregioner i EU med mere end én NUTS 3-region (46 regioner)</w:t>
            </w:r>
          </w:p>
        </w:tc>
      </w:tr>
      <w:tr>
        <w:trPr>
          <w:trHeight w:val="675"/>
          <w:jc w:val="center"/>
        </w:trPr>
        <w:tc>
          <w:tcPr>
            <w:tcW w:w="1160" w:type="dxa"/>
            <w:tcBorders>
              <w:top w:val="nil"/>
              <w:left w:val="single" w:sz="4" w:space="0" w:color="auto"/>
              <w:bottom w:val="single" w:sz="4" w:space="0" w:color="auto"/>
              <w:right w:val="single" w:sz="4" w:space="0" w:color="auto"/>
            </w:tcBorders>
            <w:shd w:val="clear" w:color="000000" w:fill="D9D9D9"/>
            <w:vAlign w:val="bottom"/>
            <w:hideMark/>
          </w:tcPr>
          <w:p>
            <w:pPr>
              <w:spacing w:after="0"/>
              <w:jc w:val="center"/>
              <w:rPr>
                <w:rFonts w:ascii="Calibri" w:hAnsi="Calibri"/>
                <w:b/>
                <w:bCs/>
                <w:noProof/>
                <w:color w:val="000000"/>
                <w:sz w:val="22"/>
                <w:szCs w:val="22"/>
              </w:rPr>
            </w:pPr>
            <w:r>
              <w:rPr>
                <w:rFonts w:ascii="Calibri" w:hAnsi="Calibri"/>
                <w:b/>
                <w:bCs/>
                <w:noProof/>
                <w:sz w:val="22"/>
                <w:szCs w:val="22"/>
              </w:rPr>
              <w:t>Variationskoefficient</w:t>
            </w:r>
          </w:p>
        </w:tc>
        <w:tc>
          <w:tcPr>
            <w:tcW w:w="960" w:type="dxa"/>
            <w:tcBorders>
              <w:top w:val="nil"/>
              <w:left w:val="nil"/>
              <w:bottom w:val="single" w:sz="4" w:space="0" w:color="auto"/>
              <w:right w:val="single" w:sz="4" w:space="0" w:color="auto"/>
            </w:tcBorders>
            <w:shd w:val="clear" w:color="000000" w:fill="D9D9D9"/>
            <w:vAlign w:val="bottom"/>
            <w:hideMark/>
          </w:tcPr>
          <w:p>
            <w:pPr>
              <w:spacing w:after="0"/>
              <w:jc w:val="center"/>
              <w:rPr>
                <w:rFonts w:ascii="Calibri" w:hAnsi="Calibri"/>
                <w:b/>
                <w:bCs/>
                <w:noProof/>
                <w:color w:val="000000"/>
                <w:sz w:val="22"/>
                <w:szCs w:val="22"/>
              </w:rPr>
            </w:pPr>
            <w:r>
              <w:rPr>
                <w:rFonts w:ascii="Calibri" w:hAnsi="Calibri"/>
                <w:b/>
                <w:bCs/>
                <w:noProof/>
                <w:sz w:val="22"/>
                <w:szCs w:val="22"/>
              </w:rPr>
              <w:t>Gini-indeks</w:t>
            </w:r>
          </w:p>
        </w:tc>
        <w:tc>
          <w:tcPr>
            <w:tcW w:w="960" w:type="dxa"/>
            <w:tcBorders>
              <w:top w:val="nil"/>
              <w:left w:val="nil"/>
              <w:bottom w:val="single" w:sz="4" w:space="0" w:color="auto"/>
              <w:right w:val="single" w:sz="4" w:space="0" w:color="auto"/>
            </w:tcBorders>
            <w:shd w:val="clear" w:color="000000" w:fill="D9D9D9"/>
            <w:vAlign w:val="bottom"/>
            <w:hideMark/>
          </w:tcPr>
          <w:p>
            <w:pPr>
              <w:spacing w:after="0"/>
              <w:jc w:val="center"/>
              <w:rPr>
                <w:rFonts w:ascii="Calibri" w:hAnsi="Calibri"/>
                <w:b/>
                <w:bCs/>
                <w:noProof/>
                <w:color w:val="000000"/>
                <w:sz w:val="22"/>
                <w:szCs w:val="22"/>
              </w:rPr>
            </w:pPr>
            <w:r>
              <w:rPr>
                <w:rFonts w:ascii="Calibri" w:hAnsi="Calibri"/>
                <w:b/>
                <w:bCs/>
                <w:noProof/>
                <w:sz w:val="22"/>
                <w:szCs w:val="22"/>
              </w:rPr>
              <w:t>Theil-indeks</w:t>
            </w:r>
          </w:p>
        </w:tc>
        <w:tc>
          <w:tcPr>
            <w:tcW w:w="960" w:type="dxa"/>
            <w:tcBorders>
              <w:top w:val="nil"/>
              <w:left w:val="nil"/>
              <w:bottom w:val="single" w:sz="4" w:space="0" w:color="auto"/>
              <w:right w:val="single" w:sz="4" w:space="0" w:color="auto"/>
            </w:tcBorders>
            <w:shd w:val="clear" w:color="000000" w:fill="D9D9D9"/>
            <w:vAlign w:val="bottom"/>
            <w:hideMark/>
          </w:tcPr>
          <w:p>
            <w:pPr>
              <w:spacing w:after="0"/>
              <w:jc w:val="center"/>
              <w:rPr>
                <w:rFonts w:ascii="Calibri" w:hAnsi="Calibri"/>
                <w:b/>
                <w:bCs/>
                <w:noProof/>
                <w:color w:val="000000"/>
                <w:sz w:val="22"/>
                <w:szCs w:val="22"/>
              </w:rPr>
            </w:pPr>
            <w:r>
              <w:rPr>
                <w:rFonts w:ascii="Calibri" w:hAnsi="Calibri"/>
                <w:b/>
                <w:bCs/>
                <w:noProof/>
                <w:sz w:val="22"/>
                <w:szCs w:val="22"/>
              </w:rPr>
              <w:t>Min/Max-forhold</w:t>
            </w:r>
          </w:p>
        </w:tc>
      </w:tr>
      <w:tr>
        <w:trPr>
          <w:trHeight w:val="300"/>
          <w:jc w:val="center"/>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pPr>
              <w:spacing w:after="0"/>
              <w:jc w:val="center"/>
              <w:rPr>
                <w:rFonts w:ascii="Calibri" w:hAnsi="Calibri"/>
                <w:noProof/>
                <w:color w:val="000000"/>
                <w:sz w:val="22"/>
                <w:szCs w:val="22"/>
              </w:rPr>
            </w:pPr>
            <w:r>
              <w:rPr>
                <w:rFonts w:ascii="Calibri" w:hAnsi="Calibri"/>
                <w:noProof/>
                <w:sz w:val="22"/>
                <w:szCs w:val="22"/>
              </w:rPr>
              <w:t>24</w:t>
            </w:r>
          </w:p>
        </w:tc>
        <w:tc>
          <w:tcPr>
            <w:tcW w:w="960" w:type="dxa"/>
            <w:tcBorders>
              <w:top w:val="nil"/>
              <w:left w:val="nil"/>
              <w:bottom w:val="single" w:sz="4" w:space="0" w:color="auto"/>
              <w:right w:val="single" w:sz="4" w:space="0" w:color="auto"/>
            </w:tcBorders>
            <w:shd w:val="clear" w:color="auto" w:fill="auto"/>
            <w:noWrap/>
            <w:vAlign w:val="bottom"/>
            <w:hideMark/>
          </w:tcPr>
          <w:p>
            <w:pPr>
              <w:spacing w:after="0"/>
              <w:jc w:val="center"/>
              <w:rPr>
                <w:rFonts w:ascii="Calibri" w:hAnsi="Calibri"/>
                <w:noProof/>
                <w:color w:val="000000"/>
                <w:sz w:val="22"/>
                <w:szCs w:val="22"/>
              </w:rPr>
            </w:pPr>
            <w:r>
              <w:rPr>
                <w:rFonts w:ascii="Calibri" w:hAnsi="Calibri"/>
                <w:noProof/>
                <w:sz w:val="22"/>
                <w:szCs w:val="22"/>
              </w:rPr>
              <w:t>11</w:t>
            </w:r>
          </w:p>
        </w:tc>
        <w:tc>
          <w:tcPr>
            <w:tcW w:w="960" w:type="dxa"/>
            <w:tcBorders>
              <w:top w:val="nil"/>
              <w:left w:val="nil"/>
              <w:bottom w:val="single" w:sz="4" w:space="0" w:color="auto"/>
              <w:right w:val="single" w:sz="4" w:space="0" w:color="auto"/>
            </w:tcBorders>
            <w:shd w:val="clear" w:color="auto" w:fill="auto"/>
            <w:noWrap/>
            <w:vAlign w:val="bottom"/>
            <w:hideMark/>
          </w:tcPr>
          <w:p>
            <w:pPr>
              <w:spacing w:after="0"/>
              <w:jc w:val="center"/>
              <w:rPr>
                <w:rFonts w:ascii="Calibri" w:hAnsi="Calibri"/>
                <w:noProof/>
                <w:color w:val="000000"/>
                <w:sz w:val="22"/>
                <w:szCs w:val="22"/>
              </w:rPr>
            </w:pPr>
            <w:r>
              <w:rPr>
                <w:rFonts w:ascii="Calibri" w:hAnsi="Calibri"/>
                <w:noProof/>
                <w:sz w:val="22"/>
                <w:szCs w:val="22"/>
              </w:rPr>
              <w:t>26</w:t>
            </w:r>
          </w:p>
        </w:tc>
        <w:tc>
          <w:tcPr>
            <w:tcW w:w="960" w:type="dxa"/>
            <w:tcBorders>
              <w:top w:val="nil"/>
              <w:left w:val="nil"/>
              <w:bottom w:val="single" w:sz="4" w:space="0" w:color="auto"/>
              <w:right w:val="single" w:sz="4" w:space="0" w:color="auto"/>
            </w:tcBorders>
            <w:shd w:val="clear" w:color="auto" w:fill="auto"/>
            <w:noWrap/>
            <w:vAlign w:val="bottom"/>
            <w:hideMark/>
          </w:tcPr>
          <w:p>
            <w:pPr>
              <w:spacing w:after="0"/>
              <w:jc w:val="center"/>
              <w:rPr>
                <w:rFonts w:ascii="Calibri" w:hAnsi="Calibri"/>
                <w:noProof/>
                <w:color w:val="000000"/>
                <w:sz w:val="22"/>
                <w:szCs w:val="22"/>
              </w:rPr>
            </w:pPr>
            <w:r>
              <w:rPr>
                <w:rFonts w:ascii="Calibri" w:hAnsi="Calibri"/>
                <w:noProof/>
                <w:sz w:val="22"/>
                <w:szCs w:val="22"/>
              </w:rPr>
              <w:t>39</w:t>
            </w:r>
          </w:p>
        </w:tc>
      </w:tr>
      <w:tr>
        <w:trPr>
          <w:trHeight w:val="885"/>
          <w:jc w:val="center"/>
        </w:trPr>
        <w:tc>
          <w:tcPr>
            <w:tcW w:w="4040" w:type="dxa"/>
            <w:gridSpan w:val="4"/>
            <w:tcBorders>
              <w:top w:val="nil"/>
              <w:left w:val="nil"/>
              <w:bottom w:val="single" w:sz="4" w:space="0" w:color="auto"/>
              <w:right w:val="nil"/>
            </w:tcBorders>
            <w:shd w:val="clear" w:color="auto" w:fill="auto"/>
            <w:vAlign w:val="bottom"/>
            <w:hideMark/>
          </w:tcPr>
          <w:p>
            <w:pPr>
              <w:spacing w:after="0"/>
              <w:rPr>
                <w:rFonts w:ascii="Calibri" w:hAnsi="Calibri"/>
                <w:b/>
                <w:bCs/>
                <w:noProof/>
                <w:color w:val="000000"/>
                <w:sz w:val="22"/>
                <w:szCs w:val="22"/>
              </w:rPr>
            </w:pPr>
            <w:r>
              <w:rPr>
                <w:rFonts w:ascii="Calibri" w:hAnsi="Calibri"/>
                <w:b/>
                <w:bCs/>
                <w:noProof/>
                <w:sz w:val="22"/>
                <w:szCs w:val="22"/>
              </w:rPr>
              <w:t>Rangordning af Malta blandt alle NUTS 2-hovedstadsregioner i EU med mere end én NUTS 3-region (15 regioner)</w:t>
            </w:r>
          </w:p>
        </w:tc>
      </w:tr>
      <w:tr>
        <w:trPr>
          <w:trHeight w:val="705"/>
          <w:jc w:val="center"/>
        </w:trPr>
        <w:tc>
          <w:tcPr>
            <w:tcW w:w="1160" w:type="dxa"/>
            <w:tcBorders>
              <w:top w:val="nil"/>
              <w:left w:val="single" w:sz="4" w:space="0" w:color="auto"/>
              <w:bottom w:val="single" w:sz="4" w:space="0" w:color="auto"/>
              <w:right w:val="single" w:sz="4" w:space="0" w:color="auto"/>
            </w:tcBorders>
            <w:shd w:val="clear" w:color="000000" w:fill="D9D9D9"/>
            <w:vAlign w:val="bottom"/>
            <w:hideMark/>
          </w:tcPr>
          <w:p>
            <w:pPr>
              <w:spacing w:after="0"/>
              <w:jc w:val="center"/>
              <w:rPr>
                <w:rFonts w:ascii="Calibri" w:hAnsi="Calibri"/>
                <w:b/>
                <w:bCs/>
                <w:noProof/>
                <w:color w:val="000000"/>
                <w:sz w:val="22"/>
                <w:szCs w:val="22"/>
              </w:rPr>
            </w:pPr>
            <w:r>
              <w:rPr>
                <w:rFonts w:ascii="Calibri" w:hAnsi="Calibri"/>
                <w:b/>
                <w:bCs/>
                <w:noProof/>
                <w:sz w:val="22"/>
                <w:szCs w:val="22"/>
              </w:rPr>
              <w:t>Variationskoefficient</w:t>
            </w:r>
          </w:p>
        </w:tc>
        <w:tc>
          <w:tcPr>
            <w:tcW w:w="960" w:type="dxa"/>
            <w:tcBorders>
              <w:top w:val="nil"/>
              <w:left w:val="nil"/>
              <w:bottom w:val="single" w:sz="4" w:space="0" w:color="auto"/>
              <w:right w:val="single" w:sz="4" w:space="0" w:color="auto"/>
            </w:tcBorders>
            <w:shd w:val="clear" w:color="000000" w:fill="D9D9D9"/>
            <w:vAlign w:val="bottom"/>
            <w:hideMark/>
          </w:tcPr>
          <w:p>
            <w:pPr>
              <w:spacing w:after="0"/>
              <w:jc w:val="center"/>
              <w:rPr>
                <w:rFonts w:ascii="Calibri" w:hAnsi="Calibri"/>
                <w:b/>
                <w:bCs/>
                <w:noProof/>
                <w:color w:val="000000"/>
                <w:sz w:val="22"/>
                <w:szCs w:val="22"/>
              </w:rPr>
            </w:pPr>
            <w:r>
              <w:rPr>
                <w:rFonts w:ascii="Calibri" w:hAnsi="Calibri"/>
                <w:b/>
                <w:bCs/>
                <w:noProof/>
                <w:sz w:val="22"/>
                <w:szCs w:val="22"/>
              </w:rPr>
              <w:t>Gini-indeks</w:t>
            </w:r>
          </w:p>
        </w:tc>
        <w:tc>
          <w:tcPr>
            <w:tcW w:w="960" w:type="dxa"/>
            <w:tcBorders>
              <w:top w:val="nil"/>
              <w:left w:val="nil"/>
              <w:bottom w:val="single" w:sz="4" w:space="0" w:color="auto"/>
              <w:right w:val="single" w:sz="4" w:space="0" w:color="auto"/>
            </w:tcBorders>
            <w:shd w:val="clear" w:color="000000" w:fill="D9D9D9"/>
            <w:vAlign w:val="bottom"/>
            <w:hideMark/>
          </w:tcPr>
          <w:p>
            <w:pPr>
              <w:spacing w:after="0"/>
              <w:jc w:val="center"/>
              <w:rPr>
                <w:rFonts w:ascii="Calibri" w:hAnsi="Calibri"/>
                <w:b/>
                <w:bCs/>
                <w:noProof/>
                <w:color w:val="000000"/>
                <w:sz w:val="22"/>
                <w:szCs w:val="22"/>
              </w:rPr>
            </w:pPr>
            <w:r>
              <w:rPr>
                <w:rFonts w:ascii="Calibri" w:hAnsi="Calibri"/>
                <w:b/>
                <w:bCs/>
                <w:noProof/>
                <w:sz w:val="22"/>
                <w:szCs w:val="22"/>
              </w:rPr>
              <w:t>Theil-indeks</w:t>
            </w:r>
          </w:p>
        </w:tc>
        <w:tc>
          <w:tcPr>
            <w:tcW w:w="960" w:type="dxa"/>
            <w:tcBorders>
              <w:top w:val="nil"/>
              <w:left w:val="nil"/>
              <w:bottom w:val="single" w:sz="4" w:space="0" w:color="auto"/>
              <w:right w:val="single" w:sz="4" w:space="0" w:color="auto"/>
            </w:tcBorders>
            <w:shd w:val="clear" w:color="000000" w:fill="D9D9D9"/>
            <w:vAlign w:val="bottom"/>
            <w:hideMark/>
          </w:tcPr>
          <w:p>
            <w:pPr>
              <w:spacing w:after="0"/>
              <w:jc w:val="center"/>
              <w:rPr>
                <w:rFonts w:ascii="Calibri" w:hAnsi="Calibri"/>
                <w:b/>
                <w:bCs/>
                <w:noProof/>
                <w:color w:val="000000"/>
                <w:sz w:val="22"/>
                <w:szCs w:val="22"/>
              </w:rPr>
            </w:pPr>
            <w:r>
              <w:rPr>
                <w:rFonts w:ascii="Calibri" w:hAnsi="Calibri"/>
                <w:b/>
                <w:bCs/>
                <w:noProof/>
                <w:sz w:val="22"/>
                <w:szCs w:val="22"/>
              </w:rPr>
              <w:t>Min/Max-forhold</w:t>
            </w:r>
          </w:p>
        </w:tc>
      </w:tr>
      <w:tr>
        <w:trPr>
          <w:trHeight w:val="300"/>
          <w:jc w:val="center"/>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pPr>
              <w:spacing w:after="0"/>
              <w:jc w:val="center"/>
              <w:rPr>
                <w:rFonts w:ascii="Calibri" w:hAnsi="Calibri"/>
                <w:noProof/>
                <w:color w:val="000000"/>
                <w:sz w:val="22"/>
                <w:szCs w:val="22"/>
              </w:rPr>
            </w:pPr>
            <w:r>
              <w:rPr>
                <w:rFonts w:ascii="Calibri" w:hAnsi="Calibri"/>
                <w:noProof/>
                <w:sz w:val="22"/>
                <w:szCs w:val="22"/>
              </w:rPr>
              <w:t>1</w:t>
            </w:r>
          </w:p>
        </w:tc>
        <w:tc>
          <w:tcPr>
            <w:tcW w:w="960" w:type="dxa"/>
            <w:tcBorders>
              <w:top w:val="nil"/>
              <w:left w:val="nil"/>
              <w:bottom w:val="single" w:sz="4" w:space="0" w:color="auto"/>
              <w:right w:val="single" w:sz="4" w:space="0" w:color="auto"/>
            </w:tcBorders>
            <w:shd w:val="clear" w:color="auto" w:fill="auto"/>
            <w:noWrap/>
            <w:vAlign w:val="bottom"/>
            <w:hideMark/>
          </w:tcPr>
          <w:p>
            <w:pPr>
              <w:spacing w:after="0"/>
              <w:jc w:val="center"/>
              <w:rPr>
                <w:rFonts w:ascii="Calibri" w:hAnsi="Calibri"/>
                <w:noProof/>
                <w:color w:val="000000"/>
                <w:sz w:val="22"/>
                <w:szCs w:val="22"/>
              </w:rPr>
            </w:pPr>
            <w:r>
              <w:rPr>
                <w:rFonts w:ascii="Calibri" w:hAnsi="Calibri"/>
                <w:noProof/>
                <w:sz w:val="22"/>
                <w:szCs w:val="22"/>
              </w:rPr>
              <w:t>1</w:t>
            </w:r>
          </w:p>
        </w:tc>
        <w:tc>
          <w:tcPr>
            <w:tcW w:w="960" w:type="dxa"/>
            <w:tcBorders>
              <w:top w:val="nil"/>
              <w:left w:val="nil"/>
              <w:bottom w:val="single" w:sz="4" w:space="0" w:color="auto"/>
              <w:right w:val="single" w:sz="4" w:space="0" w:color="auto"/>
            </w:tcBorders>
            <w:shd w:val="clear" w:color="auto" w:fill="auto"/>
            <w:noWrap/>
            <w:vAlign w:val="bottom"/>
            <w:hideMark/>
          </w:tcPr>
          <w:p>
            <w:pPr>
              <w:spacing w:after="0"/>
              <w:jc w:val="center"/>
              <w:rPr>
                <w:rFonts w:ascii="Calibri" w:hAnsi="Calibri"/>
                <w:noProof/>
                <w:color w:val="000000"/>
                <w:sz w:val="22"/>
                <w:szCs w:val="22"/>
              </w:rPr>
            </w:pPr>
            <w:r>
              <w:rPr>
                <w:rFonts w:ascii="Calibri" w:hAnsi="Calibri"/>
                <w:noProof/>
                <w:sz w:val="22"/>
                <w:szCs w:val="22"/>
              </w:rPr>
              <w:t>1</w:t>
            </w:r>
          </w:p>
        </w:tc>
        <w:tc>
          <w:tcPr>
            <w:tcW w:w="960" w:type="dxa"/>
            <w:tcBorders>
              <w:top w:val="nil"/>
              <w:left w:val="nil"/>
              <w:bottom w:val="single" w:sz="4" w:space="0" w:color="auto"/>
              <w:right w:val="single" w:sz="4" w:space="0" w:color="auto"/>
            </w:tcBorders>
            <w:shd w:val="clear" w:color="auto" w:fill="auto"/>
            <w:noWrap/>
            <w:vAlign w:val="bottom"/>
            <w:hideMark/>
          </w:tcPr>
          <w:p>
            <w:pPr>
              <w:spacing w:after="0"/>
              <w:jc w:val="center"/>
              <w:rPr>
                <w:rFonts w:ascii="Calibri" w:hAnsi="Calibri"/>
                <w:noProof/>
                <w:color w:val="000000"/>
                <w:sz w:val="22"/>
                <w:szCs w:val="22"/>
              </w:rPr>
            </w:pPr>
            <w:r>
              <w:rPr>
                <w:rFonts w:ascii="Calibri" w:hAnsi="Calibri"/>
                <w:noProof/>
                <w:sz w:val="22"/>
                <w:szCs w:val="22"/>
              </w:rPr>
              <w:t>2</w:t>
            </w:r>
          </w:p>
        </w:tc>
      </w:tr>
    </w:tbl>
    <w:p>
      <w:pPr>
        <w:pStyle w:val="Text2"/>
        <w:spacing w:after="120"/>
        <w:ind w:left="476"/>
        <w:rPr>
          <w:i/>
          <w:noProof/>
        </w:rPr>
      </w:pPr>
      <w:r>
        <w:rPr>
          <w:i/>
          <w:noProof/>
        </w:rPr>
        <w:t>*</w:t>
      </w:r>
      <w:r>
        <w:rPr>
          <w:noProof/>
          <w:sz w:val="20"/>
        </w:rPr>
        <w:t>Hovedstadsregioner i følgende lande: BG, DK, EE, EL, FR, HR, IE, IT, LV, MT, NL, PL, RO, SI og UK.</w:t>
      </w:r>
    </w:p>
    <w:p>
      <w:pPr>
        <w:pStyle w:val="Text2"/>
        <w:ind w:left="476"/>
        <w:rPr>
          <w:i/>
          <w:noProof/>
          <w:sz w:val="20"/>
        </w:rPr>
      </w:pPr>
      <w:r>
        <w:rPr>
          <w:i/>
          <w:noProof/>
          <w:sz w:val="20"/>
        </w:rPr>
        <w:t>Kilde: Beregning fra GD REGIO baseret på data fra Eurostat.</w:t>
      </w:r>
    </w:p>
    <w:p>
      <w:pPr>
        <w:pStyle w:val="Heading1"/>
        <w:rPr>
          <w:noProof/>
        </w:rPr>
      </w:pPr>
      <w:r>
        <w:rPr>
          <w:noProof/>
        </w:rPr>
        <w:t>Gennemførelse af samhørighedspolitikken på Gozo</w:t>
      </w:r>
    </w:p>
    <w:p>
      <w:pPr>
        <w:rPr>
          <w:noProof/>
        </w:rPr>
      </w:pPr>
      <w:r>
        <w:rPr>
          <w:noProof/>
        </w:rPr>
        <w:t>For programmeringsperioden 2007-2013 og 2014-2020 er henholdsvis 11 % og 10 % af det samlede tilgængelige budget under EFRU, ESF og SF målrettet mod territoriale investeringer på Gozo. Dette er lidt højere end andelen af Gozos befolkning (omkring 7 %), idet hovedmålet er at mindske forskellene i forhold til Malta, som anført i kapitel 1.</w:t>
      </w:r>
    </w:p>
    <w:p>
      <w:pPr>
        <w:spacing w:after="0"/>
        <w:rPr>
          <w:noProof/>
        </w:rPr>
      </w:pPr>
      <w:r>
        <w:rPr>
          <w:noProof/>
        </w:rPr>
        <w:t>De primære investeringsområder for 2007-2013 var "Investing in competitiveness and quality of life" og "Empowering people for more jobs and a better quality of life", som beløb sig til i alt 107,3 mio. EUR. For perioden 2014-2020 var der pr. 1. maj 2019 blevet udbetalt 95,6 mio. EUR.</w:t>
      </w:r>
    </w:p>
    <w:p>
      <w:pPr>
        <w:spacing w:after="0"/>
        <w:rPr>
          <w:noProof/>
        </w:rPr>
      </w:pPr>
    </w:p>
    <w:p>
      <w:pPr>
        <w:rPr>
          <w:noProof/>
        </w:rPr>
      </w:pPr>
      <w:r>
        <w:rPr>
          <w:noProof/>
        </w:rPr>
        <w:t>Foranstaltninger på Gozo dækker en lang række områder, og betydelige midler investeres i bl.a. infrastrukturer såsom veje, transport, vand og vedvarende energi, affaldshåndteringsanlæg og renovering af historiske steder, navnlig "Cittadella", som har fået tildelt 12 mio. EUR i EU-støtte. Gozos fiskeindustri har også modtaget EHFF-midler til modernisering af fiskernes anlæg ved de udpegede fiskehavne Mgarr og Xlendi og anlæg af nye tilknyttede faciliteter.</w:t>
      </w:r>
    </w:p>
    <w:p>
      <w:pPr>
        <w:rPr>
          <w:noProof/>
        </w:rPr>
      </w:pPr>
      <w:r>
        <w:rPr>
          <w:noProof/>
        </w:rPr>
        <w:t>Gennem 79 projekter, som beløber sig til 12,4 mio. EUR, har ESF også ydet støtte til indsatsen for at øge deltagelsen i kvalitets- og arbejdsmarkedsuddannelse, karrierevejledning, forbedring af arbejdsstyrkens beskæftigelsesegnethed og tilpasningsevne samt social inklusion af dårligt stillede grupper.</w:t>
      </w:r>
    </w:p>
    <w:p>
      <w:pPr>
        <w:rPr>
          <w:noProof/>
        </w:rPr>
      </w:pPr>
      <w:r>
        <w:rPr>
          <w:noProof/>
        </w:rPr>
        <w:t>For den næste programmeringsperiode 2021-2027 beløber EU's samlede bidrag under EFRU, ESF+ og Samhørighedsfonden til hele den maltesiske øgruppe</w:t>
      </w:r>
      <w:r>
        <w:rPr>
          <w:rStyle w:val="FootnoteReference"/>
          <w:noProof/>
        </w:rPr>
        <w:footnoteReference w:id="4"/>
      </w:r>
      <w:r>
        <w:rPr>
          <w:noProof/>
        </w:rPr>
        <w:t xml:space="preserve"> sig til 672,8 mio. EUR, et fald på 5 % sammenlignet med beløbet på 708 mio. EUR for 2014-2020. Dette afspejler de senere års vellykkede indsats for at indhente EU-gennemsnittet. Drøftelserne vedrørende investeringsprioriteterne for programmeringsperioden 2021-2027 baseres på Landerapport Malta 2019</w:t>
      </w:r>
      <w:r>
        <w:rPr>
          <w:rStyle w:val="FootnoteReference"/>
          <w:noProof/>
        </w:rPr>
        <w:footnoteReference w:id="5"/>
      </w:r>
      <w:r>
        <w:rPr>
          <w:noProof/>
        </w:rPr>
        <w:t xml:space="preserve"> af 27. februar 2019 og de landespecifikke henstillinger, som Rådet vedtog den 9. juli 2019. Dette foregriber ikke det vigtige spørgsmål om den andel af midlerne, der vil blive afsat til Gozo og Comino.</w:t>
      </w:r>
    </w:p>
    <w:p>
      <w:pPr>
        <w:pStyle w:val="Heading1"/>
        <w:rPr>
          <w:noProof/>
        </w:rPr>
      </w:pPr>
      <w:r>
        <w:rPr>
          <w:noProof/>
        </w:rPr>
        <w:t>Konklusioner</w:t>
      </w:r>
    </w:p>
    <w:p>
      <w:pPr>
        <w:pStyle w:val="Text1"/>
        <w:ind w:left="0"/>
        <w:rPr>
          <w:noProof/>
        </w:rPr>
      </w:pPr>
      <w:r>
        <w:rPr>
          <w:noProof/>
        </w:rPr>
        <w:t xml:space="preserve">Den statistiske analyse i denne rapport viser, at forskellene i BNP pr. indbygger mellem Gozo og hovedøen Malta er steget let i årenes løb. Forskellige elementer kan forklare denne udvikling. Det skal anerkendes, at øen Malta har en mere serviceorienteret økonomi end øen Gozo, som er mere afhængig af landbrug, fiskeri samt bygge- og anlægsaktiviteter. Med denne forskel i økonomisk fokus har Maltas økonomiske vækst været større end Gozos. </w:t>
      </w:r>
    </w:p>
    <w:p>
      <w:pPr>
        <w:pStyle w:val="Text1"/>
        <w:ind w:left="0"/>
        <w:rPr>
          <w:noProof/>
        </w:rPr>
      </w:pPr>
      <w:r>
        <w:rPr>
          <w:noProof/>
        </w:rPr>
        <w:t xml:space="preserve">I de senere år har Gozo indhentet EU-gennemsnittet hurtigere end andre øregioner i EU. Dette kan skyldes de afsmittende virkninger af den tætte beliggenhed på hovedøen Malta, især pendling og stigningen i turismen i regionen. </w:t>
      </w:r>
    </w:p>
    <w:p>
      <w:pPr>
        <w:pStyle w:val="Text1"/>
        <w:ind w:left="0"/>
        <w:rPr>
          <w:noProof/>
        </w:rPr>
      </w:pPr>
      <w:r>
        <w:rPr>
          <w:noProof/>
        </w:rPr>
        <w:t>Når Maltas økonomiske situation sammenlignes med andre overgangsregioner i EU, svarer de interne forskelle til gennemsnittet.</w:t>
      </w:r>
    </w:p>
    <w:p>
      <w:pPr>
        <w:pStyle w:val="Text1"/>
        <w:ind w:left="0"/>
        <w:rPr>
          <w:noProof/>
        </w:rPr>
      </w:pPr>
      <w:r>
        <w:rPr>
          <w:noProof/>
        </w:rPr>
        <w:t>Det bør desuden erindres, at BNP pr. indbygger som indikator undervurderer den reelle økonomiske velfærd blandt Gozos indbyggere, især som følge af den betydelige andel af arbejdstagerne, der pendler til øen Malta.</w:t>
      </w:r>
    </w:p>
    <w:p>
      <w:pPr>
        <w:pStyle w:val="Text1"/>
        <w:ind w:left="0"/>
        <w:rPr>
          <w:noProof/>
        </w:rPr>
      </w:pPr>
      <w:r>
        <w:rPr>
          <w:noProof/>
        </w:rPr>
        <w:t>Der er sket fremskridt med hensyn til tilgængelighed til gavn for både turismen og gozitanske arbejdstagere, der pendler til Malta. Samhørighedspolitikken har bidraget til denne succes gennem væsentlige investeringer i vej- og søtransportinfrastrukturer, energi og sundhedsfaciliteter og gennem støtte til renovering af kulturarv.</w:t>
      </w:r>
    </w:p>
    <w:p>
      <w:pPr>
        <w:spacing w:after="0"/>
        <w:jc w:val="left"/>
        <w:rPr>
          <w:noProof/>
        </w:rPr>
      </w:pPr>
      <w:r>
        <w:rPr>
          <w:noProof/>
        </w:rPr>
        <w:br w:type="page"/>
      </w:r>
    </w:p>
    <w:p>
      <w:pPr>
        <w:pStyle w:val="Text1"/>
        <w:ind w:left="0"/>
        <w:rPr>
          <w:noProof/>
        </w:rPr>
      </w:pPr>
      <w:r>
        <w:rPr>
          <w:noProof/>
        </w:rPr>
        <w:t>Inden for rammerne af udarbejdelsen af partnerskabsaftalen for 2021-2027 og de operationelle programmer opfordres Maltas myndigheder til at overveje de investeringer og strukturforanstaltninger, der kræves på både nationalt og gozitansk plan for at mindske forskellen i BNP pr. indbygger. Hvis Gozos indsats for at indhente Malta skal lykkes, skal der tages hensyn til Gozos særlige forhold, herunder den hurtige befolkningsaldring.</w:t>
      </w:r>
    </w:p>
    <w:sectPr>
      <w:headerReference w:type="even" r:id="rId25"/>
      <w:headerReference w:type="default" r:id="rId26"/>
      <w:footerReference w:type="even" r:id="rId27"/>
      <w:footerReference w:type="default" r:id="rId28"/>
      <w:headerReference w:type="first" r:id="rId29"/>
      <w:footerReference w:type="first" r:id="rId30"/>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pPr>
      <w:r>
        <w:separator/>
      </w:r>
    </w:p>
  </w:endnote>
  <w:endnote w:type="continuationSeparator" w:id="0">
    <w:p>
      <w:pPr>
        <w:spacing w:after="0"/>
      </w:pPr>
      <w:r>
        <w:continuationSeparator/>
      </w:r>
    </w:p>
  </w:endnote>
  <w:endnote w:type="continuationNotice" w:id="1">
    <w:p>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DA</w:t>
    </w:r>
    <w:r>
      <w:rPr>
        <w:rFonts w:ascii="Arial" w:hAnsi="Arial" w:cs="Arial"/>
        <w:b/>
        <w:sz w:val="48"/>
      </w:rPr>
      <w:tab/>
    </w:r>
    <w:r>
      <w:rPr>
        <w:rFonts w:ascii="Arial" w:hAnsi="Arial" w:cs="Arial"/>
        <w:b/>
        <w:sz w:val="48"/>
      </w:rPr>
      <w:tab/>
    </w:r>
    <w:r>
      <w:tab/>
    </w:r>
    <w:r>
      <w:rPr>
        <w:rFonts w:ascii="Arial" w:hAnsi="Arial" w:cs="Arial"/>
        <w:b/>
        <w:sz w:val="48"/>
      </w:rPr>
      <w:t>DA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ine"/>
      <w:jc w:val="center"/>
    </w:pPr>
    <w:r>
      <w:fldChar w:fldCharType="begin"/>
    </w:r>
    <w:r>
      <w:instrText>PAGE   \* MERGEFORMAT</w:instrText>
    </w:r>
    <w:r>
      <w:fldChar w:fldCharType="separate"/>
    </w:r>
    <w:r>
      <w:t>10</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ine"/>
      <w:jc w:val="center"/>
    </w:pPr>
    <w:r>
      <w:fldChar w:fldCharType="begin"/>
    </w:r>
    <w:r>
      <w:instrText>PAGE   \* MERGEFORMAT</w:instrText>
    </w:r>
    <w:r>
      <w:fldChar w:fldCharType="separate"/>
    </w:r>
    <w:r>
      <w:rPr>
        <w:noProof/>
      </w:rPr>
      <w:t>12</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2151353"/>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1</w:t>
        </w:r>
        <w:r>
          <w:fldChar w:fldCharType="end"/>
        </w:r>
      </w:p>
    </w:sdtContent>
  </w:sdt>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pPr>
      <w:r>
        <w:separator/>
      </w:r>
    </w:p>
  </w:footnote>
  <w:footnote w:type="continuationSeparator" w:id="0">
    <w:p>
      <w:pPr>
        <w:spacing w:after="0"/>
      </w:pPr>
      <w:r>
        <w:continuationSeparator/>
      </w:r>
    </w:p>
  </w:footnote>
  <w:footnote w:type="continuationNotice" w:id="1">
    <w:p>
      <w:pPr>
        <w:spacing w:after="0"/>
      </w:pPr>
    </w:p>
  </w:footnote>
  <w:footnote w:id="2">
    <w:p>
      <w:pPr>
        <w:pStyle w:val="FootnoteText"/>
      </w:pPr>
      <w:r>
        <w:rPr>
          <w:rStyle w:val="FootnoteReference"/>
        </w:rPr>
        <w:footnoteRef/>
      </w:r>
      <w:r>
        <w:t xml:space="preserve"> </w:t>
      </w:r>
      <w:r>
        <w:tab/>
        <w:t>Når der henvises til NUTS 3-regionen, anvendes udtrykket "Gozo og Comino" i rapporten. Eftersom Comino er næsten ubeboet, henvises der til Gozo ved beskrivelsen af den statistiske udvikling.</w:t>
      </w:r>
    </w:p>
  </w:footnote>
  <w:footnote w:id="3">
    <w:p>
      <w:pPr>
        <w:pStyle w:val="FootnoteText"/>
      </w:pPr>
      <w:r>
        <w:rPr>
          <w:rStyle w:val="FootnoteReference"/>
        </w:rPr>
        <w:footnoteRef/>
      </w:r>
      <w:r>
        <w:t xml:space="preserve"> </w:t>
      </w:r>
      <w:r>
        <w:tab/>
        <w:t xml:space="preserve">Tallene er hentet fra 2018 CORINE Land Cover Inventory. En sammenlægning af tallene giver ikke 100 %, fordi visse kategorier som f.eks. affaldsdepoter, byggepladser osv. ikke medregnes. </w:t>
      </w:r>
    </w:p>
  </w:footnote>
  <w:footnote w:id="4">
    <w:p>
      <w:pPr>
        <w:pStyle w:val="FootnoteText"/>
      </w:pPr>
      <w:r>
        <w:rPr>
          <w:rStyle w:val="FootnoteReference"/>
        </w:rPr>
        <w:footnoteRef/>
      </w:r>
      <w:r>
        <w:t xml:space="preserve"> </w:t>
      </w:r>
      <w:r>
        <w:tab/>
        <w:t>Bilag XXIII til Kommissionens forslag til en forordning — COM(2018) 375 final.</w:t>
      </w:r>
    </w:p>
  </w:footnote>
  <w:footnote w:id="5">
    <w:p>
      <w:pPr>
        <w:pStyle w:val="FootnoteText"/>
      </w:pPr>
      <w:r>
        <w:rPr>
          <w:rStyle w:val="FootnoteReference"/>
        </w:rPr>
        <w:footnoteRef/>
      </w:r>
      <w:r>
        <w:t xml:space="preserve"> </w:t>
      </w:r>
      <w:r>
        <w:tab/>
        <w:t>SWD(2019) 1017 final.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900F7"/>
    <w:multiLevelType w:val="multilevel"/>
    <w:tmpl w:val="AFF273FE"/>
    <w:name w:val="ListDash4Numbering"/>
    <w:lvl w:ilvl="0">
      <w:start w:val="1"/>
      <w:numFmt w:val="bullet"/>
      <w:pStyle w:val="ListDash4"/>
      <w:lvlText w:val="–"/>
      <w:lvlJc w:val="left"/>
      <w:pPr>
        <w:tabs>
          <w:tab w:val="num" w:pos="3163"/>
        </w:tabs>
        <w:ind w:left="3163" w:hanging="283"/>
      </w:pPr>
      <w:rPr>
        <w:rFonts w:ascii="Times New Roman" w:hAnsi="Times New Roman"/>
      </w:rPr>
    </w:lvl>
    <w:lvl w:ilvl="1">
      <w:start w:val="1"/>
      <w:numFmt w:val="bullet"/>
      <w:pStyle w:val="ListDash4Level2"/>
      <w:lvlText w:val="–"/>
      <w:lvlJc w:val="left"/>
      <w:pPr>
        <w:tabs>
          <w:tab w:val="num" w:pos="3447"/>
        </w:tabs>
        <w:ind w:left="3447" w:hanging="284"/>
      </w:pPr>
      <w:rPr>
        <w:rFonts w:ascii="Times New Roman" w:hAnsi="Times New Roman"/>
      </w:rPr>
    </w:lvl>
    <w:lvl w:ilvl="2">
      <w:start w:val="1"/>
      <w:numFmt w:val="bullet"/>
      <w:pStyle w:val="ListDash4Level3"/>
      <w:lvlText w:val="–"/>
      <w:lvlJc w:val="left"/>
      <w:pPr>
        <w:tabs>
          <w:tab w:val="num" w:pos="3730"/>
        </w:tabs>
        <w:ind w:left="3730" w:hanging="283"/>
      </w:pPr>
      <w:rPr>
        <w:rFonts w:ascii="Times New Roman" w:hAnsi="Times New Roman"/>
      </w:rPr>
    </w:lvl>
    <w:lvl w:ilvl="3">
      <w:start w:val="1"/>
      <w:numFmt w:val="bullet"/>
      <w:pStyle w:val="ListDash4Level4"/>
      <w:lvlText w:val="–"/>
      <w:lvlJc w:val="left"/>
      <w:pPr>
        <w:tabs>
          <w:tab w:val="num" w:pos="4014"/>
        </w:tabs>
        <w:ind w:left="401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nsid w:val="0EFB7115"/>
    <w:multiLevelType w:val="multilevel"/>
    <w:tmpl w:val="DDD4B0EE"/>
    <w:name w:val="ListNumber3Numbering"/>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4"/>
        </w:tabs>
        <w:ind w:left="3334" w:hanging="709"/>
      </w:pPr>
    </w:lvl>
    <w:lvl w:ilvl="2">
      <w:start w:val="1"/>
      <w:numFmt w:val="bullet"/>
      <w:pStyle w:val="ListNumber3Level3"/>
      <w:lvlText w:val="–"/>
      <w:lvlJc w:val="left"/>
      <w:pPr>
        <w:tabs>
          <w:tab w:val="num" w:pos="4042"/>
        </w:tabs>
        <w:ind w:left="4042" w:hanging="708"/>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nsid w:val="120B7201"/>
    <w:multiLevelType w:val="multilevel"/>
    <w:tmpl w:val="F2EAABD6"/>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nsid w:val="1262685D"/>
    <w:multiLevelType w:val="multilevel"/>
    <w:tmpl w:val="AA2E2E60"/>
    <w:name w:val="ListBullet4Numbering"/>
    <w:lvl w:ilvl="0">
      <w:start w:val="1"/>
      <w:numFmt w:val="bullet"/>
      <w:pStyle w:val="ListBullet4"/>
      <w:lvlText w:val=""/>
      <w:lvlJc w:val="left"/>
      <w:pPr>
        <w:tabs>
          <w:tab w:val="num" w:pos="3163"/>
        </w:tabs>
        <w:ind w:left="3163" w:hanging="283"/>
      </w:pPr>
      <w:rPr>
        <w:rFonts w:ascii="Symbol" w:hAnsi="Symbol"/>
      </w:rPr>
    </w:lvl>
    <w:lvl w:ilvl="1">
      <w:start w:val="1"/>
      <w:numFmt w:val="bullet"/>
      <w:pStyle w:val="ListBullet4Level2"/>
      <w:lvlText w:val=""/>
      <w:lvlJc w:val="left"/>
      <w:pPr>
        <w:tabs>
          <w:tab w:val="num" w:pos="3447"/>
        </w:tabs>
        <w:ind w:left="3447" w:hanging="284"/>
      </w:pPr>
      <w:rPr>
        <w:rFonts w:ascii="Symbol" w:hAnsi="Symbol"/>
      </w:rPr>
    </w:lvl>
    <w:lvl w:ilvl="2">
      <w:start w:val="1"/>
      <w:numFmt w:val="bullet"/>
      <w:pStyle w:val="ListBullet4Level3"/>
      <w:lvlText w:val=""/>
      <w:lvlJc w:val="left"/>
      <w:pPr>
        <w:tabs>
          <w:tab w:val="num" w:pos="3730"/>
        </w:tabs>
        <w:ind w:left="3730" w:hanging="283"/>
      </w:pPr>
      <w:rPr>
        <w:rFonts w:ascii="Symbol" w:hAnsi="Symbol"/>
      </w:rPr>
    </w:lvl>
    <w:lvl w:ilvl="3">
      <w:start w:val="1"/>
      <w:numFmt w:val="bullet"/>
      <w:pStyle w:val="ListBullet4Level4"/>
      <w:lvlText w:val=""/>
      <w:lvlJc w:val="left"/>
      <w:pPr>
        <w:tabs>
          <w:tab w:val="num" w:pos="4014"/>
        </w:tabs>
        <w:ind w:left="401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nsid w:val="143D0A16"/>
    <w:multiLevelType w:val="multilevel"/>
    <w:tmpl w:val="95E4BB92"/>
    <w:name w:val="ListBullet3Numbering"/>
    <w:lvl w:ilvl="0">
      <w:start w:val="1"/>
      <w:numFmt w:val="bullet"/>
      <w:pStyle w:val="ListBullet3"/>
      <w:lvlText w:val=""/>
      <w:lvlJc w:val="left"/>
      <w:pPr>
        <w:tabs>
          <w:tab w:val="num" w:pos="2200"/>
        </w:tabs>
        <w:ind w:left="2200" w:hanging="284"/>
      </w:pPr>
      <w:rPr>
        <w:rFonts w:ascii="Symbol" w:hAnsi="Symbol"/>
      </w:rPr>
    </w:lvl>
    <w:lvl w:ilvl="1">
      <w:start w:val="1"/>
      <w:numFmt w:val="bullet"/>
      <w:pStyle w:val="ListBullet3Level2"/>
      <w:lvlText w:val=""/>
      <w:lvlJc w:val="left"/>
      <w:pPr>
        <w:tabs>
          <w:tab w:val="num" w:pos="2483"/>
        </w:tabs>
        <w:ind w:left="2483" w:hanging="283"/>
      </w:pPr>
      <w:rPr>
        <w:rFonts w:ascii="Symbol" w:hAnsi="Symbol"/>
      </w:rPr>
    </w:lvl>
    <w:lvl w:ilvl="2">
      <w:start w:val="1"/>
      <w:numFmt w:val="bullet"/>
      <w:pStyle w:val="ListBullet3Level3"/>
      <w:lvlText w:val=""/>
      <w:lvlJc w:val="left"/>
      <w:pPr>
        <w:tabs>
          <w:tab w:val="num" w:pos="2767"/>
        </w:tabs>
        <w:ind w:left="2767" w:hanging="284"/>
      </w:pPr>
      <w:rPr>
        <w:rFonts w:ascii="Symbol" w:hAnsi="Symbol"/>
      </w:rPr>
    </w:lvl>
    <w:lvl w:ilvl="3">
      <w:start w:val="1"/>
      <w:numFmt w:val="bullet"/>
      <w:pStyle w:val="ListBullet3Level4"/>
      <w:lvlText w:val=""/>
      <w:lvlJc w:val="left"/>
      <w:pPr>
        <w:tabs>
          <w:tab w:val="num" w:pos="3050"/>
        </w:tabs>
        <w:ind w:left="3050"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nsid w:val="172F0AC5"/>
    <w:multiLevelType w:val="multilevel"/>
    <w:tmpl w:val="0D8E464E"/>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697"/>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nsid w:val="1C7B624F"/>
    <w:multiLevelType w:val="multilevel"/>
    <w:tmpl w:val="30CE94A2"/>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nsid w:val="2C8DFDF8"/>
    <w:multiLevelType w:val="multilevel"/>
    <w:tmpl w:val="8910B912"/>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nsid w:val="2D293CE3"/>
    <w:multiLevelType w:val="multilevel"/>
    <w:tmpl w:val="A0020E28"/>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nsid w:val="36324F1E"/>
    <w:multiLevelType w:val="multilevel"/>
    <w:tmpl w:val="38AEC17C"/>
    <w:name w:val="ListDash3Numbering"/>
    <w:lvl w:ilvl="0">
      <w:start w:val="1"/>
      <w:numFmt w:val="bullet"/>
      <w:pStyle w:val="ListDash3"/>
      <w:lvlText w:val="–"/>
      <w:lvlJc w:val="left"/>
      <w:pPr>
        <w:tabs>
          <w:tab w:val="num" w:pos="2200"/>
        </w:tabs>
        <w:ind w:left="2200" w:hanging="284"/>
      </w:pPr>
      <w:rPr>
        <w:rFonts w:ascii="Times New Roman" w:hAnsi="Times New Roman"/>
      </w:rPr>
    </w:lvl>
    <w:lvl w:ilvl="1">
      <w:start w:val="1"/>
      <w:numFmt w:val="bullet"/>
      <w:pStyle w:val="ListDash3Level2"/>
      <w:lvlText w:val="–"/>
      <w:lvlJc w:val="left"/>
      <w:pPr>
        <w:tabs>
          <w:tab w:val="num" w:pos="2483"/>
        </w:tabs>
        <w:ind w:left="2483" w:hanging="283"/>
      </w:pPr>
      <w:rPr>
        <w:rFonts w:ascii="Times New Roman" w:hAnsi="Times New Roman"/>
      </w:rPr>
    </w:lvl>
    <w:lvl w:ilvl="2">
      <w:start w:val="1"/>
      <w:numFmt w:val="bullet"/>
      <w:pStyle w:val="ListDash3Level3"/>
      <w:lvlText w:val="–"/>
      <w:lvlJc w:val="left"/>
      <w:pPr>
        <w:tabs>
          <w:tab w:val="num" w:pos="2767"/>
        </w:tabs>
        <w:ind w:left="2767" w:hanging="284"/>
      </w:pPr>
      <w:rPr>
        <w:rFonts w:ascii="Times New Roman" w:hAnsi="Times New Roman"/>
      </w:rPr>
    </w:lvl>
    <w:lvl w:ilvl="3">
      <w:start w:val="1"/>
      <w:numFmt w:val="bullet"/>
      <w:pStyle w:val="ListDash3Level4"/>
      <w:lvlText w:val="–"/>
      <w:lvlJc w:val="left"/>
      <w:pPr>
        <w:tabs>
          <w:tab w:val="num" w:pos="3050"/>
        </w:tabs>
        <w:ind w:left="3050"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nsid w:val="37CB1E1C"/>
    <w:multiLevelType w:val="multilevel"/>
    <w:tmpl w:val="B4466D60"/>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nsid w:val="3A7730C4"/>
    <w:multiLevelType w:val="multilevel"/>
    <w:tmpl w:val="890E4926"/>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nsid w:val="429E662A"/>
    <w:multiLevelType w:val="multilevel"/>
    <w:tmpl w:val="9AB6B2AC"/>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nsid w:val="4B6817D3"/>
    <w:multiLevelType w:val="hybridMultilevel"/>
    <w:tmpl w:val="6DB8B542"/>
    <w:lvl w:ilvl="0" w:tplc="08090001">
      <w:start w:val="1"/>
      <w:numFmt w:val="bullet"/>
      <w:lvlText w:val=""/>
      <w:lvlJc w:val="left"/>
      <w:pPr>
        <w:ind w:left="1200" w:hanging="360"/>
      </w:pPr>
      <w:rPr>
        <w:rFonts w:ascii="Symbol" w:hAnsi="Symbol"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14">
    <w:nsid w:val="4E1A982C"/>
    <w:multiLevelType w:val="multilevel"/>
    <w:tmpl w:val="90569CA0"/>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nsid w:val="5072619B"/>
    <w:multiLevelType w:val="multilevel"/>
    <w:tmpl w:val="7FD46AD4"/>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nsid w:val="6977472E"/>
    <w:multiLevelType w:val="multilevel"/>
    <w:tmpl w:val="BDD8C292"/>
    <w:name w:val="ListNumber4Numbering"/>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nsid w:val="7C65145E"/>
    <w:multiLevelType w:val="multilevel"/>
    <w:tmpl w:val="54B4E11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601"/>
      </w:pPr>
    </w:lvl>
    <w:lvl w:ilvl="2">
      <w:start w:val="1"/>
      <w:numFmt w:val="decimal"/>
      <w:pStyle w:val="Heading3"/>
      <w:lvlText w:val="%1.%2.%3."/>
      <w:lvlJc w:val="left"/>
      <w:pPr>
        <w:tabs>
          <w:tab w:val="num" w:pos="1922"/>
        </w:tabs>
        <w:ind w:left="1922" w:hanging="839"/>
      </w:pPr>
    </w:lvl>
    <w:lvl w:ilvl="3">
      <w:start w:val="1"/>
      <w:numFmt w:val="decimal"/>
      <w:pStyle w:val="Heading4"/>
      <w:lvlText w:val="%1.%2.%3.%4."/>
      <w:lvlJc w:val="left"/>
      <w:pPr>
        <w:tabs>
          <w:tab w:val="num" w:pos="2880"/>
        </w:tabs>
        <w:ind w:left="2880" w:hanging="958"/>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18">
    <w:nsid w:val="7C651460"/>
    <w:multiLevelType w:val="multilevel"/>
    <w:tmpl w:val="DCAA060D"/>
    <w:name w:val="AnnexHeading"/>
    <w:lvl w:ilvl="0">
      <w:start w:val="1"/>
      <w:numFmt w:val="decimal"/>
      <w:lvlText w:val="%1."/>
      <w:lvlJc w:val="left"/>
      <w:pPr>
        <w:tabs>
          <w:tab w:val="num" w:pos="397"/>
        </w:tabs>
        <w:ind w:left="397" w:hanging="397"/>
      </w:pPr>
      <w:rPr>
        <w:rFonts w:hint="default"/>
      </w:rPr>
    </w:lvl>
    <w:lvl w:ilvl="1">
      <w:start w:val="1"/>
      <w:numFmt w:val="decimal"/>
      <w:lvlText w:val="%1."/>
      <w:lvlJc w:val="left"/>
      <w:pPr>
        <w:tabs>
          <w:tab w:val="num" w:pos="397"/>
        </w:tabs>
        <w:ind w:left="397" w:hanging="397"/>
      </w:pPr>
      <w:rPr>
        <w:rFonts w:hint="default"/>
      </w:rPr>
    </w:lvl>
    <w:lvl w:ilvl="2">
      <w:start w:val="1"/>
      <w:numFmt w:val="decimal"/>
      <w:lvlText w:val="%1."/>
      <w:lvlJc w:val="left"/>
      <w:pPr>
        <w:tabs>
          <w:tab w:val="num" w:pos="397"/>
        </w:tabs>
        <w:ind w:left="397" w:hanging="397"/>
      </w:pPr>
      <w:rPr>
        <w:rFonts w:hint="default"/>
      </w:rPr>
    </w:lvl>
    <w:lvl w:ilvl="3">
      <w:start w:val="1"/>
      <w:numFmt w:val="decimal"/>
      <w:lvlText w:val="%1."/>
      <w:lvlJc w:val="left"/>
      <w:pPr>
        <w:tabs>
          <w:tab w:val="num" w:pos="397"/>
        </w:tabs>
        <w:ind w:left="397" w:hanging="397"/>
      </w:pPr>
      <w:rPr>
        <w:rFonts w:hint="default"/>
      </w:rPr>
    </w:lvl>
    <w:lvl w:ilvl="4">
      <w:start w:val="1"/>
      <w:numFmt w:val="decimal"/>
      <w:lvlText w:val="%1."/>
      <w:lvlJc w:val="left"/>
      <w:pPr>
        <w:tabs>
          <w:tab w:val="num" w:pos="397"/>
        </w:tabs>
        <w:ind w:left="397" w:hanging="397"/>
      </w:pPr>
      <w:rPr>
        <w:rFonts w:hint="default"/>
      </w:rPr>
    </w:lvl>
    <w:lvl w:ilvl="5">
      <w:start w:val="1"/>
      <w:numFmt w:val="decimal"/>
      <w:lvlText w:val="%1."/>
      <w:lvlJc w:val="left"/>
      <w:pPr>
        <w:tabs>
          <w:tab w:val="num" w:pos="397"/>
        </w:tabs>
        <w:ind w:left="397" w:hanging="397"/>
      </w:pPr>
      <w:rPr>
        <w:rFonts w:hint="default"/>
      </w:rPr>
    </w:lvl>
    <w:lvl w:ilvl="6">
      <w:start w:val="1"/>
      <w:numFmt w:val="decimal"/>
      <w:lvlText w:val="%1."/>
      <w:lvlJc w:val="left"/>
      <w:pPr>
        <w:tabs>
          <w:tab w:val="num" w:pos="397"/>
        </w:tabs>
        <w:ind w:left="397" w:hanging="397"/>
      </w:pPr>
      <w:rPr>
        <w:rFonts w:hint="default"/>
      </w:rPr>
    </w:lvl>
    <w:lvl w:ilvl="7">
      <w:start w:val="1"/>
      <w:numFmt w:val="decimal"/>
      <w:lvlText w:val="%1."/>
      <w:lvlJc w:val="left"/>
      <w:pPr>
        <w:tabs>
          <w:tab w:val="num" w:pos="397"/>
        </w:tabs>
        <w:ind w:left="397" w:hanging="397"/>
      </w:pPr>
      <w:rPr>
        <w:rFonts w:hint="default"/>
      </w:rPr>
    </w:lvl>
    <w:lvl w:ilvl="8">
      <w:start w:val="1"/>
      <w:numFmt w:val="decimal"/>
      <w:lvlText w:val="%1."/>
      <w:lvlJc w:val="left"/>
      <w:pPr>
        <w:tabs>
          <w:tab w:val="num" w:pos="397"/>
        </w:tabs>
        <w:ind w:left="397" w:hanging="397"/>
      </w:pPr>
      <w:rPr>
        <w:rFonts w:hint="default"/>
      </w:rPr>
    </w:lvl>
  </w:abstractNum>
  <w:num w:numId="1">
    <w:abstractNumId w:val="18"/>
  </w:num>
  <w:num w:numId="2">
    <w:abstractNumId w:val="0"/>
  </w:num>
  <w:num w:numId="3">
    <w:abstractNumId w:val="9"/>
  </w:num>
  <w:num w:numId="4">
    <w:abstractNumId w:val="6"/>
  </w:num>
  <w:num w:numId="5">
    <w:abstractNumId w:val="10"/>
  </w:num>
  <w:num w:numId="6">
    <w:abstractNumId w:val="15"/>
  </w:num>
  <w:num w:numId="7">
    <w:abstractNumId w:val="16"/>
  </w:num>
  <w:num w:numId="8">
    <w:abstractNumId w:val="1"/>
  </w:num>
  <w:num w:numId="9">
    <w:abstractNumId w:val="5"/>
  </w:num>
  <w:num w:numId="10">
    <w:abstractNumId w:val="12"/>
  </w:num>
  <w:num w:numId="11">
    <w:abstractNumId w:val="2"/>
  </w:num>
  <w:num w:numId="12">
    <w:abstractNumId w:val="3"/>
  </w:num>
  <w:num w:numId="13">
    <w:abstractNumId w:val="4"/>
  </w:num>
  <w:num w:numId="14">
    <w:abstractNumId w:val="7"/>
  </w:num>
  <w:num w:numId="15">
    <w:abstractNumId w:val="11"/>
  </w:num>
  <w:num w:numId="16">
    <w:abstractNumId w:val="14"/>
  </w:num>
  <w:num w:numId="17">
    <w:abstractNumId w:val="17"/>
  </w:num>
  <w:num w:numId="18">
    <w:abstractNumId w:val="8"/>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revisionView w:markup="0"/>
  <w:defaultTabStop w:val="720"/>
  <w:hyphenationZone w:val="425"/>
  <w:characterSpacingControl w:val="doNotCompress"/>
  <w:hdrShapeDefaults>
    <o:shapedefaults v:ext="edit" spidmax="26625"/>
  </w:hdrShapeDefaults>
  <w:footnotePr>
    <w:footnote w:id="-1"/>
    <w:footnote w:id="0"/>
    <w:footnote w:id="1"/>
  </w:footnotePr>
  <w:endnotePr>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E324C585-9956-44B2-99CE-56A1C22EFD09"/>
    <w:docVar w:name="LW_COVERPAGE_TYPE" w:val="1"/>
    <w:docVar w:name="LW_CROSSREFERENCE" w:val="&lt;UNUSED&gt;"/>
    <w:docVar w:name="LW_DocType" w:val="EUROLOOK"/>
    <w:docVar w:name="LW_EMISSION" w:val="8.10.2019"/>
    <w:docVar w:name="LW_EMISSION_ISODATE" w:val="2019-10-08"/>
    <w:docVar w:name="LW_EMISSION_LOCATION" w:val="BRX"/>
    <w:docVar w:name="LW_EMISSION_PREFIX" w:val="Bruxelles, den "/>
    <w:docVar w:name="LW_EMISSION_SUFFIX" w:val=" "/>
    <w:docVar w:name="LW_ID_DOCTYPE_NONLW" w:val="CP-004"/>
    <w:docVar w:name="LW_LANGUE" w:val="DA"/>
    <w:docVar w:name="LW_LEVEL_OF_SENSITIVITY" w:val="Standard treatment"/>
    <w:docVar w:name="LW_NOM.INST" w:val="EUROPA-KOMMISSIONEN"/>
    <w:docVar w:name="LW_NOM.INST_JOINTDOC" w:val="&lt;EMPTY&gt;"/>
    <w:docVar w:name="LW_PART_NBR" w:val="1"/>
    <w:docVar w:name="LW_PART_NBR_TOTAL" w:val="1"/>
    <w:docVar w:name="LW_REF.INST.NEW" w:val="COM"/>
    <w:docVar w:name="LW_REF.INST.NEW_ADOPTED" w:val="final"/>
    <w:docVar w:name="LW_REF.INST.NEW_TEXT" w:val="(2019) 463"/>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t;FMT:Bold&gt;Rapport om den økonomiske og sociale situation på Gozo (Malta) 2019&lt;/FMT&gt;"/>
    <w:docVar w:name="LW_TYPE.DOC.CP" w:val="RAPPORT FRA KOMMISSIONEN TIL RÅDET"/>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da-DK" w:eastAsia="en-GB" w:bidi="ar-SA"/>
      </w:rPr>
    </w:rPrDefault>
    <w:pPrDefault/>
  </w:docDefaults>
  <w:latentStyles w:defLockedState="1" w:defUIPriority="0" w:defSemiHidden="1" w:defUnhideWhenUsed="1" w:defQFormat="0" w:count="267">
    <w:lsdException w:name="Normal" w:semiHidden="0" w:uiPriority="90" w:unhideWhenUsed="0" w:qFormat="1"/>
    <w:lsdException w:name="heading 1" w:semiHidden="0" w:uiPriority="90" w:unhideWhenUsed="0" w:qFormat="1"/>
    <w:lsdException w:name="heading 2" w:semiHidden="0" w:uiPriority="90" w:unhideWhenUsed="0" w:qFormat="1"/>
    <w:lsdException w:name="heading 3" w:semiHidden="0" w:uiPriority="90" w:unhideWhenUsed="0" w:qFormat="1"/>
    <w:lsdException w:name="heading 4" w:semiHidden="0" w:uiPriority="90" w:unhideWhenUsed="0" w:qFormat="1"/>
    <w:lsdException w:name="heading 5" w:unhideWhenUsed="0"/>
    <w:lsdException w:name="heading 6" w:unhideWhenUsed="0"/>
    <w:lsdException w:name="toc 1" w:uiPriority="39"/>
    <w:lsdException w:name="toc 2" w:uiPriority="39"/>
    <w:lsdException w:name="toc 3" w:uiPriority="99"/>
    <w:lsdException w:name="toc 4" w:uiPriority="99"/>
    <w:lsdException w:name="header" w:semiHidden="0"/>
    <w:lsdException w:name="footer" w:semiHidden="0" w:uiPriority="99"/>
    <w:lsdException w:name="caption" w:semiHidden="0"/>
    <w:lsdException w:name="macro" w:uiPriority="90" w:qFormat="1"/>
    <w:lsdException w:name="List Bullet" w:semiHidden="0"/>
    <w:lsdException w:name="List Number" w:semiHidden="0" w:unhideWhenUsed="0"/>
    <w:lsdException w:name="List 4" w:unhideWhenUsed="0"/>
    <w:lsdException w:name="List 5" w:unhideWhenUsed="0"/>
    <w:lsdException w:name="List Bullet 2" w:semiHidden="0"/>
    <w:lsdException w:name="List Bullet 3" w:semiHidden="0"/>
    <w:lsdException w:name="List Bullet 4" w:semiHidden="0"/>
    <w:lsdException w:name="List Number 2" w:semiHidden="0"/>
    <w:lsdException w:name="List Number 3" w:semiHidden="0"/>
    <w:lsdException w:name="List Number 4" w:semiHidden="0"/>
    <w:lsdException w:name="Title" w:semiHidden="0" w:unhideWhenUsed="0"/>
    <w:lsdException w:name="Closing" w:semiHidden="0"/>
    <w:lsdException w:name="Signature" w:semiHidden="0" w:uiPriority="99"/>
    <w:lsdException w:name="Default Paragraph Font" w:uiPriority="1"/>
    <w:lsdException w:name="Subtitle" w:unhideWhenUsed="0"/>
    <w:lsdException w:name="Salutation" w:unhideWhenUsed="0"/>
    <w:lsdException w:name="Date" w:semiHidden="0" w:unhideWhenUsed="0"/>
    <w:lsdException w:name="Body Text First Indent" w:unhideWhenUsed="0"/>
    <w:lsdException w:name="Note Heading" w:semiHidden="0"/>
    <w:lsdException w:name="Strong" w:semiHidden="0" w:unhideWhenUsed="0"/>
    <w:lsdException w:name="Emphasis" w:semiHidden="0" w:unhideWhenUsed="0"/>
    <w:lsdException w:name="Normal Table" w:uiPriority="99"/>
    <w:lsdException w:name="No List" w:uiPriority="99"/>
    <w:lsdException w:name="Table Grid" w:semiHidden="0" w:unhideWhenUsed="0"/>
    <w:lsdException w:name="Placeholder Text" w:uiPriority="99" w:unhideWhenUsed="0"/>
    <w:lsdException w:name="No Spacing"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uiPriority w:val="90"/>
    <w:qFormat/>
    <w:pPr>
      <w:spacing w:after="240"/>
      <w:jc w:val="both"/>
    </w:pPr>
  </w:style>
  <w:style w:type="paragraph" w:styleId="Heading1">
    <w:name w:val="heading 1"/>
    <w:basedOn w:val="Normal"/>
    <w:next w:val="Text1"/>
    <w:uiPriority w:val="90"/>
    <w:qFormat/>
    <w:pPr>
      <w:keepNext/>
      <w:numPr>
        <w:numId w:val="17"/>
      </w:numPr>
      <w:spacing w:before="240"/>
      <w:outlineLvl w:val="0"/>
    </w:pPr>
    <w:rPr>
      <w:b/>
      <w:smallCaps/>
    </w:rPr>
  </w:style>
  <w:style w:type="paragraph" w:styleId="Heading2">
    <w:name w:val="heading 2"/>
    <w:basedOn w:val="Normal"/>
    <w:next w:val="Text2"/>
    <w:uiPriority w:val="90"/>
    <w:qFormat/>
    <w:pPr>
      <w:keepNext/>
      <w:numPr>
        <w:ilvl w:val="1"/>
        <w:numId w:val="17"/>
      </w:numPr>
      <w:outlineLvl w:val="1"/>
    </w:pPr>
    <w:rPr>
      <w:b/>
    </w:rPr>
  </w:style>
  <w:style w:type="paragraph" w:styleId="Heading3">
    <w:name w:val="heading 3"/>
    <w:basedOn w:val="Normal"/>
    <w:next w:val="Text3"/>
    <w:uiPriority w:val="90"/>
    <w:qFormat/>
    <w:pPr>
      <w:keepNext/>
      <w:numPr>
        <w:ilvl w:val="2"/>
        <w:numId w:val="17"/>
      </w:numPr>
      <w:outlineLvl w:val="2"/>
    </w:pPr>
    <w:rPr>
      <w:i/>
    </w:rPr>
  </w:style>
  <w:style w:type="paragraph" w:styleId="Heading4">
    <w:name w:val="heading 4"/>
    <w:basedOn w:val="Normal"/>
    <w:next w:val="Text4"/>
    <w:uiPriority w:val="90"/>
    <w:qFormat/>
    <w:pPr>
      <w:keepNext/>
      <w:numPr>
        <w:ilvl w:val="3"/>
        <w:numId w:val="17"/>
      </w:numPr>
      <w:outlineLvl w:val="3"/>
    </w:pPr>
  </w:style>
  <w:style w:type="paragraph" w:styleId="Heading5">
    <w:name w:val="heading 5"/>
    <w:basedOn w:val="Normal"/>
    <w:next w:val="Normal"/>
    <w:semiHidden/>
    <w:pPr>
      <w:keepNext/>
      <w:numPr>
        <w:ilvl w:val="4"/>
        <w:numId w:val="17"/>
      </w:numPr>
      <w:outlineLvl w:val="4"/>
    </w:pPr>
  </w:style>
  <w:style w:type="paragraph" w:styleId="Heading6">
    <w:name w:val="heading 6"/>
    <w:basedOn w:val="Normal"/>
    <w:next w:val="Normal"/>
    <w:semiHidden/>
    <w:pPr>
      <w:keepNext/>
      <w:numPr>
        <w:ilvl w:val="5"/>
        <w:numId w:val="17"/>
      </w:numPr>
      <w:outlineLvl w:val="5"/>
    </w:pPr>
  </w:style>
  <w:style w:type="paragraph" w:styleId="Heading7">
    <w:name w:val="heading 7"/>
    <w:basedOn w:val="Normal"/>
    <w:next w:val="Normal"/>
    <w:semiHidden/>
    <w:pPr>
      <w:keepNext/>
      <w:numPr>
        <w:ilvl w:val="6"/>
        <w:numId w:val="17"/>
      </w:numPr>
      <w:outlineLvl w:val="6"/>
    </w:pPr>
  </w:style>
  <w:style w:type="paragraph" w:styleId="Heading8">
    <w:name w:val="heading 8"/>
    <w:basedOn w:val="Normal"/>
    <w:next w:val="Normal"/>
    <w:semiHidden/>
    <w:pPr>
      <w:keepNext/>
      <w:numPr>
        <w:ilvl w:val="7"/>
        <w:numId w:val="17"/>
      </w:numPr>
      <w:outlineLvl w:val="7"/>
    </w:pPr>
  </w:style>
  <w:style w:type="paragraph" w:styleId="Heading9">
    <w:name w:val="heading 9"/>
    <w:basedOn w:val="Normal"/>
    <w:next w:val="Normal"/>
    <w:semiHidden/>
    <w:pPr>
      <w:keepNext/>
      <w:numPr>
        <w:ilvl w:val="8"/>
        <w:numId w:val="17"/>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2C8F6C"/>
    </w:rPr>
  </w:style>
  <w:style w:type="character" w:customStyle="1" w:styleId="BodyPlaceholderText">
    <w:name w:val="BodyPlaceholderText"/>
    <w:basedOn w:val="PlaceholderText"/>
    <w:uiPriority w:val="1"/>
    <w:semiHidden/>
    <w:rPr>
      <w:color w:val="3366CC"/>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customStyle="1" w:styleId="CrossReference">
    <w:name w:val="Cross Reference"/>
    <w:basedOn w:val="DefaultParagraphFont"/>
    <w:uiPriority w:val="99"/>
    <w:rPr>
      <w:i/>
    </w:rPr>
  </w:style>
  <w:style w:type="paragraph" w:customStyle="1" w:styleId="AnnexHeading1">
    <w:name w:val="Annex Heading 1"/>
    <w:basedOn w:val="Normal"/>
    <w:next w:val="Normal"/>
    <w:pPr>
      <w:pageBreakBefore/>
      <w:spacing w:before="240"/>
      <w:outlineLvl w:val="0"/>
    </w:pPr>
    <w:rPr>
      <w:b/>
      <w:smallCaps/>
      <w:sz w:val="36"/>
    </w:rPr>
  </w:style>
  <w:style w:type="paragraph" w:customStyle="1" w:styleId="Text4">
    <w:name w:val="Text 4"/>
    <w:basedOn w:val="Normal"/>
    <w:uiPriority w:val="90"/>
    <w:qFormat/>
    <w:pPr>
      <w:ind w:left="2880"/>
    </w:pPr>
  </w:style>
  <w:style w:type="paragraph" w:customStyle="1" w:styleId="Text3">
    <w:name w:val="Text 3"/>
    <w:basedOn w:val="Normal"/>
    <w:uiPriority w:val="90"/>
    <w:qFormat/>
    <w:pPr>
      <w:ind w:left="1916"/>
    </w:pPr>
  </w:style>
  <w:style w:type="paragraph" w:customStyle="1" w:styleId="Text2">
    <w:name w:val="Text 2"/>
    <w:basedOn w:val="Normal"/>
    <w:uiPriority w:val="90"/>
    <w:qFormat/>
    <w:pPr>
      <w:ind w:left="1077"/>
    </w:pPr>
  </w:style>
  <w:style w:type="paragraph" w:customStyle="1" w:styleId="Text1">
    <w:name w:val="Text 1"/>
    <w:basedOn w:val="Normal"/>
    <w:uiPriority w:val="90"/>
    <w:qFormat/>
    <w:pPr>
      <w:ind w:left="482"/>
    </w:pPr>
  </w:style>
  <w:style w:type="paragraph" w:customStyle="1" w:styleId="ZFlag">
    <w:name w:val="Z_Flag"/>
    <w:basedOn w:val="Normal"/>
    <w:next w:val="Normal"/>
    <w:uiPriority w:val="99"/>
    <w:semiHidden/>
    <w:pPr>
      <w:widowControl w:val="0"/>
      <w:spacing w:after="0"/>
      <w:ind w:right="85"/>
    </w:pPr>
  </w:style>
  <w:style w:type="paragraph" w:customStyle="1" w:styleId="ZCom">
    <w:name w:val="Z_Com"/>
    <w:basedOn w:val="Normal"/>
    <w:next w:val="Normal"/>
    <w:uiPriority w:val="99"/>
    <w:semiHidden/>
    <w:pPr>
      <w:widowControl w:val="0"/>
      <w:spacing w:before="90" w:after="0"/>
      <w:ind w:right="85"/>
    </w:pPr>
  </w:style>
  <w:style w:type="paragraph" w:customStyle="1" w:styleId="ZDGName">
    <w:name w:val="Z_DGName"/>
    <w:basedOn w:val="Normal"/>
    <w:uiPriority w:val="99"/>
    <w:semiHidden/>
    <w:pPr>
      <w:widowControl w:val="0"/>
      <w:spacing w:after="0"/>
      <w:ind w:right="85"/>
      <w:jc w:val="left"/>
    </w:pPr>
    <w:rPr>
      <w:sz w:val="16"/>
    </w:rPr>
  </w:style>
  <w:style w:type="paragraph" w:styleId="Caption">
    <w:name w:val="caption"/>
    <w:basedOn w:val="Normal"/>
    <w:next w:val="Normal"/>
    <w:pPr>
      <w:spacing w:before="160"/>
    </w:pPr>
    <w:rPr>
      <w:i/>
      <w:sz w:val="22"/>
    </w:rPr>
  </w:style>
  <w:style w:type="paragraph" w:customStyle="1" w:styleId="Contact">
    <w:name w:val="Contact"/>
    <w:basedOn w:val="Normal"/>
    <w:uiPriority w:val="99"/>
    <w:pPr>
      <w:spacing w:before="480" w:after="0"/>
      <w:ind w:left="567" w:hanging="567"/>
      <w:jc w:val="left"/>
    </w:pPr>
  </w:style>
  <w:style w:type="paragraph" w:styleId="Date">
    <w:name w:val="Date"/>
    <w:basedOn w:val="Normal"/>
    <w:next w:val="References"/>
    <w:pPr>
      <w:spacing w:after="0"/>
      <w:ind w:left="5102" w:right="-567"/>
      <w:jc w:val="left"/>
    </w:pPr>
  </w:style>
  <w:style w:type="paragraph" w:customStyle="1" w:styleId="References">
    <w:name w:val="References"/>
    <w:basedOn w:val="Normal"/>
    <w:next w:val="Normal"/>
    <w:pPr>
      <w:ind w:left="5102"/>
      <w:jc w:val="left"/>
    </w:pPr>
    <w:rPr>
      <w:sz w:val="20"/>
    </w:r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pPr>
      <w:spacing w:after="0"/>
      <w:jc w:val="center"/>
    </w:pPr>
    <w:rPr>
      <w:b/>
      <w:caps/>
      <w:sz w:val="32"/>
    </w:rPr>
  </w:style>
  <w:style w:type="paragraph" w:customStyle="1" w:styleId="RUE">
    <w:name w:val="RUE"/>
    <w:basedOn w:val="Normal"/>
    <w:pPr>
      <w:spacing w:after="0"/>
      <w:jc w:val="center"/>
    </w:pPr>
    <w:rPr>
      <w:b/>
      <w:caps/>
      <w:sz w:val="32"/>
      <w:bdr w:val="single" w:sz="18" w:space="0" w:color="auto"/>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TrsSecretUE">
    <w:name w:val="Très Secret UE"/>
    <w:basedOn w:val="Normal"/>
    <w:pPr>
      <w:spacing w:after="0"/>
      <w:jc w:val="center"/>
    </w:pPr>
    <w:rPr>
      <w:b/>
      <w:caps/>
      <w:color w:val="FF0000"/>
      <w:sz w:val="32"/>
      <w:bdr w:val="single" w:sz="18" w:space="0" w:color="FF0000"/>
    </w:rPr>
  </w:style>
  <w:style w:type="paragraph" w:styleId="EndnoteText">
    <w:name w:val="endnote text"/>
    <w:basedOn w:val="Normal"/>
    <w:semiHidden/>
    <w:rPr>
      <w:sz w:val="20"/>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uiPriority w:val="99"/>
    <w:pPr>
      <w:tabs>
        <w:tab w:val="right" w:pos="8646"/>
      </w:tabs>
      <w:spacing w:before="120"/>
      <w:ind w:right="0"/>
    </w:pPr>
  </w:style>
  <w:style w:type="paragraph" w:styleId="FootnoteText">
    <w:name w:val="footnote text"/>
    <w:basedOn w:val="Normal"/>
    <w:semiHidden/>
    <w:pPr>
      <w:spacing w:after="120"/>
      <w:ind w:left="357" w:hanging="357"/>
    </w:pPr>
    <w:rPr>
      <w:sz w:val="20"/>
    </w:rPr>
  </w:style>
  <w:style w:type="paragraph" w:styleId="MacroText">
    <w:name w:val="macro"/>
    <w:basedOn w:val="Normal"/>
    <w:uiPriority w:val="90"/>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NumPar1">
    <w:name w:val="NumPar 1"/>
    <w:basedOn w:val="Heading1"/>
    <w:uiPriority w:val="90"/>
    <w:qFormat/>
    <w:pPr>
      <w:keepNext w:val="0"/>
      <w:spacing w:before="0"/>
      <w:outlineLvl w:val="9"/>
    </w:pPr>
    <w:rPr>
      <w:b w:val="0"/>
      <w:smallCaps w:val="0"/>
    </w:rPr>
  </w:style>
  <w:style w:type="paragraph" w:customStyle="1" w:styleId="NumPar2">
    <w:name w:val="NumPar 2"/>
    <w:basedOn w:val="Heading2"/>
    <w:uiPriority w:val="90"/>
    <w:qFormat/>
    <w:pPr>
      <w:keepNext w:val="0"/>
      <w:outlineLvl w:val="9"/>
    </w:pPr>
    <w:rPr>
      <w:b w:val="0"/>
    </w:rPr>
  </w:style>
  <w:style w:type="paragraph" w:customStyle="1" w:styleId="NumPar3">
    <w:name w:val="NumPar 3"/>
    <w:basedOn w:val="Heading3"/>
    <w:uiPriority w:val="90"/>
    <w:qFormat/>
    <w:pPr>
      <w:keepNext w:val="0"/>
      <w:outlineLvl w:val="9"/>
    </w:pPr>
    <w:rPr>
      <w:i w:val="0"/>
    </w:rPr>
  </w:style>
  <w:style w:type="paragraph" w:customStyle="1" w:styleId="NumPar4">
    <w:name w:val="NumPar 4"/>
    <w:basedOn w:val="Heading4"/>
    <w:uiPriority w:val="90"/>
    <w:qFormat/>
    <w:pPr>
      <w:keepNext w:val="0"/>
      <w:outlineLvl w:val="9"/>
    </w:pPr>
  </w:style>
  <w:style w:type="paragraph" w:styleId="Title">
    <w:name w:val="Title"/>
    <w:basedOn w:val="Normal"/>
    <w:next w:val="Normal"/>
    <w:pPr>
      <w:spacing w:after="480"/>
      <w:jc w:val="center"/>
    </w:pPr>
    <w:rPr>
      <w:b/>
      <w:kern w:val="28"/>
      <w:sz w:val="48"/>
    </w:rPr>
  </w:style>
  <w:style w:type="paragraph" w:styleId="TOCHeading">
    <w:name w:val="TOC Heading"/>
    <w:basedOn w:val="Normal"/>
    <w:next w:val="Normal"/>
    <w:semiHidden/>
    <w:pPr>
      <w:spacing w:after="120"/>
      <w:jc w:val="center"/>
    </w:pPr>
    <w:rPr>
      <w:rFonts w:ascii="Times New Roman Bold" w:hAnsi="Times New Roman Bold"/>
      <w:b/>
      <w:sz w:val="32"/>
    </w:rPr>
  </w:style>
  <w:style w:type="paragraph" w:styleId="TOC1">
    <w:name w:val="toc 1"/>
    <w:basedOn w:val="Normal"/>
    <w:next w:val="Normal"/>
    <w:uiPriority w:val="39"/>
    <w:semiHidden/>
    <w:pPr>
      <w:tabs>
        <w:tab w:val="left" w:pos="595"/>
        <w:tab w:val="right" w:leader="dot" w:pos="8640"/>
      </w:tabs>
      <w:spacing w:after="60"/>
      <w:ind w:left="595" w:right="720" w:hanging="595"/>
    </w:pPr>
    <w:rPr>
      <w:b/>
      <w:caps/>
      <w:sz w:val="20"/>
    </w:rPr>
  </w:style>
  <w:style w:type="paragraph" w:styleId="TOC2">
    <w:name w:val="toc 2"/>
    <w:basedOn w:val="Normal"/>
    <w:next w:val="Normal"/>
    <w:uiPriority w:val="39"/>
    <w:semiHidden/>
    <w:pPr>
      <w:tabs>
        <w:tab w:val="left" w:pos="595"/>
        <w:tab w:val="right" w:leader="dot" w:pos="8640"/>
      </w:tabs>
      <w:spacing w:after="60"/>
      <w:ind w:left="595" w:right="720" w:hanging="595"/>
    </w:pPr>
    <w:rPr>
      <w:noProof/>
      <w:sz w:val="20"/>
    </w:rPr>
  </w:style>
  <w:style w:type="paragraph" w:styleId="TOC3">
    <w:name w:val="toc 3"/>
    <w:basedOn w:val="Normal"/>
    <w:next w:val="Normal"/>
    <w:uiPriority w:val="99"/>
    <w:semiHidden/>
    <w:pPr>
      <w:tabs>
        <w:tab w:val="left" w:pos="595"/>
        <w:tab w:val="right" w:leader="dot" w:pos="8640"/>
      </w:tabs>
      <w:spacing w:after="60"/>
      <w:ind w:left="1190" w:right="720" w:hanging="595"/>
    </w:pPr>
    <w:rPr>
      <w:sz w:val="20"/>
    </w:rPr>
  </w:style>
  <w:style w:type="paragraph" w:styleId="TOC4">
    <w:name w:val="toc 4"/>
    <w:basedOn w:val="Normal"/>
    <w:next w:val="Normal"/>
    <w:uiPriority w:val="99"/>
    <w:semiHidden/>
    <w:pPr>
      <w:tabs>
        <w:tab w:val="left" w:pos="1446"/>
        <w:tab w:val="left" w:pos="1587"/>
        <w:tab w:val="right" w:leader="dot" w:pos="8640"/>
      </w:tabs>
      <w:spacing w:after="60"/>
      <w:ind w:left="1445" w:right="720" w:hanging="850"/>
    </w:pPr>
    <w:rPr>
      <w:noProof/>
      <w:sz w:val="20"/>
    </w:rPr>
  </w:style>
  <w:style w:type="paragraph" w:styleId="TOC5">
    <w:name w:val="toc 5"/>
    <w:basedOn w:val="Normal"/>
    <w:next w:val="Normal"/>
    <w:semiHidden/>
    <w:pPr>
      <w:tabs>
        <w:tab w:val="right" w:leader="dot" w:pos="8640"/>
      </w:tabs>
      <w:spacing w:before="120" w:after="60"/>
      <w:ind w:right="720"/>
    </w:pPr>
    <w:rPr>
      <w:b/>
    </w:rPr>
  </w:style>
  <w:style w:type="paragraph" w:styleId="TOC6">
    <w:name w:val="toc 6"/>
    <w:basedOn w:val="Normal"/>
    <w:next w:val="Normal"/>
    <w:semiHidden/>
    <w:pPr>
      <w:tabs>
        <w:tab w:val="right" w:leader="dot" w:pos="8640"/>
      </w:tabs>
    </w:pPr>
  </w:style>
  <w:style w:type="paragraph" w:styleId="TOC7">
    <w:name w:val="toc 7"/>
    <w:basedOn w:val="Normal"/>
    <w:next w:val="Normal"/>
    <w:semiHidden/>
    <w:pPr>
      <w:tabs>
        <w:tab w:val="right" w:leader="dot" w:pos="8640"/>
      </w:tabs>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ListBullet">
    <w:name w:val="List Bullet"/>
    <w:basedOn w:val="Normal"/>
    <w:pPr>
      <w:numPr>
        <w:numId w:val="16"/>
      </w:numPr>
    </w:pPr>
  </w:style>
  <w:style w:type="paragraph" w:customStyle="1" w:styleId="ListBulletLevel2">
    <w:name w:val="List Bullet (Level 2)"/>
    <w:basedOn w:val="Text1"/>
    <w:pPr>
      <w:numPr>
        <w:ilvl w:val="1"/>
        <w:numId w:val="16"/>
      </w:numPr>
    </w:pPr>
  </w:style>
  <w:style w:type="paragraph" w:customStyle="1" w:styleId="ListBulletLevel3">
    <w:name w:val="List Bullet (Level 3)"/>
    <w:basedOn w:val="Text1"/>
    <w:semiHidden/>
    <w:unhideWhenUsed/>
    <w:pPr>
      <w:numPr>
        <w:ilvl w:val="2"/>
        <w:numId w:val="16"/>
      </w:numPr>
    </w:pPr>
  </w:style>
  <w:style w:type="paragraph" w:customStyle="1" w:styleId="ListBulletLevel4">
    <w:name w:val="List Bullet (Level 4)"/>
    <w:basedOn w:val="Text1"/>
    <w:semiHidden/>
    <w:unhideWhenUsed/>
    <w:pPr>
      <w:numPr>
        <w:ilvl w:val="3"/>
        <w:numId w:val="16"/>
      </w:numPr>
    </w:pPr>
  </w:style>
  <w:style w:type="paragraph" w:customStyle="1" w:styleId="ListBullet1">
    <w:name w:val="List Bullet 1"/>
    <w:basedOn w:val="Text1"/>
    <w:pPr>
      <w:numPr>
        <w:numId w:val="15"/>
      </w:numPr>
    </w:pPr>
  </w:style>
  <w:style w:type="paragraph" w:customStyle="1" w:styleId="ListBullet1Level2">
    <w:name w:val="List Bullet 1 (Level 2)"/>
    <w:basedOn w:val="Text1"/>
    <w:pPr>
      <w:numPr>
        <w:ilvl w:val="1"/>
        <w:numId w:val="15"/>
      </w:numPr>
    </w:pPr>
  </w:style>
  <w:style w:type="paragraph" w:customStyle="1" w:styleId="ListBullet1Level3">
    <w:name w:val="List Bullet 1 (Level 3)"/>
    <w:basedOn w:val="Text1"/>
    <w:semiHidden/>
    <w:unhideWhenUsed/>
    <w:pPr>
      <w:numPr>
        <w:ilvl w:val="2"/>
        <w:numId w:val="15"/>
      </w:numPr>
    </w:pPr>
  </w:style>
  <w:style w:type="paragraph" w:customStyle="1" w:styleId="ListBullet1Level4">
    <w:name w:val="List Bullet 1 (Level 4)"/>
    <w:basedOn w:val="Text1"/>
    <w:semiHidden/>
    <w:unhideWhenUsed/>
    <w:pPr>
      <w:numPr>
        <w:ilvl w:val="3"/>
        <w:numId w:val="15"/>
      </w:numPr>
    </w:pPr>
  </w:style>
  <w:style w:type="paragraph" w:styleId="ListBullet2">
    <w:name w:val="List Bullet 2"/>
    <w:basedOn w:val="Text2"/>
    <w:pPr>
      <w:numPr>
        <w:numId w:val="14"/>
      </w:numPr>
    </w:pPr>
  </w:style>
  <w:style w:type="paragraph" w:customStyle="1" w:styleId="ListBullet2Level2">
    <w:name w:val="List Bullet 2 (Level 2)"/>
    <w:basedOn w:val="Text2"/>
    <w:pPr>
      <w:numPr>
        <w:ilvl w:val="1"/>
        <w:numId w:val="14"/>
      </w:numPr>
    </w:pPr>
  </w:style>
  <w:style w:type="paragraph" w:customStyle="1" w:styleId="ListBullet2Level3">
    <w:name w:val="List Bullet 2 (Level 3)"/>
    <w:basedOn w:val="Text2"/>
    <w:semiHidden/>
    <w:unhideWhenUsed/>
    <w:pPr>
      <w:numPr>
        <w:ilvl w:val="2"/>
        <w:numId w:val="14"/>
      </w:numPr>
    </w:pPr>
  </w:style>
  <w:style w:type="paragraph" w:customStyle="1" w:styleId="ListBullet2Level4">
    <w:name w:val="List Bullet 2 (Level 4)"/>
    <w:basedOn w:val="Text2"/>
    <w:semiHidden/>
    <w:unhideWhenUsed/>
    <w:pPr>
      <w:numPr>
        <w:ilvl w:val="3"/>
        <w:numId w:val="14"/>
      </w:numPr>
    </w:pPr>
  </w:style>
  <w:style w:type="paragraph" w:styleId="ListBullet3">
    <w:name w:val="List Bullet 3"/>
    <w:basedOn w:val="Text3"/>
    <w:pPr>
      <w:numPr>
        <w:numId w:val="13"/>
      </w:numPr>
    </w:pPr>
  </w:style>
  <w:style w:type="paragraph" w:customStyle="1" w:styleId="ListBullet3Level2">
    <w:name w:val="List Bullet 3 (Level 2)"/>
    <w:basedOn w:val="Text3"/>
    <w:pPr>
      <w:numPr>
        <w:ilvl w:val="1"/>
        <w:numId w:val="13"/>
      </w:numPr>
    </w:pPr>
  </w:style>
  <w:style w:type="paragraph" w:customStyle="1" w:styleId="ListBullet3Level3">
    <w:name w:val="List Bullet 3 (Level 3)"/>
    <w:basedOn w:val="Text3"/>
    <w:semiHidden/>
    <w:unhideWhenUsed/>
    <w:pPr>
      <w:numPr>
        <w:ilvl w:val="2"/>
        <w:numId w:val="13"/>
      </w:numPr>
    </w:pPr>
  </w:style>
  <w:style w:type="paragraph" w:customStyle="1" w:styleId="ListBullet3Level4">
    <w:name w:val="List Bullet 3 (Level 4)"/>
    <w:basedOn w:val="Text3"/>
    <w:semiHidden/>
    <w:unhideWhenUsed/>
    <w:pPr>
      <w:numPr>
        <w:ilvl w:val="3"/>
        <w:numId w:val="13"/>
      </w:numPr>
    </w:pPr>
  </w:style>
  <w:style w:type="paragraph" w:styleId="ListBullet4">
    <w:name w:val="List Bullet 4"/>
    <w:basedOn w:val="Text4"/>
    <w:pPr>
      <w:numPr>
        <w:numId w:val="12"/>
      </w:numPr>
    </w:pPr>
  </w:style>
  <w:style w:type="paragraph" w:customStyle="1" w:styleId="ListBullet4Level2">
    <w:name w:val="List Bullet 4 (Level 2)"/>
    <w:basedOn w:val="Text4"/>
    <w:pPr>
      <w:numPr>
        <w:ilvl w:val="1"/>
        <w:numId w:val="12"/>
      </w:numPr>
    </w:pPr>
  </w:style>
  <w:style w:type="paragraph" w:customStyle="1" w:styleId="ListBullet4Level3">
    <w:name w:val="List Bullet 4 (Level 3)"/>
    <w:basedOn w:val="Text4"/>
    <w:semiHidden/>
    <w:unhideWhenUsed/>
    <w:pPr>
      <w:numPr>
        <w:ilvl w:val="2"/>
        <w:numId w:val="12"/>
      </w:numPr>
    </w:pPr>
  </w:style>
  <w:style w:type="paragraph" w:customStyle="1" w:styleId="ListBullet4Level4">
    <w:name w:val="List Bullet 4 (Level 4)"/>
    <w:basedOn w:val="Text4"/>
    <w:semiHidden/>
    <w:unhideWhenUsed/>
    <w:pPr>
      <w:numPr>
        <w:ilvl w:val="3"/>
        <w:numId w:val="12"/>
      </w:numPr>
    </w:pPr>
  </w:style>
  <w:style w:type="paragraph" w:customStyle="1" w:styleId="ListDash">
    <w:name w:val="List Dash"/>
    <w:basedOn w:val="Normal"/>
    <w:pPr>
      <w:numPr>
        <w:numId w:val="6"/>
      </w:numPr>
    </w:pPr>
  </w:style>
  <w:style w:type="paragraph" w:customStyle="1" w:styleId="ListDashLevel2">
    <w:name w:val="List Dash (Level 2)"/>
    <w:basedOn w:val="Normal"/>
    <w:pPr>
      <w:numPr>
        <w:ilvl w:val="1"/>
        <w:numId w:val="6"/>
      </w:numPr>
    </w:pPr>
  </w:style>
  <w:style w:type="paragraph" w:customStyle="1" w:styleId="ListDashLevel3">
    <w:name w:val="List Dash (Level 3)"/>
    <w:basedOn w:val="Normal"/>
    <w:semiHidden/>
    <w:unhideWhenUsed/>
    <w:pPr>
      <w:numPr>
        <w:ilvl w:val="2"/>
        <w:numId w:val="6"/>
      </w:numPr>
    </w:pPr>
  </w:style>
  <w:style w:type="paragraph" w:customStyle="1" w:styleId="ListDashLevel4">
    <w:name w:val="List Dash (Level 4)"/>
    <w:basedOn w:val="Normal"/>
    <w:semiHidden/>
    <w:unhideWhenUsed/>
    <w:pPr>
      <w:numPr>
        <w:ilvl w:val="3"/>
        <w:numId w:val="6"/>
      </w:numPr>
    </w:pPr>
  </w:style>
  <w:style w:type="paragraph" w:customStyle="1" w:styleId="ListDash1">
    <w:name w:val="List Dash 1"/>
    <w:basedOn w:val="Text1"/>
    <w:pPr>
      <w:numPr>
        <w:numId w:val="5"/>
      </w:numPr>
    </w:pPr>
  </w:style>
  <w:style w:type="paragraph" w:customStyle="1" w:styleId="ListDash1Level2">
    <w:name w:val="List Dash 1 (Level 2)"/>
    <w:basedOn w:val="Text1"/>
    <w:pPr>
      <w:numPr>
        <w:ilvl w:val="1"/>
        <w:numId w:val="5"/>
      </w:numPr>
    </w:pPr>
  </w:style>
  <w:style w:type="paragraph" w:customStyle="1" w:styleId="ListDash1Level3">
    <w:name w:val="List Dash 1 (Level 3)"/>
    <w:basedOn w:val="Text1"/>
    <w:semiHidden/>
    <w:unhideWhenUsed/>
    <w:pPr>
      <w:numPr>
        <w:ilvl w:val="2"/>
        <w:numId w:val="5"/>
      </w:numPr>
    </w:pPr>
  </w:style>
  <w:style w:type="paragraph" w:customStyle="1" w:styleId="ListDash1Level4">
    <w:name w:val="List Dash 1 (Level 4)"/>
    <w:basedOn w:val="Text1"/>
    <w:semiHidden/>
    <w:unhideWhenUsed/>
    <w:pPr>
      <w:numPr>
        <w:ilvl w:val="3"/>
        <w:numId w:val="5"/>
      </w:numPr>
    </w:pPr>
  </w:style>
  <w:style w:type="paragraph" w:customStyle="1" w:styleId="ListDash2">
    <w:name w:val="List Dash 2"/>
    <w:basedOn w:val="Text2"/>
    <w:pPr>
      <w:numPr>
        <w:numId w:val="4"/>
      </w:numPr>
    </w:pPr>
  </w:style>
  <w:style w:type="paragraph" w:customStyle="1" w:styleId="ListDash2Level2">
    <w:name w:val="List Dash 2 (Level 2)"/>
    <w:basedOn w:val="Text2"/>
    <w:pPr>
      <w:numPr>
        <w:ilvl w:val="1"/>
        <w:numId w:val="4"/>
      </w:numPr>
    </w:pPr>
  </w:style>
  <w:style w:type="paragraph" w:customStyle="1" w:styleId="ListDash2Level3">
    <w:name w:val="List Dash 2 (Level 3)"/>
    <w:basedOn w:val="Text2"/>
    <w:semiHidden/>
    <w:unhideWhenUsed/>
    <w:pPr>
      <w:numPr>
        <w:ilvl w:val="2"/>
        <w:numId w:val="4"/>
      </w:numPr>
    </w:pPr>
  </w:style>
  <w:style w:type="paragraph" w:customStyle="1" w:styleId="ListDash2Level4">
    <w:name w:val="List Dash 2 (Level 4)"/>
    <w:basedOn w:val="Text2"/>
    <w:semiHidden/>
    <w:unhideWhenUsed/>
    <w:pPr>
      <w:numPr>
        <w:ilvl w:val="3"/>
        <w:numId w:val="4"/>
      </w:numPr>
    </w:pPr>
  </w:style>
  <w:style w:type="paragraph" w:customStyle="1" w:styleId="ListDash3">
    <w:name w:val="List Dash 3"/>
    <w:basedOn w:val="Text3"/>
    <w:pPr>
      <w:numPr>
        <w:numId w:val="3"/>
      </w:numPr>
    </w:pPr>
  </w:style>
  <w:style w:type="paragraph" w:customStyle="1" w:styleId="ListDash3Level2">
    <w:name w:val="List Dash 3 (Level 2)"/>
    <w:basedOn w:val="Text3"/>
    <w:pPr>
      <w:numPr>
        <w:ilvl w:val="1"/>
        <w:numId w:val="3"/>
      </w:numPr>
    </w:pPr>
  </w:style>
  <w:style w:type="paragraph" w:customStyle="1" w:styleId="ListDash3Level3">
    <w:name w:val="List Dash 3 (Level 3)"/>
    <w:basedOn w:val="Text3"/>
    <w:semiHidden/>
    <w:unhideWhenUsed/>
    <w:pPr>
      <w:numPr>
        <w:ilvl w:val="2"/>
        <w:numId w:val="3"/>
      </w:numPr>
    </w:pPr>
  </w:style>
  <w:style w:type="paragraph" w:customStyle="1" w:styleId="ListDash3Level4">
    <w:name w:val="List Dash 3 (Level 4)"/>
    <w:basedOn w:val="Text3"/>
    <w:semiHidden/>
    <w:unhideWhenUsed/>
    <w:pPr>
      <w:numPr>
        <w:ilvl w:val="3"/>
        <w:numId w:val="3"/>
      </w:numPr>
    </w:pPr>
  </w:style>
  <w:style w:type="paragraph" w:customStyle="1" w:styleId="ListDash4">
    <w:name w:val="List Dash 4"/>
    <w:basedOn w:val="Text4"/>
    <w:pPr>
      <w:numPr>
        <w:numId w:val="2"/>
      </w:numPr>
    </w:pPr>
  </w:style>
  <w:style w:type="paragraph" w:customStyle="1" w:styleId="ListDash4Level2">
    <w:name w:val="List Dash 4 (Level 2)"/>
    <w:basedOn w:val="Text4"/>
    <w:pPr>
      <w:numPr>
        <w:ilvl w:val="1"/>
        <w:numId w:val="2"/>
      </w:numPr>
    </w:pPr>
  </w:style>
  <w:style w:type="paragraph" w:customStyle="1" w:styleId="ListDash4Level3">
    <w:name w:val="List Dash 4 (Level 3)"/>
    <w:basedOn w:val="Text4"/>
    <w:semiHidden/>
    <w:unhideWhenUsed/>
    <w:pPr>
      <w:numPr>
        <w:ilvl w:val="2"/>
        <w:numId w:val="2"/>
      </w:numPr>
    </w:pPr>
  </w:style>
  <w:style w:type="paragraph" w:customStyle="1" w:styleId="ListDash4Level4">
    <w:name w:val="List Dash 4 (Level 4)"/>
    <w:basedOn w:val="Text4"/>
    <w:semiHidden/>
    <w:unhideWhenUsed/>
    <w:pPr>
      <w:numPr>
        <w:ilvl w:val="3"/>
        <w:numId w:val="2"/>
      </w:numPr>
    </w:pPr>
  </w:style>
  <w:style w:type="paragraph" w:styleId="ListNumber">
    <w:name w:val="List Number"/>
    <w:basedOn w:val="Normal"/>
    <w:pPr>
      <w:numPr>
        <w:numId w:val="11"/>
      </w:numPr>
    </w:pPr>
  </w:style>
  <w:style w:type="paragraph" w:customStyle="1" w:styleId="ListNumberLevel2">
    <w:name w:val="List Number (Level 2)"/>
    <w:basedOn w:val="Normal"/>
    <w:pPr>
      <w:numPr>
        <w:ilvl w:val="1"/>
        <w:numId w:val="11"/>
      </w:numPr>
    </w:pPr>
  </w:style>
  <w:style w:type="paragraph" w:customStyle="1" w:styleId="ListNumberLevel3">
    <w:name w:val="List Number (Level 3)"/>
    <w:basedOn w:val="Normal"/>
    <w:semiHidden/>
    <w:unhideWhenUsed/>
    <w:pPr>
      <w:numPr>
        <w:ilvl w:val="2"/>
        <w:numId w:val="11"/>
      </w:numPr>
    </w:pPr>
  </w:style>
  <w:style w:type="paragraph" w:customStyle="1" w:styleId="ListNumberLevel4">
    <w:name w:val="List Number (Level 4)"/>
    <w:basedOn w:val="Normal"/>
    <w:semiHidden/>
    <w:unhideWhenUsed/>
    <w:pPr>
      <w:numPr>
        <w:ilvl w:val="3"/>
        <w:numId w:val="11"/>
      </w:numPr>
    </w:pPr>
  </w:style>
  <w:style w:type="paragraph" w:customStyle="1" w:styleId="ListNumber1">
    <w:name w:val="List Number 1"/>
    <w:basedOn w:val="Text1"/>
    <w:pPr>
      <w:numPr>
        <w:numId w:val="10"/>
      </w:numPr>
    </w:pPr>
  </w:style>
  <w:style w:type="paragraph" w:customStyle="1" w:styleId="ListNumber1Level2">
    <w:name w:val="List Number 1 (Level 2)"/>
    <w:basedOn w:val="Text1"/>
    <w:pPr>
      <w:numPr>
        <w:ilvl w:val="1"/>
        <w:numId w:val="10"/>
      </w:numPr>
    </w:pPr>
  </w:style>
  <w:style w:type="paragraph" w:customStyle="1" w:styleId="ListNumber1Level3">
    <w:name w:val="List Number 1 (Level 3)"/>
    <w:basedOn w:val="Text1"/>
    <w:semiHidden/>
    <w:unhideWhenUsed/>
    <w:pPr>
      <w:numPr>
        <w:ilvl w:val="2"/>
        <w:numId w:val="10"/>
      </w:numPr>
    </w:pPr>
  </w:style>
  <w:style w:type="paragraph" w:customStyle="1" w:styleId="ListNumber1Level4">
    <w:name w:val="List Number 1 (Level 4)"/>
    <w:basedOn w:val="Text1"/>
    <w:semiHidden/>
    <w:unhideWhenUsed/>
    <w:pPr>
      <w:numPr>
        <w:ilvl w:val="3"/>
        <w:numId w:val="10"/>
      </w:numPr>
    </w:pPr>
  </w:style>
  <w:style w:type="paragraph" w:styleId="ListNumber2">
    <w:name w:val="List Number 2"/>
    <w:basedOn w:val="Text2"/>
    <w:pPr>
      <w:numPr>
        <w:numId w:val="9"/>
      </w:numPr>
    </w:pPr>
  </w:style>
  <w:style w:type="paragraph" w:customStyle="1" w:styleId="ListNumber2Level2">
    <w:name w:val="List Number 2 (Level 2)"/>
    <w:basedOn w:val="Text2"/>
    <w:pPr>
      <w:numPr>
        <w:ilvl w:val="1"/>
        <w:numId w:val="9"/>
      </w:numPr>
    </w:pPr>
  </w:style>
  <w:style w:type="paragraph" w:customStyle="1" w:styleId="ListNumber2Level3">
    <w:name w:val="List Number 2 (Level 3)"/>
    <w:basedOn w:val="Text2"/>
    <w:semiHidden/>
    <w:unhideWhenUsed/>
    <w:pPr>
      <w:numPr>
        <w:ilvl w:val="2"/>
        <w:numId w:val="9"/>
      </w:numPr>
    </w:pPr>
  </w:style>
  <w:style w:type="paragraph" w:customStyle="1" w:styleId="ListNumber2Level4">
    <w:name w:val="List Number 2 (Level 4)"/>
    <w:basedOn w:val="Text2"/>
    <w:semiHidden/>
    <w:unhideWhenUsed/>
    <w:pPr>
      <w:numPr>
        <w:ilvl w:val="3"/>
        <w:numId w:val="9"/>
      </w:numPr>
    </w:pPr>
  </w:style>
  <w:style w:type="paragraph" w:styleId="ListNumber3">
    <w:name w:val="List Number 3"/>
    <w:basedOn w:val="Text3"/>
    <w:pPr>
      <w:numPr>
        <w:numId w:val="8"/>
      </w:numPr>
    </w:pPr>
  </w:style>
  <w:style w:type="paragraph" w:customStyle="1" w:styleId="ListNumber3Level2">
    <w:name w:val="List Number 3 (Level 2)"/>
    <w:basedOn w:val="Text3"/>
    <w:pPr>
      <w:numPr>
        <w:ilvl w:val="1"/>
        <w:numId w:val="8"/>
      </w:numPr>
    </w:pPr>
  </w:style>
  <w:style w:type="paragraph" w:customStyle="1" w:styleId="ListNumber3Level3">
    <w:name w:val="List Number 3 (Level 3)"/>
    <w:basedOn w:val="Text3"/>
    <w:semiHidden/>
    <w:unhideWhenUsed/>
    <w:pPr>
      <w:numPr>
        <w:ilvl w:val="2"/>
        <w:numId w:val="8"/>
      </w:numPr>
    </w:pPr>
  </w:style>
  <w:style w:type="paragraph" w:customStyle="1" w:styleId="ListNumber3Level4">
    <w:name w:val="List Number 3 (Level 4)"/>
    <w:basedOn w:val="Text3"/>
    <w:semiHidden/>
    <w:unhideWhenUsed/>
    <w:pPr>
      <w:numPr>
        <w:ilvl w:val="3"/>
        <w:numId w:val="8"/>
      </w:numPr>
    </w:pPr>
  </w:style>
  <w:style w:type="paragraph" w:styleId="ListNumber4">
    <w:name w:val="List Number 4"/>
    <w:basedOn w:val="Text4"/>
    <w:pPr>
      <w:numPr>
        <w:numId w:val="7"/>
      </w:numPr>
    </w:pPr>
  </w:style>
  <w:style w:type="paragraph" w:customStyle="1" w:styleId="ListNumber4Level2">
    <w:name w:val="List Number 4 (Level 2)"/>
    <w:basedOn w:val="Text4"/>
    <w:pPr>
      <w:numPr>
        <w:ilvl w:val="1"/>
        <w:numId w:val="7"/>
      </w:numPr>
    </w:pPr>
  </w:style>
  <w:style w:type="paragraph" w:customStyle="1" w:styleId="ListNumber4Level3">
    <w:name w:val="List Number 4 (Level 3)"/>
    <w:basedOn w:val="Text4"/>
    <w:semiHidden/>
    <w:unhideWhenUsed/>
    <w:pPr>
      <w:numPr>
        <w:ilvl w:val="2"/>
        <w:numId w:val="7"/>
      </w:numPr>
    </w:pPr>
  </w:style>
  <w:style w:type="paragraph" w:customStyle="1" w:styleId="ListNumber4Level4">
    <w:name w:val="List Number 4 (Level 4)"/>
    <w:basedOn w:val="Text4"/>
    <w:semiHidden/>
    <w:unhideWhenUsed/>
    <w:pPr>
      <w:numPr>
        <w:ilvl w:val="3"/>
        <w:numId w:val="7"/>
      </w:numPr>
    </w:pPr>
  </w:style>
  <w:style w:type="paragraph" w:customStyle="1" w:styleId="Marking">
    <w:name w:val="Marking"/>
    <w:basedOn w:val="Normal"/>
    <w:pPr>
      <w:spacing w:line="276" w:lineRule="auto"/>
      <w:contextualSpacing/>
      <w:jc w:val="right"/>
    </w:pPr>
    <w:rPr>
      <w:sz w:val="28"/>
    </w:rPr>
  </w:style>
  <w:style w:type="paragraph" w:customStyle="1" w:styleId="LegalNumPar">
    <w:name w:val="LegalNumPar"/>
    <w:basedOn w:val="Normal"/>
    <w:uiPriority w:val="90"/>
    <w:qFormat/>
    <w:pPr>
      <w:numPr>
        <w:numId w:val="18"/>
      </w:numPr>
      <w:spacing w:line="360" w:lineRule="auto"/>
      <w:jc w:val="left"/>
    </w:pPr>
  </w:style>
  <w:style w:type="paragraph" w:customStyle="1" w:styleId="LegalNumPar2">
    <w:name w:val="LegalNumPar2"/>
    <w:basedOn w:val="Normal"/>
    <w:pPr>
      <w:numPr>
        <w:ilvl w:val="1"/>
        <w:numId w:val="18"/>
      </w:numPr>
      <w:spacing w:line="360" w:lineRule="auto"/>
      <w:jc w:val="left"/>
    </w:pPr>
  </w:style>
  <w:style w:type="paragraph" w:customStyle="1" w:styleId="LegalNumPar3">
    <w:name w:val="LegalNumPar3"/>
    <w:basedOn w:val="Normal"/>
    <w:pPr>
      <w:numPr>
        <w:ilvl w:val="2"/>
        <w:numId w:val="18"/>
      </w:numPr>
      <w:spacing w:line="360" w:lineRule="auto"/>
      <w:jc w:val="left"/>
    </w:pPr>
  </w:style>
  <w:style w:type="paragraph" w:styleId="NoteHeading">
    <w:name w:val="Note Heading"/>
    <w:basedOn w:val="Normal"/>
    <w:next w:val="Normal"/>
  </w:style>
  <w:style w:type="paragraph" w:customStyle="1" w:styleId="NoteHead">
    <w:name w:val="NoteHead"/>
    <w:basedOn w:val="Normal"/>
    <w:next w:val="Subject"/>
    <w:uiPriority w:val="99"/>
    <w:pPr>
      <w:spacing w:before="720" w:after="720"/>
      <w:jc w:val="center"/>
    </w:pPr>
    <w:rPr>
      <w:b/>
      <w:smallCaps/>
    </w:rPr>
  </w:style>
  <w:style w:type="paragraph" w:customStyle="1" w:styleId="NoteList">
    <w:name w:val="NoteList"/>
    <w:basedOn w:val="Normal"/>
    <w:next w:val="Subject"/>
    <w:pPr>
      <w:tabs>
        <w:tab w:val="left" w:pos="5822"/>
      </w:tabs>
      <w:spacing w:before="720" w:after="720"/>
      <w:ind w:left="5102" w:hanging="3118"/>
      <w:jc w:val="left"/>
    </w:pPr>
    <w:rPr>
      <w:b/>
      <w:smallCaps/>
    </w:rPr>
  </w:style>
  <w:style w:type="paragraph" w:customStyle="1" w:styleId="NoteColumn">
    <w:name w:val="NoteColumn"/>
    <w:basedOn w:val="Normal"/>
    <w:next w:val="Subject"/>
    <w:pPr>
      <w:tabs>
        <w:tab w:val="left" w:pos="850"/>
        <w:tab w:val="left" w:pos="1570"/>
        <w:tab w:val="left" w:pos="5102"/>
        <w:tab w:val="left" w:pos="5822"/>
      </w:tabs>
      <w:spacing w:after="720"/>
      <w:ind w:left="850"/>
      <w:jc w:val="left"/>
    </w:pPr>
    <w:rPr>
      <w:b/>
      <w:smallCaps/>
    </w:rPr>
  </w:style>
  <w:style w:type="paragraph" w:customStyle="1" w:styleId="Subject">
    <w:name w:val="Subject"/>
    <w:basedOn w:val="Normal"/>
    <w:next w:val="Normal"/>
    <w:uiPriority w:val="99"/>
    <w:pPr>
      <w:spacing w:after="480"/>
      <w:ind w:left="1531" w:hanging="1531"/>
      <w:jc w:val="left"/>
    </w:pPr>
    <w:rPr>
      <w:b/>
    </w:rPr>
  </w:style>
  <w:style w:type="paragraph" w:customStyle="1" w:styleId="YReferences">
    <w:name w:val="YReferences"/>
    <w:basedOn w:val="Normal"/>
    <w:next w:val="Normal"/>
    <w:uiPriority w:val="99"/>
    <w:pPr>
      <w:spacing w:after="480"/>
      <w:ind w:left="1531" w:hanging="1531"/>
    </w:pPr>
  </w:style>
  <w:style w:type="paragraph" w:styleId="Closing">
    <w:name w:val="Closing"/>
    <w:basedOn w:val="Normal"/>
    <w:next w:val="Signature"/>
    <w:pPr>
      <w:tabs>
        <w:tab w:val="left" w:pos="5102"/>
      </w:tabs>
      <w:spacing w:before="240"/>
      <w:ind w:left="5102"/>
      <w:jc w:val="left"/>
    </w:pPr>
  </w:style>
  <w:style w:type="paragraph" w:customStyle="1" w:styleId="ClosingL">
    <w:name w:val="ClosingL"/>
    <w:basedOn w:val="Normal"/>
    <w:next w:val="Signature"/>
    <w:pPr>
      <w:spacing w:before="240"/>
      <w:jc w:val="left"/>
    </w:pPr>
  </w:style>
  <w:style w:type="paragraph" w:styleId="Signature">
    <w:name w:val="Signature"/>
    <w:basedOn w:val="Normal"/>
    <w:next w:val="Contact"/>
    <w:uiPriority w:val="99"/>
    <w:pPr>
      <w:tabs>
        <w:tab w:val="left" w:pos="5102"/>
      </w:tabs>
      <w:spacing w:before="1200" w:after="0"/>
      <w:ind w:left="5102"/>
      <w:jc w:val="center"/>
    </w:pPr>
  </w:style>
  <w:style w:type="paragraph" w:customStyle="1" w:styleId="SignatureL">
    <w:name w:val="SignatureL"/>
    <w:basedOn w:val="Normal"/>
    <w:next w:val="Contact"/>
    <w:uiPriority w:val="99"/>
    <w:pPr>
      <w:tabs>
        <w:tab w:val="left" w:pos="5102"/>
      </w:tabs>
      <w:spacing w:before="1200" w:after="0"/>
      <w:jc w:val="left"/>
    </w:pPr>
  </w:style>
  <w:style w:type="paragraph" w:customStyle="1" w:styleId="DoubSign">
    <w:name w:val="DoubSign"/>
    <w:basedOn w:val="Normal"/>
    <w:next w:val="Contact"/>
    <w:pPr>
      <w:tabs>
        <w:tab w:val="left" w:pos="5102"/>
      </w:tabs>
      <w:spacing w:before="1200" w:after="0"/>
      <w:jc w:val="left"/>
    </w:pPr>
  </w:style>
  <w:style w:type="paragraph" w:customStyle="1" w:styleId="Enclosures">
    <w:name w:val="Enclosures"/>
    <w:basedOn w:val="Normal"/>
    <w:next w:val="Participants"/>
    <w:uiPriority w:val="99"/>
    <w:pPr>
      <w:keepNext/>
      <w:keepLines/>
      <w:tabs>
        <w:tab w:val="left" w:pos="5669"/>
      </w:tabs>
      <w:spacing w:before="480" w:after="0"/>
      <w:ind w:left="1984" w:hanging="1984"/>
      <w:jc w:val="left"/>
    </w:pPr>
  </w:style>
  <w:style w:type="paragraph" w:customStyle="1" w:styleId="Participants">
    <w:name w:val="Participants"/>
    <w:basedOn w:val="Normal"/>
    <w:next w:val="Copies"/>
    <w:uiPriority w:val="99"/>
    <w:pPr>
      <w:tabs>
        <w:tab w:val="left" w:pos="2551"/>
        <w:tab w:val="left" w:pos="2835"/>
        <w:tab w:val="left" w:pos="5669"/>
        <w:tab w:val="left" w:pos="6378"/>
        <w:tab w:val="left" w:pos="6803"/>
      </w:tabs>
      <w:spacing w:before="480" w:after="0"/>
      <w:ind w:left="1984" w:hanging="1984"/>
      <w:jc w:val="left"/>
    </w:pPr>
  </w:style>
  <w:style w:type="paragraph" w:customStyle="1" w:styleId="Copies">
    <w:name w:val="Copies"/>
    <w:basedOn w:val="Normal"/>
    <w:next w:val="Normal"/>
    <w:uiPriority w:val="99"/>
    <w:pPr>
      <w:tabs>
        <w:tab w:val="left" w:pos="5669"/>
      </w:tabs>
      <w:spacing w:before="480" w:after="0"/>
      <w:ind w:left="1984" w:hanging="1984"/>
      <w:jc w:val="left"/>
    </w:pPr>
  </w:style>
  <w:style w:type="paragraph" w:styleId="Header">
    <w:name w:val="header"/>
    <w:basedOn w:val="Normal"/>
    <w:link w:val="HeaderChar"/>
    <w:pPr>
      <w:tabs>
        <w:tab w:val="center" w:pos="4150"/>
        <w:tab w:val="right" w:pos="8306"/>
      </w:tabs>
      <w:spacing w:after="0"/>
    </w:pPr>
  </w:style>
  <w:style w:type="character" w:customStyle="1" w:styleId="HeaderChar">
    <w:name w:val="Header Char"/>
    <w:basedOn w:val="DefaultParagraphFont"/>
    <w:link w:val="Header"/>
    <w:rPr>
      <w:sz w:val="24"/>
    </w:rPr>
  </w:style>
  <w:style w:type="table" w:customStyle="1" w:styleId="TableLetterhead">
    <w:name w:val="Table Letterhead"/>
    <w:basedOn w:val="TableNormal"/>
    <w:uiPriority w:val="99"/>
    <w:tblPr>
      <w:tblCellMar>
        <w:left w:w="0" w:type="dxa"/>
        <w:bottom w:w="340" w:type="dxa"/>
        <w:right w:w="0" w:type="dxa"/>
      </w:tblCellMar>
    </w:tblPr>
  </w:style>
  <w:style w:type="character" w:styleId="FootnoteReference">
    <w:name w:val="footnote reference"/>
    <w:basedOn w:val="DefaultParagraphFont"/>
    <w:semiHidden/>
    <w:locked/>
    <w:rPr>
      <w:vertAlign w:val="superscript"/>
    </w:rPr>
  </w:style>
  <w:style w:type="paragraph" w:styleId="BalloonText">
    <w:name w:val="Balloon Text"/>
    <w:basedOn w:val="Normal"/>
    <w:link w:val="BalloonTextChar"/>
    <w:semiHidden/>
    <w:locked/>
    <w:pPr>
      <w:spacing w:after="0"/>
    </w:pPr>
    <w:rPr>
      <w:rFonts w:ascii="Segoe UI" w:hAnsi="Segoe UI" w:cs="Segoe UI"/>
      <w:sz w:val="18"/>
      <w:szCs w:val="18"/>
    </w:rPr>
  </w:style>
  <w:style w:type="character" w:customStyle="1" w:styleId="BalloonTextChar">
    <w:name w:val="Balloon Text Char"/>
    <w:basedOn w:val="DefaultParagraphFont"/>
    <w:link w:val="BalloonText"/>
    <w:semiHidden/>
    <w:rPr>
      <w:rFonts w:ascii="Segoe UI" w:hAnsi="Segoe UI" w:cs="Segoe UI"/>
      <w:sz w:val="18"/>
      <w:szCs w:val="18"/>
    </w:rPr>
  </w:style>
  <w:style w:type="character" w:styleId="CommentReference">
    <w:name w:val="annotation reference"/>
    <w:basedOn w:val="DefaultParagraphFont"/>
    <w:semiHidden/>
    <w:locked/>
    <w:rPr>
      <w:sz w:val="16"/>
      <w:szCs w:val="16"/>
    </w:rPr>
  </w:style>
  <w:style w:type="paragraph" w:styleId="CommentText">
    <w:name w:val="annotation text"/>
    <w:basedOn w:val="Normal"/>
    <w:link w:val="CommentTextChar"/>
    <w:semiHidden/>
    <w:locked/>
    <w:rPr>
      <w:sz w:val="20"/>
    </w:rPr>
  </w:style>
  <w:style w:type="character" w:customStyle="1" w:styleId="CommentTextChar">
    <w:name w:val="Comment Text Char"/>
    <w:basedOn w:val="DefaultParagraphFont"/>
    <w:link w:val="CommentText"/>
    <w:semiHidden/>
    <w:rPr>
      <w:sz w:val="20"/>
    </w:rPr>
  </w:style>
  <w:style w:type="paragraph" w:styleId="CommentSubject">
    <w:name w:val="annotation subject"/>
    <w:basedOn w:val="CommentText"/>
    <w:next w:val="CommentText"/>
    <w:link w:val="CommentSubjectChar"/>
    <w:semiHidden/>
    <w:locked/>
    <w:rPr>
      <w:b/>
      <w:bCs/>
    </w:rPr>
  </w:style>
  <w:style w:type="character" w:customStyle="1" w:styleId="CommentSubjectChar">
    <w:name w:val="Comment Subject Char"/>
    <w:basedOn w:val="CommentTextChar"/>
    <w:link w:val="CommentSubject"/>
    <w:semiHidden/>
    <w:rPr>
      <w:b/>
      <w:bCs/>
      <w:sz w:val="20"/>
    </w:rPr>
  </w:style>
  <w:style w:type="paragraph" w:styleId="Revision">
    <w:name w:val="Revision"/>
    <w:hidden/>
    <w:semiHidden/>
    <w:lock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pPr>
    <w:rPr>
      <w:rFonts w:eastAsiaTheme="minorHAnsi"/>
      <w:szCs w:val="22"/>
      <w:lang w:eastAsia="en-US"/>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FooterCoverPageChar">
    <w:name w:val="Footer Cover Page Char"/>
    <w:basedOn w:val="DefaultParagraphFont"/>
    <w:link w:val="FooterCoverPage"/>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FooterSensitivityChar">
    <w:name w:val="Footer Sensitivity Char"/>
    <w:basedOn w:val="DefaultParagraphFont"/>
    <w:link w:val="FooterSensitivity"/>
    <w:rPr>
      <w:b/>
      <w:sz w:val="32"/>
    </w:rPr>
  </w:style>
  <w:style w:type="paragraph" w:customStyle="1" w:styleId="HeaderCoverPage">
    <w:name w:val="Header Cover Page"/>
    <w:basedOn w:val="Normal"/>
    <w:link w:val="HeaderCoverPageChar"/>
    <w:pPr>
      <w:tabs>
        <w:tab w:val="center" w:pos="4535"/>
        <w:tab w:val="right" w:pos="9071"/>
      </w:tabs>
      <w:spacing w:after="120"/>
    </w:pPr>
  </w:style>
  <w:style w:type="character" w:customStyle="1" w:styleId="HeaderCoverPageChar">
    <w:name w:val="Header Cover Page Char"/>
    <w:basedOn w:val="DefaultParagraphFont"/>
    <w:link w:val="HeaderCoverPage"/>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DefaultParagraphFont"/>
    <w:link w:val="HeaderSensitivity"/>
    <w:rPr>
      <w:b/>
      <w:sz w:val="32"/>
    </w:rPr>
  </w:style>
  <w:style w:type="paragraph" w:customStyle="1" w:styleId="SecurityMarking">
    <w:name w:val="SecurityMarking"/>
    <w:basedOn w:val="Normal"/>
    <w:pPr>
      <w:spacing w:after="0" w:line="276" w:lineRule="auto"/>
      <w:ind w:left="5103"/>
      <w:jc w:val="left"/>
    </w:pPr>
    <w:rPr>
      <w:rFonts w:eastAsiaTheme="minorHAnsi"/>
      <w:sz w:val="28"/>
      <w:szCs w:val="22"/>
      <w:lang w:eastAsia="en-US"/>
    </w:rPr>
  </w:style>
  <w:style w:type="paragraph" w:customStyle="1" w:styleId="DateMarking">
    <w:name w:val="DateMarking"/>
    <w:basedOn w:val="Normal"/>
    <w:pPr>
      <w:spacing w:after="0" w:line="276" w:lineRule="auto"/>
      <w:ind w:left="5103"/>
      <w:jc w:val="left"/>
    </w:pPr>
    <w:rPr>
      <w:rFonts w:eastAsiaTheme="minorHAnsi"/>
      <w:i/>
      <w:sz w:val="28"/>
      <w:szCs w:val="22"/>
      <w:lang w:eastAsia="en-US"/>
    </w:rPr>
  </w:style>
  <w:style w:type="paragraph" w:customStyle="1" w:styleId="ReleasableTo">
    <w:name w:val="ReleasableTo"/>
    <w:basedOn w:val="Normal"/>
    <w:pPr>
      <w:spacing w:after="0" w:line="276" w:lineRule="auto"/>
      <w:ind w:left="5103"/>
      <w:jc w:val="left"/>
    </w:pPr>
    <w:rPr>
      <w:rFonts w:eastAsiaTheme="minorHAnsi"/>
      <w:i/>
      <w:sz w:val="28"/>
      <w:szCs w:val="22"/>
      <w:lang w:eastAsia="en-US"/>
    </w:rPr>
  </w:style>
  <w:style w:type="paragraph" w:customStyle="1" w:styleId="HeaderSensitivityRight">
    <w:name w:val="Header Sensitivity Right"/>
    <w:basedOn w:val="Normal"/>
    <w:pPr>
      <w:spacing w:after="120"/>
      <w:jc w:val="right"/>
    </w:pPr>
    <w:rPr>
      <w:sz w:val="28"/>
    </w:rPr>
  </w:style>
  <w:style w:type="character" w:customStyle="1" w:styleId="FooterChar">
    <w:name w:val="Footer Char"/>
    <w:basedOn w:val="DefaultParagraphFont"/>
    <w:link w:val="Footer"/>
    <w:uiPriority w:val="99"/>
    <w:rPr>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da-DK" w:eastAsia="en-GB" w:bidi="ar-SA"/>
      </w:rPr>
    </w:rPrDefault>
    <w:pPrDefault/>
  </w:docDefaults>
  <w:latentStyles w:defLockedState="1" w:defUIPriority="0" w:defSemiHidden="1" w:defUnhideWhenUsed="1" w:defQFormat="0" w:count="267">
    <w:lsdException w:name="Normal" w:semiHidden="0" w:uiPriority="90" w:unhideWhenUsed="0" w:qFormat="1"/>
    <w:lsdException w:name="heading 1" w:semiHidden="0" w:uiPriority="90" w:unhideWhenUsed="0" w:qFormat="1"/>
    <w:lsdException w:name="heading 2" w:semiHidden="0" w:uiPriority="90" w:unhideWhenUsed="0" w:qFormat="1"/>
    <w:lsdException w:name="heading 3" w:semiHidden="0" w:uiPriority="90" w:unhideWhenUsed="0" w:qFormat="1"/>
    <w:lsdException w:name="heading 4" w:semiHidden="0" w:uiPriority="90" w:unhideWhenUsed="0" w:qFormat="1"/>
    <w:lsdException w:name="heading 5" w:unhideWhenUsed="0"/>
    <w:lsdException w:name="heading 6" w:unhideWhenUsed="0"/>
    <w:lsdException w:name="toc 1" w:uiPriority="39"/>
    <w:lsdException w:name="toc 2" w:uiPriority="39"/>
    <w:lsdException w:name="toc 3" w:uiPriority="99"/>
    <w:lsdException w:name="toc 4" w:uiPriority="99"/>
    <w:lsdException w:name="header" w:semiHidden="0"/>
    <w:lsdException w:name="footer" w:semiHidden="0" w:uiPriority="99"/>
    <w:lsdException w:name="caption" w:semiHidden="0"/>
    <w:lsdException w:name="macro" w:uiPriority="90" w:qFormat="1"/>
    <w:lsdException w:name="List Bullet" w:semiHidden="0"/>
    <w:lsdException w:name="List Number" w:semiHidden="0" w:unhideWhenUsed="0"/>
    <w:lsdException w:name="List 4" w:unhideWhenUsed="0"/>
    <w:lsdException w:name="List 5" w:unhideWhenUsed="0"/>
    <w:lsdException w:name="List Bullet 2" w:semiHidden="0"/>
    <w:lsdException w:name="List Bullet 3" w:semiHidden="0"/>
    <w:lsdException w:name="List Bullet 4" w:semiHidden="0"/>
    <w:lsdException w:name="List Number 2" w:semiHidden="0"/>
    <w:lsdException w:name="List Number 3" w:semiHidden="0"/>
    <w:lsdException w:name="List Number 4" w:semiHidden="0"/>
    <w:lsdException w:name="Title" w:semiHidden="0" w:unhideWhenUsed="0"/>
    <w:lsdException w:name="Closing" w:semiHidden="0"/>
    <w:lsdException w:name="Signature" w:semiHidden="0" w:uiPriority="99"/>
    <w:lsdException w:name="Default Paragraph Font" w:uiPriority="1"/>
    <w:lsdException w:name="Subtitle" w:unhideWhenUsed="0"/>
    <w:lsdException w:name="Salutation" w:unhideWhenUsed="0"/>
    <w:lsdException w:name="Date" w:semiHidden="0" w:unhideWhenUsed="0"/>
    <w:lsdException w:name="Body Text First Indent" w:unhideWhenUsed="0"/>
    <w:lsdException w:name="Note Heading" w:semiHidden="0"/>
    <w:lsdException w:name="Strong" w:semiHidden="0" w:unhideWhenUsed="0"/>
    <w:lsdException w:name="Emphasis" w:semiHidden="0" w:unhideWhenUsed="0"/>
    <w:lsdException w:name="Normal Table" w:uiPriority="99"/>
    <w:lsdException w:name="No List" w:uiPriority="99"/>
    <w:lsdException w:name="Table Grid" w:semiHidden="0" w:unhideWhenUsed="0"/>
    <w:lsdException w:name="Placeholder Text" w:uiPriority="99" w:unhideWhenUsed="0"/>
    <w:lsdException w:name="No Spacing"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uiPriority w:val="90"/>
    <w:qFormat/>
    <w:pPr>
      <w:spacing w:after="240"/>
      <w:jc w:val="both"/>
    </w:pPr>
  </w:style>
  <w:style w:type="paragraph" w:styleId="Heading1">
    <w:name w:val="heading 1"/>
    <w:basedOn w:val="Normal"/>
    <w:next w:val="Text1"/>
    <w:uiPriority w:val="90"/>
    <w:qFormat/>
    <w:pPr>
      <w:keepNext/>
      <w:numPr>
        <w:numId w:val="17"/>
      </w:numPr>
      <w:spacing w:before="240"/>
      <w:outlineLvl w:val="0"/>
    </w:pPr>
    <w:rPr>
      <w:b/>
      <w:smallCaps/>
    </w:rPr>
  </w:style>
  <w:style w:type="paragraph" w:styleId="Heading2">
    <w:name w:val="heading 2"/>
    <w:basedOn w:val="Normal"/>
    <w:next w:val="Text2"/>
    <w:uiPriority w:val="90"/>
    <w:qFormat/>
    <w:pPr>
      <w:keepNext/>
      <w:numPr>
        <w:ilvl w:val="1"/>
        <w:numId w:val="17"/>
      </w:numPr>
      <w:outlineLvl w:val="1"/>
    </w:pPr>
    <w:rPr>
      <w:b/>
    </w:rPr>
  </w:style>
  <w:style w:type="paragraph" w:styleId="Heading3">
    <w:name w:val="heading 3"/>
    <w:basedOn w:val="Normal"/>
    <w:next w:val="Text3"/>
    <w:uiPriority w:val="90"/>
    <w:qFormat/>
    <w:pPr>
      <w:keepNext/>
      <w:numPr>
        <w:ilvl w:val="2"/>
        <w:numId w:val="17"/>
      </w:numPr>
      <w:outlineLvl w:val="2"/>
    </w:pPr>
    <w:rPr>
      <w:i/>
    </w:rPr>
  </w:style>
  <w:style w:type="paragraph" w:styleId="Heading4">
    <w:name w:val="heading 4"/>
    <w:basedOn w:val="Normal"/>
    <w:next w:val="Text4"/>
    <w:uiPriority w:val="90"/>
    <w:qFormat/>
    <w:pPr>
      <w:keepNext/>
      <w:numPr>
        <w:ilvl w:val="3"/>
        <w:numId w:val="17"/>
      </w:numPr>
      <w:outlineLvl w:val="3"/>
    </w:pPr>
  </w:style>
  <w:style w:type="paragraph" w:styleId="Heading5">
    <w:name w:val="heading 5"/>
    <w:basedOn w:val="Normal"/>
    <w:next w:val="Normal"/>
    <w:semiHidden/>
    <w:pPr>
      <w:keepNext/>
      <w:numPr>
        <w:ilvl w:val="4"/>
        <w:numId w:val="17"/>
      </w:numPr>
      <w:outlineLvl w:val="4"/>
    </w:pPr>
  </w:style>
  <w:style w:type="paragraph" w:styleId="Heading6">
    <w:name w:val="heading 6"/>
    <w:basedOn w:val="Normal"/>
    <w:next w:val="Normal"/>
    <w:semiHidden/>
    <w:pPr>
      <w:keepNext/>
      <w:numPr>
        <w:ilvl w:val="5"/>
        <w:numId w:val="17"/>
      </w:numPr>
      <w:outlineLvl w:val="5"/>
    </w:pPr>
  </w:style>
  <w:style w:type="paragraph" w:styleId="Heading7">
    <w:name w:val="heading 7"/>
    <w:basedOn w:val="Normal"/>
    <w:next w:val="Normal"/>
    <w:semiHidden/>
    <w:pPr>
      <w:keepNext/>
      <w:numPr>
        <w:ilvl w:val="6"/>
        <w:numId w:val="17"/>
      </w:numPr>
      <w:outlineLvl w:val="6"/>
    </w:pPr>
  </w:style>
  <w:style w:type="paragraph" w:styleId="Heading8">
    <w:name w:val="heading 8"/>
    <w:basedOn w:val="Normal"/>
    <w:next w:val="Normal"/>
    <w:semiHidden/>
    <w:pPr>
      <w:keepNext/>
      <w:numPr>
        <w:ilvl w:val="7"/>
        <w:numId w:val="17"/>
      </w:numPr>
      <w:outlineLvl w:val="7"/>
    </w:pPr>
  </w:style>
  <w:style w:type="paragraph" w:styleId="Heading9">
    <w:name w:val="heading 9"/>
    <w:basedOn w:val="Normal"/>
    <w:next w:val="Normal"/>
    <w:semiHidden/>
    <w:pPr>
      <w:keepNext/>
      <w:numPr>
        <w:ilvl w:val="8"/>
        <w:numId w:val="17"/>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2C8F6C"/>
    </w:rPr>
  </w:style>
  <w:style w:type="character" w:customStyle="1" w:styleId="BodyPlaceholderText">
    <w:name w:val="BodyPlaceholderText"/>
    <w:basedOn w:val="PlaceholderText"/>
    <w:uiPriority w:val="1"/>
    <w:semiHidden/>
    <w:rPr>
      <w:color w:val="3366CC"/>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customStyle="1" w:styleId="CrossReference">
    <w:name w:val="Cross Reference"/>
    <w:basedOn w:val="DefaultParagraphFont"/>
    <w:uiPriority w:val="99"/>
    <w:rPr>
      <w:i/>
    </w:rPr>
  </w:style>
  <w:style w:type="paragraph" w:customStyle="1" w:styleId="AnnexHeading1">
    <w:name w:val="Annex Heading 1"/>
    <w:basedOn w:val="Normal"/>
    <w:next w:val="Normal"/>
    <w:pPr>
      <w:pageBreakBefore/>
      <w:spacing w:before="240"/>
      <w:outlineLvl w:val="0"/>
    </w:pPr>
    <w:rPr>
      <w:b/>
      <w:smallCaps/>
      <w:sz w:val="36"/>
    </w:rPr>
  </w:style>
  <w:style w:type="paragraph" w:customStyle="1" w:styleId="Text4">
    <w:name w:val="Text 4"/>
    <w:basedOn w:val="Normal"/>
    <w:uiPriority w:val="90"/>
    <w:qFormat/>
    <w:pPr>
      <w:ind w:left="2880"/>
    </w:pPr>
  </w:style>
  <w:style w:type="paragraph" w:customStyle="1" w:styleId="Text3">
    <w:name w:val="Text 3"/>
    <w:basedOn w:val="Normal"/>
    <w:uiPriority w:val="90"/>
    <w:qFormat/>
    <w:pPr>
      <w:ind w:left="1916"/>
    </w:pPr>
  </w:style>
  <w:style w:type="paragraph" w:customStyle="1" w:styleId="Text2">
    <w:name w:val="Text 2"/>
    <w:basedOn w:val="Normal"/>
    <w:uiPriority w:val="90"/>
    <w:qFormat/>
    <w:pPr>
      <w:ind w:left="1077"/>
    </w:pPr>
  </w:style>
  <w:style w:type="paragraph" w:customStyle="1" w:styleId="Text1">
    <w:name w:val="Text 1"/>
    <w:basedOn w:val="Normal"/>
    <w:uiPriority w:val="90"/>
    <w:qFormat/>
    <w:pPr>
      <w:ind w:left="482"/>
    </w:pPr>
  </w:style>
  <w:style w:type="paragraph" w:customStyle="1" w:styleId="ZFlag">
    <w:name w:val="Z_Flag"/>
    <w:basedOn w:val="Normal"/>
    <w:next w:val="Normal"/>
    <w:uiPriority w:val="99"/>
    <w:semiHidden/>
    <w:pPr>
      <w:widowControl w:val="0"/>
      <w:spacing w:after="0"/>
      <w:ind w:right="85"/>
    </w:pPr>
  </w:style>
  <w:style w:type="paragraph" w:customStyle="1" w:styleId="ZCom">
    <w:name w:val="Z_Com"/>
    <w:basedOn w:val="Normal"/>
    <w:next w:val="Normal"/>
    <w:uiPriority w:val="99"/>
    <w:semiHidden/>
    <w:pPr>
      <w:widowControl w:val="0"/>
      <w:spacing w:before="90" w:after="0"/>
      <w:ind w:right="85"/>
    </w:pPr>
  </w:style>
  <w:style w:type="paragraph" w:customStyle="1" w:styleId="ZDGName">
    <w:name w:val="Z_DGName"/>
    <w:basedOn w:val="Normal"/>
    <w:uiPriority w:val="99"/>
    <w:semiHidden/>
    <w:pPr>
      <w:widowControl w:val="0"/>
      <w:spacing w:after="0"/>
      <w:ind w:right="85"/>
      <w:jc w:val="left"/>
    </w:pPr>
    <w:rPr>
      <w:sz w:val="16"/>
    </w:rPr>
  </w:style>
  <w:style w:type="paragraph" w:styleId="Caption">
    <w:name w:val="caption"/>
    <w:basedOn w:val="Normal"/>
    <w:next w:val="Normal"/>
    <w:pPr>
      <w:spacing w:before="160"/>
    </w:pPr>
    <w:rPr>
      <w:i/>
      <w:sz w:val="22"/>
    </w:rPr>
  </w:style>
  <w:style w:type="paragraph" w:customStyle="1" w:styleId="Contact">
    <w:name w:val="Contact"/>
    <w:basedOn w:val="Normal"/>
    <w:uiPriority w:val="99"/>
    <w:pPr>
      <w:spacing w:before="480" w:after="0"/>
      <w:ind w:left="567" w:hanging="567"/>
      <w:jc w:val="left"/>
    </w:pPr>
  </w:style>
  <w:style w:type="paragraph" w:styleId="Date">
    <w:name w:val="Date"/>
    <w:basedOn w:val="Normal"/>
    <w:next w:val="References"/>
    <w:pPr>
      <w:spacing w:after="0"/>
      <w:ind w:left="5102" w:right="-567"/>
      <w:jc w:val="left"/>
    </w:pPr>
  </w:style>
  <w:style w:type="paragraph" w:customStyle="1" w:styleId="References">
    <w:name w:val="References"/>
    <w:basedOn w:val="Normal"/>
    <w:next w:val="Normal"/>
    <w:pPr>
      <w:ind w:left="5102"/>
      <w:jc w:val="left"/>
    </w:pPr>
    <w:rPr>
      <w:sz w:val="20"/>
    </w:r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pPr>
      <w:spacing w:after="0"/>
      <w:jc w:val="center"/>
    </w:pPr>
    <w:rPr>
      <w:b/>
      <w:caps/>
      <w:sz w:val="32"/>
    </w:rPr>
  </w:style>
  <w:style w:type="paragraph" w:customStyle="1" w:styleId="RUE">
    <w:name w:val="RUE"/>
    <w:basedOn w:val="Normal"/>
    <w:pPr>
      <w:spacing w:after="0"/>
      <w:jc w:val="center"/>
    </w:pPr>
    <w:rPr>
      <w:b/>
      <w:caps/>
      <w:sz w:val="32"/>
      <w:bdr w:val="single" w:sz="18" w:space="0" w:color="auto"/>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TrsSecretUE">
    <w:name w:val="Très Secret UE"/>
    <w:basedOn w:val="Normal"/>
    <w:pPr>
      <w:spacing w:after="0"/>
      <w:jc w:val="center"/>
    </w:pPr>
    <w:rPr>
      <w:b/>
      <w:caps/>
      <w:color w:val="FF0000"/>
      <w:sz w:val="32"/>
      <w:bdr w:val="single" w:sz="18" w:space="0" w:color="FF0000"/>
    </w:rPr>
  </w:style>
  <w:style w:type="paragraph" w:styleId="EndnoteText">
    <w:name w:val="endnote text"/>
    <w:basedOn w:val="Normal"/>
    <w:semiHidden/>
    <w:rPr>
      <w:sz w:val="20"/>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uiPriority w:val="99"/>
    <w:pPr>
      <w:tabs>
        <w:tab w:val="right" w:pos="8646"/>
      </w:tabs>
      <w:spacing w:before="120"/>
      <w:ind w:right="0"/>
    </w:pPr>
  </w:style>
  <w:style w:type="paragraph" w:styleId="FootnoteText">
    <w:name w:val="footnote text"/>
    <w:basedOn w:val="Normal"/>
    <w:semiHidden/>
    <w:pPr>
      <w:spacing w:after="120"/>
      <w:ind w:left="357" w:hanging="357"/>
    </w:pPr>
    <w:rPr>
      <w:sz w:val="20"/>
    </w:rPr>
  </w:style>
  <w:style w:type="paragraph" w:styleId="MacroText">
    <w:name w:val="macro"/>
    <w:basedOn w:val="Normal"/>
    <w:uiPriority w:val="90"/>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NumPar1">
    <w:name w:val="NumPar 1"/>
    <w:basedOn w:val="Heading1"/>
    <w:uiPriority w:val="90"/>
    <w:qFormat/>
    <w:pPr>
      <w:keepNext w:val="0"/>
      <w:spacing w:before="0"/>
      <w:outlineLvl w:val="9"/>
    </w:pPr>
    <w:rPr>
      <w:b w:val="0"/>
      <w:smallCaps w:val="0"/>
    </w:rPr>
  </w:style>
  <w:style w:type="paragraph" w:customStyle="1" w:styleId="NumPar2">
    <w:name w:val="NumPar 2"/>
    <w:basedOn w:val="Heading2"/>
    <w:uiPriority w:val="90"/>
    <w:qFormat/>
    <w:pPr>
      <w:keepNext w:val="0"/>
      <w:outlineLvl w:val="9"/>
    </w:pPr>
    <w:rPr>
      <w:b w:val="0"/>
    </w:rPr>
  </w:style>
  <w:style w:type="paragraph" w:customStyle="1" w:styleId="NumPar3">
    <w:name w:val="NumPar 3"/>
    <w:basedOn w:val="Heading3"/>
    <w:uiPriority w:val="90"/>
    <w:qFormat/>
    <w:pPr>
      <w:keepNext w:val="0"/>
      <w:outlineLvl w:val="9"/>
    </w:pPr>
    <w:rPr>
      <w:i w:val="0"/>
    </w:rPr>
  </w:style>
  <w:style w:type="paragraph" w:customStyle="1" w:styleId="NumPar4">
    <w:name w:val="NumPar 4"/>
    <w:basedOn w:val="Heading4"/>
    <w:uiPriority w:val="90"/>
    <w:qFormat/>
    <w:pPr>
      <w:keepNext w:val="0"/>
      <w:outlineLvl w:val="9"/>
    </w:pPr>
  </w:style>
  <w:style w:type="paragraph" w:styleId="Title">
    <w:name w:val="Title"/>
    <w:basedOn w:val="Normal"/>
    <w:next w:val="Normal"/>
    <w:pPr>
      <w:spacing w:after="480"/>
      <w:jc w:val="center"/>
    </w:pPr>
    <w:rPr>
      <w:b/>
      <w:kern w:val="28"/>
      <w:sz w:val="48"/>
    </w:rPr>
  </w:style>
  <w:style w:type="paragraph" w:styleId="TOCHeading">
    <w:name w:val="TOC Heading"/>
    <w:basedOn w:val="Normal"/>
    <w:next w:val="Normal"/>
    <w:semiHidden/>
    <w:pPr>
      <w:spacing w:after="120"/>
      <w:jc w:val="center"/>
    </w:pPr>
    <w:rPr>
      <w:rFonts w:ascii="Times New Roman Bold" w:hAnsi="Times New Roman Bold"/>
      <w:b/>
      <w:sz w:val="32"/>
    </w:rPr>
  </w:style>
  <w:style w:type="paragraph" w:styleId="TOC1">
    <w:name w:val="toc 1"/>
    <w:basedOn w:val="Normal"/>
    <w:next w:val="Normal"/>
    <w:uiPriority w:val="39"/>
    <w:semiHidden/>
    <w:pPr>
      <w:tabs>
        <w:tab w:val="left" w:pos="595"/>
        <w:tab w:val="right" w:leader="dot" w:pos="8640"/>
      </w:tabs>
      <w:spacing w:after="60"/>
      <w:ind w:left="595" w:right="720" w:hanging="595"/>
    </w:pPr>
    <w:rPr>
      <w:b/>
      <w:caps/>
      <w:sz w:val="20"/>
    </w:rPr>
  </w:style>
  <w:style w:type="paragraph" w:styleId="TOC2">
    <w:name w:val="toc 2"/>
    <w:basedOn w:val="Normal"/>
    <w:next w:val="Normal"/>
    <w:uiPriority w:val="39"/>
    <w:semiHidden/>
    <w:pPr>
      <w:tabs>
        <w:tab w:val="left" w:pos="595"/>
        <w:tab w:val="right" w:leader="dot" w:pos="8640"/>
      </w:tabs>
      <w:spacing w:after="60"/>
      <w:ind w:left="595" w:right="720" w:hanging="595"/>
    </w:pPr>
    <w:rPr>
      <w:noProof/>
      <w:sz w:val="20"/>
    </w:rPr>
  </w:style>
  <w:style w:type="paragraph" w:styleId="TOC3">
    <w:name w:val="toc 3"/>
    <w:basedOn w:val="Normal"/>
    <w:next w:val="Normal"/>
    <w:uiPriority w:val="99"/>
    <w:semiHidden/>
    <w:pPr>
      <w:tabs>
        <w:tab w:val="left" w:pos="595"/>
        <w:tab w:val="right" w:leader="dot" w:pos="8640"/>
      </w:tabs>
      <w:spacing w:after="60"/>
      <w:ind w:left="1190" w:right="720" w:hanging="595"/>
    </w:pPr>
    <w:rPr>
      <w:sz w:val="20"/>
    </w:rPr>
  </w:style>
  <w:style w:type="paragraph" w:styleId="TOC4">
    <w:name w:val="toc 4"/>
    <w:basedOn w:val="Normal"/>
    <w:next w:val="Normal"/>
    <w:uiPriority w:val="99"/>
    <w:semiHidden/>
    <w:pPr>
      <w:tabs>
        <w:tab w:val="left" w:pos="1446"/>
        <w:tab w:val="left" w:pos="1587"/>
        <w:tab w:val="right" w:leader="dot" w:pos="8640"/>
      </w:tabs>
      <w:spacing w:after="60"/>
      <w:ind w:left="1445" w:right="720" w:hanging="850"/>
    </w:pPr>
    <w:rPr>
      <w:noProof/>
      <w:sz w:val="20"/>
    </w:rPr>
  </w:style>
  <w:style w:type="paragraph" w:styleId="TOC5">
    <w:name w:val="toc 5"/>
    <w:basedOn w:val="Normal"/>
    <w:next w:val="Normal"/>
    <w:semiHidden/>
    <w:pPr>
      <w:tabs>
        <w:tab w:val="right" w:leader="dot" w:pos="8640"/>
      </w:tabs>
      <w:spacing w:before="120" w:after="60"/>
      <w:ind w:right="720"/>
    </w:pPr>
    <w:rPr>
      <w:b/>
    </w:rPr>
  </w:style>
  <w:style w:type="paragraph" w:styleId="TOC6">
    <w:name w:val="toc 6"/>
    <w:basedOn w:val="Normal"/>
    <w:next w:val="Normal"/>
    <w:semiHidden/>
    <w:pPr>
      <w:tabs>
        <w:tab w:val="right" w:leader="dot" w:pos="8640"/>
      </w:tabs>
    </w:pPr>
  </w:style>
  <w:style w:type="paragraph" w:styleId="TOC7">
    <w:name w:val="toc 7"/>
    <w:basedOn w:val="Normal"/>
    <w:next w:val="Normal"/>
    <w:semiHidden/>
    <w:pPr>
      <w:tabs>
        <w:tab w:val="right" w:leader="dot" w:pos="8640"/>
      </w:tabs>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ListBullet">
    <w:name w:val="List Bullet"/>
    <w:basedOn w:val="Normal"/>
    <w:pPr>
      <w:numPr>
        <w:numId w:val="16"/>
      </w:numPr>
    </w:pPr>
  </w:style>
  <w:style w:type="paragraph" w:customStyle="1" w:styleId="ListBulletLevel2">
    <w:name w:val="List Bullet (Level 2)"/>
    <w:basedOn w:val="Text1"/>
    <w:pPr>
      <w:numPr>
        <w:ilvl w:val="1"/>
        <w:numId w:val="16"/>
      </w:numPr>
    </w:pPr>
  </w:style>
  <w:style w:type="paragraph" w:customStyle="1" w:styleId="ListBulletLevel3">
    <w:name w:val="List Bullet (Level 3)"/>
    <w:basedOn w:val="Text1"/>
    <w:semiHidden/>
    <w:unhideWhenUsed/>
    <w:pPr>
      <w:numPr>
        <w:ilvl w:val="2"/>
        <w:numId w:val="16"/>
      </w:numPr>
    </w:pPr>
  </w:style>
  <w:style w:type="paragraph" w:customStyle="1" w:styleId="ListBulletLevel4">
    <w:name w:val="List Bullet (Level 4)"/>
    <w:basedOn w:val="Text1"/>
    <w:semiHidden/>
    <w:unhideWhenUsed/>
    <w:pPr>
      <w:numPr>
        <w:ilvl w:val="3"/>
        <w:numId w:val="16"/>
      </w:numPr>
    </w:pPr>
  </w:style>
  <w:style w:type="paragraph" w:customStyle="1" w:styleId="ListBullet1">
    <w:name w:val="List Bullet 1"/>
    <w:basedOn w:val="Text1"/>
    <w:pPr>
      <w:numPr>
        <w:numId w:val="15"/>
      </w:numPr>
    </w:pPr>
  </w:style>
  <w:style w:type="paragraph" w:customStyle="1" w:styleId="ListBullet1Level2">
    <w:name w:val="List Bullet 1 (Level 2)"/>
    <w:basedOn w:val="Text1"/>
    <w:pPr>
      <w:numPr>
        <w:ilvl w:val="1"/>
        <w:numId w:val="15"/>
      </w:numPr>
    </w:pPr>
  </w:style>
  <w:style w:type="paragraph" w:customStyle="1" w:styleId="ListBullet1Level3">
    <w:name w:val="List Bullet 1 (Level 3)"/>
    <w:basedOn w:val="Text1"/>
    <w:semiHidden/>
    <w:unhideWhenUsed/>
    <w:pPr>
      <w:numPr>
        <w:ilvl w:val="2"/>
        <w:numId w:val="15"/>
      </w:numPr>
    </w:pPr>
  </w:style>
  <w:style w:type="paragraph" w:customStyle="1" w:styleId="ListBullet1Level4">
    <w:name w:val="List Bullet 1 (Level 4)"/>
    <w:basedOn w:val="Text1"/>
    <w:semiHidden/>
    <w:unhideWhenUsed/>
    <w:pPr>
      <w:numPr>
        <w:ilvl w:val="3"/>
        <w:numId w:val="15"/>
      </w:numPr>
    </w:pPr>
  </w:style>
  <w:style w:type="paragraph" w:styleId="ListBullet2">
    <w:name w:val="List Bullet 2"/>
    <w:basedOn w:val="Text2"/>
    <w:pPr>
      <w:numPr>
        <w:numId w:val="14"/>
      </w:numPr>
    </w:pPr>
  </w:style>
  <w:style w:type="paragraph" w:customStyle="1" w:styleId="ListBullet2Level2">
    <w:name w:val="List Bullet 2 (Level 2)"/>
    <w:basedOn w:val="Text2"/>
    <w:pPr>
      <w:numPr>
        <w:ilvl w:val="1"/>
        <w:numId w:val="14"/>
      </w:numPr>
    </w:pPr>
  </w:style>
  <w:style w:type="paragraph" w:customStyle="1" w:styleId="ListBullet2Level3">
    <w:name w:val="List Bullet 2 (Level 3)"/>
    <w:basedOn w:val="Text2"/>
    <w:semiHidden/>
    <w:unhideWhenUsed/>
    <w:pPr>
      <w:numPr>
        <w:ilvl w:val="2"/>
        <w:numId w:val="14"/>
      </w:numPr>
    </w:pPr>
  </w:style>
  <w:style w:type="paragraph" w:customStyle="1" w:styleId="ListBullet2Level4">
    <w:name w:val="List Bullet 2 (Level 4)"/>
    <w:basedOn w:val="Text2"/>
    <w:semiHidden/>
    <w:unhideWhenUsed/>
    <w:pPr>
      <w:numPr>
        <w:ilvl w:val="3"/>
        <w:numId w:val="14"/>
      </w:numPr>
    </w:pPr>
  </w:style>
  <w:style w:type="paragraph" w:styleId="ListBullet3">
    <w:name w:val="List Bullet 3"/>
    <w:basedOn w:val="Text3"/>
    <w:pPr>
      <w:numPr>
        <w:numId w:val="13"/>
      </w:numPr>
    </w:pPr>
  </w:style>
  <w:style w:type="paragraph" w:customStyle="1" w:styleId="ListBullet3Level2">
    <w:name w:val="List Bullet 3 (Level 2)"/>
    <w:basedOn w:val="Text3"/>
    <w:pPr>
      <w:numPr>
        <w:ilvl w:val="1"/>
        <w:numId w:val="13"/>
      </w:numPr>
    </w:pPr>
  </w:style>
  <w:style w:type="paragraph" w:customStyle="1" w:styleId="ListBullet3Level3">
    <w:name w:val="List Bullet 3 (Level 3)"/>
    <w:basedOn w:val="Text3"/>
    <w:semiHidden/>
    <w:unhideWhenUsed/>
    <w:pPr>
      <w:numPr>
        <w:ilvl w:val="2"/>
        <w:numId w:val="13"/>
      </w:numPr>
    </w:pPr>
  </w:style>
  <w:style w:type="paragraph" w:customStyle="1" w:styleId="ListBullet3Level4">
    <w:name w:val="List Bullet 3 (Level 4)"/>
    <w:basedOn w:val="Text3"/>
    <w:semiHidden/>
    <w:unhideWhenUsed/>
    <w:pPr>
      <w:numPr>
        <w:ilvl w:val="3"/>
        <w:numId w:val="13"/>
      </w:numPr>
    </w:pPr>
  </w:style>
  <w:style w:type="paragraph" w:styleId="ListBullet4">
    <w:name w:val="List Bullet 4"/>
    <w:basedOn w:val="Text4"/>
    <w:pPr>
      <w:numPr>
        <w:numId w:val="12"/>
      </w:numPr>
    </w:pPr>
  </w:style>
  <w:style w:type="paragraph" w:customStyle="1" w:styleId="ListBullet4Level2">
    <w:name w:val="List Bullet 4 (Level 2)"/>
    <w:basedOn w:val="Text4"/>
    <w:pPr>
      <w:numPr>
        <w:ilvl w:val="1"/>
        <w:numId w:val="12"/>
      </w:numPr>
    </w:pPr>
  </w:style>
  <w:style w:type="paragraph" w:customStyle="1" w:styleId="ListBullet4Level3">
    <w:name w:val="List Bullet 4 (Level 3)"/>
    <w:basedOn w:val="Text4"/>
    <w:semiHidden/>
    <w:unhideWhenUsed/>
    <w:pPr>
      <w:numPr>
        <w:ilvl w:val="2"/>
        <w:numId w:val="12"/>
      </w:numPr>
    </w:pPr>
  </w:style>
  <w:style w:type="paragraph" w:customStyle="1" w:styleId="ListBullet4Level4">
    <w:name w:val="List Bullet 4 (Level 4)"/>
    <w:basedOn w:val="Text4"/>
    <w:semiHidden/>
    <w:unhideWhenUsed/>
    <w:pPr>
      <w:numPr>
        <w:ilvl w:val="3"/>
        <w:numId w:val="12"/>
      </w:numPr>
    </w:pPr>
  </w:style>
  <w:style w:type="paragraph" w:customStyle="1" w:styleId="ListDash">
    <w:name w:val="List Dash"/>
    <w:basedOn w:val="Normal"/>
    <w:pPr>
      <w:numPr>
        <w:numId w:val="6"/>
      </w:numPr>
    </w:pPr>
  </w:style>
  <w:style w:type="paragraph" w:customStyle="1" w:styleId="ListDashLevel2">
    <w:name w:val="List Dash (Level 2)"/>
    <w:basedOn w:val="Normal"/>
    <w:pPr>
      <w:numPr>
        <w:ilvl w:val="1"/>
        <w:numId w:val="6"/>
      </w:numPr>
    </w:pPr>
  </w:style>
  <w:style w:type="paragraph" w:customStyle="1" w:styleId="ListDashLevel3">
    <w:name w:val="List Dash (Level 3)"/>
    <w:basedOn w:val="Normal"/>
    <w:semiHidden/>
    <w:unhideWhenUsed/>
    <w:pPr>
      <w:numPr>
        <w:ilvl w:val="2"/>
        <w:numId w:val="6"/>
      </w:numPr>
    </w:pPr>
  </w:style>
  <w:style w:type="paragraph" w:customStyle="1" w:styleId="ListDashLevel4">
    <w:name w:val="List Dash (Level 4)"/>
    <w:basedOn w:val="Normal"/>
    <w:semiHidden/>
    <w:unhideWhenUsed/>
    <w:pPr>
      <w:numPr>
        <w:ilvl w:val="3"/>
        <w:numId w:val="6"/>
      </w:numPr>
    </w:pPr>
  </w:style>
  <w:style w:type="paragraph" w:customStyle="1" w:styleId="ListDash1">
    <w:name w:val="List Dash 1"/>
    <w:basedOn w:val="Text1"/>
    <w:pPr>
      <w:numPr>
        <w:numId w:val="5"/>
      </w:numPr>
    </w:pPr>
  </w:style>
  <w:style w:type="paragraph" w:customStyle="1" w:styleId="ListDash1Level2">
    <w:name w:val="List Dash 1 (Level 2)"/>
    <w:basedOn w:val="Text1"/>
    <w:pPr>
      <w:numPr>
        <w:ilvl w:val="1"/>
        <w:numId w:val="5"/>
      </w:numPr>
    </w:pPr>
  </w:style>
  <w:style w:type="paragraph" w:customStyle="1" w:styleId="ListDash1Level3">
    <w:name w:val="List Dash 1 (Level 3)"/>
    <w:basedOn w:val="Text1"/>
    <w:semiHidden/>
    <w:unhideWhenUsed/>
    <w:pPr>
      <w:numPr>
        <w:ilvl w:val="2"/>
        <w:numId w:val="5"/>
      </w:numPr>
    </w:pPr>
  </w:style>
  <w:style w:type="paragraph" w:customStyle="1" w:styleId="ListDash1Level4">
    <w:name w:val="List Dash 1 (Level 4)"/>
    <w:basedOn w:val="Text1"/>
    <w:semiHidden/>
    <w:unhideWhenUsed/>
    <w:pPr>
      <w:numPr>
        <w:ilvl w:val="3"/>
        <w:numId w:val="5"/>
      </w:numPr>
    </w:pPr>
  </w:style>
  <w:style w:type="paragraph" w:customStyle="1" w:styleId="ListDash2">
    <w:name w:val="List Dash 2"/>
    <w:basedOn w:val="Text2"/>
    <w:pPr>
      <w:numPr>
        <w:numId w:val="4"/>
      </w:numPr>
    </w:pPr>
  </w:style>
  <w:style w:type="paragraph" w:customStyle="1" w:styleId="ListDash2Level2">
    <w:name w:val="List Dash 2 (Level 2)"/>
    <w:basedOn w:val="Text2"/>
    <w:pPr>
      <w:numPr>
        <w:ilvl w:val="1"/>
        <w:numId w:val="4"/>
      </w:numPr>
    </w:pPr>
  </w:style>
  <w:style w:type="paragraph" w:customStyle="1" w:styleId="ListDash2Level3">
    <w:name w:val="List Dash 2 (Level 3)"/>
    <w:basedOn w:val="Text2"/>
    <w:semiHidden/>
    <w:unhideWhenUsed/>
    <w:pPr>
      <w:numPr>
        <w:ilvl w:val="2"/>
        <w:numId w:val="4"/>
      </w:numPr>
    </w:pPr>
  </w:style>
  <w:style w:type="paragraph" w:customStyle="1" w:styleId="ListDash2Level4">
    <w:name w:val="List Dash 2 (Level 4)"/>
    <w:basedOn w:val="Text2"/>
    <w:semiHidden/>
    <w:unhideWhenUsed/>
    <w:pPr>
      <w:numPr>
        <w:ilvl w:val="3"/>
        <w:numId w:val="4"/>
      </w:numPr>
    </w:pPr>
  </w:style>
  <w:style w:type="paragraph" w:customStyle="1" w:styleId="ListDash3">
    <w:name w:val="List Dash 3"/>
    <w:basedOn w:val="Text3"/>
    <w:pPr>
      <w:numPr>
        <w:numId w:val="3"/>
      </w:numPr>
    </w:pPr>
  </w:style>
  <w:style w:type="paragraph" w:customStyle="1" w:styleId="ListDash3Level2">
    <w:name w:val="List Dash 3 (Level 2)"/>
    <w:basedOn w:val="Text3"/>
    <w:pPr>
      <w:numPr>
        <w:ilvl w:val="1"/>
        <w:numId w:val="3"/>
      </w:numPr>
    </w:pPr>
  </w:style>
  <w:style w:type="paragraph" w:customStyle="1" w:styleId="ListDash3Level3">
    <w:name w:val="List Dash 3 (Level 3)"/>
    <w:basedOn w:val="Text3"/>
    <w:semiHidden/>
    <w:unhideWhenUsed/>
    <w:pPr>
      <w:numPr>
        <w:ilvl w:val="2"/>
        <w:numId w:val="3"/>
      </w:numPr>
    </w:pPr>
  </w:style>
  <w:style w:type="paragraph" w:customStyle="1" w:styleId="ListDash3Level4">
    <w:name w:val="List Dash 3 (Level 4)"/>
    <w:basedOn w:val="Text3"/>
    <w:semiHidden/>
    <w:unhideWhenUsed/>
    <w:pPr>
      <w:numPr>
        <w:ilvl w:val="3"/>
        <w:numId w:val="3"/>
      </w:numPr>
    </w:pPr>
  </w:style>
  <w:style w:type="paragraph" w:customStyle="1" w:styleId="ListDash4">
    <w:name w:val="List Dash 4"/>
    <w:basedOn w:val="Text4"/>
    <w:pPr>
      <w:numPr>
        <w:numId w:val="2"/>
      </w:numPr>
    </w:pPr>
  </w:style>
  <w:style w:type="paragraph" w:customStyle="1" w:styleId="ListDash4Level2">
    <w:name w:val="List Dash 4 (Level 2)"/>
    <w:basedOn w:val="Text4"/>
    <w:pPr>
      <w:numPr>
        <w:ilvl w:val="1"/>
        <w:numId w:val="2"/>
      </w:numPr>
    </w:pPr>
  </w:style>
  <w:style w:type="paragraph" w:customStyle="1" w:styleId="ListDash4Level3">
    <w:name w:val="List Dash 4 (Level 3)"/>
    <w:basedOn w:val="Text4"/>
    <w:semiHidden/>
    <w:unhideWhenUsed/>
    <w:pPr>
      <w:numPr>
        <w:ilvl w:val="2"/>
        <w:numId w:val="2"/>
      </w:numPr>
    </w:pPr>
  </w:style>
  <w:style w:type="paragraph" w:customStyle="1" w:styleId="ListDash4Level4">
    <w:name w:val="List Dash 4 (Level 4)"/>
    <w:basedOn w:val="Text4"/>
    <w:semiHidden/>
    <w:unhideWhenUsed/>
    <w:pPr>
      <w:numPr>
        <w:ilvl w:val="3"/>
        <w:numId w:val="2"/>
      </w:numPr>
    </w:pPr>
  </w:style>
  <w:style w:type="paragraph" w:styleId="ListNumber">
    <w:name w:val="List Number"/>
    <w:basedOn w:val="Normal"/>
    <w:pPr>
      <w:numPr>
        <w:numId w:val="11"/>
      </w:numPr>
    </w:pPr>
  </w:style>
  <w:style w:type="paragraph" w:customStyle="1" w:styleId="ListNumberLevel2">
    <w:name w:val="List Number (Level 2)"/>
    <w:basedOn w:val="Normal"/>
    <w:pPr>
      <w:numPr>
        <w:ilvl w:val="1"/>
        <w:numId w:val="11"/>
      </w:numPr>
    </w:pPr>
  </w:style>
  <w:style w:type="paragraph" w:customStyle="1" w:styleId="ListNumberLevel3">
    <w:name w:val="List Number (Level 3)"/>
    <w:basedOn w:val="Normal"/>
    <w:semiHidden/>
    <w:unhideWhenUsed/>
    <w:pPr>
      <w:numPr>
        <w:ilvl w:val="2"/>
        <w:numId w:val="11"/>
      </w:numPr>
    </w:pPr>
  </w:style>
  <w:style w:type="paragraph" w:customStyle="1" w:styleId="ListNumberLevel4">
    <w:name w:val="List Number (Level 4)"/>
    <w:basedOn w:val="Normal"/>
    <w:semiHidden/>
    <w:unhideWhenUsed/>
    <w:pPr>
      <w:numPr>
        <w:ilvl w:val="3"/>
        <w:numId w:val="11"/>
      </w:numPr>
    </w:pPr>
  </w:style>
  <w:style w:type="paragraph" w:customStyle="1" w:styleId="ListNumber1">
    <w:name w:val="List Number 1"/>
    <w:basedOn w:val="Text1"/>
    <w:pPr>
      <w:numPr>
        <w:numId w:val="10"/>
      </w:numPr>
    </w:pPr>
  </w:style>
  <w:style w:type="paragraph" w:customStyle="1" w:styleId="ListNumber1Level2">
    <w:name w:val="List Number 1 (Level 2)"/>
    <w:basedOn w:val="Text1"/>
    <w:pPr>
      <w:numPr>
        <w:ilvl w:val="1"/>
        <w:numId w:val="10"/>
      </w:numPr>
    </w:pPr>
  </w:style>
  <w:style w:type="paragraph" w:customStyle="1" w:styleId="ListNumber1Level3">
    <w:name w:val="List Number 1 (Level 3)"/>
    <w:basedOn w:val="Text1"/>
    <w:semiHidden/>
    <w:unhideWhenUsed/>
    <w:pPr>
      <w:numPr>
        <w:ilvl w:val="2"/>
        <w:numId w:val="10"/>
      </w:numPr>
    </w:pPr>
  </w:style>
  <w:style w:type="paragraph" w:customStyle="1" w:styleId="ListNumber1Level4">
    <w:name w:val="List Number 1 (Level 4)"/>
    <w:basedOn w:val="Text1"/>
    <w:semiHidden/>
    <w:unhideWhenUsed/>
    <w:pPr>
      <w:numPr>
        <w:ilvl w:val="3"/>
        <w:numId w:val="10"/>
      </w:numPr>
    </w:pPr>
  </w:style>
  <w:style w:type="paragraph" w:styleId="ListNumber2">
    <w:name w:val="List Number 2"/>
    <w:basedOn w:val="Text2"/>
    <w:pPr>
      <w:numPr>
        <w:numId w:val="9"/>
      </w:numPr>
    </w:pPr>
  </w:style>
  <w:style w:type="paragraph" w:customStyle="1" w:styleId="ListNumber2Level2">
    <w:name w:val="List Number 2 (Level 2)"/>
    <w:basedOn w:val="Text2"/>
    <w:pPr>
      <w:numPr>
        <w:ilvl w:val="1"/>
        <w:numId w:val="9"/>
      </w:numPr>
    </w:pPr>
  </w:style>
  <w:style w:type="paragraph" w:customStyle="1" w:styleId="ListNumber2Level3">
    <w:name w:val="List Number 2 (Level 3)"/>
    <w:basedOn w:val="Text2"/>
    <w:semiHidden/>
    <w:unhideWhenUsed/>
    <w:pPr>
      <w:numPr>
        <w:ilvl w:val="2"/>
        <w:numId w:val="9"/>
      </w:numPr>
    </w:pPr>
  </w:style>
  <w:style w:type="paragraph" w:customStyle="1" w:styleId="ListNumber2Level4">
    <w:name w:val="List Number 2 (Level 4)"/>
    <w:basedOn w:val="Text2"/>
    <w:semiHidden/>
    <w:unhideWhenUsed/>
    <w:pPr>
      <w:numPr>
        <w:ilvl w:val="3"/>
        <w:numId w:val="9"/>
      </w:numPr>
    </w:pPr>
  </w:style>
  <w:style w:type="paragraph" w:styleId="ListNumber3">
    <w:name w:val="List Number 3"/>
    <w:basedOn w:val="Text3"/>
    <w:pPr>
      <w:numPr>
        <w:numId w:val="8"/>
      </w:numPr>
    </w:pPr>
  </w:style>
  <w:style w:type="paragraph" w:customStyle="1" w:styleId="ListNumber3Level2">
    <w:name w:val="List Number 3 (Level 2)"/>
    <w:basedOn w:val="Text3"/>
    <w:pPr>
      <w:numPr>
        <w:ilvl w:val="1"/>
        <w:numId w:val="8"/>
      </w:numPr>
    </w:pPr>
  </w:style>
  <w:style w:type="paragraph" w:customStyle="1" w:styleId="ListNumber3Level3">
    <w:name w:val="List Number 3 (Level 3)"/>
    <w:basedOn w:val="Text3"/>
    <w:semiHidden/>
    <w:unhideWhenUsed/>
    <w:pPr>
      <w:numPr>
        <w:ilvl w:val="2"/>
        <w:numId w:val="8"/>
      </w:numPr>
    </w:pPr>
  </w:style>
  <w:style w:type="paragraph" w:customStyle="1" w:styleId="ListNumber3Level4">
    <w:name w:val="List Number 3 (Level 4)"/>
    <w:basedOn w:val="Text3"/>
    <w:semiHidden/>
    <w:unhideWhenUsed/>
    <w:pPr>
      <w:numPr>
        <w:ilvl w:val="3"/>
        <w:numId w:val="8"/>
      </w:numPr>
    </w:pPr>
  </w:style>
  <w:style w:type="paragraph" w:styleId="ListNumber4">
    <w:name w:val="List Number 4"/>
    <w:basedOn w:val="Text4"/>
    <w:pPr>
      <w:numPr>
        <w:numId w:val="7"/>
      </w:numPr>
    </w:pPr>
  </w:style>
  <w:style w:type="paragraph" w:customStyle="1" w:styleId="ListNumber4Level2">
    <w:name w:val="List Number 4 (Level 2)"/>
    <w:basedOn w:val="Text4"/>
    <w:pPr>
      <w:numPr>
        <w:ilvl w:val="1"/>
        <w:numId w:val="7"/>
      </w:numPr>
    </w:pPr>
  </w:style>
  <w:style w:type="paragraph" w:customStyle="1" w:styleId="ListNumber4Level3">
    <w:name w:val="List Number 4 (Level 3)"/>
    <w:basedOn w:val="Text4"/>
    <w:semiHidden/>
    <w:unhideWhenUsed/>
    <w:pPr>
      <w:numPr>
        <w:ilvl w:val="2"/>
        <w:numId w:val="7"/>
      </w:numPr>
    </w:pPr>
  </w:style>
  <w:style w:type="paragraph" w:customStyle="1" w:styleId="ListNumber4Level4">
    <w:name w:val="List Number 4 (Level 4)"/>
    <w:basedOn w:val="Text4"/>
    <w:semiHidden/>
    <w:unhideWhenUsed/>
    <w:pPr>
      <w:numPr>
        <w:ilvl w:val="3"/>
        <w:numId w:val="7"/>
      </w:numPr>
    </w:pPr>
  </w:style>
  <w:style w:type="paragraph" w:customStyle="1" w:styleId="Marking">
    <w:name w:val="Marking"/>
    <w:basedOn w:val="Normal"/>
    <w:pPr>
      <w:spacing w:line="276" w:lineRule="auto"/>
      <w:contextualSpacing/>
      <w:jc w:val="right"/>
    </w:pPr>
    <w:rPr>
      <w:sz w:val="28"/>
    </w:rPr>
  </w:style>
  <w:style w:type="paragraph" w:customStyle="1" w:styleId="LegalNumPar">
    <w:name w:val="LegalNumPar"/>
    <w:basedOn w:val="Normal"/>
    <w:uiPriority w:val="90"/>
    <w:qFormat/>
    <w:pPr>
      <w:numPr>
        <w:numId w:val="18"/>
      </w:numPr>
      <w:spacing w:line="360" w:lineRule="auto"/>
      <w:jc w:val="left"/>
    </w:pPr>
  </w:style>
  <w:style w:type="paragraph" w:customStyle="1" w:styleId="LegalNumPar2">
    <w:name w:val="LegalNumPar2"/>
    <w:basedOn w:val="Normal"/>
    <w:pPr>
      <w:numPr>
        <w:ilvl w:val="1"/>
        <w:numId w:val="18"/>
      </w:numPr>
      <w:spacing w:line="360" w:lineRule="auto"/>
      <w:jc w:val="left"/>
    </w:pPr>
  </w:style>
  <w:style w:type="paragraph" w:customStyle="1" w:styleId="LegalNumPar3">
    <w:name w:val="LegalNumPar3"/>
    <w:basedOn w:val="Normal"/>
    <w:pPr>
      <w:numPr>
        <w:ilvl w:val="2"/>
        <w:numId w:val="18"/>
      </w:numPr>
      <w:spacing w:line="360" w:lineRule="auto"/>
      <w:jc w:val="left"/>
    </w:pPr>
  </w:style>
  <w:style w:type="paragraph" w:styleId="NoteHeading">
    <w:name w:val="Note Heading"/>
    <w:basedOn w:val="Normal"/>
    <w:next w:val="Normal"/>
  </w:style>
  <w:style w:type="paragraph" w:customStyle="1" w:styleId="NoteHead">
    <w:name w:val="NoteHead"/>
    <w:basedOn w:val="Normal"/>
    <w:next w:val="Subject"/>
    <w:uiPriority w:val="99"/>
    <w:pPr>
      <w:spacing w:before="720" w:after="720"/>
      <w:jc w:val="center"/>
    </w:pPr>
    <w:rPr>
      <w:b/>
      <w:smallCaps/>
    </w:rPr>
  </w:style>
  <w:style w:type="paragraph" w:customStyle="1" w:styleId="NoteList">
    <w:name w:val="NoteList"/>
    <w:basedOn w:val="Normal"/>
    <w:next w:val="Subject"/>
    <w:pPr>
      <w:tabs>
        <w:tab w:val="left" w:pos="5822"/>
      </w:tabs>
      <w:spacing w:before="720" w:after="720"/>
      <w:ind w:left="5102" w:hanging="3118"/>
      <w:jc w:val="left"/>
    </w:pPr>
    <w:rPr>
      <w:b/>
      <w:smallCaps/>
    </w:rPr>
  </w:style>
  <w:style w:type="paragraph" w:customStyle="1" w:styleId="NoteColumn">
    <w:name w:val="NoteColumn"/>
    <w:basedOn w:val="Normal"/>
    <w:next w:val="Subject"/>
    <w:pPr>
      <w:tabs>
        <w:tab w:val="left" w:pos="850"/>
        <w:tab w:val="left" w:pos="1570"/>
        <w:tab w:val="left" w:pos="5102"/>
        <w:tab w:val="left" w:pos="5822"/>
      </w:tabs>
      <w:spacing w:after="720"/>
      <w:ind w:left="850"/>
      <w:jc w:val="left"/>
    </w:pPr>
    <w:rPr>
      <w:b/>
      <w:smallCaps/>
    </w:rPr>
  </w:style>
  <w:style w:type="paragraph" w:customStyle="1" w:styleId="Subject">
    <w:name w:val="Subject"/>
    <w:basedOn w:val="Normal"/>
    <w:next w:val="Normal"/>
    <w:uiPriority w:val="99"/>
    <w:pPr>
      <w:spacing w:after="480"/>
      <w:ind w:left="1531" w:hanging="1531"/>
      <w:jc w:val="left"/>
    </w:pPr>
    <w:rPr>
      <w:b/>
    </w:rPr>
  </w:style>
  <w:style w:type="paragraph" w:customStyle="1" w:styleId="YReferences">
    <w:name w:val="YReferences"/>
    <w:basedOn w:val="Normal"/>
    <w:next w:val="Normal"/>
    <w:uiPriority w:val="99"/>
    <w:pPr>
      <w:spacing w:after="480"/>
      <w:ind w:left="1531" w:hanging="1531"/>
    </w:pPr>
  </w:style>
  <w:style w:type="paragraph" w:styleId="Closing">
    <w:name w:val="Closing"/>
    <w:basedOn w:val="Normal"/>
    <w:next w:val="Signature"/>
    <w:pPr>
      <w:tabs>
        <w:tab w:val="left" w:pos="5102"/>
      </w:tabs>
      <w:spacing w:before="240"/>
      <w:ind w:left="5102"/>
      <w:jc w:val="left"/>
    </w:pPr>
  </w:style>
  <w:style w:type="paragraph" w:customStyle="1" w:styleId="ClosingL">
    <w:name w:val="ClosingL"/>
    <w:basedOn w:val="Normal"/>
    <w:next w:val="Signature"/>
    <w:pPr>
      <w:spacing w:before="240"/>
      <w:jc w:val="left"/>
    </w:pPr>
  </w:style>
  <w:style w:type="paragraph" w:styleId="Signature">
    <w:name w:val="Signature"/>
    <w:basedOn w:val="Normal"/>
    <w:next w:val="Contact"/>
    <w:uiPriority w:val="99"/>
    <w:pPr>
      <w:tabs>
        <w:tab w:val="left" w:pos="5102"/>
      </w:tabs>
      <w:spacing w:before="1200" w:after="0"/>
      <w:ind w:left="5102"/>
      <w:jc w:val="center"/>
    </w:pPr>
  </w:style>
  <w:style w:type="paragraph" w:customStyle="1" w:styleId="SignatureL">
    <w:name w:val="SignatureL"/>
    <w:basedOn w:val="Normal"/>
    <w:next w:val="Contact"/>
    <w:uiPriority w:val="99"/>
    <w:pPr>
      <w:tabs>
        <w:tab w:val="left" w:pos="5102"/>
      </w:tabs>
      <w:spacing w:before="1200" w:after="0"/>
      <w:jc w:val="left"/>
    </w:pPr>
  </w:style>
  <w:style w:type="paragraph" w:customStyle="1" w:styleId="DoubSign">
    <w:name w:val="DoubSign"/>
    <w:basedOn w:val="Normal"/>
    <w:next w:val="Contact"/>
    <w:pPr>
      <w:tabs>
        <w:tab w:val="left" w:pos="5102"/>
      </w:tabs>
      <w:spacing w:before="1200" w:after="0"/>
      <w:jc w:val="left"/>
    </w:pPr>
  </w:style>
  <w:style w:type="paragraph" w:customStyle="1" w:styleId="Enclosures">
    <w:name w:val="Enclosures"/>
    <w:basedOn w:val="Normal"/>
    <w:next w:val="Participants"/>
    <w:uiPriority w:val="99"/>
    <w:pPr>
      <w:keepNext/>
      <w:keepLines/>
      <w:tabs>
        <w:tab w:val="left" w:pos="5669"/>
      </w:tabs>
      <w:spacing w:before="480" w:after="0"/>
      <w:ind w:left="1984" w:hanging="1984"/>
      <w:jc w:val="left"/>
    </w:pPr>
  </w:style>
  <w:style w:type="paragraph" w:customStyle="1" w:styleId="Participants">
    <w:name w:val="Participants"/>
    <w:basedOn w:val="Normal"/>
    <w:next w:val="Copies"/>
    <w:uiPriority w:val="99"/>
    <w:pPr>
      <w:tabs>
        <w:tab w:val="left" w:pos="2551"/>
        <w:tab w:val="left" w:pos="2835"/>
        <w:tab w:val="left" w:pos="5669"/>
        <w:tab w:val="left" w:pos="6378"/>
        <w:tab w:val="left" w:pos="6803"/>
      </w:tabs>
      <w:spacing w:before="480" w:after="0"/>
      <w:ind w:left="1984" w:hanging="1984"/>
      <w:jc w:val="left"/>
    </w:pPr>
  </w:style>
  <w:style w:type="paragraph" w:customStyle="1" w:styleId="Copies">
    <w:name w:val="Copies"/>
    <w:basedOn w:val="Normal"/>
    <w:next w:val="Normal"/>
    <w:uiPriority w:val="99"/>
    <w:pPr>
      <w:tabs>
        <w:tab w:val="left" w:pos="5669"/>
      </w:tabs>
      <w:spacing w:before="480" w:after="0"/>
      <w:ind w:left="1984" w:hanging="1984"/>
      <w:jc w:val="left"/>
    </w:pPr>
  </w:style>
  <w:style w:type="paragraph" w:styleId="Header">
    <w:name w:val="header"/>
    <w:basedOn w:val="Normal"/>
    <w:link w:val="HeaderChar"/>
    <w:pPr>
      <w:tabs>
        <w:tab w:val="center" w:pos="4150"/>
        <w:tab w:val="right" w:pos="8306"/>
      </w:tabs>
      <w:spacing w:after="0"/>
    </w:pPr>
  </w:style>
  <w:style w:type="character" w:customStyle="1" w:styleId="HeaderChar">
    <w:name w:val="Header Char"/>
    <w:basedOn w:val="DefaultParagraphFont"/>
    <w:link w:val="Header"/>
    <w:rPr>
      <w:sz w:val="24"/>
    </w:rPr>
  </w:style>
  <w:style w:type="table" w:customStyle="1" w:styleId="TableLetterhead">
    <w:name w:val="Table Letterhead"/>
    <w:basedOn w:val="TableNormal"/>
    <w:uiPriority w:val="99"/>
    <w:tblPr>
      <w:tblCellMar>
        <w:left w:w="0" w:type="dxa"/>
        <w:bottom w:w="340" w:type="dxa"/>
        <w:right w:w="0" w:type="dxa"/>
      </w:tblCellMar>
    </w:tblPr>
  </w:style>
  <w:style w:type="character" w:styleId="FootnoteReference">
    <w:name w:val="footnote reference"/>
    <w:basedOn w:val="DefaultParagraphFont"/>
    <w:semiHidden/>
    <w:locked/>
    <w:rPr>
      <w:vertAlign w:val="superscript"/>
    </w:rPr>
  </w:style>
  <w:style w:type="paragraph" w:styleId="BalloonText">
    <w:name w:val="Balloon Text"/>
    <w:basedOn w:val="Normal"/>
    <w:link w:val="BalloonTextChar"/>
    <w:semiHidden/>
    <w:locked/>
    <w:pPr>
      <w:spacing w:after="0"/>
    </w:pPr>
    <w:rPr>
      <w:rFonts w:ascii="Segoe UI" w:hAnsi="Segoe UI" w:cs="Segoe UI"/>
      <w:sz w:val="18"/>
      <w:szCs w:val="18"/>
    </w:rPr>
  </w:style>
  <w:style w:type="character" w:customStyle="1" w:styleId="BalloonTextChar">
    <w:name w:val="Balloon Text Char"/>
    <w:basedOn w:val="DefaultParagraphFont"/>
    <w:link w:val="BalloonText"/>
    <w:semiHidden/>
    <w:rPr>
      <w:rFonts w:ascii="Segoe UI" w:hAnsi="Segoe UI" w:cs="Segoe UI"/>
      <w:sz w:val="18"/>
      <w:szCs w:val="18"/>
    </w:rPr>
  </w:style>
  <w:style w:type="character" w:styleId="CommentReference">
    <w:name w:val="annotation reference"/>
    <w:basedOn w:val="DefaultParagraphFont"/>
    <w:semiHidden/>
    <w:locked/>
    <w:rPr>
      <w:sz w:val="16"/>
      <w:szCs w:val="16"/>
    </w:rPr>
  </w:style>
  <w:style w:type="paragraph" w:styleId="CommentText">
    <w:name w:val="annotation text"/>
    <w:basedOn w:val="Normal"/>
    <w:link w:val="CommentTextChar"/>
    <w:semiHidden/>
    <w:locked/>
    <w:rPr>
      <w:sz w:val="20"/>
    </w:rPr>
  </w:style>
  <w:style w:type="character" w:customStyle="1" w:styleId="CommentTextChar">
    <w:name w:val="Comment Text Char"/>
    <w:basedOn w:val="DefaultParagraphFont"/>
    <w:link w:val="CommentText"/>
    <w:semiHidden/>
    <w:rPr>
      <w:sz w:val="20"/>
    </w:rPr>
  </w:style>
  <w:style w:type="paragraph" w:styleId="CommentSubject">
    <w:name w:val="annotation subject"/>
    <w:basedOn w:val="CommentText"/>
    <w:next w:val="CommentText"/>
    <w:link w:val="CommentSubjectChar"/>
    <w:semiHidden/>
    <w:locked/>
    <w:rPr>
      <w:b/>
      <w:bCs/>
    </w:rPr>
  </w:style>
  <w:style w:type="character" w:customStyle="1" w:styleId="CommentSubjectChar">
    <w:name w:val="Comment Subject Char"/>
    <w:basedOn w:val="CommentTextChar"/>
    <w:link w:val="CommentSubject"/>
    <w:semiHidden/>
    <w:rPr>
      <w:b/>
      <w:bCs/>
      <w:sz w:val="20"/>
    </w:rPr>
  </w:style>
  <w:style w:type="paragraph" w:styleId="Revision">
    <w:name w:val="Revision"/>
    <w:hidden/>
    <w:semiHidden/>
    <w:lock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pPr>
    <w:rPr>
      <w:rFonts w:eastAsiaTheme="minorHAnsi"/>
      <w:szCs w:val="22"/>
      <w:lang w:eastAsia="en-US"/>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FooterCoverPageChar">
    <w:name w:val="Footer Cover Page Char"/>
    <w:basedOn w:val="DefaultParagraphFont"/>
    <w:link w:val="FooterCoverPage"/>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FooterSensitivityChar">
    <w:name w:val="Footer Sensitivity Char"/>
    <w:basedOn w:val="DefaultParagraphFont"/>
    <w:link w:val="FooterSensitivity"/>
    <w:rPr>
      <w:b/>
      <w:sz w:val="32"/>
    </w:rPr>
  </w:style>
  <w:style w:type="paragraph" w:customStyle="1" w:styleId="HeaderCoverPage">
    <w:name w:val="Header Cover Page"/>
    <w:basedOn w:val="Normal"/>
    <w:link w:val="HeaderCoverPageChar"/>
    <w:pPr>
      <w:tabs>
        <w:tab w:val="center" w:pos="4535"/>
        <w:tab w:val="right" w:pos="9071"/>
      </w:tabs>
      <w:spacing w:after="120"/>
    </w:pPr>
  </w:style>
  <w:style w:type="character" w:customStyle="1" w:styleId="HeaderCoverPageChar">
    <w:name w:val="Header Cover Page Char"/>
    <w:basedOn w:val="DefaultParagraphFont"/>
    <w:link w:val="HeaderCoverPage"/>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DefaultParagraphFont"/>
    <w:link w:val="HeaderSensitivity"/>
    <w:rPr>
      <w:b/>
      <w:sz w:val="32"/>
    </w:rPr>
  </w:style>
  <w:style w:type="paragraph" w:customStyle="1" w:styleId="SecurityMarking">
    <w:name w:val="SecurityMarking"/>
    <w:basedOn w:val="Normal"/>
    <w:pPr>
      <w:spacing w:after="0" w:line="276" w:lineRule="auto"/>
      <w:ind w:left="5103"/>
      <w:jc w:val="left"/>
    </w:pPr>
    <w:rPr>
      <w:rFonts w:eastAsiaTheme="minorHAnsi"/>
      <w:sz w:val="28"/>
      <w:szCs w:val="22"/>
      <w:lang w:eastAsia="en-US"/>
    </w:rPr>
  </w:style>
  <w:style w:type="paragraph" w:customStyle="1" w:styleId="DateMarking">
    <w:name w:val="DateMarking"/>
    <w:basedOn w:val="Normal"/>
    <w:pPr>
      <w:spacing w:after="0" w:line="276" w:lineRule="auto"/>
      <w:ind w:left="5103"/>
      <w:jc w:val="left"/>
    </w:pPr>
    <w:rPr>
      <w:rFonts w:eastAsiaTheme="minorHAnsi"/>
      <w:i/>
      <w:sz w:val="28"/>
      <w:szCs w:val="22"/>
      <w:lang w:eastAsia="en-US"/>
    </w:rPr>
  </w:style>
  <w:style w:type="paragraph" w:customStyle="1" w:styleId="ReleasableTo">
    <w:name w:val="ReleasableTo"/>
    <w:basedOn w:val="Normal"/>
    <w:pPr>
      <w:spacing w:after="0" w:line="276" w:lineRule="auto"/>
      <w:ind w:left="5103"/>
      <w:jc w:val="left"/>
    </w:pPr>
    <w:rPr>
      <w:rFonts w:eastAsiaTheme="minorHAnsi"/>
      <w:i/>
      <w:sz w:val="28"/>
      <w:szCs w:val="22"/>
      <w:lang w:eastAsia="en-US"/>
    </w:rPr>
  </w:style>
  <w:style w:type="paragraph" w:customStyle="1" w:styleId="HeaderSensitivityRight">
    <w:name w:val="Header Sensitivity Right"/>
    <w:basedOn w:val="Normal"/>
    <w:pPr>
      <w:spacing w:after="120"/>
      <w:jc w:val="right"/>
    </w:pPr>
    <w:rPr>
      <w:sz w:val="28"/>
    </w:rPr>
  </w:style>
  <w:style w:type="character" w:customStyle="1" w:styleId="FooterChar">
    <w:name w:val="Footer Char"/>
    <w:basedOn w:val="DefaultParagraphFont"/>
    <w:link w:val="Footer"/>
    <w:uiPriority w:val="99"/>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424806">
      <w:bodyDiv w:val="1"/>
      <w:marLeft w:val="0"/>
      <w:marRight w:val="0"/>
      <w:marTop w:val="0"/>
      <w:marBottom w:val="0"/>
      <w:divBdr>
        <w:top w:val="none" w:sz="0" w:space="0" w:color="auto"/>
        <w:left w:val="none" w:sz="0" w:space="0" w:color="auto"/>
        <w:bottom w:val="none" w:sz="0" w:space="0" w:color="auto"/>
        <w:right w:val="none" w:sz="0" w:space="0" w:color="auto"/>
      </w:divBdr>
    </w:div>
    <w:div w:id="533660200">
      <w:bodyDiv w:val="1"/>
      <w:marLeft w:val="0"/>
      <w:marRight w:val="0"/>
      <w:marTop w:val="0"/>
      <w:marBottom w:val="0"/>
      <w:divBdr>
        <w:top w:val="none" w:sz="0" w:space="0" w:color="auto"/>
        <w:left w:val="none" w:sz="0" w:space="0" w:color="auto"/>
        <w:bottom w:val="none" w:sz="0" w:space="0" w:color="auto"/>
        <w:right w:val="none" w:sz="0" w:space="0" w:color="auto"/>
      </w:divBdr>
    </w:div>
    <w:div w:id="738138007">
      <w:bodyDiv w:val="1"/>
      <w:marLeft w:val="0"/>
      <w:marRight w:val="0"/>
      <w:marTop w:val="0"/>
      <w:marBottom w:val="0"/>
      <w:divBdr>
        <w:top w:val="none" w:sz="0" w:space="0" w:color="auto"/>
        <w:left w:val="none" w:sz="0" w:space="0" w:color="auto"/>
        <w:bottom w:val="none" w:sz="0" w:space="0" w:color="auto"/>
        <w:right w:val="none" w:sz="0" w:space="0" w:color="auto"/>
      </w:divBdr>
    </w:div>
    <w:div w:id="948199756">
      <w:bodyDiv w:val="1"/>
      <w:marLeft w:val="0"/>
      <w:marRight w:val="0"/>
      <w:marTop w:val="0"/>
      <w:marBottom w:val="0"/>
      <w:divBdr>
        <w:top w:val="none" w:sz="0" w:space="0" w:color="auto"/>
        <w:left w:val="none" w:sz="0" w:space="0" w:color="auto"/>
        <w:bottom w:val="none" w:sz="0" w:space="0" w:color="auto"/>
        <w:right w:val="none" w:sz="0" w:space="0" w:color="auto"/>
      </w:divBdr>
    </w:div>
    <w:div w:id="1038700700">
      <w:bodyDiv w:val="1"/>
      <w:marLeft w:val="0"/>
      <w:marRight w:val="0"/>
      <w:marTop w:val="0"/>
      <w:marBottom w:val="0"/>
      <w:divBdr>
        <w:top w:val="none" w:sz="0" w:space="0" w:color="auto"/>
        <w:left w:val="none" w:sz="0" w:space="0" w:color="auto"/>
        <w:bottom w:val="none" w:sz="0" w:space="0" w:color="auto"/>
        <w:right w:val="none" w:sz="0" w:space="0" w:color="auto"/>
      </w:divBdr>
    </w:div>
    <w:div w:id="13271293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image" Target="media/image4.emf"/><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3.emf"/><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chart" Target="charts/chart1.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image" Target="media/image6.png"/><Relationship Id="rId28" Type="http://schemas.openxmlformats.org/officeDocument/2006/relationships/footer" Target="footer5.xml"/><Relationship Id="rId10" Type="http://schemas.openxmlformats.org/officeDocument/2006/relationships/footnotes" Target="footnotes.xml"/><Relationship Id="rId19" Type="http://schemas.openxmlformats.org/officeDocument/2006/relationships/image" Target="media/image2.pn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image" Target="media/image5.png"/><Relationship Id="rId27" Type="http://schemas.openxmlformats.org/officeDocument/2006/relationships/footer" Target="footer4.xml"/><Relationship Id="rId30" Type="http://schemas.openxmlformats.org/officeDocument/2006/relationships/footer" Target="footer6.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bolsipa\AppData\Local\Temp\6\mar_pa_qm_mt.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0"/>
          <c:spPr>
            <a:solidFill>
              <a:schemeClr val="accent2"/>
            </a:solidFill>
            <a:ln>
              <a:noFill/>
            </a:ln>
            <a:effectLst/>
          </c:spPr>
          <c:invertIfNegative val="0"/>
          <c:cat>
            <c:numRef>
              <c:f>Data!$G$13:$G$27</c:f>
              <c:numCache>
                <c:formatCode>General</c:formatCode>
                <c:ptCount val="15"/>
                <c:pt idx="0">
                  <c:v>2003</c:v>
                </c:pt>
                <c:pt idx="1">
                  <c:v>2004</c:v>
                </c:pt>
                <c:pt idx="2">
                  <c:v>2005</c:v>
                </c:pt>
                <c:pt idx="3">
                  <c:v>2006</c:v>
                </c:pt>
                <c:pt idx="4">
                  <c:v>2007</c:v>
                </c:pt>
                <c:pt idx="5">
                  <c:v>2008</c:v>
                </c:pt>
                <c:pt idx="6">
                  <c:v>2009</c:v>
                </c:pt>
                <c:pt idx="7">
                  <c:v>2010</c:v>
                </c:pt>
                <c:pt idx="8">
                  <c:v>2011</c:v>
                </c:pt>
                <c:pt idx="9">
                  <c:v>2012</c:v>
                </c:pt>
                <c:pt idx="10">
                  <c:v>2013</c:v>
                </c:pt>
                <c:pt idx="11">
                  <c:v>2014</c:v>
                </c:pt>
                <c:pt idx="12">
                  <c:v>2015</c:v>
                </c:pt>
                <c:pt idx="13">
                  <c:v>2016</c:v>
                </c:pt>
                <c:pt idx="14">
                  <c:v>2017</c:v>
                </c:pt>
              </c:numCache>
            </c:numRef>
          </c:cat>
          <c:val>
            <c:numRef>
              <c:f>Data!$H$13:$H$27</c:f>
              <c:numCache>
                <c:formatCode>General</c:formatCode>
                <c:ptCount val="15"/>
                <c:pt idx="0">
                  <c:v>3388</c:v>
                </c:pt>
                <c:pt idx="1">
                  <c:v>3512</c:v>
                </c:pt>
                <c:pt idx="2">
                  <c:v>3463</c:v>
                </c:pt>
                <c:pt idx="3">
                  <c:v>3554</c:v>
                </c:pt>
                <c:pt idx="4">
                  <c:v>3796</c:v>
                </c:pt>
                <c:pt idx="5">
                  <c:v>3941</c:v>
                </c:pt>
                <c:pt idx="6">
                  <c:v>3792</c:v>
                </c:pt>
                <c:pt idx="7">
                  <c:v>4031</c:v>
                </c:pt>
                <c:pt idx="8">
                  <c:v>4125</c:v>
                </c:pt>
                <c:pt idx="9">
                  <c:v>4092</c:v>
                </c:pt>
                <c:pt idx="10">
                  <c:v>4396</c:v>
                </c:pt>
                <c:pt idx="11">
                  <c:v>4643</c:v>
                </c:pt>
                <c:pt idx="12">
                  <c:v>4740</c:v>
                </c:pt>
                <c:pt idx="13">
                  <c:v>5133</c:v>
                </c:pt>
                <c:pt idx="14">
                  <c:v>5384</c:v>
                </c:pt>
              </c:numCache>
            </c:numRef>
          </c:val>
          <c:extLst xmlns:c16r2="http://schemas.microsoft.com/office/drawing/2015/06/chart">
            <c:ext xmlns:c16="http://schemas.microsoft.com/office/drawing/2014/chart" uri="{C3380CC4-5D6E-409C-BE32-E72D297353CC}">
              <c16:uniqueId val="{00000000-D3C9-4547-95CC-494F69E2D1E0}"/>
            </c:ext>
          </c:extLst>
        </c:ser>
        <c:dLbls>
          <c:showLegendKey val="0"/>
          <c:showVal val="0"/>
          <c:showCatName val="0"/>
          <c:showSerName val="0"/>
          <c:showPercent val="0"/>
          <c:showBubbleSize val="0"/>
        </c:dLbls>
        <c:gapWidth val="219"/>
        <c:overlap val="-27"/>
        <c:axId val="91597440"/>
        <c:axId val="109064576"/>
      </c:barChart>
      <c:catAx>
        <c:axId val="915974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9064576"/>
        <c:crosses val="autoZero"/>
        <c:auto val="1"/>
        <c:lblAlgn val="ctr"/>
        <c:lblOffset val="100"/>
        <c:noMultiLvlLbl val="0"/>
      </c:catAx>
      <c:valAx>
        <c:axId val="1090645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1597440"/>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Author Role="Creator">
  <Id>166e48bb-a33a-4971-8983-5e6b3e84a6e6</Id>
  <Names>
    <Latin>
      <FirstName>Paolo</FirstName>
      <LastName>BOLSI</LastName>
    </Latin>
    <Greek>
      <FirstName/>
      <LastName/>
    </Greek>
    <Cyrillic>
      <FirstName/>
      <LastName/>
    </Cyrillic>
    <DocumentScript>
      <FirstName>Paolo</FirstName>
      <LastName>BOLSI</LastName>
      <FullName>Paolo BOLSI</FullName>
    </DocumentScript>
  </Names>
  <Initials>PB</Initials>
  <Gender>m</Gender>
  <Email>Paolo.BOLSI@ec.europa.eu</Email>
  <Service>REGIO.B.1</Service>
  <Function ShowInSignature="true"/>
  <WebAddress/>
  <InheritedWebAddress>WebAddress</InheritedWebAddress>
  <OrgaEntity1>
    <Id>4dc35747-c691-429e-8d45-7d224e35618c</Id>
    <LogicalLevel>1</LogicalLevel>
    <Name>REGIO</Name>
    <HeadLine1>DIRECTORATE-GENERAL</HeadLine1>
    <HeadLine2>REGIONAL AND URBAN POLICY</HeadLine2>
    <PrimaryAddressId>f03b5801-04c9-4931-aa17-c6d6c70bc579</PrimaryAddressId>
    <SecondaryAddressId/>
    <WebAddress>WebAddress</WebAddress>
    <InheritedWebAddress>WebAddress</InheritedWebAddress>
    <ShowInHeader>true</ShowInHeader>
  </OrgaEntity1>
  <OrgaEntity2>
    <Id>5fde0302-9f78-447d-a02f-7a6dc2f65c28</Id>
    <LogicalLevel>2</LogicalLevel>
    <Name>REGIO.B</Name>
    <HeadLine1>Policy</HeadLine1>
    <HeadLine2/>
    <PrimaryAddressId>f03b5801-04c9-4931-aa17-c6d6c70bc579</PrimaryAddressId>
    <SecondaryAddressId/>
    <WebAddress/>
    <InheritedWebAddress>WebAddress</InheritedWebAddress>
    <ShowInHeader>true</ShowInHeader>
  </OrgaEntity2>
  <OrgaEntity3>
    <Id>007a54a6-81dc-4443-9cd0-a16a90c1e9e9</Id>
    <LogicalLevel>3</LogicalLevel>
    <Name>REGIO.B.1</Name>
    <HeadLine1>Policy Development and Economic Analysis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Brussels,</Location>
      <Footer>Commission européenne/Europese Commissie, 1049 Bruxelles/Brussel, BELGIQUE/BELGIË - Tel. +32 22991111</Footer>
    </Address>
    <Address>
      <Id>1264fb81-f6bb-475e-9f9d-a937d3be6ee2</Id>
      <Name>Luxembourg</Name>
      <PhoneNumberPrefix>+352 4301</PhoneNumberPrefix>
      <Location>Luxembourg,</Location>
      <Footer>Commission européenne, 2920 Luxembourg, LUXEMBOURG - Tel. +352 43011</Footer>
    </Address>
  </Addresses>
  <JobAssignmentId/>
  <MainWorkplace IsMain="true">
    <AddressId>f03b5801-04c9-4931-aa17-c6d6c70bc579</AddressId>
    <Fax/>
    <Phone>+32 229 99314</Phone>
    <Office>BU-1 03/089</Office>
  </MainWorkplace>
  <Workplaces>
    <Workplace IsMain="false">
      <AddressId>1264fb81-f6bb-475e-9f9d-a937d3be6ee2</AddressId>
      <Fax/>
      <Phone/>
      <Office/>
    </Workplace>
    <Workplace IsMain="true">
      <AddressId>f03b5801-04c9-4931-aa17-c6d6c70bc579</AddressId>
      <Fax/>
      <Phone>+32 229 99314</Phone>
      <Office>BU-1 03/089</Office>
    </Workplace>
  </Workplaces>
</Author>
</file>

<file path=customXml/item2.xml><?xml version="1.0" encoding="utf-8"?>
<Texts>
  <SecurityPharma>Pharma investigations</SecurityPharma>
  <MarkingUntilText>UNTIL</MarkingUntilText>
  <SecurityMediationServiceMatter>Mediation service</SecurityMediationServiceMatter>
  <SecurityDeadline>Deadline</SecurityDeadline>
  <SecurityEconomyAndFinance>Economy and finance</SecurityEconomyAndFinance>
  <FooterFax>Fax</FooterFax>
  <NoteCopy>c.c.:</NoteCopy>
  <FooterOffice>Office:</FooterOffice>
  <SecurityOlafInvestigations>OLAF investigations</SecurityOlafInvestigations>
  <NoteReference>Ref.:</NoteReference>
  <SensitiveHandling>Handling instructions for SENSITIVE information are given at https://europa.eu/!db43PX</SensitiveHandling>
  <NoteFile>Note for the File</NoteFile>
  <SecurityOlafSpecialHandling>OLAF investigations</SecurityOlafSpecialHandling>
  <NoteParticipants>Participants:</NoteParticipants>
  <CourtProceduralDocuments>Court procedural documents</CourtProceduralDocuments>
  <NoteParticipant>Participant:</NoteParticipant>
  <OrgaRoot>EUROPEAN COMMISSION</OrgaRoot>
  <NoteCopies>c.c.:</NoteCopies>
  <NoteSubject>Subject:</NoteSubject>
  <Contact>Contact:</Contact>
  <SensitiveLabel>Sensitive</SensitiveLabel>
  <SpecialHandlingLabel>Special Handling</SpecialHandlingLabel>
  <SecurityInvestigationsDisciplinary>Investigations and disciplinary matters</SecurityInvestigationsDisciplinary>
  <SecurityCompOperations>COMP Operations</SecurityCompOperations>
  <NoteEnclosure>Enclosure:</NoteEnclosure>
  <SecurityReleasable>RELEASABLE TO:</SecurityReleasable>
  <AddresseeTo>To:</AddresseeTo>
  <SecurityStaffMatter>Staff matter</SecurityStaffMatter>
  <SecurityOpinionLegalService>Opinion of the Legal Service</SecurityOpinionLegalService>
  <SpecialHandlingFootnote>Special handling instructions are given at https://europa.eu/!db43PX</SpecialHandlingFootnote>
  <SecurityEtsSensitive>ETS</SecurityEtsSensitive>
  <NoteHead>2019 report on the economic and social situation of Gozo (Malta)</NoteHead>
  <SecurityEtsCritical>ETS Critical</SecurityEtsCritical>
  <SecurityCompSpecial>COMP</SecurityCompSpecial>
  <SecurityPharmaSpecial>Pharma investigations</SecurityPharmaSpecial>
  <TOCHeading>Table of Contents</TOCHeading>
  <AddressFooterBrussels>Commission européenne/Europese Commissie, 1049 Bruxelles/Brussel, BELGIQUE/BELGIË - Tel. +32 22991111</AddressFooterBrussels>
  <SecurityIasOperations>IAS operations</SecurityIasOperations>
  <FooterPhone>Tel. direct line</FooterPhone>
  <SecuritySecurityMatter>Security matter</SecuritySecurityMatter>
  <NoteEnclosures>Enclosures:</NoteEnclosures>
  <TLPAmber>TLP: Amber</TLPAmber>
  <SecurityMedicalSecret>Medical secret</SecurityMedicalSecret>
  <Contacts>Contacts:</Contacts>
  <SecurityEmbargo>Embargo until</SecurityEmbargo>
  <DateFormatShort>dd/MM/yyyy</DateFormatShort>
  <DateFormatLong>d MMMM yyyy</DateFormatLong>
</Texts>
</file>

<file path=customXml/item3.xml><?xml version="1.0" encoding="utf-8"?>
<EurolookProperties>
  <ProductCustomizationId>EC</ProductCustomizationId>
  <Created>
    <Version>10.0.38495.0</Version>
    <Date>2019-04-05T10:54:49</Date>
    <Language>EN</Language>
  </Created>
  <Edited>
    <Version>10.0.39616.0</Version>
    <Date>2019-10-24T15:19:07</Date>
  </Edited>
  <DocumentModel>
    <Id>0b054141-88b1-4efb-8c91-2905cb0bed6c</Id>
    <Name>Note</Name>
  </DocumentModel>
  <DocumentDate>2019-04-05T10:54:49</DocumentDate>
  <DocumentVersion>0.1</DocumentVersion>
  <CompatibilityMode>Eurolook10</CompatibilityMode>
  <Address/>
</EurolookProperti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EE044946-5330-43F7-8D16-AA78684F2938}">
  <ds:schemaRefs/>
</ds:datastoreItem>
</file>

<file path=customXml/itemProps2.xml><?xml version="1.0" encoding="utf-8"?>
<ds:datastoreItem xmlns:ds="http://schemas.openxmlformats.org/officeDocument/2006/customXml" ds:itemID="{4EF90DE6-88B6-4264-9629-4D8DFDFE87D2}">
  <ds:schemaRefs/>
</ds:datastoreItem>
</file>

<file path=customXml/itemProps3.xml><?xml version="1.0" encoding="utf-8"?>
<ds:datastoreItem xmlns:ds="http://schemas.openxmlformats.org/officeDocument/2006/customXml" ds:itemID="{D3EA5527-7367-4268-9D83-5125C98D0ED2}">
  <ds:schemaRefs/>
</ds:datastoreItem>
</file>

<file path=customXml/itemProps4.xml><?xml version="1.0" encoding="utf-8"?>
<ds:datastoreItem xmlns:ds="http://schemas.openxmlformats.org/officeDocument/2006/customXml" ds:itemID="{9FF5EA92-36F3-4EEA-A0D2-44EB1F4EC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13</Pages>
  <Words>3066</Words>
  <Characters>16251</Characters>
  <Application>Microsoft Office Word</Application>
  <DocSecurity>0</DocSecurity>
  <PresentationFormat>Microsoft Word 14.0</PresentationFormat>
  <Lines>601</Lines>
  <Paragraphs>402</Paragraphs>
  <ScaleCrop>true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WES PDFC Administrator</cp:lastModifiedBy>
  <cp:revision>26</cp:revision>
  <cp:lastPrinted>2019-08-21T14:34:00Z</cp:lastPrinted>
  <dcterms:created xsi:type="dcterms:W3CDTF">2019-09-18T12:47:00Z</dcterms:created>
  <dcterms:modified xsi:type="dcterms:W3CDTF">2019-10-29T07:52:00Z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using">
    <vt:lpwstr>LW 6.0.1, Build 20180503</vt:lpwstr>
  </property>
  <property fmtid="{D5CDD505-2E9C-101B-9397-08002B2CF9AE}" pid="3" name="Last edited using">
    <vt:lpwstr>LW 7.0, Build 20190717</vt:lpwstr>
  </property>
  <property fmtid="{D5CDD505-2E9C-101B-9397-08002B2CF9AE}" pid="4" name="Level of sensitivity">
    <vt:lpwstr>Standard treatment</vt:lpwstr>
  </property>
  <property fmtid="{D5CDD505-2E9C-101B-9397-08002B2CF9AE}" pid="5" name="Part">
    <vt:lpwstr>1</vt:lpwstr>
  </property>
  <property fmtid="{D5CDD505-2E9C-101B-9397-08002B2CF9AE}" pid="6" name="Total parts">
    <vt:lpwstr>1</vt:lpwstr>
  </property>
  <property fmtid="{D5CDD505-2E9C-101B-9397-08002B2CF9AE}" pid="7" name="DocStatus">
    <vt:lpwstr>Green</vt:lpwstr>
  </property>
  <property fmtid="{D5CDD505-2E9C-101B-9397-08002B2CF9AE}" pid="8" name="CPTemplateID">
    <vt:lpwstr>CP-004</vt:lpwstr>
  </property>
  <property fmtid="{D5CDD505-2E9C-101B-9397-08002B2CF9AE}" pid="9" name="_LW_INVALIDATED__LW_INVALIDATED__LW_INVALIDATED__LW_INVALIDATED__LW_INVALIDATED_EurolookVersion">
    <vt:lpwstr>10.0</vt:lpwstr>
  </property>
  <property fmtid="{D5CDD505-2E9C-101B-9397-08002B2CF9AE}" pid="10" name="_LW_INVALIDATED__LW_INVALIDATED__LW_INVALIDATED__LW_INVALIDATED__LW_INVALIDATED_ELDocType">
    <vt:lpwstr>not.dot</vt:lpwstr>
  </property>
</Properties>
</file>