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5F97AF71-624E-4465-9E35-092071B64D10" style="width:450.75pt;height:406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ZALECENIA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Umowa INTERBUS w sprawie międzynarodowych okazjonalnych przewozów pasażerów autokarami i autobusami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(zwana dalej „umową INTERBUS”) weszła w życie z dniem 1 stycznia 2003 r. Unia Europejska jest umawiającą się stroną umowy INTERBUS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Umowa INTERBUS obejmuje obecnie międzynarodowe okazjonalne przewozy pasażerów autokarami i autobusami.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W dniu 5 grudnia 2014 r.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Rada upoważniła Komisję do rozpoczęcia w imieniu Unii Europejskiej negocjacji w sprawie rozszerzenia zakresu umowy INTERBUS na regularne i regularne specjalne przewozy pasażerów autokarami i autobusami. Na podstawie tego samego upoważnienia udzielonego przez Radę Komisja wynegocjowała protokół rozszerzający możliwość przystąpienia Królestwa Marokańskiego do umowy INTERBUS.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Na podstawie wniosku Komisji Rada przyjęła w dniu 16 lipca 2018 r.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decyzje w sprawie podpisania obu protokołów.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Art. 20 ust. 1 Protokołu do Umowy w sprawie międzynarodowych okazjonalnych przewozów pasażerów autokarami i autobusami (umowa INTERBUS) dotyczącego międzynarodowych regularnych i regularnych specjalnych przewozów pasażerów autokarami i autobusami (zwanego dalej „protokołem dotyczącym regularnych i regularnych specjalnych usług”) oraz art. 2 Protokołu zmieniającego Umowę w sprawie międzynarodowych okazjonalnych przewozów pasażerów autokarami i autobusami (umowa INTERBUS) poprzez rozszerzenie możliwości przystąpienia na Królestwo Marokańskie (zwanego dalej „protokołem dotyczącym Królestwa Marokańskiego”) odpowiednio stanowią: „Niniejszy protokół będzie otwarty do podpisania w Brukseli od dnia 16.7.2018 do dnia 16.4.2019 r. w Sekretariacie Generalnym Rady Unii Europejskiej, który będzie depozytariuszem protokołu.”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Przed upływem terminu na podpisanie umowy, tj. przed dniem 16 kwietnia 2019 r., tylko jedna z umawiających się stron umowy INTERBUS podpisała protokół dotyczący regularnych i regularnych specjalnych usług, a cztery umawiające się strony umowy INTERBUS podpisały protokół dotyczący Królestwa Marokańskiego.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lastRenderedPageBreak/>
        <w:t>Protokół dotyczący regularnych i regularnych specjalnych usług przewiduje w odniesieniu do jego wejścia w życie, że odpowiednie postanowienia umowy INTERBUS, w szczególności jej art. 27 i 28, stosuje się odpowiednio. Zgodnie z tymi postanowieniami umowa zostaje zatwierdzona lub ratyfikowana przez sygnatariuszy zgodnie z ich własnymi procedurami i wchodzi w życie w stosunku do umawiających się stron, które zatwierdziły ją lub ratyfikowały, kiedy cztery umawiające się strony, w tym UE, zatwierdzą ją lub ją ratyfikują. Odniesienie do sygnatariuszy oznacza, że aby protokół dotyczący regularnych i regularnych specjalnych usług mógł wejść w życie, co najmniej cztery umawiające się strony muszą go podpisać i, co za tym idzie, zatwierdzić lub ratyfikować. Jak wspomniano powyżej, przed upływem okresu, w którym protokół dotyczący regularnych i regularnych specjalnych usług był otwarty do podpisu, został podpisany jedynie przez Unię.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Natomiast w protokole dotyczącym Królestwa Marokańskiego przewidziano, że jego podpisanie, zatwierdzenie lub ratyfikacja przez sygnatariuszy odbywa się zgodnie z ich własnymi procedurami. Nie przewidziano jednak przystąpienia umawiających się stron, które go nie podpisały oraz nie zatwierdziły bądź nie ratyfikowały. Jak wspomniano powyżej, przed upływem okresu, w którym protokół dotyczący Królestwa Marokańskiego był otwarty do podpisu nie wszystkie umawiające się strony umowy INTERBUS go podpisały.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 świetle powyższego, o ile okresy podpisania protokołów nie zostaną przedłużone lub usunięte, żadna inna umawiająca się strona umowy INTERBUS nie może ich podpisać, a co za tym idzie zatwierdzić lub ratyfikować i stać się również umawiającą się stroną tych protokołów. Miałoby to poważne konsekwencje: protokół dotyczący regularnych i regularnych specjalnych usług nie mógłby wejść w życie, ponieważ wymaga czterech ratyfikacji, podczas gdy protokół dotyczący Królestwa Marokańskiego, podpisany i zatwierdzony lub ratyfikowany przez cztery umawiające się strony umowy INTERBUS, mógłby wejść w życie, ale obejmowałby tylko cztery z obecnych ośmiu umawiających się stron, co spowodowałoby, że zarządzanie całością umowy INTERBUS stałoby się nadmiernie skomplikowane i praktycznie utrudniło Królestwu Marokańskiemu wejście w relacje traktatowe ze wszystkimi umawiającymi się stronami umowy INTERBUS.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Ponadto przystąpienie przez Królestwo Marokańskie do umowy INTERBUS przed ratyfikacją protokołu dotyczącego Królestwa Marokańskiego przez wszystkie obecnie umawiające się strony umowy INTERBUS doprowadziłoby w praktyce do stworzenia nowej, mniejszej umowy INTERBUS w ramach umowy głównej (jedna umowa z Królestwem Marokańskim i umawiającymi się stronami, w odniesieniu do których protokół wszedł w życie, a druga umowa z obecnymi ośmioma istniejącymi umawiającymi się stronami bez Królestwa Maroka). Tego rodzaju rozwiązanie nie jest przewidziane w umowie INTERBUS i spowodowałoby, że zarządzanie umową INTERBUS stałoby się praktycznie niemożliwe. Należy zatem zmienić art. 4 protokołu dotyczącego Królestwa Marokańskiego, aby protokół ten wszedł w życie dopiero po jego zatwierdzeniu lub ratyfikacji przez wszystkie umawiające się strony.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Ponieważ w międzyczasie jedna z umawiających się stron umowy INTERBUS zmieniła swoją oficjalną nazwę, a mianowicie na Republika Macedonii Północnej, stosowne mogłoby być również wprowadzenie zmian do tych dwóch protokołów, aby odniesienia do tej umawiającej się strony zawierały jej nową nazwę.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Zmiana protokołów nie powinna mieć wpływu na ważność podpisów, które już zostały złożone.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 xml:space="preserve">2. </w:t>
      </w:r>
      <w:r>
        <w:rPr>
          <w:noProof/>
        </w:rPr>
        <w:tab/>
        <w:t>WYNIKI KONSULTACJI Z ZAINTERESOWANYMI STRONAMI ORAZ OCENY SKUTKÓW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Komisja nie przeprowadziła oceny skutków ani nie skorzystała z pomocy ekspertów zewnętrznych w odniesieniu do zmian zaproponowanych w niniejszym zaleceniu, ponieważ nie dotyczą one zasadniczej treści obu tych protokołów.</w:t>
      </w:r>
    </w:p>
    <w:p>
      <w:pPr>
        <w:pStyle w:val="ManualHeading1"/>
        <w:rPr>
          <w:noProof/>
        </w:rPr>
      </w:pPr>
      <w:r>
        <w:rPr>
          <w:noProof/>
        </w:rPr>
        <w:t xml:space="preserve">3. </w:t>
      </w:r>
      <w:r>
        <w:rPr>
          <w:noProof/>
        </w:rPr>
        <w:tab/>
        <w:t>ELEMENTY PRAWNE ZALECENIA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  <w:u w:color="000000"/>
          <w:bdr w:val="nil"/>
        </w:rPr>
        <w:tab/>
        <w:t>Podstawa prawna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Podstawę prawną stanowi Traktat o funkcjonowaniu Unii Europejskiej (TFUE), w szczególności jego art. 218 ust. 3 i 4 TFUE.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  <w:u w:color="000000"/>
          <w:bdr w:val="nil"/>
        </w:rPr>
        <w:tab/>
        <w:t>Pomocniczość (w przypadku kompetencji niewyłącznych) i proporcjonalność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Brak wpływu na pomocniczość lub proporcjonalność, ponieważ kwestia ta leży w wyłącznej kompetencji zewnętrznej Unii.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  <w:u w:color="000000"/>
          <w:bdr w:val="nil"/>
        </w:rPr>
        <w:tab/>
      </w:r>
      <w:r>
        <w:rPr>
          <w:noProof/>
        </w:rPr>
        <w:t>Spójność z przepisami obowiązującymi w tej dziedzinie polityki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Proponowane zalecenie jest spójne ze wspólną polityką transportową i innymi zewnętrznymi politykami Unii.</w:t>
      </w:r>
    </w:p>
    <w:p>
      <w:pPr>
        <w:pStyle w:val="ManualHeading1"/>
        <w:rPr>
          <w:noProof/>
        </w:rPr>
      </w:pPr>
      <w:r>
        <w:rPr>
          <w:noProof/>
        </w:rPr>
        <w:t xml:space="preserve">4. </w:t>
      </w:r>
      <w:r>
        <w:rPr>
          <w:noProof/>
        </w:rPr>
        <w:tab/>
        <w:t>WPŁYW NA BUDŻET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Brak.</w:t>
      </w:r>
    </w:p>
    <w:p>
      <w:pPr>
        <w:rPr>
          <w:noProof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Statut"/>
        <w:rPr>
          <w:noProof/>
        </w:rPr>
      </w:pPr>
      <w:r>
        <w:rPr>
          <w:noProof/>
        </w:rPr>
        <w:lastRenderedPageBreak/>
        <w:t>Zalecenie</w:t>
      </w:r>
    </w:p>
    <w:p>
      <w:pPr>
        <w:pStyle w:val="Typedudocument"/>
        <w:rPr>
          <w:noProof/>
        </w:rPr>
      </w:pPr>
      <w:r>
        <w:rPr>
          <w:noProof/>
        </w:rPr>
        <w:t>DECYZJA RADY</w:t>
      </w:r>
    </w:p>
    <w:p>
      <w:pPr>
        <w:pStyle w:val="Titreobjet"/>
        <w:rPr>
          <w:noProof/>
        </w:rPr>
      </w:pPr>
      <w:r>
        <w:rPr>
          <w:noProof/>
        </w:rPr>
        <w:t>upoważniająca do rozpoczęcia negocjacji w sprawie zmiany Protokołu do Umowy w sprawie międzynarodowych okazjonalnych przewozów pasażerów autokarami i autobusami (umowa INTERBUS) dotyczącego międzynarodowych regularnych i regularnych specjalnych przewozów pasażerów autokarami i autobusami oraz Protokołu zmieniającego Umowę w sprawie międzynarodowych okazjonalnych przewozów pasażerów autokarami i autobusami (umowa INTERBUS) poprzez rozszerzenie możliwości przystąpienia na Królestwo Marokańskie</w:t>
      </w:r>
    </w:p>
    <w:p>
      <w:pPr>
        <w:pStyle w:val="Institutionquiagit"/>
        <w:rPr>
          <w:noProof/>
        </w:rPr>
      </w:pPr>
      <w:r>
        <w:rPr>
          <w:noProof/>
        </w:rPr>
        <w:t>RADA UNII EUROPEJSKIEJ,</w:t>
      </w:r>
    </w:p>
    <w:p>
      <w:pPr>
        <w:rPr>
          <w:noProof/>
        </w:rPr>
      </w:pPr>
      <w:r>
        <w:rPr>
          <w:noProof/>
        </w:rPr>
        <w:t>uwzględniając Traktat o funkcjonowaniu Unii Europejskiej, w szczególności jego art. 218 ust. 3 i 4,</w:t>
      </w:r>
    </w:p>
    <w:p>
      <w:pPr>
        <w:rPr>
          <w:noProof/>
        </w:rPr>
      </w:pPr>
      <w:r>
        <w:rPr>
          <w:noProof/>
        </w:rPr>
        <w:t>uwzględniając zalecenie Komisji Europejskiej</w:t>
      </w:r>
      <w:r>
        <w:rPr>
          <w:rStyle w:val="FootnoteReference"/>
          <w:noProof/>
        </w:rPr>
        <w:footnoteReference w:id="5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Zawarcie Umowy w sprawie międzynarodowych okazjonalnych przewozów pasażerów autokarami i autobusami („umowa INTERBUS”) zostało zatwierdzone w imieniu Unii decyzją Rady z dnia 3 października 2002 r.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Umowa INTERBUS weszła w życie w dniu 1 stycznia 2003 r.</w:t>
      </w:r>
    </w:p>
    <w:p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W dniu 16 lipca 2018 r. Rada przyjęła decyzję (UE) 2018/1195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i decyzję (UE) 2018/1211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w sprawie podpisania w imieniu Unii Europejskiej Protokołu do Umowy w sprawie międzynarodowych okazjonalnych przewozów pasażerów autokarami i autobusami (umowa INTERBUS) dotyczącego międzynarodowych regularnych i regularnych specjalnych przewozów pasażerów autokarami i autobusami (zwanego dalej „protokołem dotyczącym regularnych i regularnych specjalnych usług”) oraz Protokołu zmieniającego Umowę w sprawie międzynarodowych okazjonalnych przewozów pasażerów autokarami i autobusami (umowa INTERBUS) poprzez rozszerzenie możliwości przystąpienia na Królestwo Marokańskie (zwanego dalej „protokołem dotyczącym Królestwa Marokańskiego”).</w:t>
      </w:r>
    </w:p>
    <w:p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Unia podpisała protokół dotyczący regularnych i regularnych specjalnych usług w dniu 24 września 2018 r., a protokół dotyczący Królestwa Marokańskiego w dniu 11 kwietnia 2019 r.</w:t>
      </w:r>
    </w:p>
    <w:p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Oprócz Unii protokół dotyczący Królestwa Marokańskiego podpisały Bośnia i Hercegowina, Czarnogóra i Turcja. Protokół dotyczący międzynarodowych regularnych i regularnych specjalnych przewozów pasażerów autokarami i autobusami podpisała tylko Unia.</w:t>
      </w:r>
    </w:p>
    <w:p>
      <w:pPr>
        <w:pStyle w:val="ManualConsidrant"/>
        <w:rPr>
          <w:noProof/>
        </w:rPr>
      </w:pPr>
      <w:r>
        <w:rPr>
          <w:noProof/>
        </w:rPr>
        <w:lastRenderedPageBreak/>
        <w:t>(5)</w:t>
      </w:r>
      <w:r>
        <w:rPr>
          <w:noProof/>
        </w:rPr>
        <w:tab/>
        <w:t xml:space="preserve">Okres, w którym oba protokoły były otwarte do podpisu, upłynął w dniu 16 kwietnia 2019 r. Aby umożliwić obecnym umawiającym się stronom umowy INTERBUS, które jeszcze tego nie zrobiły, podpisanie i zawarcie obu protokołów, należy zmienić protokoły w taki sposób, aby nie przewidywały konkretnego okresu, w którym będą otwarte do podpisu. </w:t>
      </w:r>
    </w:p>
    <w:p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Należy zmienić protokół dotyczący Królestwa Marokańskiego, tak aby wszedł on w życie po podpisaniu i ratyfikacji umowy INTERBUS przez wszystkie obecne umawiające się strony.</w:t>
      </w:r>
    </w:p>
    <w:p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Jedna z umawiających się stron umowy INTERBUS zmieniła swoją oficjalną nazwę, a mianowicie na Republika Macedonii Północnej, i należy zatem uwzględnić to w tekstach protokołów.</w:t>
      </w:r>
    </w:p>
    <w:p>
      <w:pPr>
        <w:pStyle w:val="ManualConsidrant"/>
        <w:rPr>
          <w:noProof/>
        </w:rPr>
      </w:pPr>
      <w:r>
        <w:rPr>
          <w:noProof/>
        </w:rPr>
        <w:t xml:space="preserve">(8) </w:t>
      </w:r>
      <w:r>
        <w:rPr>
          <w:noProof/>
        </w:rPr>
        <w:tab/>
        <w:t>Podpisy złożone pod protokołami przed dniem 16 kwietnia 2019 r. powinny nadal być ważne.</w:t>
      </w:r>
    </w:p>
    <w:p>
      <w:pPr>
        <w:pStyle w:val="ManualConsidrant"/>
        <w:rPr>
          <w:noProof/>
        </w:rPr>
      </w:pPr>
      <w:r>
        <w:rPr>
          <w:noProof/>
        </w:rPr>
        <w:t xml:space="preserve">(9) </w:t>
      </w:r>
      <w:r>
        <w:rPr>
          <w:noProof/>
        </w:rPr>
        <w:tab/>
        <w:t>Komisja powinna zatem zostać upoważniona do prowadzenia negocjacji, w imieniu Unii Europejskiej, w sprawie zmian do protokołu dotyczącego regularnych i regularnych specjalnych usług oraz protokołu dotyczącego Królestwa Marokańskiego,</w:t>
      </w:r>
    </w:p>
    <w:p>
      <w:pPr>
        <w:pStyle w:val="Formuledadoption"/>
        <w:rPr>
          <w:noProof/>
        </w:rPr>
      </w:pPr>
      <w:r>
        <w:rPr>
          <w:noProof/>
        </w:rPr>
        <w:t xml:space="preserve">PRZYJMUJE NINIEJSZĄ DECYZJĘ: </w:t>
      </w:r>
    </w:p>
    <w:p>
      <w:pPr>
        <w:pStyle w:val="Titrearticle"/>
        <w:rPr>
          <w:noProof/>
        </w:rPr>
      </w:pPr>
      <w:r>
        <w:rPr>
          <w:noProof/>
        </w:rPr>
        <w:t>Artykuł 1</w:t>
      </w:r>
    </w:p>
    <w:p>
      <w:pPr>
        <w:spacing w:after="0"/>
        <w:rPr>
          <w:noProof/>
        </w:rPr>
      </w:pPr>
      <w:r>
        <w:rPr>
          <w:noProof/>
        </w:rPr>
        <w:t>Niniejszym upoważnia się Komisję do prowadzenia negocjacji w imieniu Unii Europejskiej w sprawie zmian w Protokole do Umowy w sprawie międzynarodowych okazjonalnych przewozów pasażerów autokarami i autobusami (umowa INTERBUS) dotyczącego międzynarodowych regularnych i regularnych specjalnych przewozów pasażerów autokarami i autobusami oraz w Protokole zmieniającym Umowę w sprawie międzynarodowych okazjonalnych przewozów pasażerów autokarami i autobusami (umowa INTERBUS) poprzez rozszerzenie możliwości przystąpienia na Królestwo Marokańskie w taki sposób, aby nie było ograniczenia okresu, w którym będą one otwarte do podpisu i aby uwzględnić zmianę nazwy jednej z umawiających się stron umowy INTERBUS a także aby przewidzieć nowy sposób wejścia w życie protokołu dotyczącego Królestwa Marokańskiego.</w:t>
      </w:r>
    </w:p>
    <w:p>
      <w:pPr>
        <w:pStyle w:val="Titrearticle"/>
        <w:rPr>
          <w:noProof/>
        </w:rPr>
      </w:pPr>
      <w:r>
        <w:rPr>
          <w:noProof/>
        </w:rPr>
        <w:t>Artykuł 2</w:t>
      </w:r>
    </w:p>
    <w:p>
      <w:pPr>
        <w:rPr>
          <w:noProof/>
        </w:rPr>
      </w:pPr>
      <w:r>
        <w:rPr>
          <w:noProof/>
        </w:rPr>
        <w:t>Wytyczne negocjacyjne przedstawiono w załączniku.</w:t>
      </w:r>
    </w:p>
    <w:p>
      <w:pPr>
        <w:pStyle w:val="Titrearticle"/>
        <w:rPr>
          <w:noProof/>
        </w:rPr>
      </w:pPr>
      <w:r>
        <w:rPr>
          <w:noProof/>
        </w:rPr>
        <w:t>Artykuł 3</w:t>
      </w:r>
    </w:p>
    <w:p>
      <w:pPr>
        <w:rPr>
          <w:noProof/>
        </w:rPr>
      </w:pPr>
      <w:r>
        <w:rPr>
          <w:noProof/>
        </w:rPr>
        <w:t>Negocjacje prowadzone są w konsultacji z [</w:t>
      </w:r>
      <w:r>
        <w:rPr>
          <w:noProof/>
          <w:highlight w:val="yellow"/>
        </w:rPr>
        <w:t>nazwa komitetu specjalnego do uzupełnienia przez Radę</w:t>
      </w:r>
      <w:r>
        <w:rPr>
          <w:noProof/>
        </w:rPr>
        <w:t>].</w:t>
      </w:r>
    </w:p>
    <w:p>
      <w:pPr>
        <w:pStyle w:val="Titrearticle"/>
        <w:rPr>
          <w:noProof/>
        </w:rPr>
      </w:pPr>
      <w:r>
        <w:rPr>
          <w:noProof/>
        </w:rPr>
        <w:t>Artykuł 4</w:t>
      </w:r>
    </w:p>
    <w:p>
      <w:pPr>
        <w:rPr>
          <w:noProof/>
        </w:rPr>
      </w:pPr>
      <w:r>
        <w:rPr>
          <w:noProof/>
        </w:rPr>
        <w:t>Niniejsza decyzja skierowana jest do Komisji.</w:t>
      </w:r>
    </w:p>
    <w:p>
      <w:pPr>
        <w:keepNext/>
        <w:keepLines/>
        <w:rPr>
          <w:noProof/>
        </w:rPr>
      </w:pPr>
    </w:p>
    <w:p>
      <w:pPr>
        <w:pStyle w:val="Fait"/>
        <w:rPr>
          <w:noProof/>
        </w:rPr>
      </w:pPr>
      <w:r>
        <w:rPr>
          <w:noProof/>
        </w:rPr>
        <w:t>Sporządzono w Brukseli dnia 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Rady</w:t>
      </w:r>
    </w:p>
    <w:p>
      <w:pPr>
        <w:pStyle w:val="Personnequisigne"/>
        <w:rPr>
          <w:noProof/>
        </w:rPr>
      </w:pPr>
      <w:r>
        <w:rPr>
          <w:noProof/>
        </w:rPr>
        <w:tab/>
        <w:t>Przewodniczący</w:t>
      </w:r>
    </w:p>
    <w:sectPr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Dz.U. L 321 z 26.11.2002, s. 13.</w:t>
      </w:r>
    </w:p>
  </w:footnote>
  <w:footnote w:id="2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Oprócz Unii Europejskiej umawiającymi się stronami umowy INTERBUS są również następujące państwa: Republika Albanii, Bośnia i Hercegowina, Republika Mołdawii, Czarnogóra, Republika Macedonii Północnej, Republika Turcji i Ukraina (zwane dalej „umawiającymi się stronami umowy INTERBUS”).</w:t>
      </w:r>
    </w:p>
  </w:footnote>
  <w:footnote w:id="3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SGS14/15073 z dnia 5 grudnia 2014 r.</w:t>
      </w:r>
    </w:p>
  </w:footnote>
  <w:footnote w:id="4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Decyzja Rady (UE) 2018/1195 z dnia 16 lipca 2018 r. w sprawie podpisania, w imieniu Unii Europejskiej, Protokołu do Umowy w sprawie międzynarodowych okazjonalnych przewozów pasażerów autokarami i autobusami (umowa INTERBUS) dotyczącego międzynarodowych regularnych i regularnych specjalnych przewozów pasażerów autokarami i autobusami (Dz.U. L 214 z 23.8.2018, s. 3).</w:t>
      </w:r>
    </w:p>
    <w:p>
      <w:pPr>
        <w:pStyle w:val="FootnoteText"/>
        <w:ind w:firstLine="0"/>
      </w:pPr>
      <w:r>
        <w:t>Decyzja Rady (UE) 2018/1211 z dnia 16 lipca 2018 r. dotycząca podpisania, w imieniu Unii Europejskiej, Protokołu zmieniającego Umowę w sprawie międzynarodowych okazjonalnych przewozów pasażerów autokarami i autobusami (umowa INTERBUS) poprzez rozszerzenie możliwości przystąpienia na Królestwo Marokańskie (Dz.U. L 222 z 3.9.2018, s. 1).</w:t>
      </w:r>
    </w:p>
  </w:footnote>
  <w:footnote w:id="5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[</w:t>
      </w:r>
      <w:r>
        <w:rPr>
          <w:highlight w:val="yellow"/>
        </w:rPr>
        <w:t>WSTAWIĆ ODNIESIENIE</w:t>
      </w:r>
      <w:r>
        <w:t>]</w:t>
      </w:r>
    </w:p>
  </w:footnote>
  <w:footnote w:id="6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Decyzja Rady z dnia 3 października 2002 r. w sprawie zawarcia umowy INTERBUS w sprawie międzynarodowych okazjonalnych przewozów pasażerów autokarami i autobusami (Dz.U. L 321 z 26.11.2002, s. 11).</w:t>
      </w:r>
    </w:p>
  </w:footnote>
  <w:footnote w:id="7">
    <w:p>
      <w:pPr>
        <w:pStyle w:val="FootnoteText"/>
        <w:spacing w:after="120"/>
      </w:pPr>
      <w:r>
        <w:rPr>
          <w:rStyle w:val="FootnoteReference"/>
        </w:rPr>
        <w:footnoteRef/>
      </w:r>
      <w:r>
        <w:tab/>
        <w:t>Dz.U. L 214 z 23.8.2018, s. 3.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Dz.U. L 222 z 3.9.2018, s.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5ECDD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2FA97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E160CA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C0095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E1C18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ACA7F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D0075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EAD8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attachedTemplate r:id="rId1"/>
  <w:revisionView w:markup="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11-28 14:24:1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6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F97AF71-624E-4465-9E35-092071B64D10"/>
    <w:docVar w:name="LW_COVERPAGE_TYPE" w:val="1"/>
    <w:docVar w:name="LW_CROSSREFERENCE" w:val="&lt;UNUSED&gt;"/>
    <w:docVar w:name="LW_DocType" w:val="COM"/>
    <w:docVar w:name="LW_EMISSION" w:val="29.11.2019"/>
    <w:docVar w:name="LW_EMISSION_ISODATE" w:val="2019-11-29"/>
    <w:docVar w:name="LW_EMISSION_LOCATION" w:val="BRX"/>
    <w:docVar w:name="LW_EMISSION_PREFIX" w:val="Bruksela, dnia "/>
    <w:docVar w:name="LW_EMISSION_SUFFIX" w:val=" r."/>
    <w:docVar w:name="LW_ID_DOCMODEL" w:val="SG-001"/>
    <w:docVar w:name="LW_ID_DOCSIGNATURE" w:val="SG-001"/>
    <w:docVar w:name="LW_ID_DOCSTRUCTURE" w:val="COM/PL/ORG/NOEEA"/>
    <w:docVar w:name="LW_ID_DOCTYPE" w:val="SG-001"/>
    <w:docVar w:name="LW_ID_EXP.MOTIFS.NEW" w:val="EM_PL_"/>
    <w:docVar w:name="LW_ID_STATUT" w:val="SG-001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9"/>
    <w:docVar w:name="LW_REF.INST.NEW" w:val="COM"/>
    <w:docVar w:name="LW_REF.INST.NEW_ADOPTED" w:val="final"/>
    <w:docVar w:name="LW_REF.INST.NEW_TEXT" w:val="(2019) 62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" w:val="Zalecenie"/>
    <w:docVar w:name="LW_STATUT.CP" w:val="Zalecenie"/>
    <w:docVar w:name="LW_SUPERTITRE" w:val="&lt;UNUSED&gt;"/>
    <w:docVar w:name="LW_TITRE.OBJ" w:val="upowa\u380?niaj\u261?ca do rozpocz\u281?cia negocjacji w sprawie zmiany Protoko\u322?u do Umowy w sprawie mi\u281?dzynarodowych okazjonalnych przewozów pasa\u380?erów autokarami i autobusami (umowa INTERBUS) dotycz\u261?cego mi\u281?dzynarodowych regularnych i regularnych specjalnych przewozów pasa\u380?erów autokarami i autobusami oraz Protoko\u322?u zmieniaj\u261?cego Umow\u281? w sprawie mi\u281?dzynarodowych okazjonalnych przewozów pasa\u380?erów autokarami i autobusami (umowa INTERBUS) poprzez rozszerzenie mo\u380?liwo\u347?ci przyst\u261?pienia na Królestwo Maroka\u324?skie"/>
    <w:docVar w:name="LW_TITRE.OBJ.CP" w:val="upowa\u380?niaj\u261?ca do rozpocz\u281?cia negocjacji w sprawie zmiany Protoko\u322?u do Umowy w sprawie mi\u281?dzynarodowych okazjonalnych przewozów pasa\u380?erów autokarami i autobusami (umowa INTERBUS) dotycz\u261?cego mi\u281?dzynarodowych regularnych i regularnych specjalnych przewozów pasa\u380?erów autokarami i autobusami oraz Protoko\u322?u zmieniaj\u261?cego Umow\u281? w sprawie mi\u281?dzynarodowych okazjonalnych przewozów pasa\u380?erów autokarami i autobusami (umowa INTERBUS) poprzez rozszerzenie mo\u380?liwo\u347?ci przyst\u261?pienia na Królestwo Maroka\u324?skie"/>
    <w:docVar w:name="LW_TYPE.DOC" w:val="DECYZJA RADY"/>
    <w:docVar w:name="LW_TYPE.DOC.CP" w:val="DECYZJA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71FE27-7D58-43C6-8D08-284C5946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</TotalTime>
  <Pages>7</Pages>
  <Words>1408</Words>
  <Characters>9353</Characters>
  <Application>Microsoft Office Word</Application>
  <DocSecurity>0</DocSecurity>
  <Lines>170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WES PDFC Administrator</cp:lastModifiedBy>
  <cp:revision>17</cp:revision>
  <cp:lastPrinted>2019-07-18T09:09:00Z</cp:lastPrinted>
  <dcterms:created xsi:type="dcterms:W3CDTF">2019-11-19T09:51:00Z</dcterms:created>
  <dcterms:modified xsi:type="dcterms:W3CDTF">2019-11-28T13:24:00Z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COM/PL/ORG/NOEEA</vt:lpwstr>
  </property>
  <property fmtid="{D5CDD505-2E9C-101B-9397-08002B2CF9AE}" pid="3" name="Version">
    <vt:lpwstr>6.0.100.0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6.0.1, Build 20180503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SG-001</vt:lpwstr>
  </property>
  <property fmtid="{D5CDD505-2E9C-101B-9397-08002B2CF9AE}" pid="10" name="DQCStatus">
    <vt:lpwstr>Green (DQC version 03)</vt:lpwstr>
  </property>
</Properties>
</file>