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843909DD-F728-4122-8466-5ED904FF1CEC"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 xml:space="preserve"> </w:t>
      </w:r>
    </w:p>
    <w:sdt>
      <w:sdtPr>
        <w:rPr>
          <w:rFonts w:asciiTheme="minorHAnsi" w:eastAsiaTheme="minorHAnsi" w:hAnsiTheme="minorHAnsi" w:cstheme="minorBidi"/>
          <w:b w:val="0"/>
          <w:noProof/>
          <w:sz w:val="22"/>
          <w:szCs w:val="22"/>
          <w:lang w:eastAsia="en-US"/>
        </w:rPr>
        <w:id w:val="-1324803347"/>
        <w:docPartObj>
          <w:docPartGallery w:val="Table of Contents"/>
          <w:docPartUnique/>
        </w:docPartObj>
      </w:sdtPr>
      <w:sdtEndPr>
        <w:rPr>
          <w:bCs/>
        </w:rPr>
      </w:sdtEndPr>
      <w:sdtContent>
        <w:p>
          <w:pPr>
            <w:pStyle w:val="TOCHeading"/>
            <w:rPr>
              <w:noProof/>
            </w:rPr>
          </w:pPr>
          <w:r>
            <w:rPr>
              <w:noProof/>
            </w:rPr>
            <w:t>Tartalom</w:t>
          </w:r>
        </w:p>
        <w:p>
          <w:pPr>
            <w:pStyle w:val="TOC1"/>
            <w:rPr>
              <w:rFonts w:asciiTheme="minorHAnsi" w:eastAsiaTheme="minorEastAsia" w:hAnsiTheme="minorHAnsi" w:cstheme="minorBidi"/>
              <w:bCs w:val="0"/>
              <w:sz w:val="22"/>
              <w:szCs w:val="22"/>
              <w:lang w:val="en-US" w:eastAsia="en-US"/>
            </w:rPr>
          </w:pPr>
          <w:r>
            <w:fldChar w:fldCharType="begin"/>
          </w:r>
          <w:r>
            <w:instrText xml:space="preserve"> TOC \o "1-3" \h \z \u </w:instrText>
          </w:r>
          <w:r>
            <w:fldChar w:fldCharType="separate"/>
          </w:r>
          <w:hyperlink w:anchor="_Toc27051459" w:history="1">
            <w:r>
              <w:rPr>
                <w:rStyle w:val="Hyperlink"/>
              </w:rPr>
              <w:t>1.</w:t>
            </w:r>
            <w:r>
              <w:rPr>
                <w:rFonts w:asciiTheme="minorHAnsi" w:eastAsiaTheme="minorEastAsia" w:hAnsiTheme="minorHAnsi" w:cstheme="minorBidi"/>
                <w:bCs w:val="0"/>
                <w:sz w:val="22"/>
                <w:szCs w:val="22"/>
                <w:lang w:val="en-US" w:eastAsia="en-US"/>
              </w:rPr>
              <w:tab/>
            </w:r>
            <w:r>
              <w:rPr>
                <w:rStyle w:val="Hyperlink"/>
              </w:rPr>
              <w:t>BEVEZETÉS</w:t>
            </w:r>
            <w:r>
              <w:rPr>
                <w:webHidden/>
              </w:rPr>
              <w:tab/>
            </w:r>
            <w:r>
              <w:rPr>
                <w:webHidden/>
              </w:rPr>
              <w:fldChar w:fldCharType="begin"/>
            </w:r>
            <w:r>
              <w:rPr>
                <w:webHidden/>
              </w:rPr>
              <w:instrText xml:space="preserve"> PAGEREF _Toc27051459 \h </w:instrText>
            </w:r>
            <w:r>
              <w:rPr>
                <w:webHidden/>
              </w:rPr>
            </w:r>
            <w:r>
              <w:rPr>
                <w:webHidden/>
              </w:rPr>
              <w:fldChar w:fldCharType="separate"/>
            </w:r>
            <w:r>
              <w:rPr>
                <w:webHidden/>
              </w:rPr>
              <w:t>2</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7051460" w:history="1">
            <w:r>
              <w:rPr>
                <w:rStyle w:val="Hyperlink"/>
              </w:rPr>
              <w:t>2.</w:t>
            </w:r>
            <w:r>
              <w:rPr>
                <w:rFonts w:asciiTheme="minorHAnsi" w:eastAsiaTheme="minorEastAsia" w:hAnsiTheme="minorHAnsi" w:cstheme="minorBidi"/>
                <w:bCs w:val="0"/>
                <w:sz w:val="22"/>
                <w:szCs w:val="22"/>
                <w:lang w:val="en-US" w:eastAsia="en-US"/>
              </w:rPr>
              <w:tab/>
            </w:r>
            <w:r>
              <w:rPr>
                <w:rStyle w:val="Hyperlink"/>
              </w:rPr>
              <w:t>MÓDSZERTAN</w:t>
            </w:r>
            <w:r>
              <w:rPr>
                <w:webHidden/>
              </w:rPr>
              <w:tab/>
            </w:r>
            <w:r>
              <w:rPr>
                <w:webHidden/>
              </w:rPr>
              <w:fldChar w:fldCharType="begin"/>
            </w:r>
            <w:r>
              <w:rPr>
                <w:webHidden/>
              </w:rPr>
              <w:instrText xml:space="preserve"> PAGEREF _Toc27051460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7051461" w:history="1">
            <w:r>
              <w:rPr>
                <w:rStyle w:val="Hyperlink"/>
              </w:rPr>
              <w:t>3.</w:t>
            </w:r>
            <w:r>
              <w:rPr>
                <w:rFonts w:asciiTheme="minorHAnsi" w:eastAsiaTheme="minorEastAsia" w:hAnsiTheme="minorHAnsi" w:cstheme="minorBidi"/>
                <w:bCs w:val="0"/>
                <w:sz w:val="22"/>
                <w:szCs w:val="22"/>
                <w:lang w:val="en-US" w:eastAsia="en-US"/>
              </w:rPr>
              <w:tab/>
            </w:r>
            <w:r>
              <w:rPr>
                <w:rStyle w:val="Hyperlink"/>
              </w:rPr>
              <w:t>AZ UNIÓS MÉHÉSZETI ÁGAZAT ÁTTEKINTÉSE</w:t>
            </w:r>
            <w:r>
              <w:rPr>
                <w:webHidden/>
              </w:rPr>
              <w:tab/>
            </w:r>
            <w:r>
              <w:rPr>
                <w:webHidden/>
              </w:rPr>
              <w:fldChar w:fldCharType="begin"/>
            </w:r>
            <w:r>
              <w:rPr>
                <w:webHidden/>
              </w:rPr>
              <w:instrText xml:space="preserve"> PAGEREF _Toc27051461 \h </w:instrText>
            </w:r>
            <w:r>
              <w:rPr>
                <w:webHidden/>
              </w:rPr>
            </w:r>
            <w:r>
              <w:rPr>
                <w:webHidden/>
              </w:rPr>
              <w:fldChar w:fldCharType="separate"/>
            </w:r>
            <w:r>
              <w:rPr>
                <w:webHidden/>
              </w:rPr>
              <w:t>3</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51462" w:history="1">
            <w:r>
              <w:rPr>
                <w:rStyle w:val="Hyperlink"/>
              </w:rPr>
              <w:t>3.1.</w:t>
            </w:r>
            <w:r>
              <w:rPr>
                <w:rFonts w:asciiTheme="minorHAnsi" w:eastAsiaTheme="minorEastAsia" w:hAnsiTheme="minorHAnsi" w:cstheme="minorBidi"/>
                <w:bCs w:val="0"/>
                <w:sz w:val="22"/>
                <w:szCs w:val="22"/>
                <w:lang w:val="en-US" w:eastAsia="en-US"/>
              </w:rPr>
              <w:tab/>
            </w:r>
            <w:r>
              <w:rPr>
                <w:rStyle w:val="Hyperlink"/>
              </w:rPr>
              <w:t>Termelés és árak</w:t>
            </w:r>
            <w:r>
              <w:rPr>
                <w:webHidden/>
              </w:rPr>
              <w:tab/>
            </w:r>
            <w:r>
              <w:rPr>
                <w:webHidden/>
              </w:rPr>
              <w:fldChar w:fldCharType="begin"/>
            </w:r>
            <w:r>
              <w:rPr>
                <w:webHidden/>
              </w:rPr>
              <w:instrText xml:space="preserve"> PAGEREF _Toc27051462 \h </w:instrText>
            </w:r>
            <w:r>
              <w:rPr>
                <w:webHidden/>
              </w:rPr>
            </w:r>
            <w:r>
              <w:rPr>
                <w:webHidden/>
              </w:rPr>
              <w:fldChar w:fldCharType="separate"/>
            </w:r>
            <w:r>
              <w:rPr>
                <w:webHidden/>
              </w:rPr>
              <w:t>3</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51463" w:history="1">
            <w:r>
              <w:rPr>
                <w:rStyle w:val="Hyperlink"/>
              </w:rPr>
              <w:t>3.2.</w:t>
            </w:r>
            <w:r>
              <w:rPr>
                <w:rFonts w:asciiTheme="minorHAnsi" w:eastAsiaTheme="minorEastAsia" w:hAnsiTheme="minorHAnsi" w:cstheme="minorBidi"/>
                <w:bCs w:val="0"/>
                <w:sz w:val="22"/>
                <w:szCs w:val="22"/>
                <w:lang w:val="en-US" w:eastAsia="en-US"/>
              </w:rPr>
              <w:tab/>
            </w:r>
            <w:r>
              <w:rPr>
                <w:rStyle w:val="Hyperlink"/>
              </w:rPr>
              <w:t>Kereskedelem</w:t>
            </w:r>
            <w:r>
              <w:rPr>
                <w:webHidden/>
              </w:rPr>
              <w:tab/>
            </w:r>
            <w:r>
              <w:rPr>
                <w:webHidden/>
              </w:rPr>
              <w:fldChar w:fldCharType="begin"/>
            </w:r>
            <w:r>
              <w:rPr>
                <w:webHidden/>
              </w:rPr>
              <w:instrText xml:space="preserve"> PAGEREF _Toc27051463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7051464" w:history="1">
            <w:r>
              <w:rPr>
                <w:rStyle w:val="Hyperlink"/>
              </w:rPr>
              <w:t>4.</w:t>
            </w:r>
            <w:r>
              <w:rPr>
                <w:rFonts w:asciiTheme="minorHAnsi" w:eastAsiaTheme="minorEastAsia" w:hAnsiTheme="minorHAnsi" w:cstheme="minorBidi"/>
                <w:bCs w:val="0"/>
                <w:sz w:val="22"/>
                <w:szCs w:val="22"/>
                <w:lang w:val="en-US" w:eastAsia="en-US"/>
              </w:rPr>
              <w:tab/>
            </w:r>
            <w:r>
              <w:rPr>
                <w:rStyle w:val="Hyperlink"/>
              </w:rPr>
              <w:t>A NEMZETI MÉHÉSZETI PROGRAMOK VÉGREHAJTÁSA</w:t>
            </w:r>
            <w:r>
              <w:rPr>
                <w:webHidden/>
              </w:rPr>
              <w:tab/>
            </w:r>
            <w:r>
              <w:rPr>
                <w:webHidden/>
              </w:rPr>
              <w:fldChar w:fldCharType="begin"/>
            </w:r>
            <w:r>
              <w:rPr>
                <w:webHidden/>
              </w:rPr>
              <w:instrText xml:space="preserve"> PAGEREF _Toc27051464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51465" w:history="1">
            <w:r>
              <w:rPr>
                <w:rStyle w:val="Hyperlink"/>
              </w:rPr>
              <w:t>4.1.</w:t>
            </w:r>
            <w:r>
              <w:rPr>
                <w:rFonts w:asciiTheme="minorHAnsi" w:eastAsiaTheme="minorEastAsia" w:hAnsiTheme="minorHAnsi" w:cstheme="minorBidi"/>
                <w:bCs w:val="0"/>
                <w:sz w:val="22"/>
                <w:szCs w:val="22"/>
                <w:lang w:val="en-US" w:eastAsia="en-US"/>
              </w:rPr>
              <w:tab/>
            </w:r>
            <w:r>
              <w:rPr>
                <w:rStyle w:val="Hyperlink"/>
              </w:rPr>
              <w:t>Jogalap</w:t>
            </w:r>
            <w:r>
              <w:rPr>
                <w:webHidden/>
              </w:rPr>
              <w:tab/>
            </w:r>
            <w:r>
              <w:rPr>
                <w:webHidden/>
              </w:rPr>
              <w:fldChar w:fldCharType="begin"/>
            </w:r>
            <w:r>
              <w:rPr>
                <w:webHidden/>
              </w:rPr>
              <w:instrText xml:space="preserve"> PAGEREF _Toc27051465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51466" w:history="1">
            <w:r>
              <w:rPr>
                <w:rStyle w:val="Hyperlink"/>
              </w:rPr>
              <w:t>4.2.</w:t>
            </w:r>
            <w:r>
              <w:rPr>
                <w:rFonts w:asciiTheme="minorHAnsi" w:eastAsiaTheme="minorEastAsia" w:hAnsiTheme="minorHAnsi" w:cstheme="minorBidi"/>
                <w:bCs w:val="0"/>
                <w:sz w:val="22"/>
                <w:szCs w:val="22"/>
                <w:lang w:val="en-US" w:eastAsia="en-US"/>
              </w:rPr>
              <w:tab/>
            </w:r>
            <w:r>
              <w:rPr>
                <w:rStyle w:val="Hyperlink"/>
              </w:rPr>
              <w:t>Célok és intézkedések</w:t>
            </w:r>
            <w:r>
              <w:rPr>
                <w:webHidden/>
              </w:rPr>
              <w:tab/>
            </w:r>
            <w:r>
              <w:rPr>
                <w:webHidden/>
              </w:rPr>
              <w:fldChar w:fldCharType="begin"/>
            </w:r>
            <w:r>
              <w:rPr>
                <w:webHidden/>
              </w:rPr>
              <w:instrText xml:space="preserve"> PAGEREF _Toc27051466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51467" w:history="1">
            <w:r>
              <w:rPr>
                <w:rStyle w:val="Hyperlink"/>
              </w:rPr>
              <w:t>4.3.</w:t>
            </w:r>
            <w:r>
              <w:rPr>
                <w:rFonts w:asciiTheme="minorHAnsi" w:eastAsiaTheme="minorEastAsia" w:hAnsiTheme="minorHAnsi" w:cstheme="minorBidi"/>
                <w:bCs w:val="0"/>
                <w:sz w:val="22"/>
                <w:szCs w:val="22"/>
                <w:lang w:val="en-US" w:eastAsia="en-US"/>
              </w:rPr>
              <w:tab/>
            </w:r>
            <w:r>
              <w:rPr>
                <w:rStyle w:val="Hyperlink"/>
              </w:rPr>
              <w:t>A nemzeti méhészeti programokra szánt uniós költségvetés és felhasználási ráta</w:t>
            </w:r>
            <w:r>
              <w:rPr>
                <w:webHidden/>
              </w:rPr>
              <w:tab/>
            </w:r>
            <w:r>
              <w:rPr>
                <w:webHidden/>
              </w:rPr>
              <w:fldChar w:fldCharType="begin"/>
            </w:r>
            <w:r>
              <w:rPr>
                <w:webHidden/>
              </w:rPr>
              <w:instrText xml:space="preserve"> PAGEREF _Toc27051467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51468" w:history="1">
            <w:r>
              <w:rPr>
                <w:rStyle w:val="Hyperlink"/>
              </w:rPr>
              <w:t>4.4.</w:t>
            </w:r>
            <w:r>
              <w:rPr>
                <w:rFonts w:asciiTheme="minorHAnsi" w:eastAsiaTheme="minorEastAsia" w:hAnsiTheme="minorHAnsi" w:cstheme="minorBidi"/>
                <w:bCs w:val="0"/>
                <w:sz w:val="22"/>
                <w:szCs w:val="22"/>
                <w:lang w:val="en-US" w:eastAsia="en-US"/>
              </w:rPr>
              <w:tab/>
            </w:r>
            <w:r>
              <w:rPr>
                <w:rStyle w:val="Hyperlink"/>
              </w:rPr>
              <w:t>Az uniós hozzájárulás tagállamonkénti elosztása</w:t>
            </w:r>
            <w:r>
              <w:rPr>
                <w:webHidden/>
              </w:rPr>
              <w:tab/>
            </w:r>
            <w:r>
              <w:rPr>
                <w:webHidden/>
              </w:rPr>
              <w:fldChar w:fldCharType="begin"/>
            </w:r>
            <w:r>
              <w:rPr>
                <w:webHidden/>
              </w:rPr>
              <w:instrText xml:space="preserve"> PAGEREF _Toc27051468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bCs w:val="0"/>
              <w:sz w:val="22"/>
              <w:szCs w:val="22"/>
              <w:lang w:val="en-US" w:eastAsia="en-US"/>
            </w:rPr>
          </w:pPr>
          <w:hyperlink w:anchor="_Toc27051469" w:history="1">
            <w:r>
              <w:rPr>
                <w:rStyle w:val="Hyperlink"/>
              </w:rPr>
              <w:t>4.5.</w:t>
            </w:r>
            <w:r>
              <w:rPr>
                <w:rFonts w:asciiTheme="minorHAnsi" w:eastAsiaTheme="minorEastAsia" w:hAnsiTheme="minorHAnsi" w:cstheme="minorBidi"/>
                <w:bCs w:val="0"/>
                <w:sz w:val="22"/>
                <w:szCs w:val="22"/>
                <w:lang w:val="en-US" w:eastAsia="en-US"/>
              </w:rPr>
              <w:tab/>
            </w:r>
            <w:r>
              <w:rPr>
                <w:rStyle w:val="Hyperlink"/>
              </w:rPr>
              <w:t>Felmerült kiadások intézkedéstípusok szerint</w:t>
            </w:r>
            <w:r>
              <w:rPr>
                <w:webHidden/>
              </w:rPr>
              <w:tab/>
            </w:r>
            <w:r>
              <w:rPr>
                <w:webHidden/>
              </w:rPr>
              <w:fldChar w:fldCharType="begin"/>
            </w:r>
            <w:r>
              <w:rPr>
                <w:webHidden/>
              </w:rPr>
              <w:instrText xml:space="preserve"> PAGEREF _Toc27051469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7051470" w:history="1">
            <w:r>
              <w:rPr>
                <w:rStyle w:val="Hyperlink"/>
              </w:rPr>
              <w:t>5.</w:t>
            </w:r>
            <w:r>
              <w:rPr>
                <w:rFonts w:asciiTheme="minorHAnsi" w:eastAsiaTheme="minorEastAsia" w:hAnsiTheme="minorHAnsi" w:cstheme="minorBidi"/>
                <w:bCs w:val="0"/>
                <w:sz w:val="22"/>
                <w:szCs w:val="22"/>
                <w:lang w:val="en-US" w:eastAsia="en-US"/>
              </w:rPr>
              <w:tab/>
            </w:r>
            <w:r>
              <w:rPr>
                <w:rStyle w:val="Hyperlink"/>
              </w:rPr>
              <w:t>A MÉHKAPTÁRAK SZÁMÁNAK MEGHATÁROZÁSÁRA SZOLGÁLÓ MÓDSZER</w:t>
            </w:r>
            <w:r>
              <w:rPr>
                <w:webHidden/>
              </w:rPr>
              <w:tab/>
            </w:r>
            <w:r>
              <w:rPr>
                <w:webHidden/>
              </w:rPr>
              <w:fldChar w:fldCharType="begin"/>
            </w:r>
            <w:r>
              <w:rPr>
                <w:webHidden/>
              </w:rPr>
              <w:instrText xml:space="preserve"> PAGEREF _Toc27051470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7051471" w:history="1">
            <w:r>
              <w:rPr>
                <w:rStyle w:val="Hyperlink"/>
              </w:rPr>
              <w:t>6.</w:t>
            </w:r>
            <w:r>
              <w:rPr>
                <w:rFonts w:asciiTheme="minorHAnsi" w:eastAsiaTheme="minorEastAsia" w:hAnsiTheme="minorHAnsi" w:cstheme="minorBidi"/>
                <w:bCs w:val="0"/>
                <w:sz w:val="22"/>
                <w:szCs w:val="22"/>
                <w:lang w:val="en-US" w:eastAsia="en-US"/>
              </w:rPr>
              <w:tab/>
            </w:r>
            <w:r>
              <w:rPr>
                <w:rStyle w:val="Hyperlink"/>
              </w:rPr>
              <w:t>MÉHÉSZET A 2020 UTÁNI KÖZÖS AGRÁRPOLITIKÁBAN</w:t>
            </w:r>
            <w:r>
              <w:rPr>
                <w:webHidden/>
              </w:rPr>
              <w:tab/>
            </w:r>
            <w:r>
              <w:rPr>
                <w:webHidden/>
              </w:rPr>
              <w:fldChar w:fldCharType="begin"/>
            </w:r>
            <w:r>
              <w:rPr>
                <w:webHidden/>
              </w:rPr>
              <w:instrText xml:space="preserve"> PAGEREF _Toc27051471 \h </w:instrText>
            </w:r>
            <w:r>
              <w:rPr>
                <w:webHidden/>
              </w:rPr>
            </w:r>
            <w:r>
              <w:rPr>
                <w:webHidden/>
              </w:rPr>
              <w:fldChar w:fldCharType="separate"/>
            </w:r>
            <w:r>
              <w:rPr>
                <w:webHidden/>
              </w:rPr>
              <w:t>13</w:t>
            </w:r>
            <w:r>
              <w:rPr>
                <w:webHidden/>
              </w:rPr>
              <w:fldChar w:fldCharType="end"/>
            </w:r>
          </w:hyperlink>
        </w:p>
        <w:p>
          <w:pPr>
            <w:pStyle w:val="TOC1"/>
            <w:rPr>
              <w:rFonts w:asciiTheme="minorHAnsi" w:eastAsiaTheme="minorEastAsia" w:hAnsiTheme="minorHAnsi" w:cstheme="minorBidi"/>
              <w:bCs w:val="0"/>
              <w:sz w:val="22"/>
              <w:szCs w:val="22"/>
              <w:lang w:val="en-US" w:eastAsia="en-US"/>
            </w:rPr>
          </w:pPr>
          <w:hyperlink w:anchor="_Toc27051472" w:history="1">
            <w:r>
              <w:rPr>
                <w:rStyle w:val="Hyperlink"/>
              </w:rPr>
              <w:t>7.</w:t>
            </w:r>
            <w:r>
              <w:rPr>
                <w:rFonts w:asciiTheme="minorHAnsi" w:eastAsiaTheme="minorEastAsia" w:hAnsiTheme="minorHAnsi" w:cstheme="minorBidi"/>
                <w:bCs w:val="0"/>
                <w:sz w:val="22"/>
                <w:szCs w:val="22"/>
                <w:lang w:val="en-US" w:eastAsia="en-US"/>
              </w:rPr>
              <w:tab/>
            </w:r>
            <w:r>
              <w:rPr>
                <w:rStyle w:val="Hyperlink"/>
              </w:rPr>
              <w:t>KÖVETKEZTETÉS</w:t>
            </w:r>
            <w:r>
              <w:rPr>
                <w:webHidden/>
              </w:rPr>
              <w:tab/>
            </w:r>
            <w:r>
              <w:rPr>
                <w:webHidden/>
              </w:rPr>
              <w:fldChar w:fldCharType="begin"/>
            </w:r>
            <w:r>
              <w:rPr>
                <w:webHidden/>
              </w:rPr>
              <w:instrText xml:space="preserve"> PAGEREF _Toc27051472 \h </w:instrText>
            </w:r>
            <w:r>
              <w:rPr>
                <w:webHidden/>
              </w:rPr>
            </w:r>
            <w:r>
              <w:rPr>
                <w:webHidden/>
              </w:rPr>
              <w:fldChar w:fldCharType="separate"/>
            </w:r>
            <w:r>
              <w:rPr>
                <w:webHidden/>
              </w:rPr>
              <w:t>14</w:t>
            </w:r>
            <w:r>
              <w:rPr>
                <w:webHidden/>
              </w:rPr>
              <w:fldChar w:fldCharType="end"/>
            </w:r>
          </w:hyperlink>
        </w:p>
        <w:p>
          <w:pPr>
            <w:rPr>
              <w:noProof/>
            </w:rPr>
          </w:pPr>
          <w:r>
            <w:rPr>
              <w:rFonts w:ascii="Times New Roman" w:eastAsia="Times New Roman" w:hAnsi="Times New Roman" w:cs="Times New Roman"/>
              <w:noProof/>
              <w:sz w:val="24"/>
              <w:szCs w:val="24"/>
            </w:rPr>
            <w:fldChar w:fldCharType="end"/>
          </w:r>
        </w:p>
      </w:sdtContent>
    </w:sdt>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20"/>
          <w:titlePg/>
          <w:docGrid w:linePitch="299"/>
        </w:sectPr>
      </w:pPr>
    </w:p>
    <w:p>
      <w:pPr>
        <w:pStyle w:val="Heading1"/>
        <w:rPr>
          <w:noProof/>
        </w:rPr>
      </w:pPr>
      <w:bookmarkStart w:id="2" w:name="_Toc261355713"/>
      <w:bookmarkStart w:id="3" w:name="_Toc27051459"/>
      <w:r>
        <w:rPr>
          <w:noProof/>
        </w:rPr>
        <w:t>1.</w:t>
      </w:r>
      <w:r>
        <w:rPr>
          <w:noProof/>
        </w:rPr>
        <w:tab/>
        <w:t>BEVEZETÉS</w:t>
      </w:r>
      <w:bookmarkEnd w:id="2"/>
      <w:bookmarkEnd w:id="3"/>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Más mezőgazdasági ágazatokkal összehasonlítva kis méretűnek tűnhet ugyan, a méhészet mégis fontos szerepet tölt be: a méz és egyéb méhészeti termékek biztosítása mellett hozzájárul a haszonnövények, gyümölcsök, vadnövények stb. beporzásához is. A </w:t>
      </w:r>
      <w:r>
        <w:rPr>
          <w:rFonts w:ascii="Times New Roman" w:hAnsi="Times New Roman"/>
          <w:bCs/>
          <w:noProof/>
          <w:sz w:val="24"/>
          <w:szCs w:val="24"/>
        </w:rPr>
        <w:t xml:space="preserve">közös agrárpolitika („KAP”) több eszközzel támogatja a méhészeti ágazatot, ezek egyikét </w:t>
      </w:r>
      <w:r>
        <w:rPr>
          <w:rFonts w:ascii="Times New Roman" w:hAnsi="Times New Roman"/>
          <w:noProof/>
          <w:sz w:val="24"/>
          <w:szCs w:val="24"/>
        </w:rPr>
        <w:t>az 1308/2013/EU rendelet</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(„az egységes közös piacszervezésről szóló rendelet”) szerinti méhészeti programok jelentik.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Az egységes közös piacszervezésről szóló rendelet 225. cikkének a) pontja értelmében a Bizottság háromévente jelentést nyújt be az Európai Parlamentnek és a Tanácsnak a méhészeti ágazattal kapcsolatos, az 55., 56. és 57. cikkben meghatározott intézkedések végrehajtásáról, beleértve a méhkaptár-azonosítási rendszerekkel kapcsolatos legutóbbi fejleményeket is. E jelentés ennek a rendelkezésnek megfelelően készült.  Nem kíséri jogalkotási javaslat. </w:t>
      </w:r>
    </w:p>
    <w:p>
      <w:pPr>
        <w:spacing w:after="120"/>
        <w:jc w:val="both"/>
        <w:rPr>
          <w:rFonts w:ascii="Times New Roman" w:hAnsi="Times New Roman" w:cs="Times New Roman"/>
          <w:noProof/>
          <w:sz w:val="24"/>
          <w:szCs w:val="24"/>
        </w:rPr>
      </w:pPr>
      <w:r>
        <w:rPr>
          <w:rFonts w:ascii="Times New Roman" w:hAnsi="Times New Roman"/>
          <w:noProof/>
          <w:sz w:val="24"/>
          <w:szCs w:val="24"/>
        </w:rPr>
        <w:t>E jelentés a 2016. augusztus 1. és 2019. július 31. közötti 2017–2019-es méhészeti évekre terjed ki.  E méhészeti évekre vonatkoztak először az új intézkedések. A jelentés a korábbi méhészeti évekre, valamint a 2020–2022-es méhészeti évekhez tervezett, a Bizottság felé 2019. március 15-ig bejelentett programokra vonatkozó információkat tartalmazza.</w:t>
      </w:r>
    </w:p>
    <w:p>
      <w:pPr>
        <w:spacing w:after="120"/>
        <w:jc w:val="both"/>
        <w:rPr>
          <w:rFonts w:ascii="Times New Roman" w:hAnsi="Times New Roman" w:cs="Times New Roman"/>
          <w:noProof/>
          <w:sz w:val="24"/>
          <w:szCs w:val="24"/>
        </w:rPr>
      </w:pPr>
      <w:r>
        <w:rPr>
          <w:rFonts w:ascii="Times New Roman" w:hAnsi="Times New Roman"/>
          <w:noProof/>
          <w:sz w:val="24"/>
          <w:szCs w:val="24"/>
        </w:rPr>
        <w:t>Ez a Bizottság által az Európai Parlamentnek és a Tanácsnak benyújtott, a méhészeti programok végrehajtásáról szóló hetedik jelentés. A jelentés nem tartalmazza a méhészeti szempontból összes szükséges elemet, hanem a méhészeti programok végrehajtására összpontosít. Emellett azonban rövid áttekintést is ad az uniós méhészeti ágazatról, valamint a jövőbeni közös agrárpolitikát illetően röviden bemutatja a Bizottság méhészeti ágazathoz kidolgozott javaslatát.</w:t>
      </w:r>
    </w:p>
    <w:p>
      <w:pPr>
        <w:spacing w:after="120"/>
        <w:jc w:val="both"/>
        <w:rPr>
          <w:rFonts w:ascii="Times New Roman" w:hAnsi="Times New Roman" w:cs="Times New Roman"/>
          <w:noProof/>
          <w:sz w:val="24"/>
          <w:szCs w:val="24"/>
        </w:rPr>
      </w:pPr>
      <w:r>
        <w:rPr>
          <w:rFonts w:ascii="Times New Roman" w:hAnsi="Times New Roman"/>
          <w:noProof/>
          <w:sz w:val="24"/>
          <w:szCs w:val="24"/>
        </w:rPr>
        <w:t>1997 óta az EU közvetlen támogatásban részesíti a méhészeti ágazatot</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lehetőséget adva a tagállamoknak arra, hogy méhészeti ágazatukhoz nemzeti programokat készítsenek. E programok a méhészeti termékek, azaz a méz, méhpempő, virágpor, méhszurok és méhviasz termelésének és forgalmazásának javítását célozzák.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 méhészeti programok az Európai Uniótól 50 %-os mértékű társfinanszírozásban részesülnek és három évre szólnak. A programok önkéntesek ugyan, ám mégis minden tagállam a bevezetésük mellett döntött, ez jelzi a tagállamok kifejezett érdeklődését, valamint az ágazat szükségleteit. </w:t>
      </w: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p>
    <w:p>
      <w:pPr>
        <w:pStyle w:val="Heading1"/>
        <w:rPr>
          <w:noProof/>
        </w:rPr>
      </w:pPr>
      <w:bookmarkStart w:id="4" w:name="_Toc27051460"/>
      <w:r>
        <w:rPr>
          <w:noProof/>
        </w:rPr>
        <w:t>2.</w:t>
      </w:r>
      <w:r>
        <w:rPr>
          <w:noProof/>
        </w:rPr>
        <w:tab/>
        <w:t>MÓDSZERTAN</w:t>
      </w:r>
      <w:bookmarkEnd w:id="4"/>
    </w:p>
    <w:p>
      <w:pPr>
        <w:pStyle w:val="Text1"/>
        <w:spacing w:before="0" w:line="276" w:lineRule="auto"/>
        <w:ind w:left="0"/>
        <w:rPr>
          <w:noProof/>
        </w:rPr>
      </w:pPr>
      <w:r>
        <w:rPr>
          <w:noProof/>
        </w:rPr>
        <w:t>E jelentés a következő információforrásokon alapul:</w:t>
      </w:r>
    </w:p>
    <w:p>
      <w:pPr>
        <w:pStyle w:val="Text1"/>
        <w:numPr>
          <w:ilvl w:val="0"/>
          <w:numId w:val="3"/>
        </w:numPr>
        <w:spacing w:before="0" w:line="276" w:lineRule="auto"/>
        <w:rPr>
          <w:noProof/>
        </w:rPr>
      </w:pPr>
      <w:r>
        <w:rPr>
          <w:noProof/>
        </w:rPr>
        <w:t>A méhészeti ágazatban nyújtott támogatások tekintetében a tagállamok által az (EU) 2015/1366 felhatalmazáson alapuló bizottsági rendelet</w:t>
      </w:r>
      <w:r>
        <w:rPr>
          <w:rStyle w:val="FootnoteReference"/>
          <w:noProof/>
          <w:lang w:val="en-IE"/>
        </w:rPr>
        <w:footnoteReference w:id="3"/>
      </w:r>
      <w:r>
        <w:rPr>
          <w:noProof/>
        </w:rPr>
        <w:t xml:space="preserve"> szerint bejelentett információk, beleértve a területükön található méhkaptárak számát.</w:t>
      </w:r>
    </w:p>
    <w:p>
      <w:pPr>
        <w:pStyle w:val="Text1"/>
        <w:numPr>
          <w:ilvl w:val="0"/>
          <w:numId w:val="3"/>
        </w:numPr>
        <w:spacing w:before="0" w:line="276" w:lineRule="auto"/>
        <w:rPr>
          <w:noProof/>
        </w:rPr>
      </w:pPr>
      <w:r>
        <w:rPr>
          <w:noProof/>
        </w:rPr>
        <w:t>A méhészeti ágazatban nyújtott támogatások tekintetében a tagállamok által az (EU) 2015/1368 bizottsági végrehajtási rendelet</w:t>
      </w:r>
      <w:r>
        <w:rPr>
          <w:rStyle w:val="FootnoteReference"/>
          <w:noProof/>
        </w:rPr>
        <w:footnoteReference w:id="4"/>
      </w:r>
      <w:r>
        <w:rPr>
          <w:noProof/>
        </w:rPr>
        <w:t xml:space="preserve"> szerint bejelentett információk, beleértve a rendelet 10. cikkében meghatározott éves végrehajtási jelentéseket. Az éves jelentések tartalmazzák a méhészeti évben felmerült kiadások összegzését euróban megadva, intézkedésenkénti bontásban, és az eredményeket az egyes végrehajtott intézkedésekhez rendelt teljesítménymutatók alapján. Ezek a mutatók azonban nincsenek uniós szinten harmonizálva, és nem kerültek felhasználásra a jelentés kapcsán levont következtetésekhez.  </w:t>
      </w:r>
    </w:p>
    <w:p>
      <w:pPr>
        <w:pStyle w:val="NormalWeb"/>
        <w:numPr>
          <w:ilvl w:val="0"/>
          <w:numId w:val="3"/>
        </w:numPr>
        <w:spacing w:before="0" w:beforeAutospacing="0" w:after="120" w:afterAutospacing="0" w:line="276" w:lineRule="auto"/>
        <w:jc w:val="both"/>
        <w:rPr>
          <w:noProof/>
        </w:rPr>
      </w:pPr>
      <w:r>
        <w:rPr>
          <w:noProof/>
        </w:rPr>
        <w:t>A méhészeti intézkedésekre vonatkozóan a tagállamok által a 917/2004/EK bizottsági rendelet</w:t>
      </w:r>
      <w:r>
        <w:rPr>
          <w:rStyle w:val="FootnoteReference"/>
          <w:noProof/>
          <w:lang w:val="en-IE"/>
        </w:rPr>
        <w:footnoteReference w:id="5"/>
      </w:r>
      <w:r>
        <w:rPr>
          <w:noProof/>
        </w:rPr>
        <w:t xml:space="preserve"> szerint bejelentett információk, a nemzeti méhészeti programra vonatkozó szabályok 2016-os méhészeti évig történő meghatározásával. </w:t>
      </w:r>
    </w:p>
    <w:p>
      <w:pPr>
        <w:pStyle w:val="NormalWeb"/>
        <w:numPr>
          <w:ilvl w:val="0"/>
          <w:numId w:val="3"/>
        </w:numPr>
        <w:spacing w:before="0" w:beforeAutospacing="0" w:after="120" w:afterAutospacing="0" w:line="276" w:lineRule="auto"/>
        <w:jc w:val="both"/>
        <w:rPr>
          <w:noProof/>
        </w:rPr>
      </w:pPr>
      <w:r>
        <w:rPr>
          <w:noProof/>
        </w:rPr>
        <w:t>Az Eurostat</w:t>
      </w:r>
      <w:r>
        <w:rPr>
          <w:rStyle w:val="FootnoteReference"/>
          <w:noProof/>
        </w:rPr>
        <w:footnoteReference w:id="6"/>
      </w:r>
      <w:r>
        <w:rPr>
          <w:noProof/>
        </w:rPr>
        <w:t>, az UN Comtrade</w:t>
      </w:r>
      <w:r>
        <w:rPr>
          <w:rStyle w:val="FootnoteReference"/>
          <w:noProof/>
        </w:rPr>
        <w:footnoteReference w:id="7"/>
      </w:r>
      <w:r>
        <w:rPr>
          <w:noProof/>
        </w:rPr>
        <w:t xml:space="preserve"> és az ENSZ Élelmezési és Mezőgazdasági Szervezete (FAO)</w:t>
      </w:r>
      <w:r>
        <w:rPr>
          <w:rStyle w:val="FootnoteReference"/>
          <w:noProof/>
        </w:rPr>
        <w:footnoteReference w:id="8"/>
      </w:r>
      <w:r>
        <w:rPr>
          <w:noProof/>
        </w:rPr>
        <w:t xml:space="preserve"> méztermelésre és nemzetközi kereskedelemre vonatkozó adatai.</w:t>
      </w:r>
    </w:p>
    <w:p>
      <w:pPr>
        <w:pStyle w:val="Text1"/>
        <w:spacing w:before="0" w:line="276" w:lineRule="auto"/>
        <w:ind w:left="0"/>
        <w:rPr>
          <w:rStyle w:val="Heading1Char"/>
          <w:noProof/>
        </w:rPr>
      </w:pPr>
      <w:r>
        <w:rPr>
          <w:noProof/>
        </w:rPr>
        <w:t>A mézpiacra és a méhészeti programokra vonatkozó részletes adatok és összefoglaló táblázatok a Bizottság honlapján</w:t>
      </w:r>
      <w:r>
        <w:rPr>
          <w:rStyle w:val="FootnoteReference"/>
          <w:noProof/>
        </w:rPr>
        <w:footnoteReference w:id="9"/>
      </w:r>
      <w:r>
        <w:rPr>
          <w:noProof/>
        </w:rPr>
        <w:t xml:space="preserve"> érhetők el.</w:t>
      </w:r>
    </w:p>
    <w:p>
      <w:pPr>
        <w:pStyle w:val="Heading1"/>
        <w:rPr>
          <w:noProof/>
        </w:rPr>
      </w:pPr>
      <w:bookmarkStart w:id="5" w:name="_Toc27051461"/>
      <w:r>
        <w:rPr>
          <w:noProof/>
        </w:rPr>
        <w:t>3.</w:t>
      </w:r>
      <w:r>
        <w:rPr>
          <w:noProof/>
        </w:rPr>
        <w:tab/>
        <w:t>AZ UNIÓS MÉHÉSZETI ÁGAZAT ÁTTEKINTÉSE</w:t>
      </w:r>
      <w:bookmarkEnd w:id="5"/>
    </w:p>
    <w:p>
      <w:pPr>
        <w:pStyle w:val="Heading2"/>
        <w:rPr>
          <w:b w:val="0"/>
          <w:noProof/>
        </w:rPr>
      </w:pPr>
      <w:bookmarkStart w:id="6" w:name="_Toc27051462"/>
      <w:r>
        <w:rPr>
          <w:rStyle w:val="Heading2Char"/>
          <w:b/>
          <w:noProof/>
        </w:rPr>
        <w:t>3.1.</w:t>
      </w:r>
      <w:r>
        <w:rPr>
          <w:rStyle w:val="Heading2Char"/>
          <w:b/>
          <w:noProof/>
        </w:rPr>
        <w:tab/>
        <w:t>Termelés és árak</w:t>
      </w:r>
      <w:bookmarkEnd w:id="6"/>
    </w:p>
    <w:p>
      <w:pPr>
        <w:pStyle w:val="Text1"/>
        <w:spacing w:line="276" w:lineRule="auto"/>
        <w:ind w:left="0"/>
        <w:rPr>
          <w:b/>
          <w:noProof/>
          <w:u w:val="single"/>
        </w:rPr>
      </w:pPr>
      <w:r>
        <w:rPr>
          <w:b/>
          <w:noProof/>
          <w:u w:val="single"/>
        </w:rPr>
        <w:t>Termelés</w:t>
      </w:r>
    </w:p>
    <w:p>
      <w:pPr>
        <w:pStyle w:val="Text1"/>
        <w:spacing w:line="276" w:lineRule="auto"/>
        <w:ind w:left="0"/>
        <w:rPr>
          <w:noProof/>
        </w:rPr>
      </w:pPr>
      <w:r>
        <w:rPr>
          <w:noProof/>
        </w:rPr>
        <w:t xml:space="preserve">A 2020–2022-es programokhoz bejelentett adatok alapján az Unióban 650 000 méhész körülbelül 17,5 millió méhkaptárt kezel. A méhészek száma a 2017–2019-es programokhoz 2016-ban beérkezett adatokhoz képest növekedést mutat. Megjegyzendő azonban, hogy nem létezik harmonizált módszer sem a méhészek meghatározásához, sem a méhészek számának becsléséhez, ezért a szám módosulása nem feltétlenül tükrözi az ágazat általános tendenciáját. </w:t>
      </w:r>
    </w:p>
    <w:p>
      <w:pPr>
        <w:pStyle w:val="Text1"/>
        <w:spacing w:line="276" w:lineRule="auto"/>
        <w:ind w:left="0"/>
        <w:rPr>
          <w:i/>
          <w:noProof/>
        </w:rPr>
      </w:pPr>
      <w:r>
        <w:rPr>
          <w:i/>
          <w:noProof/>
        </w:rPr>
        <w:t>1. ábra: A méhészek száma</w:t>
      </w:r>
    </w:p>
    <w:p>
      <w:pPr>
        <w:pStyle w:val="Text1"/>
        <w:spacing w:line="276" w:lineRule="auto"/>
        <w:ind w:left="0" w:firstLine="1304"/>
        <w:rPr>
          <w:noProof/>
        </w:rPr>
      </w:pPr>
      <w:r>
        <w:rPr>
          <w:noProof/>
          <w:lang w:val="en-GB" w:eastAsia="en-GB"/>
        </w:rPr>
        <w:drawing>
          <wp:inline distT="0" distB="0" distL="0" distR="0">
            <wp:extent cx="5172075" cy="3114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72075" cy="3114675"/>
                    </a:xfrm>
                    <a:prstGeom prst="rect">
                      <a:avLst/>
                    </a:prstGeom>
                  </pic:spPr>
                </pic:pic>
              </a:graphicData>
            </a:graphic>
          </wp:inline>
        </w:drawing>
      </w:r>
    </w:p>
    <w:p>
      <w:pPr>
        <w:pStyle w:val="Text1"/>
        <w:spacing w:line="276" w:lineRule="auto"/>
        <w:ind w:left="0"/>
        <w:rPr>
          <w:noProof/>
        </w:rPr>
      </w:pPr>
      <w:r>
        <w:rPr>
          <w:noProof/>
        </w:rPr>
        <w:t>Az ágazat 2018-ban elért 280 000 tonnás méztermelésével az EU a világ második legnagyobb méztermelője Kína után (550 000 tonna</w:t>
      </w:r>
      <w:r>
        <w:rPr>
          <w:rStyle w:val="FootnoteReference"/>
          <w:noProof/>
        </w:rPr>
        <w:footnoteReference w:id="10"/>
      </w:r>
      <w:r>
        <w:rPr>
          <w:noProof/>
        </w:rPr>
        <w:t>). Az uniós termelés 16 %-kal emelkedett 2014 óta (amikor 240 000 tonna volt), de az EU még mindig nem termel elég mézet ahhoz, hogy saját fogyasztását fedezni tudja. 2018-ban az önellátás mértéke</w:t>
      </w:r>
      <w:r>
        <w:rPr>
          <w:rStyle w:val="FootnoteReference"/>
          <w:noProof/>
        </w:rPr>
        <w:footnoteReference w:id="11"/>
      </w:r>
      <w:r>
        <w:rPr>
          <w:noProof/>
        </w:rPr>
        <w:t xml:space="preserve"> 60 % körül volt, ami nagyjából a 2015. évi szintnek felel meg. Az importméz fő beszállítója Kína (a behozatal 40 %-a), amelyet Ukrajna (a behozatal 20 %-a) követ.</w:t>
      </w:r>
    </w:p>
    <w:p>
      <w:pPr>
        <w:pStyle w:val="Text1"/>
        <w:spacing w:line="276" w:lineRule="auto"/>
        <w:ind w:left="0"/>
        <w:rPr>
          <w:noProof/>
        </w:rPr>
      </w:pPr>
    </w:p>
    <w:p>
      <w:pPr>
        <w:rPr>
          <w:rFonts w:ascii="Times New Roman" w:hAnsi="Times New Roman" w:cs="Times New Roman"/>
          <w:noProof/>
          <w:color w:val="FF0000"/>
          <w:sz w:val="24"/>
          <w:szCs w:val="24"/>
        </w:rPr>
      </w:pPr>
      <w:r>
        <w:rPr>
          <w:rFonts w:ascii="Times New Roman" w:hAnsi="Times New Roman"/>
          <w:i/>
          <w:noProof/>
          <w:sz w:val="24"/>
          <w:szCs w:val="24"/>
        </w:rPr>
        <w:t>2. ábra: Uniós méztermelés 2017-ben és 2018-ban</w:t>
      </w:r>
      <w:r>
        <w:rPr>
          <w:noProof/>
          <w:lang w:val="en-GB" w:eastAsia="en-GB"/>
        </w:rPr>
        <w:drawing>
          <wp:inline distT="0" distB="0" distL="0" distR="0">
            <wp:extent cx="5760720" cy="30746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3074670"/>
                    </a:xfrm>
                    <a:prstGeom prst="rect">
                      <a:avLst/>
                    </a:prstGeom>
                  </pic:spPr>
                </pic:pic>
              </a:graphicData>
            </a:graphic>
          </wp:inline>
        </w:drawing>
      </w:r>
    </w:p>
    <w:p>
      <w:pPr>
        <w:pStyle w:val="Text1"/>
        <w:spacing w:line="276" w:lineRule="auto"/>
        <w:ind w:left="0"/>
        <w:rPr>
          <w:rFonts w:eastAsiaTheme="minorHAnsi"/>
          <w:b/>
          <w:noProof/>
          <w:u w:val="single"/>
        </w:rPr>
      </w:pPr>
      <w:r>
        <w:rPr>
          <w:b/>
          <w:noProof/>
          <w:u w:val="single"/>
        </w:rPr>
        <w:t>Árak</w:t>
      </w:r>
    </w:p>
    <w:p>
      <w:pPr>
        <w:pStyle w:val="Text1"/>
        <w:spacing w:line="276" w:lineRule="auto"/>
        <w:ind w:left="0"/>
        <w:rPr>
          <w:noProof/>
        </w:rPr>
      </w:pPr>
      <w:r>
        <w:rPr>
          <w:noProof/>
        </w:rPr>
        <w:t xml:space="preserve">A méz ára a tagállamok, a minőség és az értékesítési hely függvényében jelentős eltérést mutat. 2018-ban a </w:t>
      </w:r>
      <w:r>
        <w:rPr>
          <w:noProof/>
          <w:u w:val="single"/>
        </w:rPr>
        <w:t>termelési helyen</w:t>
      </w:r>
      <w:r>
        <w:rPr>
          <w:noProof/>
        </w:rPr>
        <w:t xml:space="preserve"> 6,46 EUR/kg volt a vegyes virágméz uniós átlagára. A legtöbb tagállamban a </w:t>
      </w:r>
      <w:r>
        <w:rPr>
          <w:noProof/>
          <w:u w:val="single"/>
        </w:rPr>
        <w:t>nagykereskedelemben ömlesztve</w:t>
      </w:r>
      <w:r>
        <w:rPr>
          <w:noProof/>
        </w:rPr>
        <w:t xml:space="preserve"> értékesített méz ára alacsonyabb, ezért 2018-ban 3,79 EUR/kg volt az uniós átlagár. Érdemes megjegyezni, hogy míg a korábbi információk 2016. évi beérkezése óta ezek az árak alig változtak, addig az átlagos </w:t>
      </w:r>
      <w:r>
        <w:rPr>
          <w:noProof/>
          <w:u w:val="single"/>
        </w:rPr>
        <w:t>termelési költség</w:t>
      </w:r>
      <w:r>
        <w:rPr>
          <w:noProof/>
        </w:rPr>
        <w:t xml:space="preserve"> 3,21 EUR/kg-ról (2015) 3,90 EUR/kg-ra (2018) emelkedett, vélhetően csökkentve ezzel a megtermelt méz kilónkénti árrését. Mivel azonban a tagállamok nem jelentik, hogy a megtermelt mézből mennyit értékesítenek ömlesztve és a termelési helyen, így nem lehet határozott következtetéseket levonni a termelők nyereségességéről. </w:t>
      </w:r>
    </w:p>
    <w:p>
      <w:pPr>
        <w:pStyle w:val="Text1"/>
        <w:ind w:left="0"/>
        <w:rPr>
          <w:i/>
          <w:noProof/>
        </w:rPr>
      </w:pPr>
      <w:r>
        <w:rPr>
          <w:i/>
          <w:noProof/>
        </w:rPr>
        <w:t>3. ábra: A méz átlagára 2018-ban. MT: max./min. árak átlaga</w:t>
      </w:r>
    </w:p>
    <w:p>
      <w:pPr>
        <w:pStyle w:val="Text1"/>
        <w:ind w:left="0"/>
        <w:rPr>
          <w:noProof/>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2033186</wp:posOffset>
                </wp:positionH>
                <wp:positionV relativeFrom="paragraph">
                  <wp:posOffset>242115</wp:posOffset>
                </wp:positionV>
                <wp:extent cx="1466191" cy="370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191" cy="370600"/>
                        </a:xfrm>
                        <a:prstGeom prst="rect">
                          <a:avLst/>
                        </a:prstGeom>
                        <a:noFill/>
                        <a:ln w="9525">
                          <a:noFill/>
                          <a:miter lim="800000"/>
                          <a:headEnd/>
                          <a:tailEnd/>
                        </a:ln>
                      </wps:spPr>
                      <wps:txbx>
                        <w:txbxContent>
                          <w:p>
                            <w:pPr>
                              <w:rPr>
                                <w:b/>
                                <w:sz w:val="24"/>
                              </w:rPr>
                            </w:pPr>
                            <w:r>
                              <w:rPr>
                                <w:b/>
                                <w:sz w:val="24"/>
                              </w:rPr>
                              <w:t>Termelési hely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1pt;margin-top:19.05pt;width:115.45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" filled="f" stroked="f">
                <v:textbox>
                  <w:txbxContent>
                    <w:p>
                      <w:pPr>
                        <w:rPr>
                          <w:b/>
                          <w:sz w:val="24"/>
                        </w:rPr>
                      </w:pPr>
                      <w:r>
                        <w:rPr>
                          <w:b/>
                          <w:sz w:val="24"/>
                        </w:rPr>
                        <w:t>Termelési hely</w:t>
                      </w:r>
                    </w:p>
                  </w:txbxContent>
                </v:textbox>
              </v:shape>
            </w:pict>
          </mc:Fallback>
        </mc:AlternateContent>
      </w: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3715337</wp:posOffset>
                </wp:positionH>
                <wp:positionV relativeFrom="paragraph">
                  <wp:posOffset>250740</wp:posOffset>
                </wp:positionV>
                <wp:extent cx="1785560" cy="3535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560" cy="353515"/>
                        </a:xfrm>
                        <a:prstGeom prst="rect">
                          <a:avLst/>
                        </a:prstGeom>
                        <a:noFill/>
                        <a:ln w="9525">
                          <a:noFill/>
                          <a:miter lim="800000"/>
                          <a:headEnd/>
                          <a:tailEnd/>
                        </a:ln>
                      </wps:spPr>
                      <wps:txbx>
                        <w:txbxContent>
                          <w:p>
                            <w:pPr>
                              <w:rPr>
                                <w:b/>
                                <w:sz w:val="24"/>
                              </w:rPr>
                            </w:pPr>
                            <w:r>
                              <w:rPr>
                                <w:b/>
                                <w:sz w:val="24"/>
                              </w:rPr>
                              <w:t>Nagykereskedelemben ömlesztve Termelés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2.55pt;margin-top:19.75pt;width:140.6pt;height:2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" filled="f" stroked="f">
                <v:textbox>
                  <w:txbxContent>
                    <w:p>
                      <w:pPr>
                        <w:rPr>
                          <w:b/>
                          <w:sz w:val="24"/>
                        </w:rPr>
                      </w:pPr>
                      <w:r>
                        <w:rPr>
                          <w:b/>
                          <w:sz w:val="24"/>
                        </w:rPr>
                        <w:t>Nagykereskedelemben ömlesztve Termelés</w:t>
                      </w:r>
                    </w:p>
                  </w:txbxContent>
                </v:textbox>
              </v:shape>
            </w:pict>
          </mc:Fallback>
        </mc:AlternateContent>
      </w:r>
      <w:r>
        <w:rPr>
          <w:noProof/>
          <w:lang w:val="en-GB" w:eastAsia="en-GB"/>
        </w:rPr>
        <w:drawing>
          <wp:inline distT="0" distB="0" distL="0" distR="0">
            <wp:extent cx="5760720" cy="2899923"/>
            <wp:effectExtent l="0" t="0" r="1143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Heading2"/>
        <w:rPr>
          <w:noProof/>
        </w:rPr>
      </w:pPr>
    </w:p>
    <w:p>
      <w:pPr>
        <w:pStyle w:val="Heading2"/>
        <w:rPr>
          <w:noProof/>
        </w:rPr>
      </w:pPr>
      <w:bookmarkStart w:id="7" w:name="_Toc27051463"/>
      <w:r>
        <w:rPr>
          <w:noProof/>
        </w:rPr>
        <w:t>3.2.</w:t>
      </w:r>
      <w:r>
        <w:rPr>
          <w:noProof/>
        </w:rPr>
        <w:tab/>
        <w:t>Kereskedelem</w:t>
      </w:r>
      <w:bookmarkEnd w:id="7"/>
    </w:p>
    <w:p>
      <w:pPr>
        <w:pStyle w:val="Text1"/>
        <w:ind w:left="0"/>
        <w:rPr>
          <w:b/>
          <w:noProof/>
          <w:u w:val="single"/>
        </w:rPr>
      </w:pPr>
      <w:r>
        <w:rPr>
          <w:b/>
          <w:noProof/>
          <w:u w:val="single"/>
        </w:rPr>
        <w:t>Behozatal</w:t>
      </w:r>
    </w:p>
    <w:p>
      <w:pPr>
        <w:pStyle w:val="Text1"/>
        <w:spacing w:line="276" w:lineRule="auto"/>
        <w:ind w:left="0"/>
        <w:rPr>
          <w:noProof/>
        </w:rPr>
      </w:pPr>
      <w:r>
        <w:rPr>
          <w:noProof/>
        </w:rPr>
        <w:t>Mézből csupán 60 % az uniós önellátás mértéke. 2018-ban az Unió 208 000 tonna mézet importált, összesen 452 millió EUR értékben. Az EU a világ legnagyobb mézimportőre, és Kína a fő beszállítója. A Kínából származó uniós behozatal azonban közel 100 000 tonnáról (2015) 80 000 tonnára (2018) csökkent</w:t>
      </w:r>
      <w:r>
        <w:rPr>
          <w:rStyle w:val="FootnoteReference"/>
          <w:noProof/>
        </w:rPr>
        <w:footnoteReference w:id="12"/>
      </w:r>
      <w:r>
        <w:rPr>
          <w:noProof/>
        </w:rPr>
        <w:t xml:space="preserve">. Ugyanezen időszak alatt a második fő szállítónak számító Ukrajnából származó behozatal 20 000 tonnáról 41 000 tonnára nőtt, míg a harmadik és negyedik szállítótól, azaz Argentínából és Mexikóból behozott mennyiség 25 000, illetve 20 000 tonna maradt. </w:t>
      </w:r>
    </w:p>
    <w:p>
      <w:pPr>
        <w:pStyle w:val="Text1"/>
        <w:spacing w:line="276" w:lineRule="auto"/>
        <w:ind w:left="0"/>
        <w:rPr>
          <w:noProof/>
        </w:rPr>
      </w:pPr>
      <w:r>
        <w:rPr>
          <w:noProof/>
        </w:rPr>
        <w:t xml:space="preserve">A harmadik országokból behozott méz rendszerint olcsóbb, mint az Unióban termelt méz, és 2018-ban valamivel 2 EUR/kg felett volt az átlagos importár. </w:t>
      </w:r>
    </w:p>
    <w:p>
      <w:pPr>
        <w:pStyle w:val="Text1"/>
        <w:spacing w:line="276" w:lineRule="auto"/>
        <w:ind w:left="0"/>
        <w:rPr>
          <w:noProof/>
        </w:rPr>
      </w:pPr>
    </w:p>
    <w:p>
      <w:pPr>
        <w:pStyle w:val="Text1"/>
        <w:ind w:left="0"/>
        <w:rPr>
          <w:b/>
          <w:noProof/>
          <w:u w:val="single"/>
        </w:rPr>
      </w:pPr>
      <w:r>
        <w:rPr>
          <w:b/>
          <w:noProof/>
          <w:u w:val="single"/>
        </w:rPr>
        <w:t>Kivitel</w:t>
      </w:r>
    </w:p>
    <w:p>
      <w:pPr>
        <w:pStyle w:val="Text1"/>
        <w:spacing w:line="276" w:lineRule="auto"/>
        <w:ind w:left="0"/>
        <w:rPr>
          <w:noProof/>
        </w:rPr>
      </w:pPr>
      <w:r>
        <w:rPr>
          <w:noProof/>
        </w:rPr>
        <w:t xml:space="preserve">A behozatalhoz képest elhanyagolható az uniós export, és az Unió 2018-ban az uniós termelés körülbelül 7 %-át kitevő mintegy 21 000 tonna mézet exportált. Az uniós méz fő piacait Svájc, Szaúd-Arábia, az Egyesült Államok és Japán jelentik. 2018-ban 5,7 EUR/kg volt az átlagos exportár. </w:t>
      </w:r>
    </w:p>
    <w:p>
      <w:pPr>
        <w:pStyle w:val="Text1"/>
        <w:ind w:left="0"/>
        <w:rPr>
          <w:i/>
          <w:noProof/>
        </w:rPr>
      </w:pPr>
      <w:r>
        <w:rPr>
          <w:i/>
          <w:noProof/>
        </w:rPr>
        <w:t>4. ábra: Az Unióba behozott (folyamatos kék) és az Unióból kivitt (szaggatott piros) méz EUR/kg átlagára 2009 és 2018 között. Forrás: az Eurostat Comext-adatbázisa</w:t>
      </w:r>
    </w:p>
    <w:p>
      <w:pPr>
        <w:pStyle w:val="Text1"/>
        <w:ind w:left="0"/>
        <w:rPr>
          <w:noProof/>
        </w:rPr>
      </w:pPr>
      <w:r>
        <w:rPr>
          <w:noProof/>
          <w:lang w:val="en-GB" w:eastAsia="en-GB"/>
        </w:rPr>
        <w:drawing>
          <wp:inline distT="0" distB="0" distL="0" distR="0">
            <wp:extent cx="5382883" cy="3299557"/>
            <wp:effectExtent l="0" t="0" r="8890" b="0"/>
            <wp:docPr id="6" name="Picture 6" descr="cid:image001.png@01D5A14B.2E4A7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5A14B.2E4A7B7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397785" cy="3308691"/>
                    </a:xfrm>
                    <a:prstGeom prst="rect">
                      <a:avLst/>
                    </a:prstGeom>
                    <a:noFill/>
                    <a:ln>
                      <a:noFill/>
                    </a:ln>
                  </pic:spPr>
                </pic:pic>
              </a:graphicData>
            </a:graphic>
          </wp:inline>
        </w:drawing>
      </w:r>
    </w:p>
    <w:p>
      <w:pPr>
        <w:pStyle w:val="ManualHeading1"/>
        <w:spacing w:before="480" w:after="240"/>
        <w:ind w:left="0" w:firstLine="0"/>
        <w:jc w:val="left"/>
        <w:rPr>
          <w:b w:val="0"/>
          <w:noProof/>
        </w:rPr>
      </w:pPr>
      <w:bookmarkStart w:id="8" w:name="_Toc27051464"/>
      <w:r>
        <w:rPr>
          <w:rStyle w:val="Heading1Char"/>
          <w:b/>
          <w:noProof/>
        </w:rPr>
        <w:t>4.</w:t>
      </w:r>
      <w:r>
        <w:rPr>
          <w:rStyle w:val="Heading1Char"/>
          <w:b/>
          <w:noProof/>
        </w:rPr>
        <w:tab/>
      </w:r>
      <w:bookmarkStart w:id="9" w:name="_Toc261355714"/>
      <w:r>
        <w:rPr>
          <w:rStyle w:val="Heading1Char"/>
          <w:b/>
          <w:noProof/>
        </w:rPr>
        <w:t>A NEMZETI MÉHÉSZETI PROGRAMOK VÉGREHAJTÁSA</w:t>
      </w:r>
      <w:bookmarkEnd w:id="9"/>
      <w:bookmarkEnd w:id="8"/>
    </w:p>
    <w:p>
      <w:pPr>
        <w:pStyle w:val="Heading2"/>
        <w:rPr>
          <w:rStyle w:val="Heading2Char"/>
          <w:b/>
          <w:bCs/>
          <w:noProof/>
        </w:rPr>
      </w:pPr>
      <w:bookmarkStart w:id="10" w:name="_Toc27051465"/>
      <w:r>
        <w:rPr>
          <w:rStyle w:val="Heading2Char"/>
          <w:b/>
          <w:noProof/>
        </w:rPr>
        <w:t>4.1.</w:t>
      </w:r>
      <w:r>
        <w:rPr>
          <w:b w:val="0"/>
          <w:noProof/>
        </w:rPr>
        <w:tab/>
      </w:r>
      <w:r>
        <w:rPr>
          <w:rStyle w:val="Heading2Char"/>
          <w:b/>
          <w:noProof/>
        </w:rPr>
        <w:t>Jogalap</w:t>
      </w:r>
      <w:bookmarkEnd w:id="10"/>
    </w:p>
    <w:p>
      <w:pPr>
        <w:spacing w:after="120"/>
        <w:jc w:val="both"/>
        <w:rPr>
          <w:rFonts w:ascii="Times New Roman" w:hAnsi="Times New Roman" w:cs="Times New Roman"/>
          <w:noProof/>
          <w:sz w:val="24"/>
          <w:szCs w:val="24"/>
        </w:rPr>
      </w:pPr>
      <w:r>
        <w:rPr>
          <w:rFonts w:ascii="Times New Roman" w:hAnsi="Times New Roman"/>
          <w:noProof/>
          <w:sz w:val="24"/>
          <w:szCs w:val="24"/>
        </w:rPr>
        <w:t>A 2016. augusztus 1-jén kezdődött 2017-es méhészeti évben a nemzeti méhészeti programok jogalapját az egységes közös piacszervezésről szóló rendelet 55–57. cikke képezte, az alábbiakkal kiegészítve:</w:t>
      </w:r>
    </w:p>
    <w:p>
      <w:pPr>
        <w:pStyle w:val="ListParagraph"/>
        <w:numPr>
          <w:ilvl w:val="0"/>
          <w:numId w:val="1"/>
        </w:numPr>
        <w:spacing w:after="120"/>
        <w:ind w:left="360"/>
        <w:jc w:val="both"/>
        <w:rPr>
          <w:rFonts w:ascii="Times New Roman" w:hAnsi="Times New Roman" w:cs="Times New Roman"/>
          <w:noProof/>
          <w:sz w:val="24"/>
          <w:szCs w:val="24"/>
        </w:rPr>
      </w:pPr>
      <w:r>
        <w:rPr>
          <w:rFonts w:ascii="Times New Roman" w:hAnsi="Times New Roman"/>
          <w:noProof/>
          <w:sz w:val="24"/>
          <w:szCs w:val="24"/>
        </w:rPr>
        <w:t>a Bizottság (EU) 2015/1366 felhatalmazáson alapuló rendelete</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és</w:t>
      </w:r>
    </w:p>
    <w:p>
      <w:pPr>
        <w:pStyle w:val="ListParagraph"/>
        <w:numPr>
          <w:ilvl w:val="0"/>
          <w:numId w:val="1"/>
        </w:numPr>
        <w:spacing w:after="120"/>
        <w:ind w:left="360"/>
        <w:jc w:val="both"/>
        <w:rPr>
          <w:rFonts w:ascii="Times New Roman" w:hAnsi="Times New Roman" w:cs="Times New Roman"/>
          <w:noProof/>
          <w:sz w:val="24"/>
          <w:szCs w:val="24"/>
        </w:rPr>
      </w:pPr>
      <w:r>
        <w:rPr>
          <w:rFonts w:ascii="Times New Roman" w:hAnsi="Times New Roman"/>
          <w:noProof/>
          <w:sz w:val="24"/>
          <w:szCs w:val="24"/>
        </w:rPr>
        <w:t>a Bizottság (EU) 2015/1368 végrehajtási rendelete</w:t>
      </w:r>
      <w:r>
        <w:rPr>
          <w:rStyle w:val="FootnoteReference"/>
          <w:rFonts w:ascii="Times New Roman" w:eastAsia="Times New Roman" w:hAnsi="Times New Roman" w:cs="Times New Roman"/>
          <w:noProof/>
          <w:color w:val="444444"/>
          <w:sz w:val="24"/>
          <w:szCs w:val="24"/>
          <w:lang w:val="en-IE" w:eastAsia="sv-SE"/>
        </w:rPr>
        <w:footnoteReference w:id="14"/>
      </w:r>
      <w:r>
        <w:rPr>
          <w:rFonts w:ascii="Times New Roman" w:hAnsi="Times New Roman"/>
          <w:noProof/>
          <w:sz w:val="24"/>
          <w:szCs w:val="24"/>
        </w:rPr>
        <w:t>.</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A 2017–2019-es méhészeti évek programjainak és azok finanszírozásának jóváhagyására a </w:t>
      </w:r>
      <w:r>
        <w:rPr>
          <w:rFonts w:ascii="Times New Roman" w:hAnsi="Times New Roman"/>
          <w:bCs/>
          <w:noProof/>
          <w:sz w:val="24"/>
          <w:szCs w:val="24"/>
        </w:rPr>
        <w:t>2016. július 5-i (EU) 2016/1102 bizottsági végrehajtási határozat</w:t>
      </w:r>
      <w:r>
        <w:rPr>
          <w:rStyle w:val="FootnoteReference"/>
          <w:rFonts w:ascii="Times New Roman" w:hAnsi="Times New Roman" w:cs="Times New Roman"/>
          <w:bCs/>
          <w:noProof/>
          <w:sz w:val="24"/>
          <w:szCs w:val="24"/>
          <w:lang w:val="en-IE"/>
        </w:rPr>
        <w:footnoteReference w:id="15"/>
      </w:r>
      <w:r>
        <w:rPr>
          <w:rFonts w:ascii="Times New Roman" w:hAnsi="Times New Roman"/>
          <w:bCs/>
          <w:noProof/>
          <w:sz w:val="24"/>
          <w:szCs w:val="24"/>
        </w:rPr>
        <w:t xml:space="preserve"> útján került sor.</w:t>
      </w:r>
    </w:p>
    <w:p>
      <w:pPr>
        <w:pStyle w:val="NormalWeb"/>
        <w:spacing w:before="0" w:beforeAutospacing="0" w:after="120" w:afterAutospacing="0" w:line="276" w:lineRule="auto"/>
        <w:jc w:val="both"/>
        <w:rPr>
          <w:noProof/>
        </w:rPr>
      </w:pPr>
      <w:r>
        <w:rPr>
          <w:noProof/>
        </w:rPr>
        <w:t>A 2020–2022-es méhészeti évek programjainak és azok finanszírozásának jóváhagyására a 2019. június 12-i (EU) 2019/974 bizottsági végrehajtási határozat</w:t>
      </w:r>
      <w:r>
        <w:rPr>
          <w:rStyle w:val="FootnoteReference"/>
          <w:noProof/>
          <w:color w:val="444444"/>
          <w:lang w:val="en-IE"/>
        </w:rPr>
        <w:footnoteReference w:id="16"/>
      </w:r>
      <w:r>
        <w:rPr>
          <w:noProof/>
        </w:rPr>
        <w:t xml:space="preserve"> útján került sor.</w:t>
      </w:r>
    </w:p>
    <w:p>
      <w:pPr>
        <w:pStyle w:val="Heading2"/>
        <w:rPr>
          <w:rStyle w:val="Heading2Char"/>
          <w:b/>
          <w:noProof/>
        </w:rPr>
      </w:pPr>
      <w:bookmarkStart w:id="11" w:name="_Toc27051466"/>
      <w:r>
        <w:rPr>
          <w:rStyle w:val="Heading2Char"/>
          <w:b/>
          <w:noProof/>
        </w:rPr>
        <w:t>4.2.</w:t>
      </w:r>
      <w:r>
        <w:rPr>
          <w:rFonts w:ascii="Times New Roman" w:hAnsi="Times New Roman"/>
          <w:b w:val="0"/>
          <w:noProof/>
          <w:sz w:val="24"/>
          <w:szCs w:val="24"/>
        </w:rPr>
        <w:tab/>
      </w:r>
      <w:r>
        <w:rPr>
          <w:rStyle w:val="Heading2Char"/>
          <w:b/>
          <w:noProof/>
        </w:rPr>
        <w:t>Célok és intézkedések</w:t>
      </w:r>
      <w:bookmarkEnd w:id="11"/>
    </w:p>
    <w:p>
      <w:pPr>
        <w:spacing w:after="120"/>
        <w:jc w:val="both"/>
        <w:rPr>
          <w:rFonts w:ascii="Times New Roman" w:hAnsi="Times New Roman" w:cs="Times New Roman"/>
          <w:b/>
          <w:noProof/>
          <w:sz w:val="24"/>
          <w:szCs w:val="24"/>
        </w:rPr>
      </w:pPr>
      <w:r>
        <w:rPr>
          <w:rFonts w:ascii="Times New Roman" w:hAnsi="Times New Roman"/>
          <w:noProof/>
          <w:sz w:val="24"/>
          <w:szCs w:val="24"/>
        </w:rPr>
        <w:t>A programok célja, hogy javítsák a méhészeti termékek Unióbeli termelésének és forgalmazásának általános feltételeit. A 2013. évi KAP reform bizonyos változásokat vezetett be a programoknál. E változások fő célkitűzései között szerepelt a támogatható intézkedéseknek az ágazat igényeihez történő igazítása, valamint az uniós költségvetés rendezettebb elosztása a tagállamok által a területükön található méhkaptárak számának meghatározásához használt módszerek javítása útján. Az ebből következő támogatható intézkedések az alábbiakban kerülnek bemutatásra:</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technikai segítségnyújtás a méhészek és a méhészek szervezetei részére</w:t>
      </w:r>
      <w:r>
        <w:rPr>
          <w:rFonts w:ascii="Times New Roman" w:hAnsi="Times New Roman"/>
          <w:noProof/>
          <w:sz w:val="24"/>
          <w:szCs w:val="24"/>
        </w:rPr>
        <w:t xml:space="preserve">: ennél az intézkedésnél a „méhészek szövetségei” lépett a „méhészek csoportosulásai” kifejezés helyébe. Bár számos tagállam esetében szerepel benne képzés, tanfolyamok szervezése és oktatási kiadványok nyomtatása, ez az intézkedés sokféle cselekvést foglalhat magában. Ilyen például az elsődleges feldolgozást célzó műszaki eszközök beszerzésének segítése és a fiatal méhészek konkrét támogatása;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b) </w:t>
      </w:r>
      <w:r>
        <w:rPr>
          <w:rFonts w:ascii="Times New Roman" w:hAnsi="Times New Roman"/>
          <w:b/>
          <w:noProof/>
          <w:sz w:val="24"/>
          <w:szCs w:val="24"/>
        </w:rPr>
        <w:t>a méhcsaládokat megtámadó kártevők és betegségek – különösen a varroózis – elleni védekezés</w:t>
      </w:r>
      <w:r>
        <w:rPr>
          <w:rFonts w:ascii="Times New Roman" w:hAnsi="Times New Roman"/>
          <w:noProof/>
          <w:sz w:val="24"/>
          <w:szCs w:val="24"/>
        </w:rPr>
        <w:t>: ezen intézkedés hatályát a varroózis elleni küzdelemről kiterjesztették a méhcsaládokat megtámadó egyéb kártevők és betegségek, például az ázsiai lódarázs (</w:t>
      </w:r>
      <w:r>
        <w:rPr>
          <w:rFonts w:ascii="Times New Roman" w:hAnsi="Times New Roman"/>
          <w:i/>
          <w:noProof/>
          <w:sz w:val="24"/>
          <w:szCs w:val="24"/>
        </w:rPr>
        <w:t>Vespa velutina)</w:t>
      </w:r>
      <w:r>
        <w:rPr>
          <w:rFonts w:ascii="Times New Roman" w:hAnsi="Times New Roman"/>
          <w:noProof/>
          <w:sz w:val="24"/>
          <w:szCs w:val="24"/>
        </w:rPr>
        <w:t xml:space="preserve"> vagy a kis kaptárbogár (</w:t>
      </w:r>
      <w:r>
        <w:rPr>
          <w:rFonts w:ascii="Times New Roman" w:hAnsi="Times New Roman"/>
          <w:i/>
          <w:noProof/>
          <w:sz w:val="24"/>
          <w:szCs w:val="24"/>
        </w:rPr>
        <w:t>Aethina tumida</w:t>
      </w:r>
      <w:r>
        <w:rPr>
          <w:rFonts w:ascii="Times New Roman" w:hAnsi="Times New Roman"/>
          <w:noProof/>
          <w:sz w:val="24"/>
          <w:szCs w:val="24"/>
        </w:rPr>
        <w:t xml:space="preserve">) elleni védekezésre. Az ezen intézkedést tartalmazó programok többsége azonban továbbra is a varroózis elleni küzdelemre összpontosít. Ez gyakran a parazitaterhelés mérséklését célzó intézkedések támogatásával történik, de olyan intézkedések is vannak, amelyekkel a Varroa atka elleni küzdelem fontosságáról tájékoztatják a méhészeket;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c) </w:t>
      </w:r>
      <w:r>
        <w:rPr>
          <w:rFonts w:ascii="Times New Roman" w:hAnsi="Times New Roman"/>
          <w:b/>
          <w:noProof/>
          <w:sz w:val="24"/>
          <w:szCs w:val="24"/>
        </w:rPr>
        <w:t>a vándorméhészet észszerűsítése</w:t>
      </w:r>
      <w:r>
        <w:rPr>
          <w:rFonts w:ascii="Times New Roman" w:hAnsi="Times New Roman"/>
          <w:noProof/>
          <w:sz w:val="24"/>
          <w:szCs w:val="24"/>
        </w:rPr>
        <w:t xml:space="preserve">; ezen intézkedés célja a méhcsaládok mozgásának optimalizálása az Unión belül, valamint a virágzás időszakában helyszínek biztosítása a méhészek számára. A méhcsaládok és kaptárak azonosításával, vándorméhészeti nyilvántartás létrehozásával, a vándorméhészetet elősegítő anyagokba történő beruházással vagy méhészeti térképek készítésével elősegíthető a vándorméhészet kezelése;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d) </w:t>
      </w:r>
      <w:r>
        <w:rPr>
          <w:rFonts w:ascii="Times New Roman" w:hAnsi="Times New Roman"/>
          <w:b/>
          <w:noProof/>
          <w:sz w:val="24"/>
          <w:szCs w:val="24"/>
        </w:rPr>
        <w:t>a méhészeti termékek elemzését végző laboratóriumok támogatását célzó intézkedések annak elősegítése érdekében, hogy a méhészek forgalmazzák termékeiket és növeljék azok értékét</w:t>
      </w:r>
      <w:r>
        <w:rPr>
          <w:rFonts w:ascii="Times New Roman" w:hAnsi="Times New Roman"/>
          <w:noProof/>
          <w:sz w:val="24"/>
          <w:szCs w:val="24"/>
        </w:rPr>
        <w:t>; ezen intézkedés hatályát a méz fizikai-kémiai tulajdonságai elemzésének támogatásáról kiterjesztették az egyéb méhészeti termékek</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azaz a méhpempő, virágpor, méhszurok vagy méhviasz felvételére. Emellett az egységes közös piacszervezésről szóló rendelet szerint az intézkedésnek segítenie kell a méhészeket abban, hogy forgalmazzák termékeiket és növeljék azok értékét. Az intézkedéssel finanszírozható például a méz botanikai eredetének vizsgálata, mivel ennek pontos ismeretében a méhészek magasabb árat kaphatnak a termékükért.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e) </w:t>
      </w:r>
      <w:r>
        <w:rPr>
          <w:rFonts w:ascii="Times New Roman" w:hAnsi="Times New Roman"/>
          <w:b/>
          <w:noProof/>
          <w:sz w:val="24"/>
          <w:szCs w:val="24"/>
        </w:rPr>
        <w:t>a kaptárak állománypótlása</w:t>
      </w:r>
      <w:r>
        <w:rPr>
          <w:rFonts w:ascii="Times New Roman" w:hAnsi="Times New Roman"/>
          <w:noProof/>
          <w:sz w:val="24"/>
          <w:szCs w:val="24"/>
        </w:rPr>
        <w:t xml:space="preserve"> lehetőséget biztosít az állományveszteség részbeni kompenzálására, és ennélfogva a termelés visszaesésének elkerülésére; ide tartozhat a királynők termékenységének javítására és a méhkolóniák beszerzésére irányuló tevékenység finanszírozása;</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f) </w:t>
      </w:r>
      <w:r>
        <w:rPr>
          <w:rFonts w:ascii="Times New Roman" w:hAnsi="Times New Roman"/>
          <w:b/>
          <w:noProof/>
          <w:sz w:val="24"/>
          <w:szCs w:val="24"/>
        </w:rPr>
        <w:t>együttműködés szakosodott szervekkel a méhészettel és a méhészeti termékekkel kapcsolatos alkalmazott kutatási programok végrehajtása terén</w:t>
      </w:r>
      <w:r>
        <w:rPr>
          <w:rFonts w:ascii="Times New Roman" w:hAnsi="Times New Roman"/>
          <w:noProof/>
          <w:sz w:val="24"/>
          <w:szCs w:val="24"/>
        </w:rPr>
        <w:t xml:space="preserve">; ezen intézkedés konkrét kutatási projektek támogatásához biztosít lehetőséget a tagállamoknak. E projektek a mézminőség javítását és/vagy a projekteredmények terjesztését célozhatják;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g) </w:t>
      </w:r>
      <w:r>
        <w:rPr>
          <w:rFonts w:ascii="Times New Roman" w:hAnsi="Times New Roman"/>
          <w:b/>
          <w:noProof/>
          <w:sz w:val="24"/>
          <w:szCs w:val="24"/>
        </w:rPr>
        <w:t>piacmonitoring;</w:t>
      </w:r>
      <w:r>
        <w:rPr>
          <w:rFonts w:ascii="Times New Roman" w:hAnsi="Times New Roman"/>
          <w:noProof/>
          <w:sz w:val="24"/>
          <w:szCs w:val="24"/>
        </w:rPr>
        <w:t xml:space="preserve"> ez az új intézkedés lehetővé teszi a méhészeti termékek és az árak figyelemmel kísérése terén végezhető beruházásokat. Javíthatja a termelési feltételeket és támogatja a piaci helyzet figyelemmel kísérésére vonatkozó nemzeti stratégiákat;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h) </w:t>
      </w:r>
      <w:r>
        <w:rPr>
          <w:rFonts w:ascii="Times New Roman" w:hAnsi="Times New Roman"/>
          <w:b/>
          <w:noProof/>
          <w:sz w:val="24"/>
          <w:szCs w:val="24"/>
        </w:rPr>
        <w:t xml:space="preserve">a termékek minőségének javítása a termékekben rejlő lehetőségek jobb piaci kihasználása érdekében; </w:t>
      </w:r>
      <w:r>
        <w:rPr>
          <w:rFonts w:ascii="Times New Roman" w:hAnsi="Times New Roman"/>
          <w:noProof/>
          <w:sz w:val="24"/>
          <w:szCs w:val="24"/>
        </w:rPr>
        <w:t>ez</w:t>
      </w:r>
      <w:r>
        <w:rPr>
          <w:rFonts w:ascii="Times New Roman" w:hAnsi="Times New Roman"/>
          <w:b/>
          <w:noProof/>
          <w:sz w:val="24"/>
          <w:szCs w:val="24"/>
        </w:rPr>
        <w:t xml:space="preserve"> </w:t>
      </w:r>
      <w:r>
        <w:rPr>
          <w:rFonts w:ascii="Times New Roman" w:hAnsi="Times New Roman"/>
          <w:noProof/>
          <w:sz w:val="24"/>
          <w:szCs w:val="24"/>
        </w:rPr>
        <w:t>az egységes közös piacszervezésről szóló rendelettel bevezetett új intézkedés például a méz vagy más méhészeti termékek piaci potenciáljának kiaknázására használható.</w:t>
      </w:r>
    </w:p>
    <w:p>
      <w:pPr>
        <w:spacing w:before="240" w:after="120" w:line="240" w:lineRule="auto"/>
        <w:jc w:val="both"/>
        <w:outlineLvl w:val="1"/>
        <w:rPr>
          <w:rStyle w:val="Heading2Char"/>
          <w:bCs w:val="0"/>
          <w:noProof/>
        </w:rPr>
      </w:pPr>
      <w:bookmarkStart w:id="12" w:name="_Toc27051467"/>
      <w:r>
        <w:rPr>
          <w:rStyle w:val="Heading2Char"/>
          <w:bCs w:val="0"/>
          <w:noProof/>
        </w:rPr>
        <w:t>4.3.</w:t>
      </w:r>
      <w:r>
        <w:rPr>
          <w:rStyle w:val="Heading2Char"/>
          <w:bCs w:val="0"/>
          <w:noProof/>
        </w:rPr>
        <w:tab/>
        <w:t>A nemzeti méhészeti programokra szánt uniós költségvetés és felhasználási ráta</w:t>
      </w:r>
      <w:bookmarkEnd w:id="12"/>
    </w:p>
    <w:p>
      <w:pPr>
        <w:spacing w:after="120"/>
        <w:jc w:val="both"/>
        <w:rPr>
          <w:rFonts w:ascii="Times New Roman" w:hAnsi="Times New Roman" w:cs="Times New Roman"/>
          <w:noProof/>
          <w:sz w:val="24"/>
          <w:szCs w:val="24"/>
        </w:rPr>
      </w:pPr>
      <w:r>
        <w:rPr>
          <w:rFonts w:ascii="Times New Roman" w:hAnsi="Times New Roman"/>
          <w:noProof/>
          <w:sz w:val="24"/>
          <w:szCs w:val="24"/>
        </w:rPr>
        <w:t>A méhészeti ágazatnak szánt uniós források viszonylag csekély összegűek, azonban a 2017–2019-es méhészeti programok évi 36 millió EUR összegéről a 2020–2022-es méhészeti programok esetében évi 40 millió EUR összegre emelkedtek.</w:t>
      </w:r>
    </w:p>
    <w:p>
      <w:pPr>
        <w:spacing w:after="120"/>
        <w:jc w:val="both"/>
        <w:rPr>
          <w:rFonts w:ascii="Times New Roman" w:hAnsi="Times New Roman" w:cs="Times New Roman"/>
          <w:noProof/>
          <w:sz w:val="24"/>
          <w:szCs w:val="24"/>
        </w:rPr>
      </w:pPr>
      <w:r>
        <w:rPr>
          <w:rFonts w:ascii="Times New Roman" w:hAnsi="Times New Roman"/>
          <w:noProof/>
          <w:sz w:val="24"/>
          <w:szCs w:val="24"/>
        </w:rPr>
        <w:t>A méhészeti programokhoz nyújtott uniós hozzájárulás a tagállamok által viselt kiadások 50 %-ának felel meg. Ez konkrétan azt jelenti, hogy a 2017-es és 2018-as méhészeti év esetében összesen 72 millió EUR állt rendelkezésre az éves méhészeti programokhoz. A felhasználási ráta magas, bár a forrás nem került teljes mértékben felhasználásra. Az alábbi táblázat összehasonlítási célból a 2016-os méhészeti évet tartalmazza.</w:t>
      </w:r>
    </w:p>
    <w:p>
      <w:pPr>
        <w:rPr>
          <w:rFonts w:ascii="Times New Roman" w:hAnsi="Times New Roman" w:cs="Times New Roman"/>
          <w:i/>
          <w:noProof/>
          <w:sz w:val="24"/>
          <w:szCs w:val="24"/>
        </w:rPr>
      </w:pPr>
      <w:r>
        <w:rPr>
          <w:rFonts w:ascii="Times New Roman" w:hAnsi="Times New Roman"/>
          <w:i/>
          <w:noProof/>
          <w:sz w:val="24"/>
          <w:szCs w:val="24"/>
        </w:rPr>
        <w:t>1. táblázat: Uniós források és felhasználási ráta a méhészeti programoknál</w:t>
      </w:r>
    </w:p>
    <w:tbl>
      <w:tblPr>
        <w:tblStyle w:val="TableGrid"/>
        <w:tblW w:w="9322" w:type="dxa"/>
        <w:tblLook w:val="04A0" w:firstRow="1" w:lastRow="0" w:firstColumn="1" w:lastColumn="0" w:noHBand="0" w:noVBand="1"/>
      </w:tblPr>
      <w:tblGrid>
        <w:gridCol w:w="1536"/>
        <w:gridCol w:w="1423"/>
        <w:gridCol w:w="1423"/>
        <w:gridCol w:w="1423"/>
        <w:gridCol w:w="1956"/>
        <w:gridCol w:w="1956"/>
      </w:tblGrid>
      <w:tr>
        <w:trPr>
          <w:trHeight w:val="971"/>
        </w:trPr>
        <w:tc>
          <w:tcPr>
            <w:tcW w:w="2235" w:type="dxa"/>
          </w:tcPr>
          <w:p>
            <w:pPr>
              <w:rPr>
                <w:rFonts w:ascii="Times New Roman" w:hAnsi="Times New Roman" w:cs="Times New Roman"/>
                <w:noProof/>
                <w:sz w:val="24"/>
                <w:szCs w:val="24"/>
              </w:rPr>
            </w:pPr>
            <w:r>
              <w:rPr>
                <w:rFonts w:ascii="Times New Roman" w:hAnsi="Times New Roman"/>
                <w:noProof/>
                <w:sz w:val="24"/>
                <w:szCs w:val="24"/>
              </w:rPr>
              <w:t xml:space="preserve">Az </w:t>
            </w:r>
            <w:r>
              <w:rPr>
                <w:rFonts w:ascii="Times New Roman" w:hAnsi="Times New Roman"/>
                <w:noProof/>
                <w:sz w:val="24"/>
                <w:szCs w:val="24"/>
                <w:u w:val="single"/>
              </w:rPr>
              <w:t>egyes méhészeti években</w:t>
            </w:r>
            <w:r>
              <w:rPr>
                <w:rFonts w:ascii="Times New Roman" w:hAnsi="Times New Roman"/>
                <w:noProof/>
                <w:sz w:val="24"/>
                <w:szCs w:val="24"/>
              </w:rPr>
              <w:t xml:space="preserve"> rendelkezésre álló uniós források</w:t>
            </w:r>
          </w:p>
        </w:tc>
        <w:tc>
          <w:tcPr>
            <w:tcW w:w="1559" w:type="dxa"/>
          </w:tcPr>
          <w:p>
            <w:pPr>
              <w:rPr>
                <w:rFonts w:ascii="Times New Roman" w:hAnsi="Times New Roman" w:cs="Times New Roman"/>
                <w:noProof/>
                <w:sz w:val="24"/>
                <w:szCs w:val="24"/>
              </w:rPr>
            </w:pPr>
            <w:r>
              <w:rPr>
                <w:rFonts w:ascii="Times New Roman" w:hAnsi="Times New Roman"/>
                <w:noProof/>
                <w:sz w:val="24"/>
                <w:szCs w:val="24"/>
              </w:rPr>
              <w:t>2016-os méhészeti év</w:t>
            </w:r>
          </w:p>
          <w:p>
            <w:pPr>
              <w:rPr>
                <w:rFonts w:ascii="Times New Roman" w:hAnsi="Times New Roman" w:cs="Times New Roman"/>
                <w:noProof/>
                <w:sz w:val="24"/>
                <w:szCs w:val="24"/>
              </w:rPr>
            </w:pPr>
            <w:r>
              <w:rPr>
                <w:rFonts w:ascii="Times New Roman" w:hAnsi="Times New Roman"/>
                <w:noProof/>
                <w:sz w:val="24"/>
                <w:szCs w:val="24"/>
              </w:rPr>
              <w:t>2014-2016 közötti programok</w:t>
            </w:r>
          </w:p>
        </w:tc>
        <w:tc>
          <w:tcPr>
            <w:tcW w:w="1417" w:type="dxa"/>
          </w:tcPr>
          <w:p>
            <w:pPr>
              <w:rPr>
                <w:rFonts w:ascii="Times New Roman" w:hAnsi="Times New Roman" w:cs="Times New Roman"/>
                <w:noProof/>
                <w:sz w:val="24"/>
                <w:szCs w:val="24"/>
              </w:rPr>
            </w:pPr>
            <w:r>
              <w:rPr>
                <w:rFonts w:ascii="Times New Roman" w:hAnsi="Times New Roman"/>
                <w:noProof/>
                <w:sz w:val="24"/>
                <w:szCs w:val="24"/>
              </w:rPr>
              <w:t>2017-es méhészeti év</w:t>
            </w:r>
          </w:p>
          <w:p>
            <w:pPr>
              <w:rPr>
                <w:rFonts w:ascii="Times New Roman" w:hAnsi="Times New Roman" w:cs="Times New Roman"/>
                <w:noProof/>
                <w:sz w:val="24"/>
                <w:szCs w:val="24"/>
              </w:rPr>
            </w:pPr>
            <w:r>
              <w:rPr>
                <w:rFonts w:ascii="Times New Roman" w:hAnsi="Times New Roman"/>
                <w:noProof/>
                <w:sz w:val="24"/>
                <w:szCs w:val="24"/>
              </w:rPr>
              <w:t>2017–2019 közötti programok</w:t>
            </w:r>
          </w:p>
        </w:tc>
        <w:tc>
          <w:tcPr>
            <w:tcW w:w="1340" w:type="dxa"/>
          </w:tcPr>
          <w:p>
            <w:pPr>
              <w:rPr>
                <w:rFonts w:ascii="Times New Roman" w:hAnsi="Times New Roman" w:cs="Times New Roman"/>
                <w:noProof/>
                <w:sz w:val="24"/>
                <w:szCs w:val="24"/>
              </w:rPr>
            </w:pPr>
            <w:r>
              <w:rPr>
                <w:rFonts w:ascii="Times New Roman" w:hAnsi="Times New Roman"/>
                <w:noProof/>
                <w:sz w:val="24"/>
                <w:szCs w:val="24"/>
              </w:rPr>
              <w:t>2018-as méhészeti év</w:t>
            </w:r>
          </w:p>
          <w:p>
            <w:pPr>
              <w:rPr>
                <w:rFonts w:ascii="Times New Roman" w:hAnsi="Times New Roman" w:cs="Times New Roman"/>
                <w:noProof/>
                <w:sz w:val="24"/>
                <w:szCs w:val="24"/>
              </w:rPr>
            </w:pPr>
            <w:r>
              <w:rPr>
                <w:rFonts w:ascii="Times New Roman" w:hAnsi="Times New Roman"/>
                <w:noProof/>
                <w:sz w:val="24"/>
                <w:szCs w:val="24"/>
              </w:rPr>
              <w:t>2017–2019 közötti programok</w:t>
            </w:r>
          </w:p>
        </w:tc>
        <w:tc>
          <w:tcPr>
            <w:tcW w:w="1381" w:type="dxa"/>
          </w:tcPr>
          <w:p>
            <w:pPr>
              <w:rPr>
                <w:rFonts w:ascii="Times New Roman" w:hAnsi="Times New Roman" w:cs="Times New Roman"/>
                <w:noProof/>
                <w:sz w:val="24"/>
                <w:szCs w:val="24"/>
              </w:rPr>
            </w:pPr>
            <w:r>
              <w:rPr>
                <w:rFonts w:ascii="Times New Roman" w:hAnsi="Times New Roman"/>
                <w:noProof/>
                <w:sz w:val="24"/>
                <w:szCs w:val="24"/>
              </w:rPr>
              <w:t>2019-es méhészeti év</w:t>
            </w:r>
          </w:p>
          <w:p>
            <w:pPr>
              <w:rPr>
                <w:rFonts w:ascii="Times New Roman" w:hAnsi="Times New Roman" w:cs="Times New Roman"/>
                <w:noProof/>
                <w:sz w:val="24"/>
                <w:szCs w:val="24"/>
              </w:rPr>
            </w:pPr>
            <w:r>
              <w:rPr>
                <w:rFonts w:ascii="Times New Roman" w:hAnsi="Times New Roman"/>
                <w:noProof/>
                <w:sz w:val="24"/>
                <w:szCs w:val="24"/>
              </w:rPr>
              <w:t>2017–2019 közötti programok</w:t>
            </w:r>
          </w:p>
        </w:tc>
        <w:tc>
          <w:tcPr>
            <w:tcW w:w="1390" w:type="dxa"/>
          </w:tcPr>
          <w:p>
            <w:pPr>
              <w:rPr>
                <w:rFonts w:ascii="Times New Roman" w:hAnsi="Times New Roman" w:cs="Times New Roman"/>
                <w:noProof/>
                <w:sz w:val="24"/>
                <w:szCs w:val="24"/>
              </w:rPr>
            </w:pPr>
            <w:r>
              <w:rPr>
                <w:rFonts w:ascii="Times New Roman" w:hAnsi="Times New Roman"/>
                <w:noProof/>
                <w:sz w:val="24"/>
                <w:szCs w:val="24"/>
              </w:rPr>
              <w:t>2020–2022-es méhészeti évek</w:t>
            </w:r>
          </w:p>
        </w:tc>
      </w:tr>
      <w:tr>
        <w:trPr>
          <w:trHeight w:val="323"/>
        </w:trPr>
        <w:tc>
          <w:tcPr>
            <w:tcW w:w="2235" w:type="dxa"/>
          </w:tcPr>
          <w:p>
            <w:pPr>
              <w:rPr>
                <w:rFonts w:ascii="Times New Roman" w:hAnsi="Times New Roman" w:cs="Times New Roman"/>
                <w:noProof/>
                <w:sz w:val="24"/>
                <w:szCs w:val="24"/>
              </w:rPr>
            </w:pPr>
            <w:r>
              <w:rPr>
                <w:rFonts w:ascii="Times New Roman" w:hAnsi="Times New Roman"/>
                <w:noProof/>
                <w:sz w:val="24"/>
                <w:szCs w:val="24"/>
              </w:rPr>
              <w:t>EUR-ban</w:t>
            </w:r>
          </w:p>
        </w:tc>
        <w:tc>
          <w:tcPr>
            <w:tcW w:w="1559" w:type="dxa"/>
          </w:tcPr>
          <w:p>
            <w:pPr>
              <w:rPr>
                <w:rFonts w:ascii="Times New Roman" w:hAnsi="Times New Roman" w:cs="Times New Roman"/>
                <w:noProof/>
                <w:sz w:val="24"/>
                <w:szCs w:val="24"/>
              </w:rPr>
            </w:pPr>
            <w:r>
              <w:rPr>
                <w:rFonts w:ascii="Times New Roman" w:hAnsi="Times New Roman"/>
                <w:noProof/>
                <w:sz w:val="24"/>
                <w:szCs w:val="24"/>
              </w:rPr>
              <w:t>33 100 000</w:t>
            </w:r>
          </w:p>
        </w:tc>
        <w:tc>
          <w:tcPr>
            <w:tcW w:w="1417" w:type="dxa"/>
          </w:tcPr>
          <w:p>
            <w:pPr>
              <w:rPr>
                <w:rFonts w:ascii="Times New Roman" w:hAnsi="Times New Roman" w:cs="Times New Roman"/>
                <w:noProof/>
                <w:sz w:val="24"/>
                <w:szCs w:val="24"/>
              </w:rPr>
            </w:pPr>
            <w:r>
              <w:rPr>
                <w:rFonts w:ascii="Times New Roman" w:hAnsi="Times New Roman"/>
                <w:noProof/>
                <w:sz w:val="24"/>
                <w:szCs w:val="24"/>
              </w:rPr>
              <w:t>36 000 000</w:t>
            </w:r>
          </w:p>
        </w:tc>
        <w:tc>
          <w:tcPr>
            <w:tcW w:w="1340" w:type="dxa"/>
          </w:tcPr>
          <w:p>
            <w:pPr>
              <w:rPr>
                <w:rFonts w:ascii="Times New Roman" w:hAnsi="Times New Roman" w:cs="Times New Roman"/>
                <w:noProof/>
                <w:sz w:val="24"/>
                <w:szCs w:val="24"/>
              </w:rPr>
            </w:pPr>
            <w:r>
              <w:rPr>
                <w:rFonts w:ascii="Times New Roman" w:hAnsi="Times New Roman"/>
                <w:noProof/>
                <w:sz w:val="24"/>
                <w:szCs w:val="24"/>
              </w:rPr>
              <w:t>36 000 000</w:t>
            </w:r>
          </w:p>
        </w:tc>
        <w:tc>
          <w:tcPr>
            <w:tcW w:w="1381" w:type="dxa"/>
          </w:tcPr>
          <w:p>
            <w:pPr>
              <w:rPr>
                <w:rFonts w:ascii="Times New Roman" w:hAnsi="Times New Roman" w:cs="Times New Roman"/>
                <w:noProof/>
                <w:sz w:val="24"/>
                <w:szCs w:val="24"/>
              </w:rPr>
            </w:pPr>
            <w:r>
              <w:rPr>
                <w:rFonts w:ascii="Times New Roman" w:hAnsi="Times New Roman"/>
                <w:noProof/>
                <w:sz w:val="24"/>
                <w:szCs w:val="24"/>
              </w:rPr>
              <w:t>36 000 000</w:t>
            </w:r>
          </w:p>
        </w:tc>
        <w:tc>
          <w:tcPr>
            <w:tcW w:w="1390" w:type="dxa"/>
          </w:tcPr>
          <w:p>
            <w:pPr>
              <w:rPr>
                <w:rFonts w:ascii="Times New Roman" w:hAnsi="Times New Roman" w:cs="Times New Roman"/>
                <w:noProof/>
                <w:sz w:val="24"/>
                <w:szCs w:val="24"/>
              </w:rPr>
            </w:pPr>
            <w:r>
              <w:rPr>
                <w:rFonts w:ascii="Times New Roman" w:hAnsi="Times New Roman"/>
                <w:noProof/>
                <w:sz w:val="24"/>
                <w:szCs w:val="24"/>
              </w:rPr>
              <w:t>40 000 000</w:t>
            </w:r>
          </w:p>
        </w:tc>
      </w:tr>
      <w:tr>
        <w:trPr>
          <w:trHeight w:val="161"/>
        </w:trPr>
        <w:tc>
          <w:tcPr>
            <w:tcW w:w="2235" w:type="dxa"/>
          </w:tcPr>
          <w:p>
            <w:pPr>
              <w:rPr>
                <w:rFonts w:ascii="Times New Roman" w:hAnsi="Times New Roman" w:cs="Times New Roman"/>
                <w:noProof/>
                <w:sz w:val="24"/>
                <w:szCs w:val="24"/>
              </w:rPr>
            </w:pPr>
            <w:r>
              <w:rPr>
                <w:rFonts w:ascii="Times New Roman" w:hAnsi="Times New Roman"/>
                <w:noProof/>
                <w:sz w:val="24"/>
                <w:szCs w:val="24"/>
              </w:rPr>
              <w:t>A tagállamok által felhasznált uniós források összege EUR-ban</w:t>
            </w:r>
          </w:p>
        </w:tc>
        <w:tc>
          <w:tcPr>
            <w:tcW w:w="1559" w:type="dxa"/>
          </w:tcPr>
          <w:p>
            <w:pPr>
              <w:rPr>
                <w:rFonts w:ascii="Times New Roman" w:hAnsi="Times New Roman" w:cs="Times New Roman"/>
                <w:noProof/>
                <w:sz w:val="24"/>
                <w:szCs w:val="24"/>
              </w:rPr>
            </w:pPr>
            <w:r>
              <w:rPr>
                <w:rFonts w:ascii="Times New Roman" w:hAnsi="Times New Roman"/>
                <w:noProof/>
                <w:sz w:val="24"/>
                <w:szCs w:val="24"/>
              </w:rPr>
              <w:t>31 102 215</w:t>
            </w:r>
          </w:p>
          <w:p>
            <w:pPr>
              <w:rPr>
                <w:rFonts w:ascii="Times New Roman" w:hAnsi="Times New Roman" w:cs="Times New Roman"/>
                <w:noProof/>
                <w:sz w:val="24"/>
                <w:szCs w:val="24"/>
              </w:rPr>
            </w:pPr>
          </w:p>
        </w:tc>
        <w:tc>
          <w:tcPr>
            <w:tcW w:w="1417" w:type="dxa"/>
          </w:tcPr>
          <w:p>
            <w:pPr>
              <w:rPr>
                <w:rFonts w:ascii="Times New Roman" w:hAnsi="Times New Roman" w:cs="Times New Roman"/>
                <w:noProof/>
                <w:sz w:val="24"/>
                <w:szCs w:val="24"/>
              </w:rPr>
            </w:pPr>
            <w:r>
              <w:rPr>
                <w:rFonts w:ascii="Times New Roman" w:hAnsi="Times New Roman"/>
                <w:noProof/>
                <w:sz w:val="24"/>
                <w:szCs w:val="24"/>
              </w:rPr>
              <w:t>32 372 777</w:t>
            </w:r>
          </w:p>
        </w:tc>
        <w:tc>
          <w:tcPr>
            <w:tcW w:w="1340" w:type="dxa"/>
          </w:tcPr>
          <w:p>
            <w:pPr>
              <w:rPr>
                <w:rFonts w:ascii="Times New Roman" w:hAnsi="Times New Roman" w:cs="Times New Roman"/>
                <w:noProof/>
                <w:sz w:val="24"/>
                <w:szCs w:val="24"/>
              </w:rPr>
            </w:pPr>
            <w:r>
              <w:rPr>
                <w:rFonts w:ascii="Times New Roman" w:hAnsi="Times New Roman"/>
                <w:noProof/>
                <w:sz w:val="24"/>
                <w:szCs w:val="24"/>
              </w:rPr>
              <w:t>33 974 000</w:t>
            </w:r>
          </w:p>
        </w:tc>
        <w:tc>
          <w:tcPr>
            <w:tcW w:w="1381" w:type="dxa"/>
          </w:tcPr>
          <w:p>
            <w:pPr>
              <w:rPr>
                <w:rFonts w:ascii="Times New Roman" w:hAnsi="Times New Roman" w:cs="Times New Roman"/>
                <w:noProof/>
                <w:sz w:val="24"/>
                <w:szCs w:val="24"/>
              </w:rPr>
            </w:pPr>
            <w:r>
              <w:rPr>
                <w:rFonts w:ascii="Times New Roman" w:hAnsi="Times New Roman"/>
                <w:noProof/>
                <w:sz w:val="24"/>
                <w:szCs w:val="24"/>
              </w:rPr>
              <w:t>2020. március 15-ig kerül bejelentésre</w:t>
            </w:r>
          </w:p>
        </w:tc>
        <w:tc>
          <w:tcPr>
            <w:tcW w:w="1390" w:type="dxa"/>
          </w:tcPr>
          <w:p>
            <w:pPr>
              <w:rPr>
                <w:rFonts w:ascii="Times New Roman" w:hAnsi="Times New Roman" w:cs="Times New Roman"/>
                <w:noProof/>
                <w:sz w:val="24"/>
                <w:szCs w:val="24"/>
              </w:rPr>
            </w:pPr>
            <w:r>
              <w:rPr>
                <w:rFonts w:ascii="Times New Roman" w:hAnsi="Times New Roman"/>
                <w:noProof/>
                <w:sz w:val="24"/>
                <w:szCs w:val="24"/>
              </w:rPr>
              <w:t>2021. március 15-ig kerül bejelentésre</w:t>
            </w:r>
          </w:p>
        </w:tc>
      </w:tr>
      <w:tr>
        <w:trPr>
          <w:trHeight w:val="161"/>
        </w:trPr>
        <w:tc>
          <w:tcPr>
            <w:tcW w:w="2235" w:type="dxa"/>
          </w:tcPr>
          <w:p>
            <w:pPr>
              <w:rPr>
                <w:rFonts w:ascii="Times New Roman" w:hAnsi="Times New Roman" w:cs="Times New Roman"/>
                <w:noProof/>
                <w:sz w:val="24"/>
                <w:szCs w:val="24"/>
              </w:rPr>
            </w:pPr>
            <w:r>
              <w:rPr>
                <w:rFonts w:ascii="Times New Roman" w:hAnsi="Times New Roman"/>
                <w:noProof/>
                <w:sz w:val="24"/>
                <w:szCs w:val="24"/>
              </w:rPr>
              <w:t>Felhasználási ráta</w:t>
            </w:r>
          </w:p>
        </w:tc>
        <w:tc>
          <w:tcPr>
            <w:tcW w:w="1559" w:type="dxa"/>
          </w:tcPr>
          <w:p>
            <w:pPr>
              <w:rPr>
                <w:rFonts w:ascii="Times New Roman" w:hAnsi="Times New Roman" w:cs="Times New Roman"/>
                <w:noProof/>
                <w:sz w:val="24"/>
                <w:szCs w:val="24"/>
              </w:rPr>
            </w:pPr>
            <w:r>
              <w:rPr>
                <w:rFonts w:ascii="Times New Roman" w:hAnsi="Times New Roman"/>
                <w:noProof/>
                <w:sz w:val="24"/>
                <w:szCs w:val="24"/>
              </w:rPr>
              <w:t xml:space="preserve">94 % </w:t>
            </w:r>
          </w:p>
        </w:tc>
        <w:tc>
          <w:tcPr>
            <w:tcW w:w="1417" w:type="dxa"/>
          </w:tcPr>
          <w:p>
            <w:pPr>
              <w:rPr>
                <w:rFonts w:ascii="Times New Roman" w:hAnsi="Times New Roman" w:cs="Times New Roman"/>
                <w:noProof/>
                <w:sz w:val="24"/>
                <w:szCs w:val="24"/>
              </w:rPr>
            </w:pPr>
            <w:r>
              <w:rPr>
                <w:rFonts w:ascii="Times New Roman" w:hAnsi="Times New Roman"/>
                <w:noProof/>
                <w:sz w:val="24"/>
                <w:szCs w:val="24"/>
              </w:rPr>
              <w:t>90 %</w:t>
            </w:r>
          </w:p>
        </w:tc>
        <w:tc>
          <w:tcPr>
            <w:tcW w:w="1340" w:type="dxa"/>
          </w:tcPr>
          <w:p>
            <w:pPr>
              <w:rPr>
                <w:rFonts w:ascii="Times New Roman" w:hAnsi="Times New Roman" w:cs="Times New Roman"/>
                <w:noProof/>
                <w:sz w:val="24"/>
                <w:szCs w:val="24"/>
              </w:rPr>
            </w:pPr>
            <w:r>
              <w:rPr>
                <w:rFonts w:ascii="Times New Roman" w:hAnsi="Times New Roman"/>
                <w:noProof/>
                <w:sz w:val="24"/>
                <w:szCs w:val="24"/>
              </w:rPr>
              <w:t>94 %</w:t>
            </w:r>
          </w:p>
        </w:tc>
        <w:tc>
          <w:tcPr>
            <w:tcW w:w="1381" w:type="dxa"/>
          </w:tcPr>
          <w:p>
            <w:pPr>
              <w:rPr>
                <w:rFonts w:ascii="Times New Roman" w:hAnsi="Times New Roman" w:cs="Times New Roman"/>
                <w:noProof/>
                <w:sz w:val="24"/>
                <w:szCs w:val="24"/>
              </w:rPr>
            </w:pPr>
          </w:p>
        </w:tc>
        <w:tc>
          <w:tcPr>
            <w:tcW w:w="1390" w:type="dxa"/>
          </w:tcPr>
          <w:p>
            <w:pPr>
              <w:rPr>
                <w:rFonts w:ascii="Times New Roman" w:hAnsi="Times New Roman" w:cs="Times New Roman"/>
                <w:noProof/>
                <w:sz w:val="24"/>
                <w:szCs w:val="24"/>
              </w:rPr>
            </w:pPr>
          </w:p>
        </w:tc>
      </w:tr>
    </w:tbl>
    <w:p>
      <w:pPr>
        <w:pStyle w:val="Heading2"/>
        <w:rPr>
          <w:noProof/>
        </w:rPr>
      </w:pPr>
      <w:bookmarkStart w:id="13" w:name="_Toc27051468"/>
      <w:r>
        <w:rPr>
          <w:noProof/>
        </w:rPr>
        <w:t>4.4.</w:t>
      </w:r>
      <w:r>
        <w:rPr>
          <w:noProof/>
        </w:rPr>
        <w:tab/>
      </w:r>
      <w:bookmarkStart w:id="14" w:name="_Toc261355716"/>
      <w:r>
        <w:rPr>
          <w:noProof/>
        </w:rPr>
        <w:t xml:space="preserve">Az </w:t>
      </w:r>
      <w:bookmarkEnd w:id="14"/>
      <w:r>
        <w:rPr>
          <w:noProof/>
        </w:rPr>
        <w:t>uniós hozzájárulás tagállamonkénti elosztása</w:t>
      </w:r>
      <w:bookmarkEnd w:id="13"/>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 méhészeti programokhoz való uniós hozzájárulás elosztására vonatkozó szabályokat az (EU) 2015/1366 felhatalmazáson alapuló bizottsági rendelet 4. cikke határozza meg. Az elosztásnál a fő tényező a programban részt vevő egyes tagállamokban található méhkaptárak aránya. Ez az egyik oka annak az ezen jelentés 5. fejezetében részletezett kötelezettségnek, amely alapján a tagállamok meghatározzák és a Bizottság felé bejelentik a méhkaptárak számát. </w:t>
      </w:r>
    </w:p>
    <w:p>
      <w:pPr>
        <w:spacing w:after="120"/>
        <w:jc w:val="both"/>
        <w:rPr>
          <w:rFonts w:ascii="Times New Roman" w:hAnsi="Times New Roman" w:cs="Times New Roman"/>
          <w:noProof/>
          <w:sz w:val="24"/>
          <w:szCs w:val="24"/>
          <w:highlight w:val="yellow"/>
        </w:rPr>
      </w:pPr>
      <w:r>
        <w:rPr>
          <w:rFonts w:ascii="Times New Roman" w:hAnsi="Times New Roman"/>
          <w:noProof/>
          <w:sz w:val="24"/>
          <w:szCs w:val="24"/>
        </w:rPr>
        <w:t xml:space="preserve">A minimális uniós hozzájárulás méhészeti programonként 25 000 EUR. A fennmaradó uniós finanszírozás elosztása a méhkaptáraknak a tagállamok által bejelentett arányától függ. Ha azonban egy tagállam a méhkaptárainak aránya alapján járó összegnél kevesebb forrást igényel, a fennmaradó uniós finanszírozást a forrásokból való elméleti részesedésüknél többet igénylő tagállamok között lehet elosztani. </w:t>
      </w:r>
    </w:p>
    <w:p>
      <w:pPr>
        <w:spacing w:after="120"/>
        <w:jc w:val="both"/>
        <w:rPr>
          <w:rFonts w:ascii="Times New Roman" w:hAnsi="Times New Roman" w:cs="Times New Roman"/>
          <w:noProof/>
          <w:sz w:val="24"/>
          <w:szCs w:val="24"/>
        </w:rPr>
      </w:pPr>
      <w:r>
        <w:rPr>
          <w:rFonts w:ascii="Times New Roman" w:hAnsi="Times New Roman"/>
          <w:noProof/>
          <w:sz w:val="24"/>
          <w:szCs w:val="24"/>
        </w:rPr>
        <w:t>Az (EU) 2015/1368 rendelet 8. cikkének (2) bekezdése értelmében az uniós források 2017–2019-es méhészeti programokra való elosztása a méhkaptáraknak a tagállamok által 2013-ban közölt száma alapján történt. A Bizottság felé 2019-ben bejelentett 2020–2022-es méhészeti programok esetében az elosztás alapját a méhkaptárak 2017-ben és 2018-ban (a nemzeti méhészeti programok Bizottság felé történő bejelentését közvetlenül megelőző két naptári évben) bejelentett száma képezte.</w:t>
      </w:r>
    </w:p>
    <w:p>
      <w:pPr>
        <w:jc w:val="both"/>
        <w:rPr>
          <w:rFonts w:ascii="Times New Roman" w:hAnsi="Times New Roman" w:cs="Times New Roman"/>
          <w:noProof/>
          <w:sz w:val="24"/>
          <w:szCs w:val="24"/>
        </w:rPr>
      </w:pPr>
      <w:r>
        <w:rPr>
          <w:rFonts w:ascii="Times New Roman" w:hAnsi="Times New Roman"/>
          <w:i/>
          <w:noProof/>
          <w:sz w:val="24"/>
          <w:szCs w:val="24"/>
        </w:rPr>
        <w:t>5. ábra: Az uniós hozzájárulás tagállamonkénti elosztása a 2020–2022-es méhészeti évekre vonatkozóan</w:t>
      </w:r>
    </w:p>
    <w:p>
      <w:pPr>
        <w:jc w:val="both"/>
        <w:rPr>
          <w:rFonts w:ascii="Times New Roman" w:hAnsi="Times New Roman" w:cs="Times New Roman"/>
          <w:noProof/>
          <w:sz w:val="24"/>
          <w:szCs w:val="24"/>
        </w:rPr>
      </w:pPr>
      <w:r>
        <w:rPr>
          <w:noProof/>
          <w:lang w:val="en-GB" w:eastAsia="en-GB"/>
        </w:rPr>
        <w:drawing>
          <wp:inline distT="0" distB="0" distL="0" distR="0">
            <wp:extent cx="5760720" cy="3773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3773805"/>
                    </a:xfrm>
                    <a:prstGeom prst="rect">
                      <a:avLst/>
                    </a:prstGeom>
                  </pic:spPr>
                </pic:pic>
              </a:graphicData>
            </a:graphic>
          </wp:inline>
        </w:drawing>
      </w:r>
    </w:p>
    <w:p>
      <w:pPr>
        <w:pStyle w:val="Heading2"/>
        <w:rPr>
          <w:noProof/>
        </w:rPr>
      </w:pPr>
      <w:bookmarkStart w:id="15" w:name="_Toc27051469"/>
      <w:r>
        <w:rPr>
          <w:noProof/>
        </w:rPr>
        <w:t>4.5.</w:t>
      </w:r>
      <w:r>
        <w:rPr>
          <w:noProof/>
        </w:rPr>
        <w:tab/>
        <w:t>Felmerült kiadások intézkedéstípusok szerint</w:t>
      </w:r>
      <w:bookmarkEnd w:id="15"/>
    </w:p>
    <w:p>
      <w:pPr>
        <w:spacing w:after="120"/>
        <w:jc w:val="both"/>
        <w:rPr>
          <w:rFonts w:ascii="Times New Roman" w:hAnsi="Times New Roman" w:cs="Times New Roman"/>
          <w:noProof/>
          <w:sz w:val="24"/>
          <w:szCs w:val="24"/>
        </w:rPr>
      </w:pPr>
      <w:r>
        <w:rPr>
          <w:rFonts w:ascii="Times New Roman" w:hAnsi="Times New Roman"/>
          <w:noProof/>
          <w:sz w:val="24"/>
          <w:szCs w:val="24"/>
        </w:rPr>
        <w:t>A 2015/1368 rendelet 10. cikkének értelmében a tagállamok minden év március 15-ig éves végrehajtási jelentést jelentenek be az előző méhészeti évre vonatkozóan. A 2017-es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és 2018-as</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méhészeti évhez tartozó első két éves jelentés bejelentése 2018-ban és 2019-ben történt meg. A 2018-as méhészeti év kiadásainak intézkedéstípusok szerinti bontását az alábbi kördiagram mutatja </w:t>
      </w:r>
      <w:r>
        <w:rPr>
          <w:rFonts w:ascii="Times New Roman" w:hAnsi="Times New Roman"/>
          <w:i/>
          <w:noProof/>
          <w:sz w:val="24"/>
          <w:szCs w:val="24"/>
        </w:rPr>
        <w:t>(6. ábra)</w:t>
      </w:r>
      <w:r>
        <w:rPr>
          <w:rFonts w:ascii="Times New Roman" w:hAnsi="Times New Roman"/>
          <w:noProof/>
          <w:sz w:val="24"/>
          <w:szCs w:val="24"/>
        </w:rPr>
        <w:t xml:space="preserve">. A korábbi adatokkal való összevetést szolgálja a 2015-ös méhészeti év kiadásainak intézkedéstípusok szerinti bontása </w:t>
      </w:r>
      <w:r>
        <w:rPr>
          <w:rFonts w:ascii="Times New Roman" w:hAnsi="Times New Roman"/>
          <w:i/>
          <w:noProof/>
          <w:sz w:val="24"/>
          <w:szCs w:val="24"/>
        </w:rPr>
        <w:t>(7. ábra)</w:t>
      </w:r>
      <w:r>
        <w:rPr>
          <w:rFonts w:ascii="Times New Roman" w:hAnsi="Times New Roman"/>
          <w:noProof/>
          <w:sz w:val="24"/>
          <w:szCs w:val="24"/>
        </w:rPr>
        <w:t>; ebből látszik, hogy bár a programok akkor csupán hat intézkedést tartalmaztak, a teljes felosztás százalékos aránya hasonló maradt.</w:t>
      </w:r>
      <w:r>
        <w:rPr>
          <w:rFonts w:ascii="Times New Roman" w:hAnsi="Times New Roman"/>
          <w:noProof/>
          <w:sz w:val="24"/>
          <w:szCs w:val="24"/>
        </w:rPr>
        <w:tab/>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 korábbi évekhez hasonlóan 2018-ban is két intézkedés, a </w:t>
      </w:r>
      <w:r>
        <w:rPr>
          <w:rFonts w:ascii="Times New Roman" w:hAnsi="Times New Roman"/>
          <w:b/>
          <w:noProof/>
          <w:sz w:val="24"/>
          <w:szCs w:val="24"/>
        </w:rPr>
        <w:t>technikai segítségnyújtás</w:t>
      </w:r>
      <w:r>
        <w:rPr>
          <w:rFonts w:ascii="Times New Roman" w:hAnsi="Times New Roman"/>
          <w:noProof/>
          <w:sz w:val="24"/>
          <w:szCs w:val="24"/>
        </w:rPr>
        <w:t xml:space="preserve"> és a </w:t>
      </w:r>
      <w:r>
        <w:rPr>
          <w:rFonts w:ascii="Times New Roman" w:hAnsi="Times New Roman"/>
          <w:b/>
          <w:noProof/>
          <w:sz w:val="24"/>
          <w:szCs w:val="24"/>
        </w:rPr>
        <w:t>méhcsaládokat megtámadó kártevők elleni védekezés</w:t>
      </w:r>
      <w:r>
        <w:rPr>
          <w:rFonts w:ascii="Times New Roman" w:hAnsi="Times New Roman"/>
          <w:noProof/>
          <w:sz w:val="24"/>
          <w:szCs w:val="24"/>
        </w:rPr>
        <w:t xml:space="preserve"> kapja a rendelkezésre álló finanszírozás nagy részét, illetve együttesen közel 60 %-át. Ez azt jelzi, hogy az ágazatnak folyamatos az igénye a méhészeti berendezésekbe való beruházások, a méhészeti gyakorlatoknak a betegségek és a méhcsaládokat megtámadó kártevők elleni védekezés miatti frissítése, valamint a méhészek képzése iránt.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Szintén a korábbi évekhez hasonlóan, a </w:t>
      </w:r>
      <w:r>
        <w:rPr>
          <w:rFonts w:ascii="Times New Roman" w:hAnsi="Times New Roman"/>
          <w:b/>
          <w:noProof/>
          <w:sz w:val="24"/>
          <w:szCs w:val="24"/>
        </w:rPr>
        <w:t>kaptárak állománypótlása</w:t>
      </w:r>
      <w:r>
        <w:rPr>
          <w:rFonts w:ascii="Times New Roman" w:hAnsi="Times New Roman"/>
          <w:noProof/>
          <w:sz w:val="24"/>
          <w:szCs w:val="24"/>
        </w:rPr>
        <w:t xml:space="preserve"> és a </w:t>
      </w:r>
      <w:r>
        <w:rPr>
          <w:rFonts w:ascii="Times New Roman" w:hAnsi="Times New Roman"/>
          <w:b/>
          <w:noProof/>
          <w:sz w:val="24"/>
          <w:szCs w:val="24"/>
        </w:rPr>
        <w:t>vándorméhészet észszerűsítése</w:t>
      </w:r>
      <w:r>
        <w:rPr>
          <w:rFonts w:ascii="Times New Roman" w:hAnsi="Times New Roman"/>
          <w:noProof/>
          <w:sz w:val="24"/>
          <w:szCs w:val="24"/>
        </w:rPr>
        <w:t xml:space="preserve"> jelenti a harmadik és negyedik legnépszerűbb intézkedést, 30 % feletti együttes részesedéssel. A vándorméhészet több tagállamban is kiemelten fontos méhészeti gyakorlat, amely a mézelő méhek táplálékigényének a teljes méhészeti idényben történő fedezéséhez és a beporzás biztosításához szükséges.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 2018. évre elérhető finanszírozásból 3,48 %-ot és 2,45 %-ot kapó </w:t>
      </w:r>
      <w:r>
        <w:rPr>
          <w:rFonts w:ascii="Times New Roman" w:hAnsi="Times New Roman"/>
          <w:b/>
          <w:noProof/>
          <w:sz w:val="24"/>
          <w:szCs w:val="24"/>
        </w:rPr>
        <w:t>alkalmazott kutatás</w:t>
      </w:r>
      <w:r>
        <w:rPr>
          <w:rFonts w:ascii="Times New Roman" w:hAnsi="Times New Roman"/>
          <w:noProof/>
          <w:sz w:val="24"/>
          <w:szCs w:val="24"/>
        </w:rPr>
        <w:t xml:space="preserve"> és </w:t>
      </w:r>
      <w:r>
        <w:rPr>
          <w:rFonts w:ascii="Times New Roman" w:hAnsi="Times New Roman"/>
          <w:b/>
          <w:noProof/>
          <w:sz w:val="24"/>
          <w:szCs w:val="24"/>
        </w:rPr>
        <w:t>mézelemzés</w:t>
      </w:r>
      <w:r>
        <w:rPr>
          <w:rFonts w:ascii="Times New Roman" w:hAnsi="Times New Roman"/>
          <w:noProof/>
          <w:sz w:val="24"/>
          <w:szCs w:val="24"/>
        </w:rPr>
        <w:t xml:space="preserve"> megőrizte 5. és 6. helyezését.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A két új intézkedés, a </w:t>
      </w:r>
      <w:r>
        <w:rPr>
          <w:rFonts w:ascii="Times New Roman" w:hAnsi="Times New Roman"/>
          <w:b/>
          <w:noProof/>
          <w:sz w:val="24"/>
          <w:szCs w:val="24"/>
        </w:rPr>
        <w:t>termékminőség javítása</w:t>
      </w:r>
      <w:r>
        <w:rPr>
          <w:rFonts w:ascii="Times New Roman" w:hAnsi="Times New Roman"/>
          <w:noProof/>
          <w:sz w:val="24"/>
          <w:szCs w:val="24"/>
        </w:rPr>
        <w:t xml:space="preserve"> (az összes kiadás 0,69 %-a) és a </w:t>
      </w:r>
      <w:r>
        <w:rPr>
          <w:rFonts w:ascii="Times New Roman" w:hAnsi="Times New Roman"/>
          <w:b/>
          <w:noProof/>
          <w:sz w:val="24"/>
          <w:szCs w:val="24"/>
        </w:rPr>
        <w:t>piacmonitoring</w:t>
      </w:r>
      <w:r>
        <w:rPr>
          <w:rFonts w:ascii="Times New Roman" w:hAnsi="Times New Roman"/>
          <w:noProof/>
          <w:sz w:val="24"/>
          <w:szCs w:val="24"/>
        </w:rPr>
        <w:t xml:space="preserve">együttesen 1 %-nál kevesebbet kapott a finanszírozásból. </w:t>
      </w:r>
    </w:p>
    <w:p>
      <w:pPr>
        <w:rPr>
          <w:rFonts w:ascii="Times New Roman" w:hAnsi="Times New Roman" w:cs="Times New Roman"/>
          <w:i/>
          <w:noProof/>
          <w:sz w:val="8"/>
          <w:szCs w:val="24"/>
        </w:rPr>
      </w:pPr>
      <w:r>
        <w:rPr>
          <w:rFonts w:ascii="Times New Roman" w:hAnsi="Times New Roman"/>
          <w:i/>
          <w:noProof/>
          <w:sz w:val="24"/>
          <w:szCs w:val="24"/>
        </w:rPr>
        <w:t>6. ábra: A kiadások intézkedés szerinti százalékos aránya a 2018-as méhészeti évben</w:t>
      </w:r>
    </w:p>
    <w:p>
      <w:pPr>
        <w:rPr>
          <w:rFonts w:ascii="Times New Roman" w:hAnsi="Times New Roman" w:cs="Times New Roman"/>
          <w:noProof/>
          <w:sz w:val="24"/>
          <w:szCs w:val="24"/>
        </w:rPr>
      </w:pPr>
      <w:r>
        <w:rPr>
          <w:noProof/>
          <w:lang w:val="en-GB" w:eastAsia="en-GB"/>
        </w:rPr>
        <w:drawing>
          <wp:inline distT="0" distB="0" distL="0" distR="0">
            <wp:extent cx="4867275" cy="3362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67275" cy="3362325"/>
                    </a:xfrm>
                    <a:prstGeom prst="rect">
                      <a:avLst/>
                    </a:prstGeom>
                  </pic:spPr>
                </pic:pic>
              </a:graphicData>
            </a:graphic>
          </wp:inline>
        </w:drawing>
      </w:r>
    </w:p>
    <w:p>
      <w:pPr>
        <w:spacing w:before="600"/>
        <w:jc w:val="both"/>
        <w:rPr>
          <w:rFonts w:ascii="Times New Roman" w:hAnsi="Times New Roman" w:cs="Times New Roman"/>
          <w:i/>
          <w:noProof/>
          <w:sz w:val="24"/>
          <w:szCs w:val="24"/>
        </w:rPr>
      </w:pPr>
      <w:r>
        <w:rPr>
          <w:rFonts w:ascii="Times New Roman" w:hAnsi="Times New Roman"/>
          <w:i/>
          <w:noProof/>
          <w:sz w:val="24"/>
          <w:szCs w:val="24"/>
        </w:rPr>
        <w:t>7. ábra: A kiadások intézkedés szerinti százalékos aránya a 2015-ös méhészeti évben</w:t>
      </w:r>
    </w:p>
    <w:p>
      <w:pPr>
        <w:jc w:val="both"/>
        <w:rPr>
          <w:rFonts w:ascii="Times New Roman" w:hAnsi="Times New Roman" w:cs="Times New Roman"/>
          <w:noProof/>
          <w:sz w:val="24"/>
          <w:szCs w:val="24"/>
        </w:rPr>
      </w:pPr>
      <w:r>
        <w:rPr>
          <w:noProof/>
          <w:lang w:val="en-GB" w:eastAsia="en-GB"/>
        </w:rPr>
        <w:drawing>
          <wp:inline distT="0" distB="0" distL="0" distR="0">
            <wp:extent cx="4829175" cy="3543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29175" cy="3543300"/>
                    </a:xfrm>
                    <a:prstGeom prst="rect">
                      <a:avLst/>
                    </a:prstGeom>
                  </pic:spPr>
                </pic:pic>
              </a:graphicData>
            </a:graphic>
          </wp:inline>
        </w:drawing>
      </w:r>
    </w:p>
    <w:p>
      <w:pPr>
        <w:pStyle w:val="Heading1"/>
        <w:rPr>
          <w:noProof/>
        </w:rPr>
      </w:pPr>
      <w:bookmarkStart w:id="16" w:name="_Toc27051470"/>
      <w:r>
        <w:rPr>
          <w:noProof/>
        </w:rPr>
        <w:t>5.</w:t>
      </w:r>
      <w:r>
        <w:rPr>
          <w:noProof/>
        </w:rPr>
        <w:tab/>
        <w:t>A MÉHKAPTÁRAK SZÁMÁNAK MEGHATÁROZÁSÁRA SZOLGÁLÓ MÓDSZER</w:t>
      </w:r>
      <w:bookmarkEnd w:id="16"/>
      <w:r>
        <w:rPr>
          <w:noProof/>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A jelentés 4.2. fejezete szerint változások kerültek bevezetésre, hogy a tagállamok által a területükön található méhkaptárak számának meghatározásához használt módszerek javítása útján biztosítható legyen az uniós költségvetés rendezettebb elosztása. Az egységes közös piacszervezésről szóló rendelet 56. cikke (1) bekezdésének b) pontja értelmében a Bizottság felhatalmazáson alapuló jogi aktust fogadott el, amely szerint a tagállamok méhészeti programjaihoz történő uniós pénzügyi hozzájárulás elosztása a méhkaptárok számán alapul</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E felhatalmazáson alapuló jogi aktus fogalommeghatározása szerint a méhkaptár </w:t>
      </w:r>
      <w:r>
        <w:rPr>
          <w:rFonts w:ascii="Times New Roman" w:hAnsi="Times New Roman"/>
          <w:i/>
          <w:noProof/>
          <w:sz w:val="24"/>
          <w:szCs w:val="24"/>
        </w:rPr>
        <w:t xml:space="preserve">„méz vagy más méhészeti termékek előállítására, illetve mézelő méhek szaporítására használt, egy méhcsaládot tartalmazó egységet jelent, beleértve a méhek túléléséhez szükséges minden elemet”. </w:t>
      </w:r>
      <w:r>
        <w:rPr>
          <w:rFonts w:ascii="Times New Roman" w:hAnsi="Times New Roman"/>
          <w:noProof/>
          <w:sz w:val="24"/>
          <w:szCs w:val="24"/>
        </w:rPr>
        <w:t xml:space="preserve">Ez a jogi aktus rögzíti azt a kötelezettséget is, hogy a nemzeti méhészeti programot benyújtó tagállamoknak rendelkezniük kell egy megbízható módszerrel a területükön található telelésre felkészült méhkaptárak számának meghatározására minden év szeptember 1. és december 31. között. </w:t>
      </w:r>
    </w:p>
    <w:p>
      <w:pPr>
        <w:spacing w:after="120"/>
        <w:jc w:val="both"/>
        <w:rPr>
          <w:rFonts w:ascii="Times New Roman" w:hAnsi="Times New Roman" w:cs="Times New Roman"/>
          <w:noProof/>
          <w:sz w:val="24"/>
          <w:szCs w:val="24"/>
        </w:rPr>
      </w:pPr>
      <w:r>
        <w:rPr>
          <w:rFonts w:ascii="Times New Roman" w:hAnsi="Times New Roman"/>
          <w:noProof/>
          <w:sz w:val="24"/>
          <w:szCs w:val="24"/>
        </w:rPr>
        <w:t>Mivel az említett jogi aktus alkalmazása előtt a fenti kérdésekhez nem létezett harmonizált szabály, a felhatalmazáson alapuló jogi aktus 2017. évi alkalmazása előtt bejelentett méhkaptárak számát nem szabad közvetlenül összevetni a 2017. márciusban bejelentett méhkaptárak számával.  Ugyanakkor a hosszú távú korábbi tendencia azt mutatja, hogy az elmúlt évtized során emelkedett a méhkaptárak száma az Unióban. Ez a pozitív tendencia csaknem minden tagállamban látható.</w:t>
      </w:r>
    </w:p>
    <w:p>
      <w:pPr>
        <w:rPr>
          <w:rFonts w:ascii="Times New Roman" w:hAnsi="Times New Roman" w:cs="Times New Roman"/>
          <w:noProof/>
          <w:sz w:val="20"/>
          <w:szCs w:val="20"/>
        </w:rPr>
      </w:pPr>
      <w:r>
        <w:rPr>
          <w:noProof/>
          <w:lang w:val="en-GB" w:eastAsia="en-GB"/>
        </w:rPr>
        <w:drawing>
          <wp:anchor distT="0" distB="0" distL="114300" distR="114300" simplePos="0" relativeHeight="251660800" behindDoc="0" locked="0" layoutInCell="1" allowOverlap="1">
            <wp:simplePos x="0" y="0"/>
            <wp:positionH relativeFrom="column">
              <wp:posOffset>-156551</wp:posOffset>
            </wp:positionH>
            <wp:positionV relativeFrom="paragraph">
              <wp:posOffset>242428</wp:posOffset>
            </wp:positionV>
            <wp:extent cx="5970905" cy="3908425"/>
            <wp:effectExtent l="0" t="0" r="0" b="0"/>
            <wp:wrapThrough wrapText="bothSides">
              <wp:wrapPolygon edited="0">
                <wp:start x="0" y="0"/>
                <wp:lineTo x="0" y="21477"/>
                <wp:lineTo x="21501" y="21477"/>
                <wp:lineTo x="2150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7220" t="11371" r="57319" b="6106"/>
                    <a:stretch/>
                  </pic:blipFill>
                  <pic:spPr bwMode="auto">
                    <a:xfrm>
                      <a:off x="0" y="0"/>
                      <a:ext cx="5970905" cy="3908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i/>
          <w:noProof/>
          <w:sz w:val="24"/>
          <w:szCs w:val="24"/>
        </w:rPr>
        <w:t xml:space="preserve">8. ábra: A méhkaptárak számának alakulása az EU-ban (ezer darab) </w:t>
      </w:r>
    </w:p>
    <w:p>
      <w:pPr>
        <w:rPr>
          <w:rFonts w:ascii="Times New Roman" w:hAnsi="Times New Roman" w:cs="Times New Roman"/>
          <w:noProof/>
          <w:sz w:val="24"/>
          <w:szCs w:val="24"/>
        </w:rPr>
      </w:pPr>
      <w:r>
        <w:rPr>
          <w:rFonts w:ascii="Times New Roman" w:hAnsi="Times New Roman"/>
          <w:noProof/>
          <w:sz w:val="24"/>
          <w:szCs w:val="24"/>
        </w:rPr>
        <w:t xml:space="preserve">Az (EU) 2015/1368 bizottsági végrehajtási rendelet értelmében a tagállamok nemzeti méhészeti programjának magában kell foglalnia a területükön található méhkaptárak számának meghatározása céljából alkalmazott módszer ismertetését.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Összesen 17 tagállam használ kötelező módszereket a méhkaptárak számának meghatározásához, beleértve a legtöbb kaptárral rendelkező olyan tagállamokat, mint ES, RO, IT, FR és EL. A kötelező módszerek közé tartozhat a méhészek és/vagy méhkaptárak kötelező regisztrálása egy külön erre a célra létrehozott nyilvántartásban, vagy a más kötelező nyilvántartásokból, például állategészségügyi információs rendszerekből származó adatok használata.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Összesen 11 tagállam használ a kötelező regisztrációtól eltérő módszereket. Közéjük tartoznak a kevesebb kaptárral rendelkező olyan tagállamok, mint SE, DK, IE és EE. E tagállamok a méhészek szervezeteitől, felmérésekből, összeírásokból vagy e módszerek kombinálásával megszerzett adatokra támaszkodhatnak.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Általában a méhkaptárak kötelező regisztrációját tekintik a legmegbízhatóbb módszernek, de ez a méhészek és a tagállamok számára fokozott adminisztratív terhet jelent: a nemzeti jog a méhészeket tevékenységük regisztrálására és méhkaptáraik számának valamely hatóság felé történő bejelentésére kötelezi. </w:t>
      </w:r>
    </w:p>
    <w:p>
      <w:pPr>
        <w:spacing w:after="120"/>
        <w:jc w:val="both"/>
        <w:rPr>
          <w:rFonts w:ascii="Times New Roman" w:hAnsi="Times New Roman" w:cs="Times New Roman"/>
          <w:noProof/>
          <w:sz w:val="24"/>
          <w:szCs w:val="24"/>
        </w:rPr>
      </w:pPr>
      <w:r>
        <w:rPr>
          <w:rFonts w:ascii="Times New Roman" w:hAnsi="Times New Roman"/>
          <w:noProof/>
          <w:sz w:val="24"/>
          <w:szCs w:val="24"/>
        </w:rPr>
        <w:t>A méhkaptárak számának becslésére szolgáló egyéb módszerek megbízhatósága a méhészeti szervezetek által vezetett adatbázis minőségétől és a méhkaptáraik számára vonatkozó információk szolgáltatáshoz kiválasztott méhészek mintájának reprezentativitásától függ.</w:t>
      </w:r>
    </w:p>
    <w:p>
      <w:pPr>
        <w:pStyle w:val="Heading1"/>
        <w:rPr>
          <w:rStyle w:val="Heading1Char"/>
          <w:b/>
          <w:noProof/>
          <w:sz w:val="24"/>
        </w:rPr>
      </w:pPr>
      <w:bookmarkStart w:id="17" w:name="_Toc261355720"/>
      <w:bookmarkStart w:id="18" w:name="_Toc27051471"/>
      <w:r>
        <w:rPr>
          <w:noProof/>
        </w:rPr>
        <w:t>6.</w:t>
      </w:r>
      <w:r>
        <w:rPr>
          <w:noProof/>
        </w:rPr>
        <w:tab/>
      </w:r>
      <w:bookmarkEnd w:id="17"/>
      <w:r>
        <w:rPr>
          <w:noProof/>
          <w:sz w:val="24"/>
          <w:szCs w:val="24"/>
        </w:rPr>
        <w:t>MÉHÉSZET A 2020 UTÁNI KÖZÖS AGRÁRPOLITIKÁBAN</w:t>
      </w:r>
      <w:bookmarkEnd w:id="18"/>
      <w:r>
        <w:rPr>
          <w:rStyle w:val="Heading1Char"/>
          <w:b/>
          <w:noProof/>
          <w:sz w:val="24"/>
        </w:rPr>
        <w:t xml:space="preserve"> </w:t>
      </w:r>
    </w:p>
    <w:p>
      <w:pPr>
        <w:spacing w:after="120"/>
        <w:jc w:val="both"/>
        <w:rPr>
          <w:rFonts w:ascii="Times New Roman" w:hAnsi="Times New Roman" w:cs="Times New Roman"/>
          <w:noProof/>
          <w:sz w:val="24"/>
        </w:rPr>
      </w:pPr>
      <w:r>
        <w:rPr>
          <w:rFonts w:ascii="Times New Roman" w:hAnsi="Times New Roman"/>
          <w:noProof/>
          <w:sz w:val="24"/>
        </w:rPr>
        <w:t>A 2020 utáni KAP-ra vonatkozó javaslatában</w:t>
      </w:r>
      <w:r>
        <w:rPr>
          <w:rStyle w:val="FootnoteReference"/>
          <w:rFonts w:ascii="Times New Roman" w:hAnsi="Times New Roman" w:cs="Times New Roman"/>
          <w:noProof/>
          <w:sz w:val="24"/>
        </w:rPr>
        <w:footnoteReference w:id="21"/>
      </w:r>
      <w:r>
        <w:rPr>
          <w:rFonts w:ascii="Times New Roman" w:hAnsi="Times New Roman"/>
          <w:noProof/>
          <w:sz w:val="24"/>
        </w:rPr>
        <w:t xml:space="preserve"> a Bizottság azt javasolja, hogy az egységes közös piacszervezésről szóló rendeletből a méhészeti programok kerüljenek át a KAP-stratégiai tervről szóló rendeletbe</w:t>
      </w:r>
      <w:r>
        <w:rPr>
          <w:rStyle w:val="FootnoteReference"/>
          <w:rFonts w:ascii="Times New Roman" w:hAnsi="Times New Roman" w:cs="Times New Roman"/>
          <w:noProof/>
          <w:sz w:val="24"/>
        </w:rPr>
        <w:footnoteReference w:id="22"/>
      </w:r>
      <w:r>
        <w:rPr>
          <w:rFonts w:ascii="Times New Roman" w:hAnsi="Times New Roman"/>
          <w:noProof/>
          <w:sz w:val="24"/>
        </w:rPr>
        <w:t>. Ez fokozza a méhészeti ágazat láthatóságát és biztosítja a közös agrárpolitika általános célkitűzéseihez való hozzájárulásának figyelembevételét.</w:t>
      </w:r>
    </w:p>
    <w:p>
      <w:pPr>
        <w:spacing w:after="120"/>
        <w:jc w:val="both"/>
        <w:rPr>
          <w:rFonts w:ascii="Times New Roman" w:hAnsi="Times New Roman" w:cs="Times New Roman"/>
          <w:noProof/>
          <w:sz w:val="24"/>
        </w:rPr>
      </w:pPr>
      <w:r>
        <w:rPr>
          <w:rFonts w:ascii="Times New Roman" w:hAnsi="Times New Roman"/>
          <w:noProof/>
          <w:sz w:val="24"/>
        </w:rPr>
        <w:t>A javaslat arra is kitér, hogy évi 60 millió EUR összegre emelkedjen a méhészeti programok finanszírozása. Ez azt jelenti, hogy a jövőbeni KAP 7 éves időszaka alatt az uniós finanszírozásból és a tagállami hozzájárulásokból összesen 840 millió EUR áll majd az ágazat rendelkezésére. A javaslattal bevezetett egyik további változás szerint a tagállami méhészeti programok éves finanszírozását az alap-jogiaktusban kell meghatározni</w:t>
      </w:r>
      <w:r>
        <w:rPr>
          <w:rStyle w:val="FootnoteReference"/>
          <w:rFonts w:ascii="Times New Roman" w:hAnsi="Times New Roman" w:cs="Times New Roman"/>
          <w:noProof/>
          <w:sz w:val="24"/>
        </w:rPr>
        <w:footnoteReference w:id="23"/>
      </w:r>
      <w:r>
        <w:rPr>
          <w:rFonts w:ascii="Times New Roman" w:hAnsi="Times New Roman"/>
          <w:noProof/>
          <w:sz w:val="24"/>
        </w:rPr>
        <w:t xml:space="preserve">. </w:t>
      </w:r>
    </w:p>
    <w:p>
      <w:pPr>
        <w:spacing w:after="120"/>
        <w:jc w:val="both"/>
        <w:rPr>
          <w:rFonts w:ascii="Times New Roman" w:hAnsi="Times New Roman" w:cs="Times New Roman"/>
          <w:noProof/>
          <w:sz w:val="24"/>
        </w:rPr>
      </w:pPr>
      <w:r>
        <w:rPr>
          <w:rFonts w:ascii="Times New Roman" w:hAnsi="Times New Roman"/>
          <w:noProof/>
          <w:sz w:val="24"/>
        </w:rPr>
        <w:t xml:space="preserve">A tendencia követhetősége, a támogatási intézkedések méhészeti ágazatra gyakorolt hatásának felmérése és az európai polgárok tájékoztatása érdekében továbbra is szükség lesz a tagállamokban található méhkaptárak számának ismeretére. A Bizottság javaslata ezért továbbra is kötelezi a tagállamokat a méhkaptárak számának meghatározására és az eredmény Bizottság felé történő bejelentésére.  </w:t>
      </w:r>
    </w:p>
    <w:p>
      <w:pPr>
        <w:spacing w:after="120"/>
        <w:jc w:val="both"/>
        <w:rPr>
          <w:rFonts w:ascii="Calibri" w:hAnsi="Calibri"/>
          <w:noProof/>
          <w:color w:val="1F497D"/>
        </w:rPr>
      </w:pPr>
      <w:r>
        <w:rPr>
          <w:rFonts w:ascii="Times New Roman" w:hAnsi="Times New Roman"/>
          <w:noProof/>
          <w:sz w:val="24"/>
        </w:rPr>
        <w:t>A Bizottság javaslata szerint az egységes közös piacszervezésről szóló rendeletben még önkéntes méhészeti programok a tagállamok KAP-stratégiai terveiben már kötelezőek lennének.</w:t>
      </w:r>
    </w:p>
    <w:p>
      <w:pPr>
        <w:pStyle w:val="Heading1"/>
        <w:rPr>
          <w:rStyle w:val="Heading1Char"/>
          <w:b/>
          <w:bCs/>
          <w:noProof/>
        </w:rPr>
      </w:pPr>
      <w:bookmarkStart w:id="19" w:name="_Toc27051472"/>
      <w:r>
        <w:rPr>
          <w:rStyle w:val="Heading1Char"/>
          <w:b/>
          <w:bCs/>
          <w:noProof/>
        </w:rPr>
        <w:t>7.</w:t>
      </w:r>
      <w:r>
        <w:rPr>
          <w:rStyle w:val="Heading1Char"/>
          <w:b/>
          <w:bCs/>
          <w:noProof/>
        </w:rPr>
        <w:tab/>
        <w:t>KÖVETKEZTETÉS</w:t>
      </w:r>
      <w:bookmarkEnd w:id="19"/>
    </w:p>
    <w:p>
      <w:pPr>
        <w:spacing w:after="120"/>
        <w:jc w:val="both"/>
        <w:rPr>
          <w:rFonts w:ascii="Times New Roman" w:hAnsi="Times New Roman" w:cs="Times New Roman"/>
          <w:noProof/>
          <w:sz w:val="24"/>
        </w:rPr>
      </w:pPr>
      <w:r>
        <w:rPr>
          <w:rFonts w:ascii="Times New Roman" w:hAnsi="Times New Roman"/>
          <w:noProof/>
          <w:sz w:val="24"/>
        </w:rPr>
        <w:t>A méhészeti programok ugyan önkéntesek maradtak az egységes közös piacszervezésről szóló rendeletben, mégis minden tagállam folytatja az ágazattal együttműködve kialakított programok bevezetését. Az adott tagállam igényeitől függően a programok eltérnek a tagállamok között, a legtöbb támogatásban részesülő intézkedések – technikai segítségnyújtás és a méhcsaládokat megtámadó kártevők elleni védekezés – azonban nem változtak a 2016. évi utolsó jelentés óta.</w:t>
      </w:r>
    </w:p>
    <w:p>
      <w:pPr>
        <w:spacing w:after="120"/>
        <w:jc w:val="both"/>
        <w:rPr>
          <w:rFonts w:ascii="Times New Roman" w:hAnsi="Times New Roman" w:cs="Times New Roman"/>
          <w:noProof/>
          <w:sz w:val="24"/>
          <w:szCs w:val="24"/>
        </w:rPr>
      </w:pPr>
      <w:r>
        <w:rPr>
          <w:rFonts w:ascii="Times New Roman" w:hAnsi="Times New Roman"/>
          <w:noProof/>
          <w:sz w:val="24"/>
          <w:szCs w:val="24"/>
        </w:rPr>
        <w:t>Az ágazat finanszírozása folyamatosan emelkedett az utóbbi programozási időszakok során, a finanszírozás igénybevételének változatlanul magas szintje pedig a kiválasztott intézkedések fontosságát jelzi.</w:t>
      </w:r>
    </w:p>
    <w:p>
      <w:pPr>
        <w:spacing w:after="120"/>
        <w:jc w:val="both"/>
        <w:rPr>
          <w:noProof/>
        </w:rPr>
      </w:pPr>
      <w:r>
        <w:rPr>
          <w:rFonts w:ascii="Times New Roman" w:hAnsi="Times New Roman"/>
          <w:noProof/>
          <w:sz w:val="24"/>
        </w:rPr>
        <w:t>A támogatási intézkedés egyik mutatója a méhkaptárak száma, amely szám továbbra is emelkedik. Az ágazat általános nyereségességét tekintve azonban az uniós átlagárak nem emelkedtek, miközben a termelési költségek nőnek és az importárak csökkennek. Ez kihívások elé állítja az ágazatot és a további támogatás igényét jelzi, a méhek környezeti és mezőgazdasági szempontból betöltött fontos szerepét is figyelembe véve.</w:t>
      </w:r>
    </w:p>
    <w:sectPr>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8629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2</w:t>
        </w:r>
        <w: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075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484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rPr>
          <w:szCs w:val="24"/>
        </w:rPr>
      </w:pPr>
      <w:r>
        <w:rPr>
          <w:rStyle w:val="FootnoteReference"/>
          <w:szCs w:val="24"/>
        </w:rPr>
        <w:footnoteRef/>
      </w:r>
      <w:r>
        <w:tab/>
        <w:t>Az Európai Parlament és a Tanács 1308/2013/EU rendelete a mezőgazdasági termékpiacok közös szervezésének létrehozásáról, HL L 347., 2013.12.20., 671. o.</w:t>
      </w:r>
    </w:p>
  </w:footnote>
  <w:footnote w:id="2">
    <w:p>
      <w:pPr>
        <w:pStyle w:val="FootnoteText"/>
        <w:spacing w:after="60"/>
      </w:pPr>
      <w:r>
        <w:rPr>
          <w:rStyle w:val="FootnoteReference"/>
        </w:rPr>
        <w:footnoteRef/>
      </w:r>
      <w:r>
        <w:t xml:space="preserve"> </w:t>
      </w:r>
      <w:r>
        <w:tab/>
        <w:t>A Tanács 1221/97/EK rendelete (1997. június 25.) a méz termelésének és forgalmazásának javítására irányuló intézkedések alkalmazására vonatkozó általános szabályok megállapításáról, HL L 173., 1997.7.1., 1. o.</w:t>
      </w:r>
    </w:p>
  </w:footnote>
  <w:footnote w:id="3">
    <w:p>
      <w:pPr>
        <w:spacing w:after="6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A Bizottság (EU) 2015/1366 felhatalmazáson alapuló rendelete (2015. május 11.) az 1308/2013/EU európai parlamenti és tanácsi rendeletnek a méhészeti ágazatban nyújtott támogatások tekintetében történő kiegészítéséről, </w:t>
      </w:r>
      <w:r>
        <w:rPr>
          <w:rFonts w:ascii="Times New Roman" w:hAnsi="Times New Roman"/>
          <w:i/>
          <w:iCs/>
          <w:sz w:val="20"/>
          <w:szCs w:val="20"/>
        </w:rPr>
        <w:t>HL L 211., 2015.8.8., 3–6. o.</w:t>
      </w:r>
    </w:p>
  </w:footnote>
  <w:footnote w:id="4">
    <w:p>
      <w:pPr>
        <w:pStyle w:val="FootnoteText"/>
        <w:spacing w:after="60"/>
        <w:ind w:left="0" w:firstLine="0"/>
      </w:pPr>
      <w:r>
        <w:rPr>
          <w:rStyle w:val="FootnoteReference"/>
        </w:rPr>
        <w:footnoteRef/>
      </w:r>
      <w:r>
        <w:t xml:space="preserve"> A Bizottság (EU) 2015/1368 végrehajtási rendelete (2015. augusztus 6.) az 1308/2013/EU európai parlamenti és tanácsi rendeletnek a méhészeti ágazatban nyújtott támogatások tekintetében történő alkalmazására vonatkozó szabályok megállapításáról, </w:t>
      </w:r>
      <w:r>
        <w:rPr>
          <w:i/>
          <w:iCs/>
        </w:rPr>
        <w:t>HL L 211., 2015.8.8., 9–16. o.</w:t>
      </w:r>
    </w:p>
  </w:footnote>
  <w:footnote w:id="5">
    <w:p>
      <w:pPr>
        <w:pStyle w:val="NormalWeb"/>
        <w:spacing w:before="0" w:beforeAutospacing="0" w:after="60" w:afterAutospacing="0"/>
      </w:pPr>
      <w:r>
        <w:rPr>
          <w:rStyle w:val="FootnoteReference"/>
          <w:sz w:val="20"/>
          <w:szCs w:val="20"/>
        </w:rPr>
        <w:footnoteRef/>
      </w:r>
      <w:r>
        <w:rPr>
          <w:sz w:val="20"/>
          <w:szCs w:val="20"/>
        </w:rPr>
        <w:t xml:space="preserve"> A Bizottság 917/2004/EK rendelete (2004. április 29.) a méhészeti termékek termelésének és forgalmazásának általános feltételeit javító intézkedésekről szóló 797/2004/EK tanácsi rendelet végrehajtásának részletes szabályairól, </w:t>
      </w:r>
      <w:r>
        <w:rPr>
          <w:i/>
          <w:iCs/>
          <w:sz w:val="20"/>
          <w:szCs w:val="20"/>
        </w:rPr>
        <w:t>HL L 163., 2004.4.30., 83–87. o.</w:t>
      </w:r>
    </w:p>
  </w:footnote>
  <w:footnote w:id="6">
    <w:p>
      <w:pPr>
        <w:pStyle w:val="FootnoteText"/>
        <w:spacing w:after="60"/>
        <w:ind w:left="0" w:firstLine="0"/>
      </w:pPr>
      <w:r>
        <w:rPr>
          <w:rStyle w:val="FootnoteReference"/>
        </w:rPr>
        <w:footnoteRef/>
      </w:r>
      <w:r>
        <w:t xml:space="preserve"> https://ec.europa.eu/eurostat</w:t>
      </w:r>
    </w:p>
  </w:footnote>
  <w:footnote w:id="7">
    <w:p>
      <w:pPr>
        <w:pStyle w:val="FootnoteText"/>
        <w:spacing w:after="60"/>
        <w:ind w:left="0" w:firstLine="0"/>
      </w:pPr>
      <w:r>
        <w:rPr>
          <w:rStyle w:val="FootnoteReference"/>
        </w:rPr>
        <w:footnoteRef/>
      </w:r>
      <w:r>
        <w:t xml:space="preserve"> https://comtrade.un.org/</w:t>
      </w:r>
    </w:p>
  </w:footnote>
  <w:footnote w:id="8">
    <w:p>
      <w:pPr>
        <w:pStyle w:val="FootnoteText"/>
      </w:pPr>
      <w:r>
        <w:rPr>
          <w:rStyle w:val="FootnoteReference"/>
        </w:rPr>
        <w:footnoteRef/>
      </w:r>
      <w:r>
        <w:t xml:space="preserve"> http://www.fao.org/home/en/</w:t>
      </w:r>
    </w:p>
  </w:footnote>
  <w:footnote w:id="9">
    <w:p>
      <w:pPr>
        <w:pStyle w:val="Text1"/>
        <w:spacing w:before="0" w:after="60"/>
        <w:ind w:left="0"/>
        <w:rPr>
          <w:sz w:val="20"/>
          <w:szCs w:val="20"/>
        </w:rPr>
      </w:pPr>
      <w:r>
        <w:rPr>
          <w:rStyle w:val="FootnoteReference"/>
        </w:rPr>
        <w:footnoteRef/>
      </w:r>
      <w:r>
        <w:t xml:space="preserve"> </w:t>
      </w:r>
      <w:hyperlink r:id="rId1" w:history="1">
        <w:r>
          <w:rPr>
            <w:rStyle w:val="Hyperlink"/>
            <w:sz w:val="20"/>
            <w:szCs w:val="20"/>
          </w:rPr>
          <w:t>https://ec.europa.eu/info/food-farming-fisheries/animals-and-animal-products/animal-products/honey_en</w:t>
        </w:r>
      </w:hyperlink>
    </w:p>
  </w:footnote>
  <w:footnote w:id="10">
    <w:p>
      <w:pPr>
        <w:pStyle w:val="FootnoteText"/>
        <w:spacing w:after="60"/>
        <w:ind w:left="0" w:firstLine="0"/>
      </w:pPr>
      <w:r>
        <w:rPr>
          <w:rStyle w:val="FootnoteReference"/>
        </w:rPr>
        <w:footnoteRef/>
      </w:r>
      <w:r>
        <w:t xml:space="preserve"> Forrás: FAO</w:t>
      </w:r>
    </w:p>
  </w:footnote>
  <w:footnote w:id="11">
    <w:p>
      <w:pPr>
        <w:pStyle w:val="FootnoteText"/>
        <w:spacing w:after="60"/>
        <w:ind w:left="0" w:firstLine="0"/>
      </w:pPr>
      <w:r>
        <w:rPr>
          <w:rStyle w:val="FootnoteReference"/>
        </w:rPr>
        <w:footnoteRef/>
      </w:r>
      <w:r>
        <w:t xml:space="preserve"> Önellátás mértéke = uniós termelés/(termelés + behozatal – kivitel)</w:t>
      </w:r>
    </w:p>
  </w:footnote>
  <w:footnote w:id="12">
    <w:p>
      <w:pPr>
        <w:pStyle w:val="FootnoteText"/>
        <w:spacing w:after="120"/>
      </w:pPr>
      <w:r>
        <w:rPr>
          <w:rStyle w:val="FootnoteReference"/>
        </w:rPr>
        <w:footnoteRef/>
      </w:r>
      <w:r>
        <w:t xml:space="preserve"> Forrás: Eurostat Comext, </w:t>
      </w:r>
      <w:hyperlink r:id="rId2" w:history="1">
        <w:r>
          <w:rPr>
            <w:rStyle w:val="Hyperlink"/>
          </w:rPr>
          <w:t>https://trade.ec.europa.eu/tradehelp/statistics</w:t>
        </w:r>
      </w:hyperlink>
    </w:p>
  </w:footnote>
  <w:footnote w:id="13">
    <w:p>
      <w:pPr>
        <w:spacing w:after="6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A Bizottság (EU) 2015/1366 felhatalmazáson alapuló rendelete (2015. május 11.) az 1308/2013/EU európai parlamenti és tanácsi rendeletnek a méhészeti ágazatban nyújtott támogatások tekintetében történő kiegészítéséről, </w:t>
      </w:r>
      <w:r>
        <w:rPr>
          <w:rFonts w:ascii="Times New Roman" w:hAnsi="Times New Roman"/>
          <w:i/>
          <w:iCs/>
          <w:sz w:val="20"/>
          <w:szCs w:val="20"/>
        </w:rPr>
        <w:t>HL L 211., 2015.8.8., 3–6. o.</w:t>
      </w:r>
    </w:p>
  </w:footnote>
  <w:footnote w:id="14">
    <w:p>
      <w:pPr>
        <w:spacing w:after="6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A Bizottság (EU) 2015/1368 végrehajtási rendelete (2015. augusztus 6.) az 1308/2013/EU európai parlamenti és tanácsi rendeletnek a méhészeti ágazatban nyújtott támogatások tekintetében történő alkalmazására vonatkozó szabályok megállapításáról, </w:t>
      </w:r>
      <w:r>
        <w:rPr>
          <w:rFonts w:ascii="Times New Roman" w:hAnsi="Times New Roman"/>
          <w:i/>
          <w:iCs/>
          <w:sz w:val="20"/>
          <w:szCs w:val="20"/>
        </w:rPr>
        <w:t>HL L 211., 2015.8.8., 9–16. o.</w:t>
      </w:r>
    </w:p>
  </w:footnote>
  <w:footnote w:id="15">
    <w:p>
      <w:pPr>
        <w:pStyle w:val="NormalWeb"/>
        <w:spacing w:before="0" w:beforeAutospacing="0" w:after="60" w:afterAutospacing="0"/>
        <w:jc w:val="both"/>
        <w:rPr>
          <w:sz w:val="20"/>
          <w:szCs w:val="20"/>
        </w:rPr>
      </w:pPr>
      <w:r>
        <w:rPr>
          <w:rStyle w:val="FootnoteReference"/>
          <w:sz w:val="20"/>
          <w:szCs w:val="20"/>
        </w:rPr>
        <w:footnoteRef/>
      </w:r>
      <w:r>
        <w:rPr>
          <w:sz w:val="20"/>
          <w:szCs w:val="20"/>
        </w:rPr>
        <w:t xml:space="preserve"> </w:t>
      </w:r>
      <w:r>
        <w:rPr>
          <w:bCs/>
          <w:sz w:val="20"/>
          <w:szCs w:val="20"/>
        </w:rPr>
        <w:t xml:space="preserve">A Bizottság (EU) 2016/1102 végrehajtási határozata (2016. július 5.) a tagállamok által az 1308/2013/EU európai parlamenti és tanácsi rendelet alapján benyújtott, a méhészeti termékek termelésének és forgalmazásának javítására irányuló nemzeti programok jóváhagyásáról </w:t>
      </w:r>
      <w:r>
        <w:rPr>
          <w:i/>
          <w:iCs/>
          <w:sz w:val="20"/>
          <w:szCs w:val="20"/>
        </w:rPr>
        <w:t xml:space="preserve">(az értesítés a C(2016) 4133. számú dokumentummal történt), HL L 182., 2016.7.7., 55–57. o. </w:t>
      </w:r>
    </w:p>
  </w:footnote>
  <w:footnote w:id="16">
    <w:p>
      <w:pPr>
        <w:spacing w:after="60" w:line="240" w:lineRule="auto"/>
        <w:jc w:val="both"/>
      </w:pPr>
      <w:r>
        <w:rPr>
          <w:rStyle w:val="FootnoteReference"/>
          <w:rFonts w:ascii="Times New Roman" w:hAnsi="Times New Roman" w:cs="Times New Roman"/>
          <w:sz w:val="20"/>
          <w:szCs w:val="20"/>
        </w:rPr>
        <w:footnoteRef/>
      </w:r>
      <w:r>
        <w:rPr>
          <w:rFonts w:ascii="Times New Roman" w:hAnsi="Times New Roman"/>
          <w:sz w:val="20"/>
          <w:szCs w:val="20"/>
        </w:rPr>
        <w:t xml:space="preserve"> A Bizottság (EU) 2019/974 végrehajtási határozata (2019. június 12.) a tagállamok által az 1308/2013/EU európai parlamenti és tanácsi rendelet alapján benyújtott, a méhészeti termékek termelésének és forgalmazásának javítására irányuló nemzeti programok jóváhagyásáról </w:t>
      </w:r>
      <w:r>
        <w:rPr>
          <w:rFonts w:ascii="Times New Roman" w:hAnsi="Times New Roman"/>
          <w:i/>
          <w:sz w:val="20"/>
          <w:szCs w:val="20"/>
        </w:rPr>
        <w:t>(az értesítés a C(2019) 4177. számú dokumentummal történt)</w:t>
      </w:r>
      <w:r>
        <w:rPr>
          <w:rFonts w:ascii="Times New Roman" w:hAnsi="Times New Roman"/>
          <w:sz w:val="20"/>
          <w:szCs w:val="20"/>
        </w:rPr>
        <w:t xml:space="preserve">, </w:t>
      </w:r>
      <w:r>
        <w:rPr>
          <w:rFonts w:ascii="Times New Roman" w:hAnsi="Times New Roman"/>
          <w:i/>
          <w:iCs/>
          <w:sz w:val="20"/>
          <w:szCs w:val="20"/>
        </w:rPr>
        <w:t>HL L 157., 2019.6.14., 28–30. o.</w:t>
      </w:r>
    </w:p>
  </w:footnote>
  <w:footnote w:id="17">
    <w:p>
      <w:pPr>
        <w:pStyle w:val="FootnoteText"/>
        <w:spacing w:after="60"/>
        <w:ind w:left="0" w:firstLine="0"/>
      </w:pPr>
      <w:r>
        <w:rPr>
          <w:rStyle w:val="FootnoteReference"/>
        </w:rPr>
        <w:footnoteRef/>
      </w:r>
      <w:r>
        <w:t xml:space="preserve"> A méhészeti programok tárgyát képező méhészeti termékek felsorolása az 1308/2013/EU rendelet I. mellékletének XXII. részében található; e termékek a méz, a méhpempő, a méhszurok és a méhviasz;</w:t>
      </w:r>
    </w:p>
  </w:footnote>
  <w:footnote w:id="18">
    <w:p>
      <w:pPr>
        <w:pStyle w:val="FootnoteText"/>
      </w:pPr>
      <w:r>
        <w:rPr>
          <w:rStyle w:val="FootnoteReference"/>
        </w:rPr>
        <w:footnoteRef/>
      </w:r>
      <w:r>
        <w:t xml:space="preserve"> 2016. augusztus 1. és 2017. július 31. közötti időszak</w:t>
      </w:r>
    </w:p>
  </w:footnote>
  <w:footnote w:id="19">
    <w:p>
      <w:pPr>
        <w:pStyle w:val="FootnoteText"/>
      </w:pPr>
      <w:r>
        <w:rPr>
          <w:rStyle w:val="FootnoteReference"/>
        </w:rPr>
        <w:footnoteRef/>
      </w:r>
      <w:r>
        <w:t xml:space="preserve"> 2017. augusztus 1. és 2018. július 31. közötti időszak</w:t>
      </w:r>
    </w:p>
  </w:footnote>
  <w:footnote w:id="20">
    <w:p>
      <w:pPr>
        <w:pStyle w:val="FootnoteText"/>
      </w:pPr>
      <w:r>
        <w:rPr>
          <w:rStyle w:val="FootnoteReference"/>
        </w:rPr>
        <w:footnoteRef/>
      </w:r>
      <w:r>
        <w:t xml:space="preserve"> Az (EU) 2015/1366 felhatalmazáson alapuló bizottsági rendelet</w:t>
      </w:r>
    </w:p>
  </w:footnote>
  <w:footnote w:id="21">
    <w:p>
      <w:pPr>
        <w:spacing w:after="60"/>
        <w:rPr>
          <w:rFonts w:ascii="Calibri" w:hAnsi="Calibri"/>
          <w:sz w:val="20"/>
          <w:szCs w:val="20"/>
        </w:rPr>
      </w:pPr>
      <w:r>
        <w:rPr>
          <w:rStyle w:val="FootnoteReference"/>
          <w:sz w:val="20"/>
          <w:szCs w:val="20"/>
        </w:rPr>
        <w:footnoteRef/>
      </w:r>
      <w:r>
        <w:rPr>
          <w:sz w:val="20"/>
          <w:szCs w:val="20"/>
        </w:rPr>
        <w:t xml:space="preserve"> </w:t>
      </w:r>
      <w:r>
        <w:rPr>
          <w:rStyle w:val="Hyperlink"/>
          <w:rFonts w:ascii="Times New Roman" w:hAnsi="Times New Roman"/>
          <w:sz w:val="20"/>
          <w:szCs w:val="20"/>
        </w:rPr>
        <w:t>https://ec.europa.eu/info/food-farming-fisheries/key-policies/common-agricultural-policy/future-cap_en</w:t>
      </w:r>
    </w:p>
  </w:footnote>
  <w:footnote w:id="22">
    <w:p>
      <w:pPr>
        <w:pStyle w:val="FootnoteText"/>
        <w:spacing w:after="120"/>
      </w:pPr>
      <w:r>
        <w:rPr>
          <w:rStyle w:val="FootnoteReference"/>
        </w:rPr>
        <w:footnoteRef/>
      </w:r>
      <w:r>
        <w:t xml:space="preserve"> </w:t>
      </w:r>
      <w:hyperlink r:id="rId3" w:history="1">
        <w:r>
          <w:rPr>
            <w:rStyle w:val="Hyperlink"/>
          </w:rPr>
          <w:t>https://eur-lex.europa.eu/legal-content/EN/TXT/?uri=COM%3A2018%3A392%3AFIN</w:t>
        </w:r>
      </w:hyperlink>
    </w:p>
  </w:footnote>
  <w:footnote w:id="23">
    <w:p>
      <w:pPr>
        <w:pStyle w:val="FootnoteText"/>
        <w:spacing w:after="120"/>
      </w:pPr>
      <w:r>
        <w:rPr>
          <w:rStyle w:val="FootnoteReference"/>
        </w:rPr>
        <w:footnoteRef/>
      </w:r>
      <w:r>
        <w:t xml:space="preserve"> A 2020 utáni KAP-ra vonatkozó bizottsági javaslat VIII. melléklete.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753B7"/>
    <w:multiLevelType w:val="hybridMultilevel"/>
    <w:tmpl w:val="B99E7B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5F10EF1"/>
    <w:multiLevelType w:val="hybridMultilevel"/>
    <w:tmpl w:val="0CF0CF04"/>
    <w:lvl w:ilvl="0" w:tplc="24FC4832">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6F381228"/>
    <w:multiLevelType w:val="hybridMultilevel"/>
    <w:tmpl w:val="244AA6F2"/>
    <w:lvl w:ilvl="0" w:tplc="57AA8F26">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43909DD-F728-4122-8466-5ED904FF1CEC"/>
    <w:docVar w:name="LW_COVERPAGE_TYPE" w:val="1"/>
    <w:docVar w:name="LW_CROSSREFERENCE" w:val="&lt;UNUSED&gt;"/>
    <w:docVar w:name="LW_DocType" w:val="NORMAL"/>
    <w:docVar w:name="LW_EMISSION" w:val="2019.12.17."/>
    <w:docVar w:name="LW_EMISSION_ISODATE" w:val="2019-12-17"/>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9) 6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méhészeti programok végrehajtásáról"/>
    <w:docVar w:name="LW_TYPE.DOC.CP" w:val="A BIZOTTSÁG JELENTÉSE AZ EURÓPAI PARLAMENTNEK ÉS A TANÁCSNAK"/>
  </w:docVar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hu-HU"/>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lang w:val="hu-HU"/>
    </w:rPr>
  </w:style>
  <w:style w:type="paragraph" w:styleId="FootnoteText">
    <w:name w:val="footnote text"/>
    <w:aliases w:val="Footnote,Footnote Text Char Char,Fußnotentext Char Char1 Char,Fußnotentext Char1 Char1 Char Char,Fußnotentext Char Char Char Char Char Char,Fußnotentext Char1 Char Char Char Char1 Char,Footnote text,o Car Car"/>
    <w:basedOn w:val="Normal"/>
    <w:link w:val="FootnoteTextChar"/>
    <w:semiHidden/>
    <w:unhideWhenUsed/>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aliases w:val="Footnote Char,Footnote Text Char Char Char,Fußnotentext Char Char1 Char Char,Fußnotentext Char1 Char1 Char Char Char,Fußnotentext Char Char Char Char Char Char Char,Fußnotentext Char1 Char Char Char Char1 Char Char,Footnote text Char"/>
    <w:basedOn w:val="DefaultParagraphFont"/>
    <w:link w:val="FootnoteText"/>
    <w:semiHidden/>
    <w:rPr>
      <w:rFonts w:ascii="Times New Roman" w:eastAsia="Times New Roman" w:hAnsi="Times New Roman" w:cs="Times New Roman"/>
      <w:sz w:val="20"/>
      <w:szCs w:val="20"/>
      <w:lang w:val="hu-HU" w:eastAsia="de-D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FootnoteReference">
    <w:name w:val="footnote reference"/>
    <w:aliases w:val="Ref,de nota al pie,-E Fußnotenzeichen,Footnote Reference Superscript,EN Footnote Reference,Times 10 Point, Exposant 3 Point,Footnote symbol,Footnote reference number,note TESI,Exposant 3 Point"/>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hu-HU"/>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eastAsia="de-DE"/>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eastAsia="de-DE"/>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lang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hu-HU"/>
    </w:rPr>
  </w:style>
  <w:style w:type="paragraph" w:customStyle="1" w:styleId="textundertitle">
    <w:name w:val="textundertitle"/>
    <w:basedOn w:val="Normal"/>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hu-HU"/>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lang w:val="hu-HU"/>
    </w:rPr>
  </w:style>
  <w:style w:type="paragraph" w:styleId="FootnoteText">
    <w:name w:val="footnote text"/>
    <w:aliases w:val="Footnote,Footnote Text Char Char,Fußnotentext Char Char1 Char,Fußnotentext Char1 Char1 Char Char,Fußnotentext Char Char Char Char Char Char,Fußnotentext Char1 Char Char Char Char1 Char,Footnote text,o Car Car"/>
    <w:basedOn w:val="Normal"/>
    <w:link w:val="FootnoteTextChar"/>
    <w:semiHidden/>
    <w:unhideWhenUsed/>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aliases w:val="Footnote Char,Footnote Text Char Char Char,Fußnotentext Char Char1 Char Char,Fußnotentext Char1 Char1 Char Char Char,Fußnotentext Char Char Char Char Char Char Char,Fußnotentext Char1 Char Char Char Char1 Char Char,Footnote text Char"/>
    <w:basedOn w:val="DefaultParagraphFont"/>
    <w:link w:val="FootnoteText"/>
    <w:semiHidden/>
    <w:rPr>
      <w:rFonts w:ascii="Times New Roman" w:eastAsia="Times New Roman" w:hAnsi="Times New Roman" w:cs="Times New Roman"/>
      <w:sz w:val="20"/>
      <w:szCs w:val="20"/>
      <w:lang w:val="hu-HU" w:eastAsia="de-D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FootnoteReference">
    <w:name w:val="footnote reference"/>
    <w:aliases w:val="Ref,de nota al pie,-E Fußnotenzeichen,Footnote Reference Superscript,EN Footnote Reference,Times 10 Point, Exposant 3 Point,Footnote symbol,Footnote reference number,note TESI,Exposant 3 Point"/>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hu-HU"/>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eastAsia="de-DE"/>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eastAsia="de-DE"/>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lang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hu-HU"/>
    </w:rPr>
  </w:style>
  <w:style w:type="paragraph" w:customStyle="1" w:styleId="textundertitle">
    <w:name w:val="textundertitle"/>
    <w:basedOn w:val="Normal"/>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39355">
      <w:bodyDiv w:val="1"/>
      <w:marLeft w:val="0"/>
      <w:marRight w:val="0"/>
      <w:marTop w:val="0"/>
      <w:marBottom w:val="0"/>
      <w:divBdr>
        <w:top w:val="none" w:sz="0" w:space="0" w:color="auto"/>
        <w:left w:val="none" w:sz="0" w:space="0" w:color="auto"/>
        <w:bottom w:val="none" w:sz="0" w:space="0" w:color="auto"/>
        <w:right w:val="none" w:sz="0" w:space="0" w:color="auto"/>
      </w:divBdr>
    </w:div>
    <w:div w:id="1135215778">
      <w:bodyDiv w:val="1"/>
      <w:marLeft w:val="0"/>
      <w:marRight w:val="0"/>
      <w:marTop w:val="0"/>
      <w:marBottom w:val="0"/>
      <w:divBdr>
        <w:top w:val="none" w:sz="0" w:space="0" w:color="auto"/>
        <w:left w:val="none" w:sz="0" w:space="0" w:color="auto"/>
        <w:bottom w:val="none" w:sz="0" w:space="0" w:color="auto"/>
        <w:right w:val="none" w:sz="0" w:space="0" w:color="auto"/>
      </w:divBdr>
    </w:div>
    <w:div w:id="20924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cid:image001.png@01D5A14B.2E4A7B70"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png"/><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OM:2018:392:FIN" TargetMode="External"/><Relationship Id="rId2" Type="http://schemas.openxmlformats.org/officeDocument/2006/relationships/hyperlink" Target="https://trade.ec.europa.eu/tradehelp/statistics" TargetMode="External"/><Relationship Id="rId1" Type="http://schemas.openxmlformats.org/officeDocument/2006/relationships/hyperlink" Target="https://ec.europa.eu/info/food-farming-fisheries/animals-and-animal-products/animal-products/honey_en"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image" Target="../media/image4.pn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0"/>
    <c:plotArea>
      <c:layout>
        <c:manualLayout>
          <c:layoutTarget val="inner"/>
          <c:xMode val="edge"/>
          <c:yMode val="edge"/>
          <c:x val="9.0257622763566761E-2"/>
          <c:y val="4.4057617797775277E-2"/>
          <c:w val="0.86631529044926536"/>
          <c:h val="0.85653105861767276"/>
        </c:manualLayout>
      </c:layout>
      <c:barChart>
        <c:barDir val="col"/>
        <c:grouping val="clustered"/>
        <c:varyColors val="0"/>
        <c:ser>
          <c:idx val="0"/>
          <c:order val="0"/>
          <c:tx>
            <c:strRef>
              <c:f>Sheet1!$B$1</c:f>
              <c:strCache>
                <c:ptCount val="1"/>
                <c:pt idx="0">
                  <c:v>Site of production</c:v>
                </c:pt>
              </c:strCache>
            </c:strRef>
          </c:tx>
          <c:invertIfNegative val="0"/>
          <c:dPt>
            <c:idx val="17"/>
            <c:invertIfNegative val="0"/>
            <c:bubble3D val="0"/>
            <c:spPr>
              <a:blipFill>
                <a:blip xmlns:r="http://schemas.openxmlformats.org/officeDocument/2006/relationships" r:embed="rId1"/>
                <a:stretch>
                  <a:fillRect/>
                </a:stretch>
              </a:blipFill>
            </c:spPr>
            <c:extLst xmlns:c16r2="http://schemas.microsoft.com/office/drawing/2015/06/chart">
              <c:ext xmlns:c16="http://schemas.microsoft.com/office/drawing/2014/chart" uri="{C3380CC4-5D6E-409C-BE32-E72D297353CC}">
                <c16:uniqueId val="{00000001-BE2E-48AA-88B1-0104566B587A}"/>
              </c:ext>
            </c:extLst>
          </c:dPt>
          <c:dLbls>
            <c:numFmt formatCode="#,##0.0" sourceLinked="0"/>
            <c:spPr>
              <a:noFill/>
              <a:ln>
                <a:noFill/>
              </a:ln>
              <a:effectLst/>
            </c:spPr>
            <c:txPr>
              <a:bodyPr rot="-1500000"/>
              <a:lstStyle/>
              <a:p>
                <a:pPr>
                  <a:defRPr sz="10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Sheet1!$A$2:$A$30</c:f>
              <c:strCache>
                <c:ptCount val="29"/>
                <c:pt idx="0">
                  <c:v>IE</c:v>
                </c:pt>
                <c:pt idx="1">
                  <c:v>MT</c:v>
                </c:pt>
                <c:pt idx="2">
                  <c:v>NL</c:v>
                </c:pt>
                <c:pt idx="3">
                  <c:v>UK</c:v>
                </c:pt>
                <c:pt idx="4">
                  <c:v>FI</c:v>
                </c:pt>
                <c:pt idx="5">
                  <c:v>BE</c:v>
                </c:pt>
                <c:pt idx="6">
                  <c:v>LU</c:v>
                </c:pt>
                <c:pt idx="7">
                  <c:v>AT</c:v>
                </c:pt>
                <c:pt idx="8">
                  <c:v>SI</c:v>
                </c:pt>
                <c:pt idx="9">
                  <c:v>DK</c:v>
                </c:pt>
                <c:pt idx="10">
                  <c:v>FR</c:v>
                </c:pt>
                <c:pt idx="11">
                  <c:v>EL</c:v>
                </c:pt>
                <c:pt idx="12">
                  <c:v>CY</c:v>
                </c:pt>
                <c:pt idx="13">
                  <c:v>EE</c:v>
                </c:pt>
                <c:pt idx="14">
                  <c:v>CZ</c:v>
                </c:pt>
                <c:pt idx="15">
                  <c:v>ES</c:v>
                </c:pt>
                <c:pt idx="16">
                  <c:v>SK</c:v>
                </c:pt>
                <c:pt idx="17">
                  <c:v>EU</c:v>
                </c:pt>
                <c:pt idx="18">
                  <c:v>DE</c:v>
                </c:pt>
                <c:pt idx="19">
                  <c:v>HR</c:v>
                </c:pt>
                <c:pt idx="20">
                  <c:v>PL</c:v>
                </c:pt>
                <c:pt idx="21">
                  <c:v>LT</c:v>
                </c:pt>
                <c:pt idx="22">
                  <c:v>SE</c:v>
                </c:pt>
                <c:pt idx="23">
                  <c:v>HU</c:v>
                </c:pt>
                <c:pt idx="24">
                  <c:v>IT</c:v>
                </c:pt>
                <c:pt idx="25">
                  <c:v>LV</c:v>
                </c:pt>
                <c:pt idx="26">
                  <c:v>PT</c:v>
                </c:pt>
                <c:pt idx="27">
                  <c:v>BG</c:v>
                </c:pt>
                <c:pt idx="28">
                  <c:v>RO</c:v>
                </c:pt>
              </c:strCache>
            </c:strRef>
          </c:cat>
          <c:val>
            <c:numRef>
              <c:f>Sheet1!$B$2:$B$30</c:f>
              <c:numCache>
                <c:formatCode>_(* #,##0.00_);_(* \(#,##0.00\);_(* "-"??_);_(@_)</c:formatCode>
                <c:ptCount val="29"/>
                <c:pt idx="0">
                  <c:v>19.25</c:v>
                </c:pt>
                <c:pt idx="1">
                  <c:v>17.5</c:v>
                </c:pt>
                <c:pt idx="2">
                  <c:v>15</c:v>
                </c:pt>
                <c:pt idx="3">
                  <c:v>14.15</c:v>
                </c:pt>
                <c:pt idx="4">
                  <c:v>13.35</c:v>
                </c:pt>
                <c:pt idx="5">
                  <c:v>13</c:v>
                </c:pt>
                <c:pt idx="6">
                  <c:v>11.9</c:v>
                </c:pt>
                <c:pt idx="7">
                  <c:v>10.5</c:v>
                </c:pt>
                <c:pt idx="8">
                  <c:v>10.5</c:v>
                </c:pt>
                <c:pt idx="9">
                  <c:v>10.039999999999999</c:v>
                </c:pt>
                <c:pt idx="10">
                  <c:v>9.4</c:v>
                </c:pt>
                <c:pt idx="11">
                  <c:v>9</c:v>
                </c:pt>
                <c:pt idx="12">
                  <c:v>8.76</c:v>
                </c:pt>
                <c:pt idx="13">
                  <c:v>7.76</c:v>
                </c:pt>
                <c:pt idx="14">
                  <c:v>6.62</c:v>
                </c:pt>
                <c:pt idx="15">
                  <c:v>6.5</c:v>
                </c:pt>
                <c:pt idx="16">
                  <c:v>6.5</c:v>
                </c:pt>
                <c:pt idx="17">
                  <c:v>6.4568370292435535</c:v>
                </c:pt>
                <c:pt idx="18">
                  <c:v>6.22</c:v>
                </c:pt>
                <c:pt idx="19">
                  <c:v>6.07</c:v>
                </c:pt>
                <c:pt idx="20">
                  <c:v>5.81</c:v>
                </c:pt>
                <c:pt idx="21">
                  <c:v>5.5</c:v>
                </c:pt>
                <c:pt idx="22">
                  <c:v>5.2</c:v>
                </c:pt>
                <c:pt idx="23">
                  <c:v>5.16</c:v>
                </c:pt>
                <c:pt idx="24">
                  <c:v>5.08</c:v>
                </c:pt>
                <c:pt idx="25">
                  <c:v>4.63</c:v>
                </c:pt>
                <c:pt idx="26">
                  <c:v>4.0599999999999996</c:v>
                </c:pt>
                <c:pt idx="27">
                  <c:v>3.52</c:v>
                </c:pt>
                <c:pt idx="28">
                  <c:v>2.25</c:v>
                </c:pt>
              </c:numCache>
            </c:numRef>
          </c:val>
          <c:extLst xmlns:c16r2="http://schemas.microsoft.com/office/drawing/2015/06/chart">
            <c:ext xmlns:c16="http://schemas.microsoft.com/office/drawing/2014/chart" uri="{C3380CC4-5D6E-409C-BE32-E72D297353CC}">
              <c16:uniqueId val="{00000002-BE2E-48AA-88B1-0104566B587A}"/>
            </c:ext>
          </c:extLst>
        </c:ser>
        <c:ser>
          <c:idx val="1"/>
          <c:order val="1"/>
          <c:tx>
            <c:strRef>
              <c:f>Sheet1!$C$1</c:f>
              <c:strCache>
                <c:ptCount val="1"/>
                <c:pt idx="0">
                  <c:v>Bulk at wholesalers</c:v>
                </c:pt>
              </c:strCache>
            </c:strRef>
          </c:tx>
          <c:invertIfNegative val="0"/>
          <c:dPt>
            <c:idx val="17"/>
            <c:invertIfNegative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4-BE2E-48AA-88B1-0104566B587A}"/>
              </c:ext>
            </c:extLst>
          </c:dPt>
          <c:cat>
            <c:strRef>
              <c:f>Sheet1!$A$2:$A$30</c:f>
              <c:strCache>
                <c:ptCount val="29"/>
                <c:pt idx="0">
                  <c:v>IE</c:v>
                </c:pt>
                <c:pt idx="1">
                  <c:v>MT</c:v>
                </c:pt>
                <c:pt idx="2">
                  <c:v>NL</c:v>
                </c:pt>
                <c:pt idx="3">
                  <c:v>UK</c:v>
                </c:pt>
                <c:pt idx="4">
                  <c:v>FI</c:v>
                </c:pt>
                <c:pt idx="5">
                  <c:v>BE</c:v>
                </c:pt>
                <c:pt idx="6">
                  <c:v>LU</c:v>
                </c:pt>
                <c:pt idx="7">
                  <c:v>AT</c:v>
                </c:pt>
                <c:pt idx="8">
                  <c:v>SI</c:v>
                </c:pt>
                <c:pt idx="9">
                  <c:v>DK</c:v>
                </c:pt>
                <c:pt idx="10">
                  <c:v>FR</c:v>
                </c:pt>
                <c:pt idx="11">
                  <c:v>EL</c:v>
                </c:pt>
                <c:pt idx="12">
                  <c:v>CY</c:v>
                </c:pt>
                <c:pt idx="13">
                  <c:v>EE</c:v>
                </c:pt>
                <c:pt idx="14">
                  <c:v>CZ</c:v>
                </c:pt>
                <c:pt idx="15">
                  <c:v>ES</c:v>
                </c:pt>
                <c:pt idx="16">
                  <c:v>SK</c:v>
                </c:pt>
                <c:pt idx="17">
                  <c:v>EU</c:v>
                </c:pt>
                <c:pt idx="18">
                  <c:v>DE</c:v>
                </c:pt>
                <c:pt idx="19">
                  <c:v>HR</c:v>
                </c:pt>
                <c:pt idx="20">
                  <c:v>PL</c:v>
                </c:pt>
                <c:pt idx="21">
                  <c:v>LT</c:v>
                </c:pt>
                <c:pt idx="22">
                  <c:v>SE</c:v>
                </c:pt>
                <c:pt idx="23">
                  <c:v>HU</c:v>
                </c:pt>
                <c:pt idx="24">
                  <c:v>IT</c:v>
                </c:pt>
                <c:pt idx="25">
                  <c:v>LV</c:v>
                </c:pt>
                <c:pt idx="26">
                  <c:v>PT</c:v>
                </c:pt>
                <c:pt idx="27">
                  <c:v>BG</c:v>
                </c:pt>
                <c:pt idx="28">
                  <c:v>RO</c:v>
                </c:pt>
              </c:strCache>
            </c:strRef>
          </c:cat>
          <c:val>
            <c:numRef>
              <c:f>Sheet1!$C$2:$C$30</c:f>
              <c:numCache>
                <c:formatCode>_(* #,##0.00_);_(* \(#,##0.00\);_(* "-"??_);_(@_)</c:formatCode>
                <c:ptCount val="29"/>
                <c:pt idx="0">
                  <c:v>9.35</c:v>
                </c:pt>
                <c:pt idx="1">
                  <c:v>9</c:v>
                </c:pt>
                <c:pt idx="2">
                  <c:v>7</c:v>
                </c:pt>
                <c:pt idx="3">
                  <c:v>10.039999999999999</c:v>
                </c:pt>
                <c:pt idx="4">
                  <c:v>6.03</c:v>
                </c:pt>
                <c:pt idx="5">
                  <c:v>9</c:v>
                </c:pt>
                <c:pt idx="6">
                  <c:v>6.5</c:v>
                </c:pt>
                <c:pt idx="7">
                  <c:v>5.5</c:v>
                </c:pt>
                <c:pt idx="8">
                  <c:v>4.78</c:v>
                </c:pt>
                <c:pt idx="9">
                  <c:v>4.42</c:v>
                </c:pt>
                <c:pt idx="10">
                  <c:v>4.5999999999999996</c:v>
                </c:pt>
                <c:pt idx="11">
                  <c:v>4.5</c:v>
                </c:pt>
                <c:pt idx="12">
                  <c:v>6.08</c:v>
                </c:pt>
                <c:pt idx="13">
                  <c:v>5.44</c:v>
                </c:pt>
                <c:pt idx="14">
                  <c:v>3.51</c:v>
                </c:pt>
                <c:pt idx="15">
                  <c:v>3.2</c:v>
                </c:pt>
                <c:pt idx="16">
                  <c:v>3.5</c:v>
                </c:pt>
                <c:pt idx="17">
                  <c:v>3.7862745641973903</c:v>
                </c:pt>
                <c:pt idx="18">
                  <c:v>5.28</c:v>
                </c:pt>
                <c:pt idx="19">
                  <c:v>3.1</c:v>
                </c:pt>
                <c:pt idx="20">
                  <c:v>2.79</c:v>
                </c:pt>
                <c:pt idx="21">
                  <c:v>3</c:v>
                </c:pt>
                <c:pt idx="22">
                  <c:v>6.3</c:v>
                </c:pt>
                <c:pt idx="23">
                  <c:v>1.97</c:v>
                </c:pt>
                <c:pt idx="24">
                  <c:v>6.1</c:v>
                </c:pt>
                <c:pt idx="25">
                  <c:v>3.03</c:v>
                </c:pt>
                <c:pt idx="26">
                  <c:v>4.12</c:v>
                </c:pt>
                <c:pt idx="27">
                  <c:v>2.5299999999999998</c:v>
                </c:pt>
                <c:pt idx="28">
                  <c:v>1.82</c:v>
                </c:pt>
              </c:numCache>
            </c:numRef>
          </c:val>
          <c:extLst xmlns:c16r2="http://schemas.microsoft.com/office/drawing/2015/06/chart">
            <c:ext xmlns:c16="http://schemas.microsoft.com/office/drawing/2014/chart" uri="{C3380CC4-5D6E-409C-BE32-E72D297353CC}">
              <c16:uniqueId val="{00000005-BE2E-48AA-88B1-0104566B587A}"/>
            </c:ext>
          </c:extLst>
        </c:ser>
        <c:dLbls>
          <c:showLegendKey val="0"/>
          <c:showVal val="0"/>
          <c:showCatName val="0"/>
          <c:showSerName val="0"/>
          <c:showPercent val="0"/>
          <c:showBubbleSize val="0"/>
        </c:dLbls>
        <c:gapWidth val="29"/>
        <c:axId val="51186688"/>
        <c:axId val="51213056"/>
      </c:barChart>
      <c:catAx>
        <c:axId val="51186688"/>
        <c:scaling>
          <c:orientation val="minMax"/>
        </c:scaling>
        <c:delete val="0"/>
        <c:axPos val="b"/>
        <c:numFmt formatCode="General" sourceLinked="0"/>
        <c:majorTickMark val="out"/>
        <c:minorTickMark val="none"/>
        <c:tickLblPos val="nextTo"/>
        <c:txPr>
          <a:bodyPr rot="0" vert="horz"/>
          <a:lstStyle/>
          <a:p>
            <a:pPr>
              <a:defRPr b="0"/>
            </a:pPr>
            <a:endParaRPr lang="en-US"/>
          </a:p>
        </c:txPr>
        <c:crossAx val="51213056"/>
        <c:crosses val="autoZero"/>
        <c:auto val="1"/>
        <c:lblAlgn val="ctr"/>
        <c:lblOffset val="100"/>
        <c:noMultiLvlLbl val="0"/>
      </c:catAx>
      <c:valAx>
        <c:axId val="51213056"/>
        <c:scaling>
          <c:orientation val="minMax"/>
        </c:scaling>
        <c:delete val="0"/>
        <c:axPos val="l"/>
        <c:majorGridlines/>
        <c:title>
          <c:tx>
            <c:rich>
              <a:bodyPr rot="-5400000" vert="horz"/>
              <a:lstStyle/>
              <a:p>
                <a:pPr>
                  <a:defRPr/>
                </a:pPr>
                <a:r>
                  <a:rPr lang="en-GB"/>
                  <a:t>EUR/kg</a:t>
                </a:r>
              </a:p>
            </c:rich>
          </c:tx>
          <c:overlay val="0"/>
        </c:title>
        <c:numFmt formatCode="#,##0" sourceLinked="0"/>
        <c:majorTickMark val="out"/>
        <c:minorTickMark val="none"/>
        <c:tickLblPos val="nextTo"/>
        <c:crossAx val="51186688"/>
        <c:crosses val="autoZero"/>
        <c:crossBetween val="between"/>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0.33486</cdr:x>
      <cdr:y>0.07676</cdr:y>
    </cdr:from>
    <cdr:to>
      <cdr:x>0.92307</cdr:x>
      <cdr:y>0.21322</cdr:y>
    </cdr:to>
    <cdr:pic>
      <cdr:nvPicPr>
        <cdr:cNvPr id="2"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r="23570"/>
        <a:stretch xmlns:a="http://schemas.openxmlformats.org/drawingml/2006/main"/>
      </cdr:blipFill>
      <cdr:spPr>
        <a:xfrm xmlns:a="http://schemas.openxmlformats.org/drawingml/2006/main">
          <a:off x="2128927" y="245660"/>
          <a:ext cx="3739609" cy="43672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09404D-47DF-4A59-ABDE-29AE774E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3066</Words>
  <Characters>20513</Characters>
  <Application>Microsoft Office Word</Application>
  <DocSecurity>0</DocSecurity>
  <Lines>402</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2019-10-18T10:07:00Z</cp:lastPrinted>
  <dcterms:created xsi:type="dcterms:W3CDTF">2019-11-25T09:58:00Z</dcterms:created>
  <dcterms:modified xsi:type="dcterms:W3CDTF">2019-12-16T16:07:00Z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