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11" w:rsidRDefault="00E027EB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77B937-D538-4EBE-92F6-2B4313FB6A9C" style="width:450.25pt;height:393.3pt">
            <v:imagedata r:id="rId8" o:title=""/>
          </v:shape>
        </w:pict>
      </w:r>
    </w:p>
    <w:bookmarkEnd w:id="0"/>
    <w:p w:rsidR="002B4F11" w:rsidRDefault="002B4F11">
      <w:pPr>
        <w:rPr>
          <w:noProof/>
        </w:rPr>
        <w:sectPr w:rsidR="002B4F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2B4F11" w:rsidRDefault="00E027EB">
      <w:pPr>
        <w:pStyle w:val="Annexetitre"/>
        <w:rPr>
          <w:rStyle w:val="Marker"/>
          <w:noProof/>
          <w:color w:val="auto"/>
        </w:rPr>
      </w:pPr>
      <w:r>
        <w:rPr>
          <w:noProof/>
        </w:rPr>
        <w:lastRenderedPageBreak/>
        <w:t xml:space="preserve">PRÍLOHA </w:t>
      </w:r>
      <w:r>
        <w:rPr>
          <w:rStyle w:val="Marker"/>
          <w:noProof/>
          <w:color w:val="auto"/>
        </w:rPr>
        <w:t>I</w:t>
      </w:r>
    </w:p>
    <w:p w:rsidR="002B4F11" w:rsidRDefault="00E027EB">
      <w:pPr>
        <w:rPr>
          <w:noProof/>
        </w:rPr>
      </w:pPr>
      <w:r>
        <w:rPr>
          <w:noProof/>
        </w:rPr>
        <w:t xml:space="preserve"> </w:t>
      </w:r>
    </w:p>
    <w:p w:rsidR="002B4F11" w:rsidRDefault="00E027EB">
      <w:pPr>
        <w:jc w:val="center"/>
        <w:rPr>
          <w:b/>
          <w:noProof/>
          <w:sz w:val="28"/>
          <w:szCs w:val="28"/>
          <w:u w:val="single"/>
        </w:rPr>
      </w:pPr>
      <w:r>
        <w:rPr>
          <w:rFonts w:ascii="Times New Roman Bold" w:hAnsi="Times New Roman Bold"/>
          <w:b/>
          <w:caps/>
          <w:noProof/>
        </w:rPr>
        <w:t>Metóda alokovania zdrojov Fondu na spravodlivú transformáciu</w:t>
      </w:r>
    </w:p>
    <w:p w:rsidR="002B4F11" w:rsidRDefault="002B4F11">
      <w:pPr>
        <w:rPr>
          <w:noProof/>
        </w:rPr>
      </w:pPr>
    </w:p>
    <w:p w:rsidR="002B4F11" w:rsidRDefault="00E027EB">
      <w:pPr>
        <w:rPr>
          <w:noProof/>
        </w:rPr>
      </w:pPr>
      <w:r>
        <w:rPr>
          <w:noProof/>
        </w:rPr>
        <w:t xml:space="preserve">Pre každý členský štát sa finančné krytie určuje v súlade s týmito krokmi: </w:t>
      </w:r>
    </w:p>
    <w:p w:rsidR="002B4F11" w:rsidRDefault="00E027EB">
      <w:pPr>
        <w:ind w:left="720" w:hanging="720"/>
        <w:rPr>
          <w:noProof/>
        </w:rPr>
      </w:pPr>
      <w:r>
        <w:rPr>
          <w:noProof/>
        </w:rPr>
        <w:t>a)</w:t>
      </w:r>
      <w:r>
        <w:rPr>
          <w:noProof/>
        </w:rPr>
        <w:tab/>
        <w:t>podiel každého členského štátu sa vypočíta ako vážený súčet podielov určených na základe týchto kritérií, vážených takto:</w:t>
      </w:r>
    </w:p>
    <w:p w:rsidR="002B4F11" w:rsidRDefault="00E027EB">
      <w:pPr>
        <w:ind w:left="1457" w:hanging="720"/>
        <w:rPr>
          <w:noProof/>
        </w:rPr>
      </w:pPr>
      <w:r>
        <w:rPr>
          <w:noProof/>
        </w:rPr>
        <w:t>i)</w:t>
      </w:r>
      <w:r>
        <w:rPr>
          <w:noProof/>
        </w:rPr>
        <w:tab/>
        <w:t>emisie skleníkových plynov z priemyselných zariadení</w:t>
      </w:r>
      <w:r>
        <w:rPr>
          <w:noProof/>
        </w:rPr>
        <w:t xml:space="preserve"> v regiónoch na úrovni NUTS 2, v ktorých uhlíková náročnosť vymedzená pomerom emisií skleníkových plynov z priemyselných zariadení nahlásených členskými štátmi v súlade s článkom 7 nariadenia Európskeho parlamentu a Rady (ES) č. 166/2006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a hrubej pridanej</w:t>
      </w:r>
      <w:r>
        <w:rPr>
          <w:noProof/>
        </w:rPr>
        <w:t xml:space="preserve"> hodnoty priemyslu dvojnásobne prevyšuje priemer EÚ27. Ak sa v danom členskom štáte v žiadnom z regiónov na úrovni NUTS 2 táto úroveň neprekročí, vezmú sa do úvahy emisie skleníkových plynov z priemyselných zariadení v regióne na úrovni NUTS 2 s najvyššou </w:t>
      </w:r>
      <w:r>
        <w:rPr>
          <w:noProof/>
        </w:rPr>
        <w:t>uhlíkovou náročnosťou (váha 49 %);</w:t>
      </w:r>
    </w:p>
    <w:p w:rsidR="002B4F11" w:rsidRDefault="00E027EB">
      <w:pPr>
        <w:ind w:left="1457" w:hanging="720"/>
        <w:rPr>
          <w:noProof/>
        </w:rPr>
      </w:pPr>
      <w:r>
        <w:rPr>
          <w:noProof/>
        </w:rPr>
        <w:t>ii)</w:t>
      </w:r>
      <w:r>
        <w:rPr>
          <w:noProof/>
        </w:rPr>
        <w:tab/>
        <w:t>zamestnanosť v odvetví ťažby uhlia a lignitu (váha 25 %);</w:t>
      </w:r>
    </w:p>
    <w:p w:rsidR="002B4F11" w:rsidRDefault="00E027EB">
      <w:pPr>
        <w:ind w:left="1457" w:hanging="720"/>
        <w:rPr>
          <w:noProof/>
        </w:rPr>
      </w:pPr>
      <w:r>
        <w:rPr>
          <w:noProof/>
        </w:rPr>
        <w:t>iii)</w:t>
      </w:r>
      <w:r>
        <w:rPr>
          <w:noProof/>
        </w:rPr>
        <w:tab/>
        <w:t>zamestnanosť v rámci priemyslu v regiónoch na úrovni NUTS 2 zohľadnená na účely bodu i) (váha 25 %);</w:t>
      </w:r>
    </w:p>
    <w:p w:rsidR="002B4F11" w:rsidRDefault="00E027EB">
      <w:pPr>
        <w:ind w:left="1457" w:hanging="720"/>
        <w:rPr>
          <w:noProof/>
        </w:rPr>
      </w:pPr>
      <w:r>
        <w:rPr>
          <w:noProof/>
        </w:rPr>
        <w:t>iv)</w:t>
      </w:r>
      <w:r>
        <w:rPr>
          <w:noProof/>
        </w:rPr>
        <w:tab/>
        <w:t>produkcia rašeliny (váha 0,95 %);</w:t>
      </w:r>
    </w:p>
    <w:p w:rsidR="002B4F11" w:rsidRDefault="00E027EB">
      <w:pPr>
        <w:ind w:left="1457" w:hanging="720"/>
        <w:rPr>
          <w:noProof/>
        </w:rPr>
      </w:pPr>
      <w:r>
        <w:rPr>
          <w:noProof/>
        </w:rPr>
        <w:t>v)</w:t>
      </w:r>
      <w:r>
        <w:rPr>
          <w:noProof/>
        </w:rPr>
        <w:tab/>
        <w:t xml:space="preserve">produkcia </w:t>
      </w:r>
      <w:r>
        <w:rPr>
          <w:noProof/>
        </w:rPr>
        <w:t>roponosnej bridlice (váha 0,05 %);</w:t>
      </w:r>
    </w:p>
    <w:p w:rsidR="002B4F11" w:rsidRDefault="00E027EB">
      <w:pPr>
        <w:ind w:left="720" w:hanging="720"/>
        <w:rPr>
          <w:noProof/>
        </w:rPr>
      </w:pPr>
      <w:r>
        <w:rPr>
          <w:noProof/>
        </w:rPr>
        <w:t>b)</w:t>
      </w:r>
      <w:r>
        <w:rPr>
          <w:noProof/>
        </w:rPr>
        <w:tab/>
        <w:t>alokácie vyplývajúce z uplatňovania písmena a) sa upravia tak, aby sa zabezpečilo, že žiadny členský štát nedostane sumu presahujúcu 2 miliardy EUR. Sumy presahujúce 2 miliardy EUR na členský štát sa proporcionálne pre</w:t>
      </w:r>
      <w:r>
        <w:rPr>
          <w:noProof/>
        </w:rPr>
        <w:t>rozdelia na alokácie všetkých ostatných členských štátov. Podiely členských štátov sa zodpovedajúcim spôsobom prepočítajú;</w:t>
      </w:r>
    </w:p>
    <w:p w:rsidR="002B4F11" w:rsidRDefault="00E027EB">
      <w:pPr>
        <w:ind w:left="720" w:hanging="720"/>
        <w:rPr>
          <w:noProof/>
        </w:rPr>
      </w:pPr>
      <w:r>
        <w:rPr>
          <w:noProof/>
        </w:rPr>
        <w:t xml:space="preserve">c) </w:t>
      </w:r>
      <w:r>
        <w:rPr>
          <w:noProof/>
        </w:rPr>
        <w:tab/>
        <w:t>podiely členských štátov vyplývajúce z uplatňovania písmena b) sa upravia záporne alebo kladne o koeficient, ktorý predstavuje 1,</w:t>
      </w:r>
      <w:r>
        <w:rPr>
          <w:noProof/>
        </w:rPr>
        <w:t>5-násobok rozdielu, o ktorý HND na obyvateľa daného členského štátu (meraný paritou kúpnej sily) v období 2015 – 2017 prevyšuje alebo nedosahuje priemer HND na obyvateľa členských štátov EÚ27 (priemer vyjadrený ako 100 %);</w:t>
      </w:r>
    </w:p>
    <w:p w:rsidR="002B4F11" w:rsidRDefault="00E027EB">
      <w:pPr>
        <w:rPr>
          <w:noProof/>
        </w:rPr>
      </w:pPr>
      <w:r>
        <w:rPr>
          <w:noProof/>
        </w:rPr>
        <w:t>Táto úprava sa nevzťahuje na člen</w:t>
      </w:r>
      <w:r>
        <w:rPr>
          <w:noProof/>
        </w:rPr>
        <w:t>ské štáty, v prípade ktorých bola maximálna suma alokácie ohraničená v súlade s písmenom b).</w:t>
      </w:r>
    </w:p>
    <w:p w:rsidR="002B4F11" w:rsidRDefault="00E027EB">
      <w:pPr>
        <w:ind w:left="720" w:hanging="720"/>
        <w:rPr>
          <w:noProof/>
        </w:rPr>
      </w:pPr>
      <w:r>
        <w:rPr>
          <w:noProof/>
        </w:rPr>
        <w:t>d)</w:t>
      </w:r>
      <w:r>
        <w:rPr>
          <w:noProof/>
        </w:rPr>
        <w:tab/>
        <w:t>alokácie vyplývajúce z uplatňovania písmena c) sa upravia tak, aby sa zabezpečilo, že konečná alokácia z FST bude viesť k intenzite pomoci na obyvateľa (meranej</w:t>
      </w:r>
      <w:r>
        <w:rPr>
          <w:noProof/>
        </w:rPr>
        <w:t xml:space="preserve"> na základe celkovej populácie členského štátu) vo výške aspoň 6 EUR počas celého obdobia.  </w:t>
      </w:r>
    </w:p>
    <w:p w:rsidR="002B4F11" w:rsidRDefault="00E027EB">
      <w:pPr>
        <w:ind w:left="720"/>
        <w:rPr>
          <w:noProof/>
        </w:rPr>
      </w:pPr>
      <w:r>
        <w:rPr>
          <w:noProof/>
        </w:rPr>
        <w:t>Sumy, ktoré majú zabezpečiť minimálnu intenzitu pomoci, sa proporcionálne odpočítajú od alokácií všetkých ostatných členských štátov okrem tých, pre ktoré bola max</w:t>
      </w:r>
      <w:r>
        <w:rPr>
          <w:noProof/>
        </w:rPr>
        <w:t xml:space="preserve">imálna suma alokácie ohraničená v súlade s písmenom b). </w:t>
      </w:r>
    </w:p>
    <w:p w:rsidR="002B4F11" w:rsidRDefault="00E027EB">
      <w:pPr>
        <w:rPr>
          <w:noProof/>
        </w:rPr>
      </w:pPr>
      <w:r>
        <w:rPr>
          <w:noProof/>
        </w:rPr>
        <w:lastRenderedPageBreak/>
        <w:t>Alokácia Fondu na spravodlivú transformáciu dopĺňa alokáciu vyplývajúcu z bodov 1 až 16 prílohy XXII [k novému návrhu VN] a nie je zahrnutá v alokačnom základe, na ktorý sa vzťahujú body 10 až 15 prí</w:t>
      </w:r>
      <w:r>
        <w:rPr>
          <w:noProof/>
        </w:rPr>
        <w:t>lohy XXII [k návrhu nového VN].</w:t>
      </w:r>
    </w:p>
    <w:p w:rsidR="002B4F11" w:rsidRDefault="00E027EB">
      <w:pPr>
        <w:rPr>
          <w:noProof/>
        </w:rPr>
      </w:pPr>
      <w:r>
        <w:rPr>
          <w:noProof/>
        </w:rPr>
        <w:br w:type="page"/>
      </w:r>
    </w:p>
    <w:p w:rsidR="002B4F11" w:rsidRDefault="002B4F11">
      <w:pPr>
        <w:rPr>
          <w:noProof/>
        </w:rPr>
      </w:pPr>
    </w:p>
    <w:p w:rsidR="002B4F11" w:rsidRDefault="002B4F11">
      <w:pPr>
        <w:rPr>
          <w:noProof/>
        </w:rPr>
      </w:pPr>
    </w:p>
    <w:p w:rsidR="002B4F11" w:rsidRDefault="00E027EB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PRÍLOHA II</w:t>
      </w:r>
    </w:p>
    <w:p w:rsidR="002B4F11" w:rsidRDefault="00E027EB">
      <w:pPr>
        <w:jc w:val="center"/>
        <w:rPr>
          <w:rFonts w:ascii="Times New Roman Bold" w:eastAsia="Calibri" w:hAnsi="Times New Roman Bold"/>
          <w:b/>
          <w:caps/>
          <w:noProof/>
          <w:szCs w:val="24"/>
        </w:rPr>
      </w:pPr>
      <w:r>
        <w:rPr>
          <w:rFonts w:ascii="Times New Roman Bold" w:hAnsi="Times New Roman Bold"/>
          <w:b/>
          <w:caps/>
          <w:noProof/>
        </w:rPr>
        <w:t xml:space="preserve">Vzor plánov spravodlivej transformácie územia </w:t>
      </w:r>
    </w:p>
    <w:p w:rsidR="002B4F11" w:rsidRDefault="002B4F11">
      <w:pPr>
        <w:jc w:val="center"/>
        <w:rPr>
          <w:rFonts w:ascii="Times New Roman Bold" w:eastAsia="Calibri" w:hAnsi="Times New Roman Bold"/>
          <w:b/>
          <w:caps/>
          <w:noProof/>
          <w:szCs w:val="24"/>
        </w:rPr>
      </w:pPr>
    </w:p>
    <w:p w:rsidR="002B4F11" w:rsidRDefault="00E027EB">
      <w:pPr>
        <w:numPr>
          <w:ilvl w:val="0"/>
          <w:numId w:val="1"/>
        </w:numPr>
        <w:spacing w:before="0" w:after="200" w:line="276" w:lineRule="auto"/>
        <w:jc w:val="left"/>
        <w:rPr>
          <w:rFonts w:eastAsia="Times New Roman"/>
          <w:b/>
          <w:iCs/>
          <w:noProof/>
          <w:szCs w:val="24"/>
        </w:rPr>
      </w:pPr>
      <w:r>
        <w:rPr>
          <w:b/>
          <w:iCs/>
          <w:noProof/>
        </w:rPr>
        <w:t>Načrtnutie procesu transformácie a identifikácia najviac postihnutých území v rámci členského štátu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rPr>
          <w:trHeight w:val="306"/>
        </w:trPr>
        <w:tc>
          <w:tcPr>
            <w:tcW w:w="9288" w:type="dxa"/>
          </w:tcPr>
          <w:p w:rsidR="002B4F11" w:rsidRDefault="00E027EB">
            <w:pPr>
              <w:rPr>
                <w:i/>
                <w:noProof/>
              </w:rPr>
            </w:pPr>
            <w:r>
              <w:rPr>
                <w:i/>
                <w:noProof/>
              </w:rPr>
              <w:t>Textové pole [12000]</w:t>
            </w:r>
          </w:p>
        </w:tc>
      </w:tr>
    </w:tbl>
    <w:p w:rsidR="002B4F11" w:rsidRDefault="002B4F11">
      <w:pPr>
        <w:spacing w:before="0" w:after="200" w:line="276" w:lineRule="auto"/>
        <w:ind w:left="502"/>
        <w:jc w:val="left"/>
        <w:rPr>
          <w:rFonts w:eastAsia="Times New Roman"/>
          <w:b/>
          <w:iCs/>
          <w:noProof/>
          <w:szCs w:val="24"/>
        </w:rPr>
      </w:pPr>
    </w:p>
    <w:p w:rsidR="002B4F11" w:rsidRDefault="00E027EB">
      <w:pPr>
        <w:pStyle w:val="ListParagraph"/>
        <w:ind w:left="750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hAnsi="Times New Roman"/>
          <w:i/>
          <w:noProof/>
          <w:sz w:val="24"/>
          <w:szCs w:val="24"/>
        </w:rPr>
        <w:t>Referencia: článok 7 ods. 2 písm. 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rPr>
          <w:trHeight w:val="699"/>
        </w:trPr>
        <w:tc>
          <w:tcPr>
            <w:tcW w:w="9288" w:type="dxa"/>
          </w:tcPr>
          <w:p w:rsidR="002B4F11" w:rsidRDefault="00E027EB">
            <w:pPr>
              <w:rPr>
                <w:i/>
                <w:noProof/>
              </w:rPr>
            </w:pPr>
            <w:r>
              <w:rPr>
                <w:i/>
                <w:noProof/>
              </w:rPr>
              <w:t>1.1. Načrtnutie očakávaného procesu prechodu na klimaticky neutrálne hospodárstvo v súlade s cieľmi národných energetických a klimatických plánov a iných existujúcich plánov transformácie s harmonogramom ukončenia alebo obmedzenia činností, ako je ťažba uh</w:t>
            </w:r>
            <w:r>
              <w:rPr>
                <w:i/>
                <w:noProof/>
              </w:rPr>
              <w:t xml:space="preserve">lia a lignitu alebo výroba elektriny z uhlia </w:t>
            </w:r>
          </w:p>
        </w:tc>
      </w:tr>
    </w:tbl>
    <w:p w:rsidR="002B4F11" w:rsidRDefault="002B4F11">
      <w:pPr>
        <w:pStyle w:val="ListParagraph"/>
        <w:ind w:left="750"/>
        <w:rPr>
          <w:rFonts w:ascii="Times New Roman" w:hAnsi="Times New Roman" w:cs="Times New Roman"/>
          <w:noProof/>
          <w:sz w:val="24"/>
          <w:szCs w:val="24"/>
          <w:highlight w:val="yellow"/>
        </w:rPr>
      </w:pPr>
    </w:p>
    <w:p w:rsidR="002B4F11" w:rsidRDefault="00E027EB">
      <w:pPr>
        <w:pStyle w:val="ListParagraph"/>
        <w:ind w:left="75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Referencia: článok 7 ods. 2 písm. 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rPr>
          <w:trHeight w:val="699"/>
        </w:trPr>
        <w:tc>
          <w:tcPr>
            <w:tcW w:w="9288" w:type="dxa"/>
          </w:tcPr>
          <w:p w:rsidR="002B4F11" w:rsidRDefault="00E027E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1.2. Identifikácia území, ktoré budú podľa očakávaní najviac postihnuté, a odôvodnenie tohto výberu spolu so zodpovedajúcim odhadom vplyvov na hospodárstvo a zamestnanosť </w:t>
            </w:r>
            <w:r>
              <w:rPr>
                <w:i/>
                <w:noProof/>
              </w:rPr>
              <w:t>na základe náčrtu uvedeného v oddiele 1.1</w:t>
            </w:r>
          </w:p>
        </w:tc>
      </w:tr>
    </w:tbl>
    <w:p w:rsidR="002B4F11" w:rsidRDefault="002B4F11">
      <w:pPr>
        <w:pStyle w:val="ListParagraph"/>
        <w:ind w:left="750"/>
        <w:rPr>
          <w:noProof/>
          <w:szCs w:val="24"/>
        </w:rPr>
      </w:pPr>
    </w:p>
    <w:p w:rsidR="002B4F11" w:rsidRDefault="00E027EB">
      <w:pPr>
        <w:numPr>
          <w:ilvl w:val="0"/>
          <w:numId w:val="1"/>
        </w:numPr>
        <w:spacing w:before="0" w:after="200" w:line="276" w:lineRule="auto"/>
        <w:jc w:val="left"/>
        <w:rPr>
          <w:rFonts w:eastAsia="Times New Roman"/>
          <w:b/>
          <w:noProof/>
          <w:szCs w:val="24"/>
        </w:rPr>
      </w:pPr>
      <w:r>
        <w:rPr>
          <w:b/>
          <w:noProof/>
        </w:rPr>
        <w:t>Posúdenie výziev vyplývajúcich z transformácie pre každé identifikované územie</w:t>
      </w:r>
    </w:p>
    <w:p w:rsidR="002B4F11" w:rsidRDefault="00E027EB">
      <w:pPr>
        <w:pStyle w:val="ListParagrap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2.1. Posúdenie hospodárskeho, sociálneho a územného vplyvu prechodu na klimaticky neutrálne hospodárstvo </w:t>
      </w:r>
    </w:p>
    <w:p w:rsidR="002B4F11" w:rsidRDefault="002B4F11">
      <w:pPr>
        <w:pStyle w:val="ListParagraph"/>
        <w:rPr>
          <w:rFonts w:ascii="Times New Roman" w:hAnsi="Times New Roman" w:cs="Times New Roman"/>
          <w:noProof/>
          <w:sz w:val="24"/>
          <w:szCs w:val="24"/>
          <w:highlight w:val="yellow"/>
        </w:rPr>
      </w:pPr>
    </w:p>
    <w:p w:rsidR="002B4F11" w:rsidRDefault="00E027EB">
      <w:pPr>
        <w:pStyle w:val="ListParagrap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Referencia: článok 7 </w:t>
      </w:r>
      <w:r>
        <w:rPr>
          <w:rFonts w:ascii="Times New Roman" w:hAnsi="Times New Roman"/>
          <w:i/>
          <w:noProof/>
          <w:sz w:val="24"/>
          <w:szCs w:val="24"/>
        </w:rPr>
        <w:t>ods. 2 písm. 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rPr>
          <w:trHeight w:val="306"/>
        </w:trPr>
        <w:tc>
          <w:tcPr>
            <w:tcW w:w="9288" w:type="dxa"/>
          </w:tcPr>
          <w:p w:rsidR="002B4F11" w:rsidRDefault="00E027EB">
            <w:pPr>
              <w:rPr>
                <w:i/>
                <w:noProof/>
              </w:rPr>
            </w:pPr>
            <w:r>
              <w:rPr>
                <w:i/>
                <w:noProof/>
              </w:rPr>
              <w:t>Textové pole [12000]</w:t>
            </w:r>
          </w:p>
        </w:tc>
      </w:tr>
    </w:tbl>
    <w:p w:rsidR="002B4F11" w:rsidRDefault="002B4F1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rPr>
          <w:trHeight w:val="699"/>
        </w:trPr>
        <w:tc>
          <w:tcPr>
            <w:tcW w:w="9288" w:type="dxa"/>
          </w:tcPr>
          <w:p w:rsidR="002B4F11" w:rsidRDefault="00E027EB">
            <w:pPr>
              <w:spacing w:after="0"/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>Identifikácia dotknutých hospodárskych činností a priemyselných odvetví, pričom treba rozlíšiť:</w:t>
            </w:r>
          </w:p>
          <w:p w:rsidR="002B4F11" w:rsidRDefault="00E027EB">
            <w:pPr>
              <w:spacing w:after="0"/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– upadajúce odvetvia, pri ktorých sa očakáva ukončenie alebo výrazné obmedzenie ich činností v súvislosti s prechodom </w:t>
            </w:r>
            <w:r>
              <w:rPr>
                <w:i/>
                <w:noProof/>
              </w:rPr>
              <w:t>vrátane zodpovedajúceho harmonogramu,</w:t>
            </w:r>
          </w:p>
          <w:p w:rsidR="002B4F11" w:rsidRDefault="00E027EB">
            <w:pPr>
              <w:spacing w:after="0"/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>– transformujúce sa odvetvia, pri ktorých sa očakáva transformácia ich činností, postupov a výstupov.</w:t>
            </w:r>
          </w:p>
          <w:p w:rsidR="002B4F11" w:rsidRDefault="00E027EB">
            <w:pPr>
              <w:spacing w:after="0"/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Pre každé z týchto dvoch odvetví: </w:t>
            </w:r>
          </w:p>
          <w:p w:rsidR="002B4F11" w:rsidRDefault="00E027EB">
            <w:pPr>
              <w:spacing w:after="0"/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>– očakávaný zánik pracovných miest a potreby v oblasti rekvalifikácie s ohľadom n</w:t>
            </w:r>
            <w:r>
              <w:rPr>
                <w:i/>
                <w:noProof/>
              </w:rPr>
              <w:t xml:space="preserve">a prognózy </w:t>
            </w:r>
            <w:r>
              <w:rPr>
                <w:i/>
                <w:noProof/>
              </w:rPr>
              <w:lastRenderedPageBreak/>
              <w:t>zručností,</w:t>
            </w:r>
          </w:p>
          <w:p w:rsidR="002B4F11" w:rsidRDefault="00E027EB">
            <w:pPr>
              <w:rPr>
                <w:noProof/>
                <w:szCs w:val="24"/>
              </w:rPr>
            </w:pPr>
            <w:r>
              <w:rPr>
                <w:i/>
                <w:noProof/>
              </w:rPr>
              <w:t>– potenciál hospodárskej diverzifikácie a možnosti rozvoja.</w:t>
            </w:r>
          </w:p>
        </w:tc>
      </w:tr>
    </w:tbl>
    <w:p w:rsidR="002B4F11" w:rsidRDefault="002B4F11">
      <w:pPr>
        <w:spacing w:before="0" w:after="200" w:line="276" w:lineRule="auto"/>
        <w:ind w:left="2880"/>
        <w:contextualSpacing/>
        <w:rPr>
          <w:rFonts w:eastAsia="Times New Roman" w:cstheme="minorBidi"/>
          <w:noProof/>
          <w:szCs w:val="24"/>
        </w:rPr>
      </w:pPr>
    </w:p>
    <w:p w:rsidR="002B4F11" w:rsidRDefault="00E027EB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2.2. Potreby a ciele rozvoja do roku 2030 v záujme dosiahnutia klimatickej neutrality</w:t>
      </w:r>
    </w:p>
    <w:p w:rsidR="002B4F11" w:rsidRDefault="002B4F1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2B4F11" w:rsidRDefault="00E027EB">
      <w:pPr>
        <w:pStyle w:val="ListParagrap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Referencia: článok 7 ods. 2 písm. 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rPr>
          <w:trHeight w:val="306"/>
        </w:trPr>
        <w:tc>
          <w:tcPr>
            <w:tcW w:w="9288" w:type="dxa"/>
          </w:tcPr>
          <w:p w:rsidR="002B4F11" w:rsidRDefault="00E027EB">
            <w:pPr>
              <w:rPr>
                <w:i/>
                <w:noProof/>
              </w:rPr>
            </w:pPr>
            <w:r>
              <w:rPr>
                <w:i/>
                <w:noProof/>
              </w:rPr>
              <w:t>Textové pole [6000]</w:t>
            </w:r>
          </w:p>
        </w:tc>
      </w:tr>
    </w:tbl>
    <w:p w:rsidR="002B4F11" w:rsidRDefault="002B4F1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rPr>
          <w:trHeight w:val="699"/>
        </w:trPr>
        <w:tc>
          <w:tcPr>
            <w:tcW w:w="9288" w:type="dxa"/>
          </w:tcPr>
          <w:p w:rsidR="002B4F11" w:rsidRDefault="00E027EB">
            <w:pPr>
              <w:contextualSpacing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 xml:space="preserve">– </w:t>
            </w:r>
            <w:r>
              <w:rPr>
                <w:i/>
                <w:noProof/>
              </w:rPr>
              <w:t>potreby v oblasti rozvoj</w:t>
            </w:r>
            <w:r>
              <w:rPr>
                <w:i/>
                <w:noProof/>
              </w:rPr>
              <w:t xml:space="preserve">a na riešenie výziev vyplývajúcich z transformácie, </w:t>
            </w:r>
          </w:p>
          <w:p w:rsidR="002B4F11" w:rsidRDefault="00E027EB">
            <w:pPr>
              <w:contextualSpacing/>
              <w:rPr>
                <w:rFonts w:eastAsia="Times New Roman"/>
                <w:noProof/>
                <w:szCs w:val="24"/>
              </w:rPr>
            </w:pPr>
            <w:r>
              <w:rPr>
                <w:i/>
                <w:noProof/>
              </w:rPr>
              <w:t>– ciele a výsledky očakávané na základe implementácie priority FST.</w:t>
            </w:r>
            <w:r>
              <w:rPr>
                <w:noProof/>
              </w:rPr>
              <w:t xml:space="preserve"> </w:t>
            </w:r>
          </w:p>
        </w:tc>
      </w:tr>
    </w:tbl>
    <w:p w:rsidR="002B4F11" w:rsidRDefault="002B4F11">
      <w:pPr>
        <w:spacing w:before="0" w:after="200" w:line="276" w:lineRule="auto"/>
        <w:ind w:left="2160"/>
        <w:contextualSpacing/>
        <w:rPr>
          <w:rFonts w:eastAsia="Times New Roman" w:cstheme="minorBidi"/>
          <w:noProof/>
          <w:szCs w:val="24"/>
        </w:rPr>
      </w:pPr>
    </w:p>
    <w:p w:rsidR="002B4F11" w:rsidRDefault="00E027EB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2.3. Súlad s inými národnými, regionálnymi alebo územnými stratégiami a plánmi </w:t>
      </w:r>
    </w:p>
    <w:p w:rsidR="002B4F11" w:rsidRDefault="002B4F11">
      <w:pPr>
        <w:pStyle w:val="ListParagrap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2B4F11" w:rsidRDefault="00E027EB">
      <w:pPr>
        <w:pStyle w:val="ListParagrap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Referencia: článok 7 ods. 2 písm. 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rPr>
          <w:trHeight w:val="306"/>
        </w:trPr>
        <w:tc>
          <w:tcPr>
            <w:tcW w:w="9288" w:type="dxa"/>
          </w:tcPr>
          <w:p w:rsidR="002B4F11" w:rsidRDefault="00E027EB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Textové pole </w:t>
            </w:r>
            <w:r>
              <w:rPr>
                <w:i/>
                <w:noProof/>
              </w:rPr>
              <w:t>[6000]</w:t>
            </w:r>
          </w:p>
        </w:tc>
      </w:tr>
    </w:tbl>
    <w:p w:rsidR="002B4F11" w:rsidRDefault="002B4F11">
      <w:pPr>
        <w:spacing w:before="0" w:after="200" w:line="276" w:lineRule="auto"/>
        <w:ind w:left="2160"/>
        <w:contextualSpacing/>
        <w:rPr>
          <w:rFonts w:eastAsia="Times New Roman" w:cstheme="minorBidi"/>
          <w:noProof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rPr>
          <w:trHeight w:val="1125"/>
        </w:trPr>
        <w:tc>
          <w:tcPr>
            <w:tcW w:w="9288" w:type="dxa"/>
          </w:tcPr>
          <w:p w:rsidR="002B4F11" w:rsidRDefault="00E027EB">
            <w:pPr>
              <w:contextualSpacing/>
              <w:rPr>
                <w:rFonts w:eastAsia="Times New Roman"/>
                <w:i/>
                <w:noProof/>
                <w:szCs w:val="24"/>
              </w:rPr>
            </w:pPr>
            <w:r>
              <w:rPr>
                <w:noProof/>
              </w:rPr>
              <w:t xml:space="preserve">– </w:t>
            </w:r>
            <w:r>
              <w:rPr>
                <w:i/>
                <w:noProof/>
              </w:rPr>
              <w:t>stratégie pre inteligentnú špecializáciu,</w:t>
            </w:r>
          </w:p>
          <w:p w:rsidR="002B4F11" w:rsidRDefault="00E027EB">
            <w:pPr>
              <w:contextualSpacing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– územné stratégie uvedené v článku 23 nariadenia (EÚ) [nové VN], </w:t>
            </w:r>
          </w:p>
          <w:p w:rsidR="002B4F11" w:rsidRDefault="00E027EB">
            <w:pPr>
              <w:contextualSpacing/>
              <w:rPr>
                <w:rFonts w:eastAsia="Times New Roman"/>
                <w:b/>
                <w:noProof/>
                <w:szCs w:val="24"/>
              </w:rPr>
            </w:pPr>
            <w:r>
              <w:rPr>
                <w:i/>
                <w:noProof/>
              </w:rPr>
              <w:t>– iné regionálne alebo národné plány rozvoja.</w:t>
            </w:r>
            <w:r>
              <w:rPr>
                <w:b/>
                <w:noProof/>
              </w:rPr>
              <w:t xml:space="preserve"> </w:t>
            </w:r>
          </w:p>
        </w:tc>
      </w:tr>
    </w:tbl>
    <w:p w:rsidR="002B4F11" w:rsidRDefault="002B4F11">
      <w:pPr>
        <w:spacing w:before="0" w:after="200" w:line="276" w:lineRule="auto"/>
        <w:ind w:left="2160"/>
        <w:contextualSpacing/>
        <w:rPr>
          <w:rFonts w:eastAsia="Times New Roman" w:cstheme="minorBidi"/>
          <w:noProof/>
          <w:szCs w:val="24"/>
        </w:rPr>
      </w:pPr>
    </w:p>
    <w:p w:rsidR="002B4F11" w:rsidRDefault="00E027EB">
      <w:pPr>
        <w:pStyle w:val="ListParagrap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2.4. Typy plánovaných operácií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rPr>
          <w:trHeight w:val="306"/>
        </w:trPr>
        <w:tc>
          <w:tcPr>
            <w:tcW w:w="9288" w:type="dxa"/>
          </w:tcPr>
          <w:p w:rsidR="002B4F11" w:rsidRDefault="00E027EB">
            <w:pPr>
              <w:rPr>
                <w:i/>
                <w:noProof/>
              </w:rPr>
            </w:pPr>
            <w:r>
              <w:rPr>
                <w:i/>
                <w:noProof/>
              </w:rPr>
              <w:t>Textové pole [12000]</w:t>
            </w:r>
          </w:p>
        </w:tc>
      </w:tr>
    </w:tbl>
    <w:p w:rsidR="002B4F11" w:rsidRDefault="002B4F1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2B4F11" w:rsidRDefault="00E027EB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Referencia: článok 7 ods. 2 písm.</w:t>
      </w:r>
      <w:r>
        <w:rPr>
          <w:rFonts w:ascii="Times New Roman" w:hAnsi="Times New Roman"/>
          <w:i/>
          <w:noProof/>
          <w:sz w:val="24"/>
          <w:szCs w:val="24"/>
        </w:rPr>
        <w:t xml:space="preserve"> 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c>
          <w:tcPr>
            <w:tcW w:w="9288" w:type="dxa"/>
          </w:tcPr>
          <w:p w:rsidR="002B4F11" w:rsidRDefault="00E027E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– typy plánovaných operácií a ich očakávaný príspevok k zmierneniu vplyvu klimatickej transformácie </w:t>
            </w:r>
          </w:p>
        </w:tc>
      </w:tr>
    </w:tbl>
    <w:p w:rsidR="002B4F11" w:rsidRDefault="002B4F11">
      <w:pPr>
        <w:pStyle w:val="ListParagraph"/>
        <w:rPr>
          <w:rFonts w:eastAsia="Times New Roman"/>
          <w:i/>
          <w:noProof/>
          <w:szCs w:val="24"/>
        </w:rPr>
      </w:pPr>
    </w:p>
    <w:p w:rsidR="002B4F11" w:rsidRDefault="00E027EB">
      <w:pPr>
        <w:pStyle w:val="ListParagrap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Referencia: článok 7 ods. 2 písm. 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c>
          <w:tcPr>
            <w:tcW w:w="9288" w:type="dxa"/>
          </w:tcPr>
          <w:p w:rsidR="002B4F11" w:rsidRDefault="00E027EB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Vyplniť len v prípade, ak sa podpora poskytuje na produktívne investície podnikom, ktoré nie sú MSP: </w:t>
            </w:r>
          </w:p>
          <w:p w:rsidR="002B4F11" w:rsidRDefault="00E027EB">
            <w:pPr>
              <w:rPr>
                <w:noProof/>
                <w:szCs w:val="24"/>
              </w:rPr>
            </w:pPr>
            <w:r>
              <w:rPr>
                <w:i/>
                <w:noProof/>
              </w:rPr>
              <w:t xml:space="preserve">– </w:t>
            </w:r>
            <w:r>
              <w:rPr>
                <w:i/>
                <w:noProof/>
              </w:rPr>
              <w:t>vyčerpávajúci zoznam takýchto operácií a podnikov a pri každom z nich odôvodnenie potreby takejto podpory prostredníctvom analýzy nedostatkov, ktorá preukáže, že očakávaný počet zaniknutých pracovných miest by prevýšil očakávaný počet pracovných miest vytv</w:t>
            </w:r>
            <w:r>
              <w:rPr>
                <w:i/>
                <w:noProof/>
              </w:rPr>
              <w:t>orených v prípade neuskutočnenia tejto investície</w:t>
            </w:r>
          </w:p>
        </w:tc>
      </w:tr>
    </w:tbl>
    <w:p w:rsidR="002B4F11" w:rsidRDefault="002B4F11">
      <w:pPr>
        <w:spacing w:before="0" w:after="200" w:line="276" w:lineRule="auto"/>
        <w:contextualSpacing/>
        <w:rPr>
          <w:i/>
          <w:noProof/>
        </w:rPr>
      </w:pPr>
    </w:p>
    <w:p w:rsidR="002B4F11" w:rsidRDefault="00E027EB">
      <w:pPr>
        <w:spacing w:before="0" w:after="200" w:line="360" w:lineRule="auto"/>
        <w:ind w:firstLine="720"/>
        <w:contextualSpacing/>
        <w:rPr>
          <w:noProof/>
        </w:rPr>
      </w:pPr>
      <w:r>
        <w:rPr>
          <w:i/>
          <w:noProof/>
        </w:rPr>
        <w:t>Referencia: článok 7 ods. 2 písm. 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c>
          <w:tcPr>
            <w:tcW w:w="9288" w:type="dxa"/>
          </w:tcPr>
          <w:p w:rsidR="002B4F11" w:rsidRDefault="00E027E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Vyplniť len v prípade, ak sa podpora poskytuje na investície na zníženie emisií skleníkových plynov z činností uvedených v prílohe I k smernici 2003/87/ES: </w:t>
            </w:r>
          </w:p>
          <w:p w:rsidR="002B4F11" w:rsidRDefault="00E027EB">
            <w:pPr>
              <w:rPr>
                <w:noProof/>
                <w:szCs w:val="24"/>
              </w:rPr>
            </w:pPr>
            <w:r>
              <w:rPr>
                <w:i/>
                <w:noProof/>
              </w:rPr>
              <w:t>– vyčerpávajúci zoznam operácií, ktoré sa majú podporiť, a odôvodnenie, že prispievajú k prechodu na klimaticky neutrálne hospodárstvo a vedú k podstatnému zníženiu emisií skleníkových plynov na úroveň nižšiu ako príslušné referenčné hodnoty používané na b</w:t>
            </w:r>
            <w:r>
              <w:rPr>
                <w:i/>
                <w:noProof/>
              </w:rPr>
              <w:t xml:space="preserve">ezodplatné prideľovanie podľa smernice 2003/87/ES, a za predpokladu, že sú potrebné na ochranu značného počtu pracovných miest </w:t>
            </w:r>
          </w:p>
        </w:tc>
      </w:tr>
    </w:tbl>
    <w:p w:rsidR="002B4F11" w:rsidRDefault="002B4F11">
      <w:pPr>
        <w:spacing w:before="0" w:after="200" w:line="276" w:lineRule="auto"/>
        <w:ind w:left="1800"/>
        <w:contextualSpacing/>
        <w:rPr>
          <w:noProof/>
          <w:highlight w:val="yellow"/>
        </w:rPr>
      </w:pPr>
    </w:p>
    <w:p w:rsidR="002B4F11" w:rsidRDefault="002B4F11">
      <w:pPr>
        <w:spacing w:before="0" w:after="200" w:line="276" w:lineRule="auto"/>
        <w:ind w:left="1800"/>
        <w:contextualSpacing/>
        <w:rPr>
          <w:noProof/>
          <w:highlight w:val="yellow"/>
        </w:rPr>
      </w:pPr>
    </w:p>
    <w:p w:rsidR="002B4F11" w:rsidRDefault="00E027EB">
      <w:pPr>
        <w:spacing w:before="0" w:after="200" w:line="360" w:lineRule="auto"/>
        <w:ind w:firstLine="720"/>
        <w:contextualSpacing/>
        <w:rPr>
          <w:noProof/>
        </w:rPr>
      </w:pPr>
      <w:r>
        <w:rPr>
          <w:i/>
          <w:noProof/>
        </w:rPr>
        <w:t>Referencia: článok 7 ods. 2 písm. j)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c>
          <w:tcPr>
            <w:tcW w:w="9288" w:type="dxa"/>
          </w:tcPr>
          <w:p w:rsidR="002B4F11" w:rsidRDefault="00E027E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>– synergie a komplementarita plánovaných operácií s inými programami v rámci cieľa Inves</w:t>
            </w:r>
            <w:r>
              <w:rPr>
                <w:i/>
                <w:noProof/>
              </w:rPr>
              <w:t>tovanie do zamestnanosti a rastu (podpora procesu transformácie), s inými finančnými nástrojmi (fond Únie na modernizáciu obchodovania s emisiami) a inými piliermi Mechanizmu spravodlivej transformácie (osobitná schéma v rámci Programu InvestEU a úverový n</w:t>
            </w:r>
            <w:r>
              <w:rPr>
                <w:i/>
                <w:noProof/>
              </w:rPr>
              <w:t>ástroj pre verejný sektor zriadený v spolupráci s Európskou investičnou bankou) s cieľom riešiť identifikované investičné potreby</w:t>
            </w:r>
          </w:p>
        </w:tc>
      </w:tr>
    </w:tbl>
    <w:p w:rsidR="002B4F11" w:rsidRDefault="002B4F11">
      <w:pPr>
        <w:spacing w:before="0" w:after="200" w:line="276" w:lineRule="auto"/>
        <w:ind w:left="1800"/>
        <w:contextualSpacing/>
        <w:rPr>
          <w:rFonts w:eastAsia="Times New Roman" w:cstheme="minorBidi"/>
          <w:noProof/>
          <w:szCs w:val="24"/>
          <w:highlight w:val="yellow"/>
        </w:rPr>
      </w:pPr>
    </w:p>
    <w:p w:rsidR="002B4F11" w:rsidRDefault="00E027EB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2.5. Špecifické programové ukazovatele výstupu alebo výsledku</w:t>
      </w:r>
    </w:p>
    <w:p w:rsidR="002B4F11" w:rsidRDefault="00E027EB">
      <w:pPr>
        <w:spacing w:before="0" w:after="200" w:line="276" w:lineRule="auto"/>
        <w:ind w:firstLine="720"/>
        <w:contextualSpacing/>
        <w:rPr>
          <w:rFonts w:eastAsia="Times New Roman" w:cstheme="minorBidi"/>
          <w:noProof/>
          <w:szCs w:val="24"/>
        </w:rPr>
      </w:pPr>
      <w:r>
        <w:rPr>
          <w:i/>
          <w:noProof/>
        </w:rPr>
        <w:t>Referencia: článok 8 ods.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c>
          <w:tcPr>
            <w:tcW w:w="9288" w:type="dxa"/>
          </w:tcPr>
          <w:p w:rsidR="002B4F11" w:rsidRDefault="00E027EB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Vyplniť len v prípade, ak sa plánu</w:t>
            </w:r>
            <w:r>
              <w:rPr>
                <w:i/>
                <w:noProof/>
              </w:rPr>
              <w:t>jú špecifické programové ukazovatele:</w:t>
            </w:r>
          </w:p>
          <w:p w:rsidR="002B4F11" w:rsidRDefault="00E027EB"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– odôvodnenie potreby špecifických programových ukazovateľov výstupu alebo výsledku na základe typov plánovaných operácií </w:t>
            </w:r>
          </w:p>
        </w:tc>
      </w:tr>
    </w:tbl>
    <w:p w:rsidR="002B4F11" w:rsidRDefault="002B4F11">
      <w:pPr>
        <w:spacing w:before="0" w:after="200" w:line="276" w:lineRule="auto"/>
        <w:ind w:left="1800"/>
        <w:contextualSpacing/>
        <w:rPr>
          <w:rFonts w:eastAsia="Times New Roman" w:cstheme="minorBidi"/>
          <w:noProof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782"/>
        <w:gridCol w:w="1965"/>
        <w:gridCol w:w="1534"/>
        <w:gridCol w:w="1543"/>
        <w:gridCol w:w="1533"/>
      </w:tblGrid>
      <w:tr w:rsidR="002B4F11">
        <w:tc>
          <w:tcPr>
            <w:tcW w:w="9288" w:type="dxa"/>
            <w:gridSpan w:val="6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Tabuľka 1. Ukazovatele výstupu</w:t>
            </w:r>
          </w:p>
        </w:tc>
      </w:tr>
      <w:tr w:rsidR="002B4F11">
        <w:trPr>
          <w:trHeight w:val="699"/>
        </w:trPr>
        <w:tc>
          <w:tcPr>
            <w:tcW w:w="1951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Špecifický cieľ</w:t>
            </w:r>
          </w:p>
        </w:tc>
        <w:tc>
          <w:tcPr>
            <w:tcW w:w="709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Identif. kód [5]</w:t>
            </w:r>
          </w:p>
        </w:tc>
        <w:tc>
          <w:tcPr>
            <w:tcW w:w="1984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Ukazovateľ [255]</w:t>
            </w:r>
          </w:p>
        </w:tc>
        <w:tc>
          <w:tcPr>
            <w:tcW w:w="1548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Merná </w:t>
            </w:r>
            <w:r>
              <w:rPr>
                <w:b/>
                <w:noProof/>
                <w:sz w:val="18"/>
                <w:szCs w:val="18"/>
              </w:rPr>
              <w:t>jednotka</w:t>
            </w:r>
          </w:p>
        </w:tc>
        <w:tc>
          <w:tcPr>
            <w:tcW w:w="1548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Čiastkový cieľ (2024)</w:t>
            </w:r>
          </w:p>
        </w:tc>
        <w:tc>
          <w:tcPr>
            <w:tcW w:w="1548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Cieľová hodnota (2029)</w:t>
            </w:r>
          </w:p>
        </w:tc>
      </w:tr>
      <w:tr w:rsidR="002B4F11">
        <w:tc>
          <w:tcPr>
            <w:tcW w:w="1951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984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48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48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48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</w:tr>
    </w:tbl>
    <w:p w:rsidR="002B4F11" w:rsidRDefault="002B4F11">
      <w:pPr>
        <w:spacing w:before="0" w:after="200" w:line="276" w:lineRule="auto"/>
        <w:ind w:left="1800"/>
        <w:contextualSpacing/>
        <w:rPr>
          <w:rFonts w:eastAsia="Times New Roman" w:cstheme="minorBidi"/>
          <w:noProof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782"/>
        <w:gridCol w:w="1174"/>
        <w:gridCol w:w="1114"/>
        <w:gridCol w:w="1297"/>
        <w:gridCol w:w="1121"/>
        <w:gridCol w:w="907"/>
        <w:gridCol w:w="756"/>
        <w:gridCol w:w="1035"/>
      </w:tblGrid>
      <w:tr w:rsidR="002B4F11">
        <w:tc>
          <w:tcPr>
            <w:tcW w:w="9288" w:type="dxa"/>
            <w:gridSpan w:val="9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Tabuľka 2. Ukazovatele výsledku</w:t>
            </w:r>
          </w:p>
        </w:tc>
      </w:tr>
      <w:tr w:rsidR="002B4F11">
        <w:trPr>
          <w:trHeight w:val="699"/>
        </w:trPr>
        <w:tc>
          <w:tcPr>
            <w:tcW w:w="1212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Špecifický cieľ</w:t>
            </w:r>
          </w:p>
        </w:tc>
        <w:tc>
          <w:tcPr>
            <w:tcW w:w="509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Identif. kód [5]</w:t>
            </w:r>
          </w:p>
        </w:tc>
        <w:tc>
          <w:tcPr>
            <w:tcW w:w="1244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Ukazovateľ [255]</w:t>
            </w:r>
          </w:p>
        </w:tc>
        <w:tc>
          <w:tcPr>
            <w:tcW w:w="1356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Merná jednotka</w:t>
            </w:r>
          </w:p>
        </w:tc>
        <w:tc>
          <w:tcPr>
            <w:tcW w:w="1032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Východisková alebo referenčná hodnota</w:t>
            </w:r>
          </w:p>
        </w:tc>
        <w:tc>
          <w:tcPr>
            <w:tcW w:w="1148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Referenčný rok</w:t>
            </w:r>
          </w:p>
        </w:tc>
        <w:tc>
          <w:tcPr>
            <w:tcW w:w="975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Cieľová hodnota (2029)</w:t>
            </w:r>
          </w:p>
        </w:tc>
        <w:tc>
          <w:tcPr>
            <w:tcW w:w="766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Zdroj údajov [200]</w:t>
            </w:r>
          </w:p>
        </w:tc>
        <w:tc>
          <w:tcPr>
            <w:tcW w:w="1046" w:type="dxa"/>
          </w:tcPr>
          <w:p w:rsidR="002B4F11" w:rsidRDefault="00E027EB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Poznámky [200]</w:t>
            </w:r>
          </w:p>
        </w:tc>
      </w:tr>
      <w:tr w:rsidR="002B4F11">
        <w:tc>
          <w:tcPr>
            <w:tcW w:w="1212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09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44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356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032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148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75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6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046" w:type="dxa"/>
          </w:tcPr>
          <w:p w:rsidR="002B4F11" w:rsidRDefault="002B4F11">
            <w:pPr>
              <w:rPr>
                <w:noProof/>
                <w:sz w:val="18"/>
                <w:szCs w:val="18"/>
              </w:rPr>
            </w:pPr>
          </w:p>
        </w:tc>
      </w:tr>
    </w:tbl>
    <w:p w:rsidR="002B4F11" w:rsidRDefault="002B4F11">
      <w:pPr>
        <w:spacing w:before="0" w:after="200" w:line="276" w:lineRule="auto"/>
        <w:ind w:left="1800"/>
        <w:contextualSpacing/>
        <w:rPr>
          <w:rFonts w:eastAsia="Times New Roman" w:cstheme="minorBidi"/>
          <w:noProof/>
          <w:szCs w:val="24"/>
          <w:highlight w:val="yellow"/>
        </w:rPr>
      </w:pPr>
    </w:p>
    <w:p w:rsidR="002B4F11" w:rsidRDefault="002B4F11">
      <w:pPr>
        <w:spacing w:before="0" w:after="200" w:line="276" w:lineRule="auto"/>
        <w:ind w:left="1800"/>
        <w:contextualSpacing/>
        <w:rPr>
          <w:rFonts w:eastAsia="Times New Roman" w:cstheme="minorBidi"/>
          <w:i/>
          <w:noProof/>
          <w:szCs w:val="24"/>
        </w:rPr>
      </w:pPr>
    </w:p>
    <w:p w:rsidR="002B4F11" w:rsidRDefault="00E027EB">
      <w:pPr>
        <w:keepNext/>
        <w:numPr>
          <w:ilvl w:val="0"/>
          <w:numId w:val="1"/>
        </w:numPr>
        <w:spacing w:before="0" w:after="200" w:line="276" w:lineRule="auto"/>
        <w:ind w:left="499" w:hanging="357"/>
        <w:jc w:val="left"/>
        <w:rPr>
          <w:rFonts w:eastAsia="Times New Roman"/>
          <w:b/>
          <w:i/>
          <w:noProof/>
          <w:szCs w:val="24"/>
        </w:rPr>
      </w:pPr>
      <w:r>
        <w:rPr>
          <w:b/>
          <w:noProof/>
        </w:rPr>
        <w:lastRenderedPageBreak/>
        <w:t xml:space="preserve">Mechanizmy riadenia </w:t>
      </w:r>
    </w:p>
    <w:p w:rsidR="002B4F11" w:rsidRDefault="00E027EB">
      <w:pPr>
        <w:spacing w:before="0" w:after="200" w:line="276" w:lineRule="auto"/>
        <w:ind w:left="502"/>
        <w:jc w:val="left"/>
        <w:rPr>
          <w:rFonts w:eastAsia="Times New Roman"/>
          <w:i/>
          <w:noProof/>
          <w:szCs w:val="24"/>
        </w:rPr>
      </w:pPr>
      <w:r>
        <w:rPr>
          <w:i/>
          <w:noProof/>
        </w:rPr>
        <w:t>Referencia: článok 7 ods. 2 písm. 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rPr>
          <w:trHeight w:val="306"/>
        </w:trPr>
        <w:tc>
          <w:tcPr>
            <w:tcW w:w="9288" w:type="dxa"/>
          </w:tcPr>
          <w:p w:rsidR="002B4F11" w:rsidRDefault="00E027EB">
            <w:pPr>
              <w:rPr>
                <w:i/>
                <w:noProof/>
              </w:rPr>
            </w:pPr>
            <w:r>
              <w:rPr>
                <w:i/>
                <w:noProof/>
              </w:rPr>
              <w:t>Textové pole [5000]</w:t>
            </w:r>
          </w:p>
        </w:tc>
      </w:tr>
    </w:tbl>
    <w:p w:rsidR="002B4F11" w:rsidRDefault="002B4F11">
      <w:pPr>
        <w:spacing w:before="0" w:after="200" w:line="276" w:lineRule="auto"/>
        <w:jc w:val="left"/>
        <w:rPr>
          <w:rFonts w:eastAsia="Times New Roman"/>
          <w:b/>
          <w:i/>
          <w:noProof/>
          <w:szCs w:val="24"/>
        </w:rPr>
      </w:pPr>
    </w:p>
    <w:p w:rsidR="002B4F11" w:rsidRDefault="00E027EB">
      <w:pPr>
        <w:pStyle w:val="ListParagrap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3.1. Partnerstvo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c>
          <w:tcPr>
            <w:tcW w:w="9288" w:type="dxa"/>
          </w:tcPr>
          <w:p w:rsidR="002B4F11" w:rsidRDefault="00E027EB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– opatrenia na zapojenie partnerov do prípravy, implementácie, monitorovania a hodnotenia plánu spravodlivej transformácie územia,</w:t>
            </w:r>
          </w:p>
          <w:p w:rsidR="002B4F11" w:rsidRDefault="00E027EB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– výsledok verejnej konzultácie. </w:t>
            </w:r>
          </w:p>
        </w:tc>
      </w:tr>
    </w:tbl>
    <w:p w:rsidR="002B4F11" w:rsidRDefault="002B4F11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2B4F11" w:rsidRDefault="00E027EB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3.2. Monitorovanie a hodnotenie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rPr>
          <w:trHeight w:val="306"/>
        </w:trPr>
        <w:tc>
          <w:tcPr>
            <w:tcW w:w="9288" w:type="dxa"/>
          </w:tcPr>
          <w:p w:rsidR="002B4F11" w:rsidRDefault="00E027EB">
            <w:pPr>
              <w:rPr>
                <w:i/>
                <w:noProof/>
              </w:rPr>
            </w:pPr>
            <w:r>
              <w:rPr>
                <w:i/>
                <w:noProof/>
              </w:rPr>
              <w:t>– plánované monitorovacie a hodnotiace opatrenia vrátane ukazovateľov na meranie schopnosti plánu dosiahnuť svoje ciele</w:t>
            </w:r>
          </w:p>
        </w:tc>
      </w:tr>
    </w:tbl>
    <w:p w:rsidR="002B4F11" w:rsidRDefault="002B4F11">
      <w:pPr>
        <w:pStyle w:val="ListParagraph"/>
        <w:rPr>
          <w:rFonts w:eastAsia="Times New Roman"/>
          <w:noProof/>
          <w:szCs w:val="24"/>
        </w:rPr>
      </w:pPr>
    </w:p>
    <w:p w:rsidR="002B4F11" w:rsidRDefault="00E027EB">
      <w:pPr>
        <w:pStyle w:val="ListParagrap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3.3. Koordinačný a monitorovací orgán/koordinačné a monitorovacie</w:t>
      </w:r>
      <w:r>
        <w:rPr>
          <w:rFonts w:ascii="Times New Roman" w:hAnsi="Times New Roman"/>
          <w:i/>
          <w:noProof/>
          <w:sz w:val="24"/>
          <w:szCs w:val="24"/>
        </w:rPr>
        <w:t xml:space="preserve"> orgány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B4F11">
        <w:trPr>
          <w:trHeight w:val="306"/>
        </w:trPr>
        <w:tc>
          <w:tcPr>
            <w:tcW w:w="9288" w:type="dxa"/>
          </w:tcPr>
          <w:p w:rsidR="002B4F11" w:rsidRDefault="00E027EB"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Orgán alebo orgány zodpovedné za koordináciu a monitorovanie implementácie plánu a ich úloha</w:t>
            </w:r>
          </w:p>
        </w:tc>
      </w:tr>
    </w:tbl>
    <w:p w:rsidR="002B4F11" w:rsidRDefault="00E027EB">
      <w:pPr>
        <w:jc w:val="left"/>
        <w:rPr>
          <w:rFonts w:eastAsia="Times New Roman"/>
          <w:i/>
          <w:noProof/>
          <w:szCs w:val="24"/>
        </w:rPr>
        <w:sectPr w:rsidR="002B4F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>
        <w:rPr>
          <w:i/>
          <w:noProof/>
        </w:rPr>
        <w:t xml:space="preserve">     </w:t>
      </w:r>
    </w:p>
    <w:p w:rsidR="002B4F11" w:rsidRDefault="002B4F11">
      <w:pPr>
        <w:ind w:left="2160"/>
        <w:rPr>
          <w:rFonts w:eastAsia="Times New Roman"/>
          <w:b/>
          <w:i/>
          <w:noProof/>
          <w:szCs w:val="24"/>
        </w:rPr>
      </w:pPr>
    </w:p>
    <w:p w:rsidR="002B4F11" w:rsidRDefault="002B4F11">
      <w:pPr>
        <w:spacing w:after="0"/>
        <w:ind w:right="-309"/>
        <w:jc w:val="center"/>
        <w:rPr>
          <w:b/>
          <w:bCs/>
          <w:noProof/>
          <w:szCs w:val="24"/>
          <w:u w:val="single"/>
        </w:rPr>
      </w:pPr>
    </w:p>
    <w:p w:rsidR="002B4F11" w:rsidRDefault="00E027EB">
      <w:pPr>
        <w:spacing w:after="0"/>
        <w:ind w:right="-309"/>
        <w:jc w:val="center"/>
        <w:rPr>
          <w:b/>
          <w:bCs/>
          <w:noProof/>
          <w:szCs w:val="24"/>
          <w:vertAlign w:val="superscript"/>
        </w:rPr>
      </w:pPr>
      <w:r>
        <w:rPr>
          <w:b/>
          <w:bCs/>
          <w:noProof/>
          <w:u w:val="single"/>
        </w:rPr>
        <w:t>PRÍLOHA III</w:t>
      </w:r>
      <w:r>
        <w:rPr>
          <w:b/>
          <w:bCs/>
          <w:noProof/>
        </w:rPr>
        <w:br/>
      </w:r>
      <w:r>
        <w:rPr>
          <w:b/>
          <w:bCs/>
          <w:noProof/>
        </w:rPr>
        <w:br/>
      </w:r>
      <w:r>
        <w:rPr>
          <w:rFonts w:ascii="Times New Roman Bold" w:hAnsi="Times New Roman Bold"/>
          <w:b/>
          <w:caps/>
          <w:noProof/>
        </w:rPr>
        <w:t>SPOLOČNÉ UKAZOVATELE VÝSTUPU V RÁMCI REGIONÁLNEJ POLITIKY (RCO) A SPOLOČNÉ</w:t>
      </w:r>
      <w:r>
        <w:rPr>
          <w:rFonts w:ascii="Times New Roman Bold" w:hAnsi="Times New Roman Bold"/>
          <w:b/>
          <w:caps/>
          <w:noProof/>
        </w:rPr>
        <w:t xml:space="preserve"> UKAZOVATELE VÝSLEDKU V RÁMCI REGIONÁLNEJ POLITIKY (RCR) PRE FOND NA SPRAVODLIVÚ TRANSFORMÁCIU</w:t>
      </w:r>
      <w:r>
        <w:rPr>
          <w:rStyle w:val="FootnoteReference"/>
          <w:rFonts w:ascii="Times New Roman Bold" w:eastAsia="Calibri" w:hAnsi="Times New Roman Bold"/>
          <w:b/>
          <w:caps/>
          <w:noProof/>
        </w:rPr>
        <w:footnoteReference w:id="2"/>
      </w:r>
    </w:p>
    <w:p w:rsidR="002B4F11" w:rsidRDefault="002B4F11">
      <w:pPr>
        <w:spacing w:after="0"/>
        <w:rPr>
          <w:b/>
          <w:noProof/>
          <w:szCs w:val="24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961"/>
        <w:gridCol w:w="6946"/>
      </w:tblGrid>
      <w:tr w:rsidR="002B4F11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b/>
                <w:bCs/>
                <w:noProof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b/>
                <w:bCs/>
                <w:noProof/>
              </w:rPr>
              <w:t>Výsledky</w:t>
            </w:r>
          </w:p>
        </w:tc>
      </w:tr>
      <w:tr w:rsidR="002B4F11">
        <w:trPr>
          <w:trHeight w:val="3001"/>
        </w:trPr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RCO 01 – podporované podniky (z toho: mikro, malé, stredné, veľké)</w:t>
            </w:r>
            <w:r>
              <w:rPr>
                <w:noProof/>
              </w:rPr>
              <w:br/>
              <w:t>RCO 02 – podniky podporované grantmi</w:t>
            </w:r>
            <w:r>
              <w:rPr>
                <w:noProof/>
              </w:rPr>
              <w:br/>
              <w:t>RCO 03 – podniky podporované finančný</w:t>
            </w:r>
            <w:r>
              <w:rPr>
                <w:noProof/>
              </w:rPr>
              <w:t>mi nástrojmi</w:t>
            </w:r>
            <w:r>
              <w:rPr>
                <w:noProof/>
              </w:rPr>
              <w:br/>
              <w:t>RCO 04 – podniky s nefinančnou podporou</w:t>
            </w:r>
            <w:r>
              <w:rPr>
                <w:noProof/>
              </w:rPr>
              <w:br/>
              <w:t>RCO 05 – podporované startupy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  <w:t>RCO 10 – podniky spolupracujúce s výskumnými inštitúciami</w:t>
            </w:r>
          </w:p>
          <w:p w:rsidR="002B4F11" w:rsidRDefault="00E027EB"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 xml:space="preserve">RCO 120 – podniky podporované na dosiahnutie zníženia emisií skleníkových plynov z činností uvedených v prílohe I </w:t>
            </w:r>
            <w:r>
              <w:rPr>
                <w:noProof/>
              </w:rPr>
              <w:t>k smernici 2003/87/ES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RCR01 – vytvorené pracovné miesta v podporovaných subjektoch</w:t>
            </w:r>
            <w:r>
              <w:rPr>
                <w:noProof/>
              </w:rPr>
              <w:br/>
              <w:t>RCR 02 – súkromné investície v rovnakej výške ako verejná podpora (z toho: granty, finančné nástroje)</w:t>
            </w:r>
            <w:r>
              <w:rPr>
                <w:noProof/>
              </w:rPr>
              <w:br/>
              <w:t>RCR 03 – MSP, ktoré zavádzajú inovácie produktov alebo procesov</w:t>
            </w:r>
            <w:r>
              <w:rPr>
                <w:noProof/>
              </w:rPr>
              <w:br/>
              <w:t xml:space="preserve">RCR 04 </w:t>
            </w:r>
            <w:r>
              <w:rPr>
                <w:noProof/>
              </w:rPr>
              <w:t>– MSP, ktoré zavádzajú marketingové alebo organizačné inovácie</w:t>
            </w:r>
            <w:r>
              <w:rPr>
                <w:noProof/>
              </w:rPr>
              <w:br/>
              <w:t>RCR 05 – MSP, ktoré interne inovujú</w:t>
            </w:r>
            <w:r>
              <w:rPr>
                <w:noProof/>
              </w:rPr>
              <w:br/>
              <w:t>RCR 06 – patentové prihlášky podané na Európsky patentový úrad</w:t>
            </w:r>
            <w:r>
              <w:rPr>
                <w:noProof/>
              </w:rPr>
              <w:br/>
              <w:t>RCR 29 – odhadované emisie skleníkových plynov z činností uvedených v prílohe I k smernici 200</w:t>
            </w:r>
            <w:r>
              <w:rPr>
                <w:noProof/>
              </w:rPr>
              <w:t>3/87/ES v podporovaných podnikoch</w:t>
            </w:r>
          </w:p>
        </w:tc>
      </w:tr>
      <w:tr w:rsidR="002B4F11">
        <w:trPr>
          <w:trHeight w:val="1530"/>
        </w:trPr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br/>
              <w:t>RCO 13 – digitálne služby a produkty vyvinuté pre podniky</w:t>
            </w:r>
            <w:r>
              <w:rPr>
                <w:noProof/>
              </w:rPr>
              <w:br/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RCR 11 – používatelia nových verejných digitálnych služieb a aplikácií</w:t>
            </w:r>
            <w:r>
              <w:rPr>
                <w:noProof/>
              </w:rPr>
              <w:br/>
              <w:t>RCR 12 – používatelia nových digitálnych produktov, služieb a aplikácii, ktoré vyvinuli po</w:t>
            </w:r>
            <w:r>
              <w:rPr>
                <w:noProof/>
              </w:rPr>
              <w:t>dniky</w:t>
            </w:r>
            <w:r>
              <w:rPr>
                <w:noProof/>
              </w:rPr>
              <w:br/>
            </w:r>
          </w:p>
        </w:tc>
      </w:tr>
      <w:tr w:rsidR="002B4F11">
        <w:trPr>
          <w:trHeight w:val="416"/>
        </w:trPr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RCO 15 – vytvorená kapacita inkubácie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br/>
              <w:t>RCR 17 – trojročné podniky prežívajúce na trhu</w:t>
            </w:r>
            <w:r>
              <w:rPr>
                <w:noProof/>
              </w:rPr>
              <w:br/>
              <w:t>RCR 18 – MSP využívajúce služby inkubácie jeden rok po vytvorení podnikateľského inkubátora</w:t>
            </w:r>
            <w:r>
              <w:rPr>
                <w:noProof/>
              </w:rPr>
              <w:br/>
            </w:r>
          </w:p>
          <w:p w:rsidR="002B4F11" w:rsidRDefault="002B4F11">
            <w:pPr>
              <w:spacing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</w:p>
        </w:tc>
      </w:tr>
      <w:tr w:rsidR="002B4F11">
        <w:trPr>
          <w:trHeight w:val="1020"/>
        </w:trPr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RCO 101 – MSP, ktoré investujú do rozvoja zručností</w:t>
            </w:r>
          </w:p>
          <w:p w:rsidR="002B4F11" w:rsidRDefault="002B4F11">
            <w:pPr>
              <w:spacing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 xml:space="preserve">RCR 97 – </w:t>
            </w:r>
            <w:r>
              <w:rPr>
                <w:noProof/>
              </w:rPr>
              <w:t>učňovská príprava podporovaná v MSP</w:t>
            </w:r>
          </w:p>
          <w:p w:rsidR="002B4F11" w:rsidRDefault="00E027EB"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RCR 98 – zamestnanci MSP, ktorí ukončili ďalšie odborné vzdelávanie a prípravu (podľa typu zručností: technické, riadiace, podnikateľské, zelené, iné)</w:t>
            </w:r>
          </w:p>
        </w:tc>
      </w:tr>
      <w:tr w:rsidR="002B4F11">
        <w:trPr>
          <w:trHeight w:val="1020"/>
        </w:trPr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RCO 22 – dodatočná výrobná kapacita v oblasti energie z obnoviteľnýc</w:t>
            </w:r>
            <w:r>
              <w:rPr>
                <w:noProof/>
              </w:rPr>
              <w:t>h zdrojov (z toho: elektrická, tepelná)</w:t>
            </w:r>
          </w:p>
          <w:p w:rsidR="002B4F11" w:rsidRDefault="002B4F11"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RCR 31 – celková vyrobená energia z obnoviteľných zdrojov (z toho: elektrická, tepelná)</w:t>
            </w:r>
            <w:r>
              <w:rPr>
                <w:noProof/>
              </w:rPr>
              <w:br/>
              <w:t>RCR 32 – energia z obnoviteľných zdrojov: kapacita pripojená k sieti (prevádzková)</w:t>
            </w:r>
          </w:p>
        </w:tc>
      </w:tr>
      <w:tr w:rsidR="002B4F11">
        <w:trPr>
          <w:trHeight w:val="1464"/>
        </w:trPr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 xml:space="preserve">RCO 34 – dodatočná kapacita na recykláciu odpadu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 xml:space="preserve">RCR 46 – populácia využívajúca recykláciu odpadu a malé systémy nakladania s odpadom </w:t>
            </w:r>
            <w:r>
              <w:rPr>
                <w:noProof/>
              </w:rPr>
              <w:br/>
              <w:t>RCR 47 – recyklovaný odpad</w:t>
            </w:r>
            <w:r>
              <w:rPr>
                <w:noProof/>
              </w:rPr>
              <w:br/>
              <w:t xml:space="preserve">RCR 48 – recyklovaný odpad využívaný ako surovina </w:t>
            </w:r>
            <w:r>
              <w:rPr>
                <w:noProof/>
              </w:rPr>
              <w:br/>
              <w:t>RCR 49 – zhodnotený odpad</w:t>
            </w:r>
          </w:p>
        </w:tc>
      </w:tr>
      <w:tr w:rsidR="002B4F11">
        <w:trPr>
          <w:trHeight w:val="1530"/>
        </w:trPr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RCO 38 – plocha</w:t>
            </w:r>
            <w:r>
              <w:rPr>
                <w:noProof/>
              </w:rPr>
              <w:t xml:space="preserve"> podporovanej rekultivovanej pôdy</w:t>
            </w:r>
            <w:r>
              <w:rPr>
                <w:noProof/>
              </w:rPr>
              <w:br/>
              <w:t>RCO 39 – inštalované systémy na monitorovanie znečistenia ovzdušia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RCR 50 – populácia, ktorá využíva opatrenia týkajúce sa kvality ovzdušia</w:t>
            </w:r>
          </w:p>
          <w:p w:rsidR="002B4F11" w:rsidRDefault="00E027EB"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 xml:space="preserve">RCR 52 – rekultivovaná pôda využívaná na zelené oblasti, sociálne bývanie, </w:t>
            </w:r>
            <w:r>
              <w:rPr>
                <w:noProof/>
              </w:rPr>
              <w:t>ekonomické alebo komunitné činnosti</w:t>
            </w:r>
          </w:p>
        </w:tc>
      </w:tr>
      <w:tr w:rsidR="002B4F11">
        <w:trPr>
          <w:trHeight w:val="1530"/>
        </w:trPr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before="0" w:after="110" w:line="249" w:lineRule="auto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>za účastníkov</w:t>
            </w:r>
            <w:r>
              <w:rPr>
                <w:rStyle w:val="FootnoteReference"/>
                <w:noProof/>
              </w:rPr>
              <w:footnoteReference w:id="3"/>
            </w:r>
            <w:r>
              <w:rPr>
                <w:noProof/>
                <w:vertAlign w:val="superscript"/>
              </w:rPr>
              <w:t>,</w:t>
            </w:r>
            <w:r>
              <w:rPr>
                <w:bCs/>
                <w:noProof/>
                <w:vertAlign w:val="superscript"/>
              </w:rPr>
              <w:footnoteReference w:id="4"/>
            </w:r>
            <w:r>
              <w:rPr>
                <w:noProof/>
              </w:rPr>
              <w:t>:</w:t>
            </w:r>
          </w:p>
          <w:p w:rsidR="002B4F11" w:rsidRDefault="00E027EB">
            <w:pPr>
              <w:spacing w:after="110" w:line="249" w:lineRule="auto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 xml:space="preserve">RCO 200 – nezamestnané osoby vrátane dlhodobo nezamestnaných,  </w:t>
            </w:r>
          </w:p>
          <w:p w:rsidR="002B4F11" w:rsidRDefault="00E027EB">
            <w:pPr>
              <w:spacing w:after="110" w:line="249" w:lineRule="auto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 xml:space="preserve">RCO 201 – dlhodobo nezamestnané osoby,  </w:t>
            </w:r>
          </w:p>
          <w:p w:rsidR="002B4F11" w:rsidRDefault="00E027EB">
            <w:pPr>
              <w:spacing w:after="110" w:line="249" w:lineRule="auto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 xml:space="preserve">RCO 202 – neaktívne osoby, </w:t>
            </w:r>
          </w:p>
          <w:p w:rsidR="002B4F11" w:rsidRDefault="00E027EB">
            <w:pPr>
              <w:spacing w:after="110" w:line="249" w:lineRule="auto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 xml:space="preserve">RCO 203 – zamestnané osoby vrátane samostatne zárobkovo činných osôb,  </w:t>
            </w:r>
          </w:p>
          <w:p w:rsidR="002B4F11" w:rsidRDefault="00E027EB">
            <w:pPr>
              <w:spacing w:after="110" w:line="249" w:lineRule="auto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 xml:space="preserve">RCO 204 – osoby mladšie ako 30 rokov,  </w:t>
            </w:r>
          </w:p>
          <w:p w:rsidR="002B4F11" w:rsidRDefault="00E027EB">
            <w:pPr>
              <w:spacing w:after="110" w:line="249" w:lineRule="auto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 xml:space="preserve">RCO 205 – osoby staršie ako 54 rokov,  </w:t>
            </w:r>
          </w:p>
          <w:p w:rsidR="002B4F11" w:rsidRDefault="00E027EB">
            <w:pPr>
              <w:spacing w:after="110" w:line="249" w:lineRule="auto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 xml:space="preserve">RCO 206 – osoby s nižším sekundárnym vzdelaním alebo nižším vzdelaním (ISCED 0 – 2), </w:t>
            </w:r>
          </w:p>
          <w:p w:rsidR="002B4F11" w:rsidRDefault="00E027EB">
            <w:pPr>
              <w:spacing w:after="110" w:line="249" w:lineRule="auto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>RCO 207 – osoby s </w:t>
            </w:r>
            <w:r>
              <w:rPr>
                <w:noProof/>
              </w:rPr>
              <w:t xml:space="preserve">vyšším sekundárnym vzdelaním (ISCED 3) alebo postsekundárnym vzdelaním (ISCED 4), </w:t>
            </w:r>
          </w:p>
          <w:p w:rsidR="002B4F11" w:rsidRDefault="00E027EB">
            <w:pPr>
              <w:spacing w:after="0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>RCO 208 – osoby s terciárnym vzdelaním (ISCED 5 až 8),</w:t>
            </w:r>
          </w:p>
          <w:p w:rsidR="002B4F11" w:rsidRDefault="00E027EB">
            <w:pPr>
              <w:spacing w:after="110" w:line="249" w:lineRule="auto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t>RCO 209 – celkový počet účastníkov</w:t>
            </w:r>
            <w:r>
              <w:rPr>
                <w:bCs/>
                <w:noProof/>
                <w:vertAlign w:val="superscript"/>
              </w:rPr>
              <w:footnoteReference w:id="5"/>
            </w:r>
            <w:r>
              <w:rPr>
                <w:noProof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11" w:rsidRDefault="00E027EB">
            <w:pPr>
              <w:spacing w:before="0" w:after="107" w:line="249" w:lineRule="auto"/>
              <w:ind w:left="-5" w:hanging="10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>za účastníkov</w:t>
            </w:r>
            <w:r>
              <w:rPr>
                <w:noProof/>
                <w:vertAlign w:val="superscript"/>
              </w:rPr>
              <w:footnoteReference w:id="6"/>
            </w:r>
            <w:r>
              <w:rPr>
                <w:noProof/>
              </w:rPr>
              <w:t xml:space="preserve">: </w:t>
            </w:r>
          </w:p>
          <w:p w:rsidR="002B4F11" w:rsidRDefault="00E027EB">
            <w:pPr>
              <w:spacing w:before="0" w:after="107" w:line="249" w:lineRule="auto"/>
              <w:ind w:left="-5" w:hanging="10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 xml:space="preserve">RCR 200 – účastníci, ktorí sú v čase odchodu zapojení do hľadania práce,  </w:t>
            </w:r>
          </w:p>
          <w:p w:rsidR="002B4F11" w:rsidRDefault="00E027EB">
            <w:pPr>
              <w:spacing w:before="0" w:after="107" w:line="249" w:lineRule="auto"/>
              <w:ind w:left="-5" w:hanging="10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 xml:space="preserve">RCR 201 – účastníci, ktorí sú v čase odchodu v procese vzdelávania alebo odbornej prípravy,  </w:t>
            </w:r>
          </w:p>
          <w:p w:rsidR="002B4F11" w:rsidRDefault="00E027EB">
            <w:pPr>
              <w:spacing w:after="110" w:line="249" w:lineRule="auto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 xml:space="preserve">RCR 202 – účastníci, ktorí v čase odchodu získavajú kvalifikáciu,  </w:t>
            </w:r>
          </w:p>
          <w:p w:rsidR="002B4F11" w:rsidRDefault="00E027EB">
            <w:pPr>
              <w:spacing w:after="110" w:line="249" w:lineRule="auto"/>
              <w:rPr>
                <w:rFonts w:eastAsia="Times New Roman"/>
                <w:noProof/>
                <w:color w:val="000000"/>
              </w:rPr>
            </w:pPr>
            <w:r>
              <w:rPr>
                <w:noProof/>
              </w:rPr>
              <w:t>RCR 203 – účastníci</w:t>
            </w:r>
            <w:r>
              <w:rPr>
                <w:noProof/>
              </w:rPr>
              <w:t>, ktorí sú v čase odchodu zamestnaní, a to aj samostatne zárobkovo činní.</w:t>
            </w:r>
          </w:p>
          <w:p w:rsidR="002B4F11" w:rsidRDefault="002B4F11"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2B4F11" w:rsidRDefault="002B4F11">
      <w:pPr>
        <w:rPr>
          <w:noProof/>
        </w:rPr>
      </w:pPr>
    </w:p>
    <w:p w:rsidR="002B4F11" w:rsidRDefault="002B4F11">
      <w:pPr>
        <w:rPr>
          <w:noProof/>
        </w:rPr>
      </w:pPr>
    </w:p>
    <w:sectPr w:rsidR="002B4F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11" w:rsidRDefault="00E027EB">
      <w:pPr>
        <w:spacing w:before="0" w:after="0"/>
      </w:pPr>
      <w:r>
        <w:separator/>
      </w:r>
    </w:p>
  </w:endnote>
  <w:endnote w:type="continuationSeparator" w:id="0">
    <w:p w:rsidR="002B4F11" w:rsidRDefault="00E027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E027EB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SK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E027EB">
    <w:pPr>
      <w:pStyle w:val="Footer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>SK</w:t>
    </w:r>
    <w:r>
      <w:rPr>
        <w:rFonts w:ascii="Arial" w:hAnsi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/>
        <w:b/>
        <w:sz w:val="48"/>
      </w:rPr>
      <w:t>SK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E027EB" w:rsidP="00E027EB">
    <w:pPr>
      <w:pStyle w:val="Footer"/>
      <w:tabs>
        <w:tab w:val="clear" w:pos="4535"/>
        <w:tab w:val="clear" w:pos="9071"/>
        <w:tab w:val="center" w:pos="6804"/>
        <w:tab w:val="right" w:pos="14459"/>
      </w:tabs>
      <w:rPr>
        <w:rFonts w:ascii="Arial" w:hAnsi="Arial" w:cs="Arial"/>
        <w:b/>
        <w:sz w:val="48"/>
      </w:rPr>
    </w:pPr>
    <w:bookmarkStart w:id="1" w:name="_GoBack"/>
    <w:bookmarkEnd w:id="1"/>
    <w:r>
      <w:rPr>
        <w:rFonts w:ascii="Arial" w:hAnsi="Arial"/>
        <w:b/>
        <w:sz w:val="48"/>
      </w:rPr>
      <w:t>SK</w:t>
    </w:r>
    <w:r>
      <w:rPr>
        <w:rFonts w:ascii="Arial" w:hAnsi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/>
        <w:b/>
        <w:sz w:val="48"/>
      </w:rPr>
      <w:t>SK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11" w:rsidRDefault="00E027EB">
      <w:pPr>
        <w:spacing w:before="0" w:after="0"/>
      </w:pPr>
      <w:r>
        <w:separator/>
      </w:r>
    </w:p>
  </w:footnote>
  <w:footnote w:type="continuationSeparator" w:id="0">
    <w:p w:rsidR="002B4F11" w:rsidRDefault="00E027EB">
      <w:pPr>
        <w:spacing w:before="0" w:after="0"/>
      </w:pPr>
      <w:r>
        <w:continuationSeparator/>
      </w:r>
    </w:p>
  </w:footnote>
  <w:footnote w:id="1">
    <w:p w:rsidR="002B4F11" w:rsidRDefault="00E027EB">
      <w:pPr>
        <w:pStyle w:val="FootnoteText"/>
      </w:pPr>
      <w:r>
        <w:rPr>
          <w:rStyle w:val="FootnoteReference"/>
        </w:rPr>
        <w:footnoteRef/>
      </w:r>
      <w:r>
        <w:tab/>
        <w:t xml:space="preserve">Nariadenie Európskeho parlamentu a Rady (ES) č. 166/2006 z 18. januára 2006 o zriadení Európskeho registra uvoľňovania a prenosov </w:t>
      </w:r>
      <w:r>
        <w:t>znečisťujúcich látok, ktorým sa menia a dopĺňajú smernice Rady 91/689/EHS a 96/61/ES (Ú. v. EÚ L 33, 4.2.2006, s. 1).</w:t>
      </w:r>
    </w:p>
  </w:footnote>
  <w:footnote w:id="2">
    <w:p w:rsidR="002B4F11" w:rsidRDefault="00E027EB">
      <w:pPr>
        <w:pStyle w:val="FootnoteText"/>
      </w:pPr>
      <w:r>
        <w:rPr>
          <w:rStyle w:val="FootnoteReference"/>
        </w:rPr>
        <w:footnoteRef/>
      </w:r>
      <w:r>
        <w:tab/>
        <w:t>Z dôvodu prehľadnosti sú ukazovatele zoskupené tak, aby umožňovali ľahšie zosúladenie s ukazovateľmi zahrnutými v iných špecifických nar</w:t>
      </w:r>
      <w:r>
        <w:t>iadeniach pre jednotlivé fondy politiky súdržnosti.</w:t>
      </w:r>
    </w:p>
  </w:footnote>
  <w:footnote w:id="3">
    <w:p w:rsidR="002B4F11" w:rsidRDefault="00E027EB">
      <w:pPr>
        <w:pStyle w:val="FootnoteText"/>
      </w:pPr>
      <w:r>
        <w:rPr>
          <w:rStyle w:val="FootnoteReference"/>
        </w:rPr>
        <w:footnoteRef/>
      </w:r>
      <w:r>
        <w:tab/>
        <w:t>Uvádzajú sa všetky ukazovatele výstupu a výsledku týkajúce sa účastníkov.</w:t>
      </w:r>
    </w:p>
  </w:footnote>
  <w:footnote w:id="4">
    <w:p w:rsidR="002B4F11" w:rsidRDefault="00E027EB">
      <w:pPr>
        <w:pStyle w:val="FootnoteText"/>
      </w:pPr>
      <w:r>
        <w:rPr>
          <w:rStyle w:val="FootnoteReference"/>
          <w:bCs/>
        </w:rPr>
        <w:footnoteRef/>
      </w:r>
      <w:r>
        <w:rPr>
          <w:rStyle w:val="FootnoteReference"/>
          <w:bCs/>
          <w:vertAlign w:val="baseline"/>
        </w:rPr>
        <w:tab/>
      </w:r>
      <w:r>
        <w:t>Všetky osobné údaje sa rozdelia podľa pohlavia (muži/ženy – nebinárne osoby). Ak určité výsledky nie sú možné, nie je potrebné</w:t>
      </w:r>
      <w:r>
        <w:t xml:space="preserve"> zbierať a nahlasovať údaje za tieto ukazovatele výsledku. Ak sa údaje zbierajú z registrov, členské štáty nemusia zosúladiť spoločne dohodnuté vymedzenia a môžu používať vnútroštátne vymedzenia.</w:t>
      </w:r>
    </w:p>
  </w:footnote>
  <w:footnote w:id="5">
    <w:p w:rsidR="002B4F11" w:rsidRDefault="00E027EB">
      <w:pPr>
        <w:pStyle w:val="FootnoteText"/>
      </w:pPr>
      <w:r>
        <w:rPr>
          <w:rStyle w:val="FootnoteReference"/>
          <w:bCs/>
        </w:rPr>
        <w:footnoteRef/>
      </w:r>
      <w:r>
        <w:tab/>
        <w:t>Vypočíta sa automaticky na základe spoločných ukazovateľov</w:t>
      </w:r>
      <w:r>
        <w:t xml:space="preserve"> výstupu týkajúcich sa postavenia v zamestnaní.</w:t>
      </w:r>
    </w:p>
  </w:footnote>
  <w:footnote w:id="6">
    <w:p w:rsidR="002B4F11" w:rsidRDefault="00E027EB">
      <w:pPr>
        <w:pStyle w:val="FootnoteText"/>
      </w:pPr>
      <w:r>
        <w:rPr>
          <w:rStyle w:val="FootnoteReference"/>
          <w:bCs/>
        </w:rPr>
        <w:footnoteRef/>
      </w:r>
      <w:r>
        <w:tab/>
        <w:t>Všetky osobné údaje sa rozdelia podľa pohlavia. Ak určité výsledky nie sú možné, nie je potrebné zbierať a nahlasovať údaje za tieto ukazovatele výsledku. Ak sa údaje zbierajú z registrov, členské štáty nem</w:t>
      </w:r>
      <w:r>
        <w:t>usia zosúladiť spoločne dohodnuté vymedzenia a môžu používať vnútroštátne vymedzenia.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11" w:rsidRDefault="002B4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4615"/>
    <w:multiLevelType w:val="hybridMultilevel"/>
    <w:tmpl w:val="37F636A6"/>
    <w:lvl w:ilvl="0" w:tplc="F83472C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EECC106">
      <w:start w:val="239"/>
      <w:numFmt w:val="bullet"/>
      <w:lvlText w:val="-"/>
      <w:lvlJc w:val="left"/>
      <w:pPr>
        <w:ind w:left="2160" w:hanging="180"/>
      </w:pPr>
      <w:rPr>
        <w:rFonts w:ascii="Calibri" w:eastAsia="Calibri" w:hAnsi="Calibri" w:cs="Calibri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k 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2077B937-D538-4EBE-92F6-2B4313FB6A9C"/>
    <w:docVar w:name="LW_COVERPAGE_TYPE" w:val="1"/>
    <w:docVar w:name="LW_CROSSREFERENCE" w:val="&lt;UNUSED&gt;"/>
    <w:docVar w:name="LW_DocType" w:val="NORMAL"/>
    <w:docVar w:name="LW_EMISSION" w:val="14. 1. 2020"/>
    <w:docVar w:name="LW_EMISSION_ISODATE" w:val="2020-01-14"/>
    <w:docVar w:name="LW_EMISSION_LOCATION" w:val="BRX"/>
    <w:docVar w:name="LW_EMISSION_PREFIX" w:val="V Bruseli"/>
    <w:docVar w:name="LW_EMISSION_SUFFIX" w:val=" "/>
    <w:docVar w:name="LW_ID_DOCTYPE_NONLW" w:val="CP-036"/>
    <w:docVar w:name="LW_LANGUE" w:val="SK"/>
    <w:docVar w:name="LW_LEVEL_OF_SENSITIVITY" w:val="Standard treatment"/>
    <w:docVar w:name="LW_NOM.INST" w:val="EURÓPSKA KOMISIA"/>
    <w:docVar w:name="LW_NOM.INST_JOINTDOC" w:val="&lt;EMPTY&gt;"/>
    <w:docVar w:name="LW_OBJETACTEPRINCIPAL.CP" w:val="ktorým sa zria\u271?uje Fond na spravodlivú transformáciu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2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PRÍLOHY_x000b_"/>
    <w:docVar w:name="LW_TYPEACTEPRINCIPAL.CP" w:val="návrhu_x000b__x000b_NARIADENIA EURÓPSKEHO PARLAMENTU A RADY,"/>
  </w:docVars>
  <w:rsids>
    <w:rsidRoot w:val="002B4F11"/>
    <w:rsid w:val="002B4F11"/>
    <w:rsid w:val="00E0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E7A90001-9C27-40B3-A5AD-47AC5032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sk-SK"/>
    </w:rPr>
  </w:style>
  <w:style w:type="paragraph" w:styleId="FootnoteText">
    <w:name w:val="footnote text"/>
    <w:aliases w:val="Footnote Text Char1,Footnote Text Char1 Char Char,Footnote Text Char Char Char Char,Footnote Text Char Char Char Char Char Char Char Char,Footnote Text Char Char1,Schriftart: 9 pt,f"/>
    <w:basedOn w:val="Normal"/>
    <w:link w:val="FootnoteTextChar"/>
    <w:uiPriority w:val="99"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aliases w:val="Footnote Text Char1 Char,Footnote Text Char1 Char Char Char,Footnote Text Char Char Char Char Char,Footnote Text Char Char Char Char Char Char Char Char Char,Footnote Text Char Char1 Char,Schriftart: 9 pt Char,f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val="sk-SK"/>
    </w:rPr>
  </w:style>
  <w:style w:type="character" w:styleId="FootnoteReference">
    <w:name w:val="footnote reference"/>
    <w:aliases w:val="Footnote call,BVI fnr,SUPERS,Footnote symbol, BVI fnr,(Footnote Reference),Footnote,Voetnootverwijzing,Times 10 Point,Exposant 3 Point,Footnote reference number,note TESI,stylish,Ref,de nota al pie,Footnote Reference1,16 Point"/>
    <w:basedOn w:val="DefaultParagraphFont"/>
    <w:uiPriority w:val="99"/>
    <w:unhideWhenUsed/>
    <w:rPr>
      <w:shd w:val="clear" w:color="auto" w:fill="auto"/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Annexetitre">
    <w:name w:val="Annexe titre"/>
    <w:basedOn w:val="Normal"/>
    <w:next w:val="Normal"/>
    <w:link w:val="AnnexetitreChar"/>
    <w:pPr>
      <w:jc w:val="center"/>
    </w:pPr>
    <w:rPr>
      <w:b/>
      <w:u w:val="single"/>
    </w:r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ListParagraphChar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Pr>
      <w:lang w:val="sk-SK"/>
    </w:rPr>
  </w:style>
  <w:style w:type="table" w:styleId="TableGrid">
    <w:name w:val="Table Grid"/>
    <w:basedOn w:val="TableNormal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sk-SK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AnnexetitreChar">
    <w:name w:val="Annexe titre Char"/>
    <w:basedOn w:val="DefaultParagraphFont"/>
    <w:link w:val="Annexetitre"/>
    <w:rPr>
      <w:rFonts w:ascii="Times New Roman" w:hAnsi="Times New Roman" w:cs="Times New Roman"/>
      <w:b/>
      <w:sz w:val="24"/>
      <w:u w:val="single"/>
      <w:lang w:val="sk-SK"/>
    </w:rPr>
  </w:style>
  <w:style w:type="character" w:customStyle="1" w:styleId="FooterCoverPageChar">
    <w:name w:val="Footer Cover Page Char"/>
    <w:basedOn w:val="AnnexetitreChar"/>
    <w:link w:val="FooterCoverPage"/>
    <w:rPr>
      <w:rFonts w:ascii="Times New Roman" w:hAnsi="Times New Roman" w:cs="Times New Roman"/>
      <w:b w:val="0"/>
      <w:sz w:val="24"/>
      <w:u w:val="single"/>
      <w:lang w:val="sk-SK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AnnexetitreChar"/>
    <w:link w:val="FooterSensitivity"/>
    <w:rPr>
      <w:rFonts w:ascii="Times New Roman" w:hAnsi="Times New Roman" w:cs="Times New Roman"/>
      <w:b/>
      <w:sz w:val="32"/>
      <w:u w:val="single"/>
      <w:lang w:val="sk-SK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AnnexetitreChar"/>
    <w:link w:val="HeaderCoverPage"/>
    <w:rPr>
      <w:rFonts w:ascii="Times New Roman" w:hAnsi="Times New Roman" w:cs="Times New Roman"/>
      <w:b w:val="0"/>
      <w:sz w:val="24"/>
      <w:u w:val="single"/>
      <w:lang w:val="sk-SK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AnnexetitreChar"/>
    <w:link w:val="HeaderSensitivity"/>
    <w:rPr>
      <w:rFonts w:ascii="Times New Roman" w:hAnsi="Times New Roman" w:cs="Times New Roman"/>
      <w:b/>
      <w:sz w:val="32"/>
      <w:u w:val="single"/>
      <w:lang w:val="sk-SK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AnnexetitreChar"/>
    <w:link w:val="HeaderSensitivityRight"/>
    <w:rPr>
      <w:rFonts w:ascii="Times New Roman" w:hAnsi="Times New Roman" w:cs="Times New Roman"/>
      <w:b w:val="0"/>
      <w:sz w:val="28"/>
      <w:u w:val="single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k-SK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D869143-DDCA-41ED-B870-BCFF7CDD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1499</Words>
  <Characters>9896</Characters>
  <Application>Microsoft Office Word</Application>
  <DocSecurity>0</DocSecurity>
  <Lines>299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MEIJER Martine (REGIO)</dc:creator>
  <cp:keywords/>
  <dc:description/>
  <cp:lastModifiedBy>HEILEMANN Stefanie (SG)</cp:lastModifiedBy>
  <cp:revision>21</cp:revision>
  <dcterms:created xsi:type="dcterms:W3CDTF">2020-01-11T08:35:00Z</dcterms:created>
  <dcterms:modified xsi:type="dcterms:W3CDTF">2020-01-16T15:18:00Z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3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PTemplateID">
    <vt:lpwstr>CP-036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