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A65" w:rsidRDefault="00CE7F93">
      <w:pPr>
        <w:pStyle w:val="Pagedecouverture"/>
        <w:rPr>
          <w:noProof/>
          <w:lang w:val="en-US"/>
        </w:rPr>
      </w:pPr>
      <w:bookmarkStart w:id="0" w:name="LW_BM_COVERPAGE"/>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6ED48C1C-C6C0-49E5-B345-B9AE45ED60C9" style="width:450.45pt;height:321.25pt">
            <v:imagedata r:id="rId8" o:title=""/>
          </v:shape>
        </w:pict>
      </w:r>
    </w:p>
    <w:bookmarkEnd w:id="0"/>
    <w:p w:rsidR="00303A65" w:rsidRDefault="00303A65">
      <w:pPr>
        <w:rPr>
          <w:noProof/>
          <w:lang w:val="en-US"/>
        </w:rPr>
        <w:sectPr w:rsidR="00303A65">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303A65" w:rsidRDefault="00CE7F93">
      <w:pPr>
        <w:pStyle w:val="ListParagraph"/>
        <w:numPr>
          <w:ilvl w:val="0"/>
          <w:numId w:val="25"/>
        </w:numPr>
        <w:spacing w:after="240"/>
        <w:jc w:val="both"/>
        <w:rPr>
          <w:rFonts w:ascii="Times New Roman" w:eastAsia="Times New Roman" w:hAnsi="Times New Roman" w:cs="Times New Roman"/>
          <w:b/>
          <w:i/>
          <w:noProof/>
          <w:sz w:val="24"/>
          <w:szCs w:val="24"/>
          <w:u w:val="single"/>
          <w:lang w:val="en-IE"/>
        </w:rPr>
      </w:pPr>
      <w:r>
        <w:rPr>
          <w:rFonts w:ascii="Times New Roman" w:eastAsia="Times New Roman" w:hAnsi="Times New Roman" w:cs="Times New Roman"/>
          <w:b/>
          <w:i/>
          <w:noProof/>
          <w:sz w:val="24"/>
          <w:szCs w:val="24"/>
          <w:u w:val="single"/>
          <w:lang w:val="en-IE"/>
        </w:rPr>
        <w:lastRenderedPageBreak/>
        <w:t>Introduction</w:t>
      </w:r>
    </w:p>
    <w:p w:rsidR="00303A65" w:rsidRDefault="00CE7F93">
      <w:pPr>
        <w:jc w:val="both"/>
        <w:rPr>
          <w:noProof/>
          <w:lang w:val="en-IE"/>
        </w:rPr>
      </w:pPr>
      <w:r>
        <w:rPr>
          <w:noProof/>
          <w:lang w:val="en-IE"/>
        </w:rPr>
        <w:t xml:space="preserve">The fifth generation (5G) of telecommunication networks are set to play an essential role in the development of the European society and economy. They are expected to offer vast economic opportunities and to be an important basis for the digital and green </w:t>
      </w:r>
      <w:r>
        <w:rPr>
          <w:noProof/>
          <w:lang w:val="en-IE"/>
        </w:rPr>
        <w:t xml:space="preserve">transformation in areas such as transport, energy, manufacturing, health, agriculture and media. </w:t>
      </w:r>
    </w:p>
    <w:p w:rsidR="00303A65" w:rsidRDefault="00303A65">
      <w:pPr>
        <w:jc w:val="both"/>
        <w:rPr>
          <w:noProof/>
          <w:lang w:val="en-IE"/>
        </w:rPr>
      </w:pPr>
    </w:p>
    <w:p w:rsidR="00303A65" w:rsidRDefault="00CE7F93">
      <w:pPr>
        <w:jc w:val="both"/>
        <w:rPr>
          <w:noProof/>
          <w:lang w:val="en-IE"/>
        </w:rPr>
      </w:pPr>
      <w:r>
        <w:rPr>
          <w:noProof/>
          <w:lang w:val="en-IE"/>
        </w:rPr>
        <w:t>5G will therefore potentially impact close to all aspects of the lives of EU citizens. The cybersecurity of 5G networks is therefore essential not only to pr</w:t>
      </w:r>
      <w:r>
        <w:rPr>
          <w:noProof/>
          <w:lang w:val="en-IE"/>
        </w:rPr>
        <w:t xml:space="preserve">otect our economies, societies and democratic processes but also to ensure a trustful digital transformation for the benefit of all EU citizens.  </w:t>
      </w:r>
    </w:p>
    <w:p w:rsidR="00303A65" w:rsidRDefault="00303A65">
      <w:pPr>
        <w:spacing w:after="240"/>
        <w:contextualSpacing/>
        <w:jc w:val="both"/>
        <w:rPr>
          <w:noProof/>
          <w:lang w:val="en-IE"/>
        </w:rPr>
      </w:pPr>
    </w:p>
    <w:p w:rsidR="00303A65" w:rsidRDefault="00CE7F93">
      <w:pPr>
        <w:spacing w:after="240"/>
        <w:contextualSpacing/>
        <w:jc w:val="both"/>
        <w:rPr>
          <w:noProof/>
          <w:lang w:val="en-IE"/>
        </w:rPr>
      </w:pPr>
      <w:r>
        <w:rPr>
          <w:noProof/>
          <w:lang w:val="en-IE"/>
        </w:rPr>
        <w:t>The dependence of many critical services on 5G networks would make the consequences of systemic and widespre</w:t>
      </w:r>
      <w:r>
        <w:rPr>
          <w:noProof/>
          <w:lang w:val="en-IE"/>
        </w:rPr>
        <w:t>ad disruption particularly serious and, given the interconnected nature of the digital ecosystems, could have significant impacts beyond national borders. As a result, ensuring the cybersecurity of 5G networks is an issue of strategic importance for the Un</w:t>
      </w:r>
      <w:r>
        <w:rPr>
          <w:noProof/>
          <w:lang w:val="en-IE"/>
        </w:rPr>
        <w:t>ion, at a time when cyber-attacks are on the rise, more sophisticated than ever and coming from a wide range of threat actors, in particular non-EU state or state-backed actors.  Regarding the security of critical infrastructures as 5G, the approach chosen</w:t>
      </w:r>
      <w:r>
        <w:rPr>
          <w:noProof/>
          <w:lang w:val="en-IE"/>
        </w:rPr>
        <w:t xml:space="preserve"> is to define, for the first time, a common European approach. This approach is in full respect of the openness of the EU internal market as long as the risk - based EU security requirements are respected. </w:t>
      </w:r>
    </w:p>
    <w:p w:rsidR="00303A65" w:rsidRDefault="00303A65">
      <w:pPr>
        <w:spacing w:after="240"/>
        <w:contextualSpacing/>
        <w:jc w:val="both"/>
        <w:rPr>
          <w:noProof/>
          <w:lang w:val="en-IE"/>
        </w:rPr>
      </w:pPr>
    </w:p>
    <w:p w:rsidR="00303A65" w:rsidRDefault="00CE7F93">
      <w:pPr>
        <w:spacing w:after="240"/>
        <w:contextualSpacing/>
        <w:jc w:val="both"/>
        <w:rPr>
          <w:noProof/>
          <w:lang w:val="en-IE"/>
        </w:rPr>
      </w:pPr>
      <w:r>
        <w:rPr>
          <w:noProof/>
          <w:lang w:val="en-IE"/>
        </w:rPr>
        <w:t>The European Council on 22 March 2019 called for</w:t>
      </w:r>
      <w:r>
        <w:rPr>
          <w:noProof/>
          <w:lang w:val="en-IE"/>
        </w:rPr>
        <w:t xml:space="preserve"> a concerted approach to the security of 5G networks. On 26 March 2019, the Commission adopted a Recommendation (EU) 2019/534 on the cybersecurity of 5G networks</w:t>
      </w:r>
      <w:r>
        <w:rPr>
          <w:rStyle w:val="FootnoteReference"/>
          <w:noProof/>
          <w:lang w:val="en-IE"/>
        </w:rPr>
        <w:footnoteReference w:id="2"/>
      </w:r>
      <w:r>
        <w:rPr>
          <w:noProof/>
          <w:lang w:val="en-IE"/>
        </w:rPr>
        <w:t xml:space="preserve">. The Recommendation called on Member States to complete national risk assessments and review </w:t>
      </w:r>
      <w:r>
        <w:rPr>
          <w:noProof/>
          <w:lang w:val="en-IE"/>
        </w:rPr>
        <w:t xml:space="preserve">national measures, to work together at EU level on a coordinated risk assessment and to prepare a toolbox of possible mitigating measures. This Communication forms an integral part of the Commission’s comprehensive European digital strategy, as called for </w:t>
      </w:r>
      <w:r>
        <w:rPr>
          <w:noProof/>
          <w:lang w:val="en-IE"/>
        </w:rPr>
        <w:t xml:space="preserve">by the European Council.  </w:t>
      </w:r>
    </w:p>
    <w:p w:rsidR="00303A65" w:rsidRDefault="00303A65">
      <w:pPr>
        <w:spacing w:after="240"/>
        <w:contextualSpacing/>
        <w:jc w:val="both"/>
        <w:rPr>
          <w:noProof/>
          <w:lang w:val="en-IE"/>
        </w:rPr>
      </w:pPr>
    </w:p>
    <w:p w:rsidR="00303A65" w:rsidRDefault="00CE7F93">
      <w:pPr>
        <w:pStyle w:val="ListParagraph"/>
        <w:numPr>
          <w:ilvl w:val="0"/>
          <w:numId w:val="25"/>
        </w:numPr>
        <w:spacing w:after="240"/>
        <w:jc w:val="both"/>
        <w:rPr>
          <w:rFonts w:ascii="Times New Roman" w:eastAsia="Times New Roman" w:hAnsi="Times New Roman" w:cs="Times New Roman"/>
          <w:b/>
          <w:i/>
          <w:noProof/>
          <w:sz w:val="24"/>
          <w:szCs w:val="24"/>
          <w:u w:val="single"/>
          <w:lang w:val="en-IE"/>
        </w:rPr>
      </w:pPr>
      <w:r>
        <w:rPr>
          <w:rFonts w:ascii="Times New Roman" w:eastAsia="Times New Roman" w:hAnsi="Times New Roman" w:cs="Times New Roman"/>
          <w:b/>
          <w:i/>
          <w:noProof/>
          <w:sz w:val="24"/>
          <w:szCs w:val="24"/>
          <w:u w:val="single"/>
          <w:lang w:val="en-IE"/>
        </w:rPr>
        <w:t xml:space="preserve">5G roll-out in the EU </w:t>
      </w:r>
    </w:p>
    <w:p w:rsidR="00303A65" w:rsidRDefault="00CE7F93">
      <w:pPr>
        <w:jc w:val="both"/>
        <w:rPr>
          <w:noProof/>
          <w:lang w:val="en-IE"/>
        </w:rPr>
      </w:pPr>
      <w:r>
        <w:rPr>
          <w:noProof/>
          <w:lang w:val="en-IE"/>
        </w:rPr>
        <w:t xml:space="preserve">The deployment in Europe of 5G network infrastructure is central for the European industrial strategy and competitiveness. The Commission has recognised 5G deployment of network technologies as a major </w:t>
      </w:r>
      <w:r>
        <w:rPr>
          <w:noProof/>
          <w:lang w:val="en-IE"/>
        </w:rPr>
        <w:t>enabler for future digital services. In 2016, the Commission adopted the 5G Action Plan to make sure that the Union has the connectivity infrastructure necessary for its digital transformation as of  2020 and for comprehensive deployment in urban areas and</w:t>
      </w:r>
      <w:r>
        <w:rPr>
          <w:noProof/>
          <w:lang w:val="en-IE"/>
        </w:rPr>
        <w:t xml:space="preserve"> major transport paths by 2025</w:t>
      </w:r>
      <w:r>
        <w:rPr>
          <w:rStyle w:val="FootnoteReference"/>
          <w:noProof/>
          <w:lang w:val="en-IE"/>
        </w:rPr>
        <w:footnoteReference w:id="3"/>
      </w:r>
      <w:r>
        <w:rPr>
          <w:noProof/>
          <w:lang w:val="en-IE"/>
        </w:rPr>
        <w:t xml:space="preserve">. </w:t>
      </w:r>
      <w:r>
        <w:rPr>
          <w:noProof/>
          <w:lang w:val="en-GB"/>
        </w:rPr>
        <w:t>The Gigabit Society Communication sets the ambition that there should be access to mobile data connectivity everywhere</w:t>
      </w:r>
      <w:r>
        <w:rPr>
          <w:rStyle w:val="FootnoteReference"/>
          <w:noProof/>
          <w:lang w:val="en-GB"/>
        </w:rPr>
        <w:footnoteReference w:id="4"/>
      </w:r>
      <w:r>
        <w:rPr>
          <w:noProof/>
          <w:lang w:val="en-GB"/>
        </w:rPr>
        <w:t>, including in rural and remote areas.</w:t>
      </w:r>
    </w:p>
    <w:p w:rsidR="00303A65" w:rsidRDefault="00303A65">
      <w:pPr>
        <w:jc w:val="both"/>
        <w:rPr>
          <w:noProof/>
          <w:lang w:val="en-IE"/>
        </w:rPr>
      </w:pPr>
    </w:p>
    <w:p w:rsidR="00303A65" w:rsidRDefault="00CE7F93">
      <w:pPr>
        <w:jc w:val="both"/>
        <w:rPr>
          <w:noProof/>
          <w:lang w:val="en-IE"/>
        </w:rPr>
      </w:pPr>
      <w:r>
        <w:rPr>
          <w:noProof/>
          <w:lang w:val="en-IE"/>
        </w:rPr>
        <w:t>As regards the assignment of frequencies, Member States have ass</w:t>
      </w:r>
      <w:r>
        <w:rPr>
          <w:noProof/>
          <w:lang w:val="en-IE"/>
        </w:rPr>
        <w:t>igned 16% of the 5G pioneer bands</w:t>
      </w:r>
      <w:r>
        <w:rPr>
          <w:rStyle w:val="FootnoteReference"/>
          <w:noProof/>
          <w:lang w:val="en-IE"/>
        </w:rPr>
        <w:footnoteReference w:id="5"/>
      </w:r>
      <w:r>
        <w:rPr>
          <w:noProof/>
          <w:lang w:val="en-IE"/>
        </w:rPr>
        <w:t xml:space="preserve">. Consultations for a number of assignment procedures are expected in the next few months in view of the legal obligation to allow the use of all 5G pioneer bands by the end of the year.  </w:t>
      </w:r>
    </w:p>
    <w:p w:rsidR="00303A65" w:rsidRDefault="00303A65">
      <w:pPr>
        <w:jc w:val="both"/>
        <w:rPr>
          <w:noProof/>
          <w:lang w:val="en-IE"/>
        </w:rPr>
      </w:pPr>
    </w:p>
    <w:p w:rsidR="00303A65" w:rsidRDefault="00CE7F93">
      <w:pPr>
        <w:jc w:val="both"/>
        <w:rPr>
          <w:noProof/>
          <w:lang w:val="en-IE"/>
        </w:rPr>
      </w:pPr>
      <w:r>
        <w:rPr>
          <w:noProof/>
          <w:lang w:val="en-IE"/>
        </w:rPr>
        <w:t>Europe is one of the most advanc</w:t>
      </w:r>
      <w:r>
        <w:rPr>
          <w:noProof/>
          <w:lang w:val="en-IE"/>
        </w:rPr>
        <w:t>ed regions in the world as regards the commercial launch of 5G services</w:t>
      </w:r>
      <w:r>
        <w:rPr>
          <w:rStyle w:val="FootnoteReference"/>
          <w:noProof/>
          <w:lang w:val="en-IE"/>
        </w:rPr>
        <w:footnoteReference w:id="6"/>
      </w:r>
      <w:r>
        <w:rPr>
          <w:noProof/>
          <w:lang w:val="en-IE"/>
        </w:rPr>
        <w:t>. Currently, first 5G services are expected to be available in 138 European cities by the end of 2020. Early 5G networks build on the current 4th generation (4G) of network technologie</w:t>
      </w:r>
      <w:r>
        <w:rPr>
          <w:noProof/>
          <w:lang w:val="en-IE"/>
        </w:rPr>
        <w:t>s and 5G services are mainly provided for the general public, either as an improvement to 4G in terms of capacity and speed, or as a cost-effective wireless alternative to fixed networks</w:t>
      </w:r>
      <w:r>
        <w:rPr>
          <w:rStyle w:val="FootnoteReference"/>
          <w:noProof/>
          <w:lang w:val="en-IE"/>
        </w:rPr>
        <w:footnoteReference w:id="7"/>
      </w:r>
      <w:r>
        <w:rPr>
          <w:noProof/>
          <w:lang w:val="en-IE"/>
        </w:rPr>
        <w:t xml:space="preserve">. </w:t>
      </w:r>
    </w:p>
    <w:p w:rsidR="00303A65" w:rsidRDefault="00303A65">
      <w:pPr>
        <w:jc w:val="both"/>
        <w:rPr>
          <w:noProof/>
          <w:lang w:val="en-IE"/>
        </w:rPr>
      </w:pPr>
    </w:p>
    <w:p w:rsidR="00303A65" w:rsidRDefault="00CE7F93">
      <w:pPr>
        <w:jc w:val="both"/>
        <w:rPr>
          <w:noProof/>
          <w:lang w:val="en-GB"/>
        </w:rPr>
      </w:pPr>
      <w:r>
        <w:rPr>
          <w:noProof/>
          <w:lang w:val="en-IE"/>
        </w:rPr>
        <w:t xml:space="preserve">As regards opportunities in new business-to-business services, </w:t>
      </w:r>
      <w:r>
        <w:rPr>
          <w:noProof/>
          <w:lang w:val="en-IE"/>
        </w:rPr>
        <w:t>such as in the energy, food and agriculture, healthcare, manufacturing or transport sectors, Europe is well advanced with an investment in the order of €1 billion, including €300 million of EU funding in the context of the 5G Public Private Partnership und</w:t>
      </w:r>
      <w:r>
        <w:rPr>
          <w:noProof/>
          <w:lang w:val="en-IE"/>
        </w:rPr>
        <w:t>er Horizon 2020. This investment includes more than 160 large-scale 5G trials identified in Europe, including ten cross-border highway corridors for large-scale testing of 5G-based Connected and Automated Mobility services. Trials include 5G-enabled applic</w:t>
      </w:r>
      <w:r>
        <w:rPr>
          <w:noProof/>
          <w:lang w:val="en-IE"/>
        </w:rPr>
        <w:t xml:space="preserve">ations in areas spanning from sustainable healthcare and automated mobility resource-efficient agriculture to smart electricity networks and Industry 4.0. In addition to this, the EIB supported by the European Fund for Strategic Investment, provided loans </w:t>
      </w:r>
      <w:r>
        <w:rPr>
          <w:noProof/>
          <w:lang w:val="en-IE"/>
        </w:rPr>
        <w:t>to accelerate research and development of 5G technology.</w:t>
      </w:r>
    </w:p>
    <w:p w:rsidR="00303A65" w:rsidRDefault="00303A65">
      <w:pPr>
        <w:jc w:val="both"/>
        <w:rPr>
          <w:noProof/>
          <w:lang w:val="en-IE"/>
        </w:rPr>
      </w:pPr>
    </w:p>
    <w:p w:rsidR="00303A65" w:rsidRDefault="00CE7F93">
      <w:pPr>
        <w:jc w:val="both"/>
        <w:rPr>
          <w:noProof/>
          <w:lang w:val="en-IE"/>
        </w:rPr>
      </w:pPr>
      <w:r>
        <w:rPr>
          <w:noProof/>
          <w:lang w:val="en-IE"/>
        </w:rPr>
        <w:t>The European Electronic Communications Code (‘The Code’)</w:t>
      </w:r>
      <w:r>
        <w:rPr>
          <w:rStyle w:val="FootnoteReference"/>
          <w:noProof/>
          <w:lang w:val="en-IE"/>
        </w:rPr>
        <w:footnoteReference w:id="8"/>
      </w:r>
      <w:r>
        <w:rPr>
          <w:noProof/>
          <w:lang w:val="en-IE"/>
        </w:rPr>
        <w:t xml:space="preserve"> that will apply from 21 December 2020 is an important basis to create an investment friendly environment for 5G networks and beyond. Further</w:t>
      </w:r>
      <w:r>
        <w:rPr>
          <w:noProof/>
          <w:lang w:val="en-IE"/>
        </w:rPr>
        <w:t>more, public funding programmes, such as the Connecting Europe Facility Digital</w:t>
      </w:r>
      <w:r>
        <w:rPr>
          <w:rStyle w:val="FootnoteReference"/>
          <w:noProof/>
          <w:lang w:val="en-IE"/>
        </w:rPr>
        <w:footnoteReference w:id="9"/>
      </w:r>
      <w:r>
        <w:rPr>
          <w:noProof/>
          <w:lang w:val="en-IE"/>
        </w:rPr>
        <w:t xml:space="preserve"> or European structural and investment funds will also be essential to support future deployment of 5G networks, in particular by connecting communities to 5G-enabled services </w:t>
      </w:r>
      <w:r>
        <w:rPr>
          <w:noProof/>
          <w:lang w:val="en-IE"/>
        </w:rPr>
        <w:t xml:space="preserve">like schools, hospitals, cities and local administrations. </w:t>
      </w:r>
    </w:p>
    <w:p w:rsidR="00303A65" w:rsidRDefault="00303A65">
      <w:pPr>
        <w:jc w:val="both"/>
        <w:rPr>
          <w:noProof/>
          <w:lang w:val="en-IE"/>
        </w:rPr>
      </w:pPr>
    </w:p>
    <w:p w:rsidR="00303A65" w:rsidRDefault="00CE7F93">
      <w:pPr>
        <w:spacing w:after="240"/>
        <w:jc w:val="both"/>
        <w:rPr>
          <w:noProof/>
          <w:lang w:val="en-IE"/>
        </w:rPr>
      </w:pPr>
      <w:r>
        <w:rPr>
          <w:noProof/>
          <w:lang w:val="en-IE"/>
        </w:rPr>
        <w:t>Considering Europe’s strategic opportunities in 5G services for various industries, it will be of paramount importance that operators and service providers invest in advanced 5G network and servi</w:t>
      </w:r>
      <w:r>
        <w:rPr>
          <w:noProof/>
          <w:lang w:val="en-IE"/>
        </w:rPr>
        <w:t>ce solutions. These will not only require new 5G radio networks but also new so-called ‘stand-alone’ 5G core networks, in order to provide advanced 5G functionalities like network slicing</w:t>
      </w:r>
      <w:r>
        <w:rPr>
          <w:rStyle w:val="FootnoteReference"/>
          <w:noProof/>
          <w:lang w:val="en-IE"/>
        </w:rPr>
        <w:footnoteReference w:id="10"/>
      </w:r>
      <w:r>
        <w:rPr>
          <w:noProof/>
          <w:lang w:val="en-IE"/>
        </w:rPr>
        <w:t xml:space="preserve"> and edge computing</w:t>
      </w:r>
      <w:r>
        <w:rPr>
          <w:rStyle w:val="FootnoteReference"/>
          <w:noProof/>
          <w:lang w:val="en-IE"/>
        </w:rPr>
        <w:footnoteReference w:id="11"/>
      </w:r>
      <w:r>
        <w:rPr>
          <w:noProof/>
          <w:lang w:val="en-IE"/>
        </w:rPr>
        <w:t xml:space="preserve">. </w:t>
      </w:r>
    </w:p>
    <w:p w:rsidR="00303A65" w:rsidRDefault="00CE7F93">
      <w:pPr>
        <w:spacing w:after="240"/>
        <w:jc w:val="both"/>
        <w:rPr>
          <w:iCs/>
          <w:noProof/>
          <w:lang w:val="en-IE"/>
        </w:rPr>
      </w:pPr>
      <w:r>
        <w:rPr>
          <w:iCs/>
          <w:noProof/>
          <w:lang w:val="en-IE"/>
        </w:rPr>
        <w:t>The Commission will continue to fully support</w:t>
      </w:r>
      <w:r>
        <w:rPr>
          <w:iCs/>
          <w:noProof/>
          <w:lang w:val="en-IE"/>
        </w:rPr>
        <w:t xml:space="preserve"> the successful 5G roll-out in the EU, including by engaging with Member States and stakeholders to seize the opportunities of 5G. Due consideration will be given to relevant </w:t>
      </w:r>
      <w:r>
        <w:rPr>
          <w:iCs/>
          <w:noProof/>
          <w:sz w:val="23"/>
          <w:szCs w:val="23"/>
          <w:lang w:val="en-IE"/>
        </w:rPr>
        <w:t>health aspects</w:t>
      </w:r>
      <w:r>
        <w:rPr>
          <w:iCs/>
          <w:noProof/>
          <w:lang w:val="en-IE"/>
        </w:rPr>
        <w:t xml:space="preserve"> based on the precautionary principle</w:t>
      </w:r>
      <w:r>
        <w:rPr>
          <w:rStyle w:val="FootnoteReference"/>
          <w:iCs/>
          <w:noProof/>
          <w:lang w:val="en-IE"/>
        </w:rPr>
        <w:footnoteReference w:id="12"/>
      </w:r>
      <w:r>
        <w:rPr>
          <w:iCs/>
          <w:noProof/>
          <w:sz w:val="23"/>
          <w:szCs w:val="23"/>
          <w:lang w:val="en-IE"/>
        </w:rPr>
        <w:t xml:space="preserve">, in </w:t>
      </w:r>
      <w:r>
        <w:rPr>
          <w:iCs/>
          <w:noProof/>
          <w:lang w:val="en-IE"/>
        </w:rPr>
        <w:t>cooperation with relevan</w:t>
      </w:r>
      <w:r>
        <w:rPr>
          <w:iCs/>
          <w:noProof/>
          <w:lang w:val="en-IE"/>
        </w:rPr>
        <w:t>t international organisations and the scientific community.</w:t>
      </w:r>
    </w:p>
    <w:p w:rsidR="00303A65" w:rsidRDefault="00CE7F93">
      <w:pPr>
        <w:spacing w:after="240"/>
        <w:jc w:val="both"/>
        <w:rPr>
          <w:rFonts w:eastAsia="Times New Roman"/>
          <w:b/>
          <w:i/>
          <w:noProof/>
          <w:u w:val="single"/>
          <w:lang w:val="en-IE"/>
        </w:rPr>
      </w:pPr>
      <w:r>
        <w:rPr>
          <w:rFonts w:eastAsia="Times New Roman"/>
          <w:b/>
          <w:i/>
          <w:noProof/>
          <w:u w:val="single"/>
          <w:lang w:val="en-IE"/>
        </w:rPr>
        <w:t>3. The EU Coordinated Risk Assessment on Cybersecurity in 5G Networks</w:t>
      </w:r>
    </w:p>
    <w:p w:rsidR="00303A65" w:rsidRDefault="00CE7F93">
      <w:pPr>
        <w:spacing w:after="240"/>
        <w:contextualSpacing/>
        <w:jc w:val="both"/>
        <w:rPr>
          <w:noProof/>
          <w:lang w:val="en-IE"/>
        </w:rPr>
      </w:pPr>
      <w:r>
        <w:rPr>
          <w:noProof/>
          <w:lang w:val="en-IE"/>
        </w:rPr>
        <w:t>Working collectively within the NIS</w:t>
      </w:r>
      <w:r>
        <w:rPr>
          <w:rStyle w:val="FootnoteReference"/>
          <w:noProof/>
          <w:lang w:val="en-IE"/>
        </w:rPr>
        <w:footnoteReference w:id="13"/>
      </w:r>
      <w:r>
        <w:rPr>
          <w:noProof/>
          <w:lang w:val="en-IE"/>
        </w:rPr>
        <w:t xml:space="preserve"> Cooperation Group, each Member State completed its own national risk assessment of its 5G</w:t>
      </w:r>
      <w:r>
        <w:rPr>
          <w:noProof/>
          <w:lang w:val="en-IE"/>
        </w:rPr>
        <w:t xml:space="preserve"> network infrastructures and transmitted the results to the Commission and ENISA, the European Union Agency for Cybersecurity, by early July 2019. </w:t>
      </w:r>
    </w:p>
    <w:p w:rsidR="00303A65" w:rsidRDefault="00303A65">
      <w:pPr>
        <w:spacing w:after="240"/>
        <w:contextualSpacing/>
        <w:jc w:val="both"/>
        <w:rPr>
          <w:noProof/>
          <w:lang w:val="en-IE"/>
        </w:rPr>
      </w:pPr>
    </w:p>
    <w:p w:rsidR="00303A65" w:rsidRDefault="00CE7F93">
      <w:pPr>
        <w:spacing w:after="240"/>
        <w:contextualSpacing/>
        <w:jc w:val="both"/>
        <w:rPr>
          <w:noProof/>
          <w:lang w:val="en-IE"/>
        </w:rPr>
      </w:pPr>
      <w:r>
        <w:rPr>
          <w:noProof/>
          <w:lang w:val="en-IE"/>
        </w:rPr>
        <w:t>Based on these national risk assessments, on 9 October 2019the NIS Cooperation Group, formed of representat</w:t>
      </w:r>
      <w:r>
        <w:rPr>
          <w:noProof/>
          <w:lang w:val="en-IE"/>
        </w:rPr>
        <w:t>ives of Member States, the Commission and ENISA, published a report on the EU Coordinated Risk Assessment on Cybersecurity in 5G Networks</w:t>
      </w:r>
      <w:r>
        <w:rPr>
          <w:rStyle w:val="FootnoteReference"/>
          <w:noProof/>
          <w:lang w:val="en-IE"/>
        </w:rPr>
        <w:footnoteReference w:id="14"/>
      </w:r>
      <w:r>
        <w:rPr>
          <w:noProof/>
          <w:lang w:val="en-IE"/>
        </w:rPr>
        <w:t>. The report identifies the main threats and threat actors, the most sensitive assets, the main vulnerabilities (inclu</w:t>
      </w:r>
      <w:r>
        <w:rPr>
          <w:noProof/>
          <w:lang w:val="en-IE"/>
        </w:rPr>
        <w:t xml:space="preserve">ding technical ones and other types of vulnerabilities) affecting 5G networks. On this basis, the report also identified a </w:t>
      </w:r>
      <w:r>
        <w:rPr>
          <w:noProof/>
          <w:lang w:val="en-US"/>
        </w:rPr>
        <w:t>number of categories of risks of strategic importance from an EU perspective illustrated by concrete risk scenarios, which reflect re</w:t>
      </w:r>
      <w:r>
        <w:rPr>
          <w:noProof/>
          <w:lang w:val="en-US"/>
        </w:rPr>
        <w:t>levant combinations of the different parameters (vulnerabilities, threats and threat actors) with respect to the different assets (see Appendix).</w:t>
      </w:r>
    </w:p>
    <w:p w:rsidR="00303A65" w:rsidRDefault="00303A65">
      <w:pPr>
        <w:spacing w:after="240"/>
        <w:contextualSpacing/>
        <w:jc w:val="both"/>
        <w:rPr>
          <w:noProof/>
          <w:lang w:val="en-IE"/>
        </w:rPr>
      </w:pPr>
    </w:p>
    <w:p w:rsidR="00303A65" w:rsidRDefault="00CE7F93">
      <w:pPr>
        <w:spacing w:after="240"/>
        <w:jc w:val="both"/>
        <w:rPr>
          <w:noProof/>
          <w:lang w:val="en-IE"/>
        </w:rPr>
      </w:pPr>
      <w:r>
        <w:rPr>
          <w:noProof/>
          <w:lang w:val="en-IE"/>
        </w:rPr>
        <w:t>To complement this report and as a further input for the toolbox, ENISA carried out a dedicated threat landsc</w:t>
      </w:r>
      <w:r>
        <w:rPr>
          <w:noProof/>
          <w:lang w:val="en-IE"/>
        </w:rPr>
        <w:t>ape mapping</w:t>
      </w:r>
      <w:r>
        <w:rPr>
          <w:rStyle w:val="FootnoteReference"/>
          <w:noProof/>
          <w:lang w:val="en-IE"/>
        </w:rPr>
        <w:footnoteReference w:id="15"/>
      </w:r>
      <w:r>
        <w:rPr>
          <w:noProof/>
          <w:lang w:val="en-IE"/>
        </w:rPr>
        <w:t xml:space="preserve">, consisting of a detailed analysis of certain technical aspects, in particular the identification of network assets and of threats affecting these. </w:t>
      </w:r>
    </w:p>
    <w:p w:rsidR="00303A65" w:rsidRDefault="00CE7F93">
      <w:pPr>
        <w:spacing w:after="240"/>
        <w:jc w:val="both"/>
        <w:rPr>
          <w:noProof/>
          <w:lang w:val="en-IE"/>
        </w:rPr>
      </w:pPr>
      <w:r>
        <w:rPr>
          <w:noProof/>
          <w:lang w:val="en-IE"/>
        </w:rPr>
        <w:t xml:space="preserve">The EU coordinated risk assessment report highlights a number of aspects of importance for 5G </w:t>
      </w:r>
      <w:r>
        <w:rPr>
          <w:noProof/>
          <w:lang w:val="en-IE"/>
        </w:rPr>
        <w:t>networks.</w:t>
      </w:r>
      <w:r>
        <w:rPr>
          <w:i/>
          <w:noProof/>
          <w:color w:val="000000"/>
          <w:lang w:val="en-IE"/>
        </w:rPr>
        <w:t xml:space="preserve"> </w:t>
      </w:r>
      <w:r>
        <w:rPr>
          <w:noProof/>
          <w:lang w:val="en-IE"/>
        </w:rPr>
        <w:t>Specifically:</w:t>
      </w:r>
    </w:p>
    <w:p w:rsidR="00303A65" w:rsidRDefault="00CE7F93">
      <w:pPr>
        <w:pBdr>
          <w:top w:val="single" w:sz="4" w:space="1" w:color="auto"/>
          <w:left w:val="single" w:sz="4" w:space="4" w:color="auto"/>
          <w:bottom w:val="single" w:sz="4" w:space="1" w:color="auto"/>
          <w:right w:val="single" w:sz="4" w:space="4" w:color="auto"/>
        </w:pBdr>
        <w:spacing w:after="240"/>
        <w:contextualSpacing/>
        <w:jc w:val="both"/>
        <w:rPr>
          <w:i/>
          <w:noProof/>
          <w:color w:val="000000"/>
          <w:lang w:val="en-IE"/>
        </w:rPr>
      </w:pPr>
      <w:r>
        <w:rPr>
          <w:i/>
          <w:noProof/>
          <w:color w:val="000000"/>
          <w:lang w:val="en-IE"/>
        </w:rPr>
        <w:t>a)    The technological changes introduced by 5G will increase the overall attack surface and the number of potential entry points for attackers:</w:t>
      </w:r>
    </w:p>
    <w:p w:rsidR="00303A65" w:rsidRDefault="00CE7F93">
      <w:pPr>
        <w:pBdr>
          <w:top w:val="single" w:sz="4" w:space="1" w:color="auto"/>
          <w:left w:val="single" w:sz="4" w:space="4" w:color="auto"/>
          <w:bottom w:val="single" w:sz="4" w:space="1" w:color="auto"/>
          <w:right w:val="single" w:sz="4" w:space="4" w:color="auto"/>
        </w:pBdr>
        <w:autoSpaceDE w:val="0"/>
        <w:autoSpaceDN w:val="0"/>
        <w:adjustRightInd w:val="0"/>
        <w:jc w:val="both"/>
        <w:rPr>
          <w:i/>
          <w:noProof/>
          <w:color w:val="000000"/>
          <w:lang w:val="en-IE"/>
        </w:rPr>
      </w:pPr>
      <w:r>
        <w:rPr>
          <w:i/>
          <w:noProof/>
          <w:color w:val="000000"/>
          <w:lang w:val="en-IE"/>
        </w:rPr>
        <w:t xml:space="preserve"> </w:t>
      </w:r>
    </w:p>
    <w:p w:rsidR="00303A65" w:rsidRDefault="00CE7F93">
      <w:pPr>
        <w:pBdr>
          <w:top w:val="single" w:sz="4" w:space="1" w:color="auto"/>
          <w:left w:val="single" w:sz="4" w:space="4" w:color="auto"/>
          <w:bottom w:val="single" w:sz="4" w:space="1" w:color="auto"/>
          <w:right w:val="single" w:sz="4" w:space="4" w:color="auto"/>
        </w:pBdr>
        <w:autoSpaceDE w:val="0"/>
        <w:autoSpaceDN w:val="0"/>
        <w:adjustRightInd w:val="0"/>
        <w:jc w:val="both"/>
        <w:rPr>
          <w:i/>
          <w:noProof/>
          <w:color w:val="000000"/>
          <w:lang w:val="en-IE"/>
        </w:rPr>
      </w:pPr>
      <w:r>
        <w:rPr>
          <w:i/>
          <w:noProof/>
          <w:color w:val="000000"/>
          <w:lang w:val="en-IE"/>
        </w:rPr>
        <w:t xml:space="preserve">- Enhanced functionality at the edge of the network and a less centralised </w:t>
      </w:r>
      <w:r>
        <w:rPr>
          <w:i/>
          <w:noProof/>
          <w:color w:val="000000"/>
          <w:lang w:val="en-IE"/>
        </w:rPr>
        <w:t>architecture than in previous generations of mobile networks means that some functions of the core networks  may be integrated in other parts of the networks making the corresponding equipment more sensitive (e.g. base stations or MANO functions);</w:t>
      </w:r>
    </w:p>
    <w:p w:rsidR="00303A65" w:rsidRDefault="00303A65">
      <w:pPr>
        <w:pBdr>
          <w:top w:val="single" w:sz="4" w:space="1" w:color="auto"/>
          <w:left w:val="single" w:sz="4" w:space="4" w:color="auto"/>
          <w:bottom w:val="single" w:sz="4" w:space="1" w:color="auto"/>
          <w:right w:val="single" w:sz="4" w:space="4" w:color="auto"/>
        </w:pBdr>
        <w:autoSpaceDE w:val="0"/>
        <w:autoSpaceDN w:val="0"/>
        <w:adjustRightInd w:val="0"/>
        <w:jc w:val="both"/>
        <w:rPr>
          <w:i/>
          <w:noProof/>
          <w:color w:val="000000"/>
          <w:lang w:val="en-IE"/>
        </w:rPr>
      </w:pPr>
    </w:p>
    <w:p w:rsidR="00303A65" w:rsidRDefault="00CE7F93">
      <w:pPr>
        <w:pBdr>
          <w:top w:val="single" w:sz="4" w:space="1" w:color="auto"/>
          <w:left w:val="single" w:sz="4" w:space="4" w:color="auto"/>
          <w:bottom w:val="single" w:sz="4" w:space="1" w:color="auto"/>
          <w:right w:val="single" w:sz="4" w:space="4" w:color="auto"/>
        </w:pBdr>
        <w:autoSpaceDE w:val="0"/>
        <w:autoSpaceDN w:val="0"/>
        <w:adjustRightInd w:val="0"/>
        <w:jc w:val="both"/>
        <w:rPr>
          <w:i/>
          <w:noProof/>
          <w:color w:val="000000"/>
          <w:lang w:val="en-IE"/>
        </w:rPr>
      </w:pPr>
      <w:r>
        <w:rPr>
          <w:i/>
          <w:noProof/>
          <w:color w:val="000000"/>
          <w:lang w:val="en-IE"/>
        </w:rPr>
        <w:t>-The in</w:t>
      </w:r>
      <w:r>
        <w:rPr>
          <w:i/>
          <w:noProof/>
          <w:color w:val="000000"/>
          <w:lang w:val="en-IE"/>
        </w:rPr>
        <w:t>creased part of software in 5G equipment leads to increased risks linked to software development and update processes, creates new risks of configuration errors, and gives a more important role in the security analysis to the choices made by each mobile ne</w:t>
      </w:r>
      <w:r>
        <w:rPr>
          <w:i/>
          <w:noProof/>
          <w:color w:val="000000"/>
          <w:lang w:val="en-IE"/>
        </w:rPr>
        <w:t xml:space="preserve">twork operator in the deployment phase of the network; </w:t>
      </w:r>
    </w:p>
    <w:p w:rsidR="00303A65" w:rsidRDefault="00CE7F93">
      <w:pPr>
        <w:pBdr>
          <w:top w:val="single" w:sz="4" w:space="1" w:color="auto"/>
          <w:left w:val="single" w:sz="4" w:space="4" w:color="auto"/>
          <w:bottom w:val="single" w:sz="4" w:space="1" w:color="auto"/>
          <w:right w:val="single" w:sz="4" w:space="4" w:color="auto"/>
        </w:pBdr>
        <w:autoSpaceDE w:val="0"/>
        <w:autoSpaceDN w:val="0"/>
        <w:adjustRightInd w:val="0"/>
        <w:jc w:val="both"/>
        <w:rPr>
          <w:i/>
          <w:noProof/>
          <w:color w:val="000000"/>
          <w:lang w:val="en-IE"/>
        </w:rPr>
      </w:pPr>
      <w:r>
        <w:rPr>
          <w:i/>
          <w:noProof/>
          <w:color w:val="000000"/>
          <w:lang w:val="en-IE"/>
        </w:rPr>
        <w:t xml:space="preserve"> </w:t>
      </w:r>
    </w:p>
    <w:p w:rsidR="00303A65" w:rsidRDefault="00CE7F93">
      <w:pPr>
        <w:pBdr>
          <w:top w:val="single" w:sz="4" w:space="1" w:color="auto"/>
          <w:left w:val="single" w:sz="4" w:space="4" w:color="auto"/>
          <w:bottom w:val="single" w:sz="4" w:space="1" w:color="auto"/>
          <w:right w:val="single" w:sz="4" w:space="4" w:color="auto"/>
        </w:pBdr>
        <w:autoSpaceDE w:val="0"/>
        <w:autoSpaceDN w:val="0"/>
        <w:adjustRightInd w:val="0"/>
        <w:jc w:val="both"/>
        <w:rPr>
          <w:i/>
          <w:noProof/>
          <w:color w:val="000000"/>
          <w:lang w:val="en-IE"/>
        </w:rPr>
      </w:pPr>
      <w:r>
        <w:rPr>
          <w:i/>
          <w:noProof/>
          <w:color w:val="000000"/>
          <w:lang w:val="en-IE"/>
        </w:rPr>
        <w:t xml:space="preserve">b) These new technological features will give greater significance to the reliance of mobile network operators on third-party suppliers and to their role in the 5G supply chain. </w:t>
      </w:r>
    </w:p>
    <w:p w:rsidR="00303A65" w:rsidRDefault="00303A65">
      <w:pPr>
        <w:pBdr>
          <w:top w:val="single" w:sz="4" w:space="1" w:color="auto"/>
          <w:left w:val="single" w:sz="4" w:space="4" w:color="auto"/>
          <w:bottom w:val="single" w:sz="4" w:space="1" w:color="auto"/>
          <w:right w:val="single" w:sz="4" w:space="4" w:color="auto"/>
        </w:pBdr>
        <w:autoSpaceDE w:val="0"/>
        <w:autoSpaceDN w:val="0"/>
        <w:adjustRightInd w:val="0"/>
        <w:jc w:val="both"/>
        <w:rPr>
          <w:i/>
          <w:noProof/>
          <w:color w:val="000000"/>
          <w:lang w:val="en-IE"/>
        </w:rPr>
      </w:pPr>
    </w:p>
    <w:p w:rsidR="00303A65" w:rsidRDefault="00CE7F93">
      <w:pPr>
        <w:pBdr>
          <w:top w:val="single" w:sz="4" w:space="1" w:color="auto"/>
          <w:left w:val="single" w:sz="4" w:space="4" w:color="auto"/>
          <w:bottom w:val="single" w:sz="4" w:space="1" w:color="auto"/>
          <w:right w:val="single" w:sz="4" w:space="4" w:color="auto"/>
        </w:pBdr>
        <w:autoSpaceDE w:val="0"/>
        <w:autoSpaceDN w:val="0"/>
        <w:adjustRightInd w:val="0"/>
        <w:jc w:val="both"/>
        <w:rPr>
          <w:i/>
          <w:noProof/>
          <w:color w:val="000000"/>
          <w:lang w:val="en-IE"/>
        </w:rPr>
      </w:pPr>
      <w:r>
        <w:rPr>
          <w:i/>
          <w:noProof/>
          <w:color w:val="000000"/>
          <w:lang w:val="en-IE"/>
        </w:rPr>
        <w:t>This will, in turn, increase the number of attack paths that could be exploited by threat actors, in particular non-EU state or state-backed actors, because of their capabilities (intent and resources) to perform attacks against EU Member States telecommun</w:t>
      </w:r>
      <w:r>
        <w:rPr>
          <w:i/>
          <w:noProof/>
          <w:color w:val="000000"/>
          <w:lang w:val="en-IE"/>
        </w:rPr>
        <w:t xml:space="preserve">ications networks, as well as the potential severity of the impact of such attacks. </w:t>
      </w:r>
    </w:p>
    <w:p w:rsidR="00303A65" w:rsidRDefault="00303A65">
      <w:pPr>
        <w:pBdr>
          <w:top w:val="single" w:sz="4" w:space="1" w:color="auto"/>
          <w:left w:val="single" w:sz="4" w:space="4" w:color="auto"/>
          <w:bottom w:val="single" w:sz="4" w:space="1" w:color="auto"/>
          <w:right w:val="single" w:sz="4" w:space="4" w:color="auto"/>
        </w:pBdr>
        <w:autoSpaceDE w:val="0"/>
        <w:autoSpaceDN w:val="0"/>
        <w:adjustRightInd w:val="0"/>
        <w:jc w:val="both"/>
        <w:rPr>
          <w:i/>
          <w:noProof/>
          <w:color w:val="000000"/>
          <w:lang w:val="en-IE"/>
        </w:rPr>
      </w:pPr>
    </w:p>
    <w:p w:rsidR="00303A65" w:rsidRDefault="00CE7F93">
      <w:pPr>
        <w:pBdr>
          <w:top w:val="single" w:sz="4" w:space="1" w:color="auto"/>
          <w:left w:val="single" w:sz="4" w:space="4" w:color="auto"/>
          <w:bottom w:val="single" w:sz="4" w:space="1" w:color="auto"/>
          <w:right w:val="single" w:sz="4" w:space="4" w:color="auto"/>
        </w:pBdr>
        <w:autoSpaceDE w:val="0"/>
        <w:autoSpaceDN w:val="0"/>
        <w:adjustRightInd w:val="0"/>
        <w:jc w:val="both"/>
        <w:rPr>
          <w:i/>
          <w:noProof/>
          <w:color w:val="000000"/>
          <w:lang w:val="en-IE"/>
        </w:rPr>
      </w:pPr>
      <w:r>
        <w:rPr>
          <w:i/>
          <w:noProof/>
          <w:color w:val="000000"/>
          <w:lang w:val="en-IE"/>
        </w:rPr>
        <w:t>In this context of increased exposure to attacks facilitated by third-party suppliers, the individual risk profile of suppliers will become particularly important, in par</w:t>
      </w:r>
      <w:r>
        <w:rPr>
          <w:i/>
          <w:noProof/>
          <w:color w:val="000000"/>
          <w:lang w:val="en-IE"/>
        </w:rPr>
        <w:t>ticular where a supplier has a significant presence within networks or areas.</w:t>
      </w:r>
    </w:p>
    <w:p w:rsidR="00303A65" w:rsidRDefault="00303A65">
      <w:pPr>
        <w:pBdr>
          <w:top w:val="single" w:sz="4" w:space="1" w:color="auto"/>
          <w:left w:val="single" w:sz="4" w:space="4" w:color="auto"/>
          <w:bottom w:val="single" w:sz="4" w:space="1" w:color="auto"/>
          <w:right w:val="single" w:sz="4" w:space="4" w:color="auto"/>
        </w:pBdr>
        <w:autoSpaceDE w:val="0"/>
        <w:autoSpaceDN w:val="0"/>
        <w:adjustRightInd w:val="0"/>
        <w:jc w:val="both"/>
        <w:rPr>
          <w:i/>
          <w:noProof/>
          <w:color w:val="000000"/>
          <w:lang w:val="en-IE"/>
        </w:rPr>
      </w:pPr>
    </w:p>
    <w:p w:rsidR="00303A65" w:rsidRDefault="00CE7F93">
      <w:pPr>
        <w:pBdr>
          <w:top w:val="single" w:sz="4" w:space="1" w:color="auto"/>
          <w:left w:val="single" w:sz="4" w:space="4" w:color="auto"/>
          <w:bottom w:val="single" w:sz="4" w:space="1" w:color="auto"/>
          <w:right w:val="single" w:sz="4" w:space="4" w:color="auto"/>
        </w:pBdr>
        <w:autoSpaceDE w:val="0"/>
        <w:autoSpaceDN w:val="0"/>
        <w:adjustRightInd w:val="0"/>
        <w:jc w:val="both"/>
        <w:rPr>
          <w:i/>
          <w:noProof/>
          <w:color w:val="000000"/>
          <w:lang w:val="en-IE"/>
        </w:rPr>
      </w:pPr>
      <w:r>
        <w:rPr>
          <w:i/>
          <w:noProof/>
          <w:color w:val="000000"/>
          <w:lang w:val="en-IE"/>
        </w:rPr>
        <w:t>c) A major dependency on a single supplier increases the exposure to and consequences of a potential failure of this supplier. It also aggravates the potential consequences of w</w:t>
      </w:r>
      <w:r>
        <w:rPr>
          <w:i/>
          <w:noProof/>
          <w:color w:val="000000"/>
          <w:lang w:val="en-IE"/>
        </w:rPr>
        <w:t xml:space="preserve">eaknesses or vulnerabilities, and of their possible exploitation by threat actors, in particular where the dependency concerns a supplier presenting a high degree of risk. </w:t>
      </w:r>
    </w:p>
    <w:p w:rsidR="00303A65" w:rsidRDefault="00CE7F93">
      <w:pPr>
        <w:pBdr>
          <w:top w:val="single" w:sz="4" w:space="1" w:color="auto"/>
          <w:left w:val="single" w:sz="4" w:space="4" w:color="auto"/>
          <w:bottom w:val="single" w:sz="4" w:space="1" w:color="auto"/>
          <w:right w:val="single" w:sz="4" w:space="4" w:color="auto"/>
        </w:pBdr>
        <w:autoSpaceDE w:val="0"/>
        <w:autoSpaceDN w:val="0"/>
        <w:adjustRightInd w:val="0"/>
        <w:jc w:val="both"/>
        <w:rPr>
          <w:i/>
          <w:noProof/>
          <w:color w:val="000000"/>
          <w:lang w:val="en-IE"/>
        </w:rPr>
      </w:pPr>
      <w:r>
        <w:rPr>
          <w:i/>
          <w:noProof/>
          <w:color w:val="000000"/>
          <w:lang w:val="en-IE"/>
        </w:rPr>
        <w:t xml:space="preserve"> </w:t>
      </w:r>
    </w:p>
    <w:p w:rsidR="00303A65" w:rsidRDefault="00CE7F93">
      <w:pPr>
        <w:pBdr>
          <w:top w:val="single" w:sz="4" w:space="1" w:color="auto"/>
          <w:left w:val="single" w:sz="4" w:space="4" w:color="auto"/>
          <w:bottom w:val="single" w:sz="4" w:space="1" w:color="auto"/>
          <w:right w:val="single" w:sz="4" w:space="4" w:color="auto"/>
        </w:pBdr>
        <w:autoSpaceDE w:val="0"/>
        <w:autoSpaceDN w:val="0"/>
        <w:adjustRightInd w:val="0"/>
        <w:jc w:val="both"/>
        <w:rPr>
          <w:i/>
          <w:noProof/>
          <w:color w:val="000000"/>
          <w:lang w:val="en-IE"/>
        </w:rPr>
      </w:pPr>
      <w:r>
        <w:rPr>
          <w:i/>
          <w:noProof/>
          <w:color w:val="000000"/>
          <w:lang w:val="en-IE"/>
        </w:rPr>
        <w:t>d) If some of the new use cases envisioned for 5G come to fruition, 5G networks w</w:t>
      </w:r>
      <w:r>
        <w:rPr>
          <w:i/>
          <w:noProof/>
          <w:color w:val="000000"/>
          <w:lang w:val="en-IE"/>
        </w:rPr>
        <w:t>ill end up being an important part of the supply chain of many critical IT applications, and as such not only confidentiality and privacy requirements will be impacted, but also the integrity and availability of those networks will become major national se</w:t>
      </w:r>
      <w:r>
        <w:rPr>
          <w:i/>
          <w:noProof/>
          <w:color w:val="000000"/>
          <w:lang w:val="en-IE"/>
        </w:rPr>
        <w:t>curity concerns and a major security challenge from an EU perspective.</w:t>
      </w:r>
    </w:p>
    <w:p w:rsidR="00303A65" w:rsidRDefault="00303A65">
      <w:pPr>
        <w:pBdr>
          <w:top w:val="single" w:sz="4" w:space="1" w:color="auto"/>
          <w:left w:val="single" w:sz="4" w:space="4" w:color="auto"/>
          <w:bottom w:val="single" w:sz="4" w:space="1" w:color="auto"/>
          <w:right w:val="single" w:sz="4" w:space="4" w:color="auto"/>
        </w:pBdr>
        <w:autoSpaceDE w:val="0"/>
        <w:autoSpaceDN w:val="0"/>
        <w:adjustRightInd w:val="0"/>
        <w:jc w:val="both"/>
        <w:rPr>
          <w:i/>
          <w:noProof/>
          <w:color w:val="000000"/>
          <w:lang w:val="en-IE"/>
        </w:rPr>
      </w:pPr>
    </w:p>
    <w:p w:rsidR="00303A65" w:rsidRDefault="00CE7F93">
      <w:pPr>
        <w:spacing w:after="240"/>
        <w:contextualSpacing/>
        <w:jc w:val="both"/>
        <w:rPr>
          <w:noProof/>
          <w:lang w:val="en-IE"/>
        </w:rPr>
      </w:pPr>
      <w:r>
        <w:rPr>
          <w:noProof/>
          <w:lang w:val="en-IE"/>
        </w:rPr>
        <w:t>Source: EU coordinated risk assessment</w:t>
      </w:r>
    </w:p>
    <w:p w:rsidR="00303A65" w:rsidRDefault="00303A65">
      <w:pPr>
        <w:spacing w:after="240"/>
        <w:contextualSpacing/>
        <w:jc w:val="both"/>
        <w:rPr>
          <w:noProof/>
          <w:lang w:val="en-IE"/>
        </w:rPr>
      </w:pPr>
    </w:p>
    <w:p w:rsidR="00303A65" w:rsidRDefault="00CE7F93">
      <w:pPr>
        <w:spacing w:after="240"/>
        <w:contextualSpacing/>
        <w:jc w:val="both"/>
        <w:rPr>
          <w:noProof/>
          <w:lang w:val="en-IE"/>
        </w:rPr>
      </w:pPr>
      <w:r>
        <w:rPr>
          <w:noProof/>
          <w:lang w:val="en-IE"/>
        </w:rPr>
        <w:t>The EU coordinated risk assessment report further concludes that these challenges create a new security paradigm, making it necessary to reasses</w:t>
      </w:r>
      <w:r>
        <w:rPr>
          <w:noProof/>
          <w:lang w:val="en-IE"/>
        </w:rPr>
        <w:t xml:space="preserve">s the current policy and security framework applicable to the 5G sector and its ecosystem, and making it essential for Member States to take the necessary mitigating measures.  </w:t>
      </w:r>
    </w:p>
    <w:p w:rsidR="00303A65" w:rsidRDefault="00303A65">
      <w:pPr>
        <w:spacing w:after="240"/>
        <w:contextualSpacing/>
        <w:jc w:val="both"/>
        <w:rPr>
          <w:noProof/>
          <w:lang w:val="en-IE"/>
        </w:rPr>
      </w:pPr>
    </w:p>
    <w:p w:rsidR="00303A65" w:rsidRDefault="00CE7F93">
      <w:pPr>
        <w:spacing w:after="240"/>
        <w:jc w:val="both"/>
        <w:rPr>
          <w:noProof/>
          <w:lang w:val="en-IE"/>
        </w:rPr>
      </w:pPr>
      <w:r>
        <w:rPr>
          <w:noProof/>
          <w:lang w:val="en-IE"/>
        </w:rPr>
        <w:t>To address the identified risks effectively and strengthen the security and r</w:t>
      </w:r>
      <w:r>
        <w:rPr>
          <w:noProof/>
          <w:lang w:val="en-IE"/>
        </w:rPr>
        <w:t xml:space="preserve">esilience of 5G networks a comprehensive approach is required which implies putting in place a set of key measures as well as related supporting actions which can address the risks at the same time. The EU coordinated risk assessment provided the basis to </w:t>
      </w:r>
      <w:r>
        <w:rPr>
          <w:noProof/>
          <w:lang w:val="en-IE"/>
        </w:rPr>
        <w:t>identify mitigation measures that can be applied at national and European level.</w:t>
      </w:r>
    </w:p>
    <w:p w:rsidR="00CE7F93" w:rsidRDefault="00CE7F93">
      <w:pPr>
        <w:spacing w:after="240"/>
        <w:jc w:val="both"/>
        <w:rPr>
          <w:noProof/>
          <w:lang w:val="en-IE"/>
        </w:rPr>
      </w:pPr>
      <w:r>
        <w:rPr>
          <w:noProof/>
          <w:lang w:val="en-IE"/>
        </w:rPr>
        <w:t>The Council Conclusions of 3 December 2019 supported the findings of the coordinated risk assessment</w:t>
      </w:r>
      <w:r>
        <w:rPr>
          <w:noProof/>
          <w:lang w:val="en-US"/>
        </w:rPr>
        <w:t xml:space="preserve"> and stressed ‘the importance of a coordinated approach and effective imple</w:t>
      </w:r>
      <w:r>
        <w:rPr>
          <w:noProof/>
          <w:lang w:val="en-US"/>
        </w:rPr>
        <w:t>mentation of the Recommendation in order to avoid fragmentation in the Single Market’</w:t>
      </w:r>
      <w:r>
        <w:rPr>
          <w:rStyle w:val="FootnoteReference"/>
          <w:noProof/>
          <w:lang w:val="en-IE"/>
        </w:rPr>
        <w:footnoteReference w:id="16"/>
      </w:r>
      <w:r>
        <w:rPr>
          <w:noProof/>
          <w:lang w:val="en-US"/>
        </w:rPr>
        <w:t xml:space="preserve">. </w:t>
      </w:r>
      <w:r>
        <w:rPr>
          <w:noProof/>
          <w:lang w:val="en-IE"/>
        </w:rPr>
        <w:t>To this effect, the Council called upon Member States, the Commission and ENISA, to ‘take all necessary measures within their competences to ensure the security and int</w:t>
      </w:r>
      <w:r>
        <w:rPr>
          <w:noProof/>
          <w:lang w:val="en-IE"/>
        </w:rPr>
        <w:t>egrity of electronic communication networks, in particular 5G networks and to continue to consolidate a coordinated approach to address the security challenges related to 5G technologies.’</w:t>
      </w:r>
    </w:p>
    <w:p w:rsidR="00CE7F93" w:rsidRDefault="00CE7F93" w:rsidP="00CE7F93">
      <w:pPr>
        <w:rPr>
          <w:noProof/>
          <w:lang w:val="en-IE"/>
        </w:rPr>
      </w:pPr>
      <w:r>
        <w:rPr>
          <w:noProof/>
          <w:lang w:val="en-IE"/>
        </w:rPr>
        <w:br w:type="page"/>
      </w:r>
    </w:p>
    <w:p w:rsidR="00303A65" w:rsidRDefault="00CE7F93">
      <w:pPr>
        <w:spacing w:after="240"/>
        <w:ind w:firstLine="720"/>
        <w:jc w:val="both"/>
        <w:rPr>
          <w:rFonts w:eastAsia="Times New Roman"/>
          <w:b/>
          <w:i/>
          <w:noProof/>
          <w:u w:val="single"/>
          <w:lang w:val="en-IE"/>
        </w:rPr>
      </w:pPr>
      <w:r>
        <w:rPr>
          <w:rFonts w:eastAsia="Times New Roman"/>
          <w:b/>
          <w:i/>
          <w:noProof/>
          <w:u w:val="single"/>
          <w:lang w:val="en-IE"/>
        </w:rPr>
        <w:t>4. The EU toolbox on 5G cybersecurity</w:t>
      </w:r>
    </w:p>
    <w:p w:rsidR="00303A65" w:rsidRDefault="00CE7F93">
      <w:pPr>
        <w:spacing w:after="240"/>
        <w:jc w:val="both"/>
        <w:rPr>
          <w:rFonts w:eastAsia="Times New Roman"/>
          <w:noProof/>
          <w:lang w:val="en-US"/>
        </w:rPr>
      </w:pPr>
      <w:r>
        <w:rPr>
          <w:rFonts w:eastAsia="Times New Roman"/>
          <w:noProof/>
          <w:lang w:val="en-US"/>
        </w:rPr>
        <w:t xml:space="preserve">On 29 January 2020, the NIS </w:t>
      </w:r>
      <w:r>
        <w:rPr>
          <w:rFonts w:eastAsia="Times New Roman"/>
          <w:noProof/>
          <w:lang w:val="en-US"/>
        </w:rPr>
        <w:t>Cooperation Group published the EU toolbox of risk mitigating measures</w:t>
      </w:r>
      <w:r>
        <w:rPr>
          <w:rStyle w:val="FootnoteReference"/>
          <w:rFonts w:eastAsia="Times New Roman"/>
          <w:noProof/>
          <w:lang w:val="en-US"/>
        </w:rPr>
        <w:footnoteReference w:id="17"/>
      </w:r>
      <w:r>
        <w:rPr>
          <w:rFonts w:eastAsia="Times New Roman"/>
          <w:noProof/>
          <w:lang w:val="en-US"/>
        </w:rPr>
        <w:t xml:space="preserve">. It addresses all the risks identified in the coordinated risk assessment report. </w:t>
      </w:r>
    </w:p>
    <w:p w:rsidR="00303A65" w:rsidRDefault="00CE7F93">
      <w:pPr>
        <w:spacing w:after="240"/>
        <w:jc w:val="both"/>
        <w:rPr>
          <w:rFonts w:eastAsia="Times New Roman"/>
          <w:noProof/>
          <w:lang w:val="en-US"/>
        </w:rPr>
      </w:pPr>
      <w:r>
        <w:rPr>
          <w:rFonts w:eastAsia="Times New Roman"/>
          <w:noProof/>
          <w:lang w:val="en-US"/>
        </w:rPr>
        <w:t>The EU toolbox identifies and describes a set of strategic and technical measures, as well as corresp</w:t>
      </w:r>
      <w:r>
        <w:rPr>
          <w:rFonts w:eastAsia="Times New Roman"/>
          <w:noProof/>
          <w:lang w:val="en-US"/>
        </w:rPr>
        <w:t xml:space="preserve">onding supporting actions to reinforce their effectiveness, which may be put in place in order to mitigate the identified risks. </w:t>
      </w:r>
      <w:r>
        <w:rPr>
          <w:rFonts w:eastAsia="Times New Roman"/>
          <w:b/>
          <w:noProof/>
          <w:lang w:val="en-US"/>
        </w:rPr>
        <w:t>Strategic measures</w:t>
      </w:r>
      <w:r>
        <w:rPr>
          <w:rFonts w:eastAsia="Times New Roman"/>
          <w:noProof/>
          <w:lang w:val="en-US"/>
        </w:rPr>
        <w:t xml:space="preserve"> cover measures concerning increased regulatory powers for authorities to scrutinise network procurement and </w:t>
      </w:r>
      <w:r>
        <w:rPr>
          <w:rFonts w:eastAsia="Times New Roman"/>
          <w:noProof/>
          <w:lang w:val="en-US"/>
        </w:rPr>
        <w:t xml:space="preserve">deployment, specific measures to address risks related to non-technical vulnerabilities, as well as possible initiatives to promote a sustainable and diverse 5G supply and value chain in order to avoid systemic, long-term dependency risks. </w:t>
      </w:r>
      <w:r>
        <w:rPr>
          <w:b/>
          <w:noProof/>
          <w:lang w:val="en-IE"/>
        </w:rPr>
        <w:t>Technical measur</w:t>
      </w:r>
      <w:r>
        <w:rPr>
          <w:b/>
          <w:noProof/>
          <w:lang w:val="en-IE"/>
        </w:rPr>
        <w:t xml:space="preserve">es </w:t>
      </w:r>
      <w:r>
        <w:rPr>
          <w:noProof/>
          <w:lang w:val="en-IE"/>
        </w:rPr>
        <w:t>include measures</w:t>
      </w:r>
      <w:r>
        <w:rPr>
          <w:b/>
          <w:i/>
          <w:noProof/>
          <w:lang w:val="en-IE"/>
        </w:rPr>
        <w:t xml:space="preserve"> </w:t>
      </w:r>
      <w:r>
        <w:rPr>
          <w:noProof/>
          <w:lang w:val="en-IE"/>
        </w:rPr>
        <w:t xml:space="preserve">to strengthen the security of 5G networks and equipment by addressing the risks arising from technologies, processes, human and physical factors. </w:t>
      </w:r>
      <w:r>
        <w:rPr>
          <w:rFonts w:eastAsia="Times New Roman"/>
          <w:noProof/>
          <w:lang w:val="en-US"/>
        </w:rPr>
        <w:t xml:space="preserve">Moreover, for each of the risk areas identified in the EU coordinated risk assessment, it </w:t>
      </w:r>
      <w:r>
        <w:rPr>
          <w:rFonts w:eastAsia="Times New Roman"/>
          <w:noProof/>
          <w:lang w:val="en-US"/>
        </w:rPr>
        <w:t xml:space="preserve">provides for </w:t>
      </w:r>
      <w:r>
        <w:rPr>
          <w:rFonts w:eastAsia="Times New Roman"/>
          <w:b/>
          <w:noProof/>
          <w:lang w:val="en-US"/>
        </w:rPr>
        <w:t>risk mitigation plans</w:t>
      </w:r>
      <w:r>
        <w:rPr>
          <w:rFonts w:eastAsia="Times New Roman"/>
          <w:noProof/>
          <w:lang w:val="en-US"/>
        </w:rPr>
        <w:t xml:space="preserve"> based on the highest effectiveness measures. </w:t>
      </w:r>
    </w:p>
    <w:p w:rsidR="00303A65" w:rsidRDefault="00CE7F93">
      <w:pPr>
        <w:spacing w:after="240"/>
        <w:jc w:val="both"/>
        <w:rPr>
          <w:rFonts w:eastAsia="Times New Roman"/>
          <w:noProof/>
          <w:lang w:val="en-US"/>
        </w:rPr>
      </w:pPr>
      <w:r>
        <w:rPr>
          <w:rFonts w:eastAsia="Times New Roman"/>
          <w:noProof/>
          <w:lang w:val="en-US"/>
        </w:rPr>
        <w:t xml:space="preserve">Among them, the conclusions of the EU toolbox, as agreed by the NIS Cooperation Group, recommends a set of </w:t>
      </w:r>
      <w:r>
        <w:rPr>
          <w:rFonts w:eastAsia="Times New Roman"/>
          <w:b/>
          <w:noProof/>
          <w:lang w:val="en-US"/>
        </w:rPr>
        <w:t>key</w:t>
      </w:r>
      <w:r>
        <w:rPr>
          <w:rFonts w:eastAsia="Times New Roman"/>
          <w:noProof/>
          <w:lang w:val="en-US"/>
        </w:rPr>
        <w:t xml:space="preserve"> </w:t>
      </w:r>
      <w:r>
        <w:rPr>
          <w:rFonts w:eastAsia="Times New Roman"/>
          <w:b/>
          <w:noProof/>
          <w:lang w:val="en-US"/>
        </w:rPr>
        <w:t xml:space="preserve">measures </w:t>
      </w:r>
      <w:r>
        <w:rPr>
          <w:rFonts w:eastAsia="Times New Roman"/>
          <w:noProof/>
          <w:lang w:val="en-US"/>
        </w:rPr>
        <w:t>to be implemented</w:t>
      </w:r>
      <w:r>
        <w:rPr>
          <w:rFonts w:eastAsia="Times New Roman"/>
          <w:b/>
          <w:noProof/>
          <w:lang w:val="en-US"/>
        </w:rPr>
        <w:t xml:space="preserve"> </w:t>
      </w:r>
      <w:r>
        <w:rPr>
          <w:rFonts w:eastAsia="Times New Roman"/>
          <w:noProof/>
          <w:lang w:val="en-US"/>
        </w:rPr>
        <w:t xml:space="preserve">by all Member States and by the </w:t>
      </w:r>
      <w:r>
        <w:rPr>
          <w:rFonts w:eastAsia="Times New Roman"/>
          <w:noProof/>
          <w:lang w:val="en-US"/>
        </w:rPr>
        <w:t>Commission, as follows:</w:t>
      </w:r>
    </w:p>
    <w:p w:rsidR="00303A65" w:rsidRDefault="00CE7F93">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jc w:val="center"/>
        <w:rPr>
          <w:rFonts w:ascii="Times New Roman" w:hAnsi="Times New Roman" w:cs="Times New Roman"/>
          <w:b/>
          <w:i/>
          <w:noProof/>
          <w:sz w:val="24"/>
          <w:lang w:val="en-US"/>
        </w:rPr>
      </w:pPr>
      <w:r>
        <w:rPr>
          <w:rFonts w:ascii="Times New Roman" w:hAnsi="Times New Roman" w:cs="Times New Roman"/>
          <w:b/>
          <w:i/>
          <w:noProof/>
          <w:sz w:val="24"/>
          <w:lang w:val="en-US"/>
        </w:rPr>
        <w:t xml:space="preserve">Conclusions of the EU toolbox </w:t>
      </w:r>
    </w:p>
    <w:p w:rsidR="00303A65" w:rsidRDefault="00CE7F93">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lang w:val="en-IE"/>
        </w:rPr>
      </w:pPr>
      <w:r>
        <w:rPr>
          <w:rFonts w:ascii="Times New Roman" w:hAnsi="Times New Roman" w:cs="Times New Roman"/>
          <w:i/>
          <w:noProof/>
          <w:sz w:val="24"/>
          <w:lang w:val="en-IE"/>
        </w:rPr>
        <w:t>The EU toolbox sets out a range of measures and actions that – if appropriately combined and effectively implemented - form the basis for a coordinated approach in this area. Indeed, given the wide ran</w:t>
      </w:r>
      <w:r>
        <w:rPr>
          <w:rFonts w:ascii="Times New Roman" w:hAnsi="Times New Roman" w:cs="Times New Roman"/>
          <w:i/>
          <w:noProof/>
          <w:sz w:val="24"/>
          <w:lang w:val="en-IE"/>
        </w:rPr>
        <w:t>ge of risk areas identified in the EU coordinated risk assessment and their different nature, no single type of measure will be sufficient and instead a range of measures used in an appropriate combination, will be necessary in order to address all key ris</w:t>
      </w:r>
      <w:r>
        <w:rPr>
          <w:rFonts w:ascii="Times New Roman" w:hAnsi="Times New Roman" w:cs="Times New Roman"/>
          <w:i/>
          <w:noProof/>
          <w:sz w:val="24"/>
          <w:lang w:val="en-IE"/>
        </w:rPr>
        <w:t>k areas.</w:t>
      </w:r>
    </w:p>
    <w:p w:rsidR="00303A65" w:rsidRDefault="00CE7F93">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lang w:val="en-IE"/>
        </w:rPr>
      </w:pPr>
      <w:r>
        <w:rPr>
          <w:rFonts w:ascii="Times New Roman" w:hAnsi="Times New Roman" w:cs="Times New Roman"/>
          <w:i/>
          <w:noProof/>
          <w:sz w:val="24"/>
          <w:lang w:val="en-IE"/>
        </w:rPr>
        <w:t>Based on the assessment of possible mitigation plans and the identification of the highest effectiveness measures, this toolbox recommends that:</w:t>
      </w:r>
    </w:p>
    <w:p w:rsidR="00303A65" w:rsidRDefault="00CE7F93">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lang w:val="en-IE"/>
        </w:rPr>
      </w:pPr>
      <w:r>
        <w:rPr>
          <w:rFonts w:ascii="Times New Roman" w:hAnsi="Times New Roman" w:cs="Times New Roman"/>
          <w:i/>
          <w:noProof/>
          <w:sz w:val="24"/>
          <w:lang w:val="en-IE"/>
        </w:rPr>
        <w:t>1. All Member States should ensure that they have measures in place (including powers for national aut</w:t>
      </w:r>
      <w:r>
        <w:rPr>
          <w:rFonts w:ascii="Times New Roman" w:hAnsi="Times New Roman" w:cs="Times New Roman"/>
          <w:i/>
          <w:noProof/>
          <w:sz w:val="24"/>
          <w:lang w:val="en-IE"/>
        </w:rPr>
        <w:t xml:space="preserve">horities) to respond appropriately and proportionately to the presently identified and future risks, and in particular ensure that they are able to restrict, prohibit, and/or impose specific requirements or conditions, following a risk-based approach, for </w:t>
      </w:r>
      <w:r>
        <w:rPr>
          <w:rFonts w:ascii="Times New Roman" w:hAnsi="Times New Roman" w:cs="Times New Roman"/>
          <w:i/>
          <w:noProof/>
          <w:sz w:val="24"/>
          <w:lang w:val="en-IE"/>
        </w:rPr>
        <w:t>the supply, deployment, and operation of 5G network equipment on the basis of a range of security-related grounds.</w:t>
      </w:r>
    </w:p>
    <w:p w:rsidR="00303A65" w:rsidRDefault="00CE7F93">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lang w:val="en-IE"/>
        </w:rPr>
      </w:pPr>
      <w:r>
        <w:rPr>
          <w:rFonts w:ascii="Times New Roman" w:hAnsi="Times New Roman" w:cs="Times New Roman"/>
          <w:i/>
          <w:noProof/>
          <w:sz w:val="24"/>
          <w:lang w:val="en-IE"/>
        </w:rPr>
        <w:t xml:space="preserve">They should in particular: </w:t>
      </w:r>
    </w:p>
    <w:p w:rsidR="00303A65" w:rsidRDefault="00CE7F93">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lang w:val="en-IE"/>
        </w:rPr>
      </w:pPr>
      <w:r>
        <w:rPr>
          <w:rFonts w:ascii="Times New Roman" w:hAnsi="Times New Roman" w:cs="Times New Roman"/>
          <w:i/>
          <w:noProof/>
          <w:sz w:val="24"/>
          <w:lang w:val="en-IE"/>
        </w:rPr>
        <w:t></w:t>
      </w:r>
      <w:r>
        <w:rPr>
          <w:rFonts w:ascii="Times New Roman" w:hAnsi="Times New Roman" w:cs="Times New Roman"/>
          <w:i/>
          <w:noProof/>
          <w:sz w:val="24"/>
          <w:lang w:val="en-IE"/>
        </w:rPr>
        <w:tab/>
        <w:t xml:space="preserve">Strengthen </w:t>
      </w:r>
      <w:r>
        <w:rPr>
          <w:rFonts w:ascii="Times New Roman" w:hAnsi="Times New Roman" w:cs="Times New Roman"/>
          <w:b/>
          <w:i/>
          <w:noProof/>
          <w:sz w:val="24"/>
          <w:lang w:val="en-IE"/>
        </w:rPr>
        <w:t>security requirements</w:t>
      </w:r>
      <w:r>
        <w:rPr>
          <w:rFonts w:ascii="Times New Roman" w:hAnsi="Times New Roman" w:cs="Times New Roman"/>
          <w:i/>
          <w:noProof/>
          <w:sz w:val="24"/>
          <w:lang w:val="en-IE"/>
        </w:rPr>
        <w:t xml:space="preserve"> for mobile network operators (e.g. strict access controls, rules on secure ope</w:t>
      </w:r>
      <w:r>
        <w:rPr>
          <w:rFonts w:ascii="Times New Roman" w:hAnsi="Times New Roman" w:cs="Times New Roman"/>
          <w:i/>
          <w:noProof/>
          <w:sz w:val="24"/>
          <w:lang w:val="en-IE"/>
        </w:rPr>
        <w:t xml:space="preserve">ration and monitoring, limitations on outsourcing of specific functions, etc.); </w:t>
      </w:r>
    </w:p>
    <w:p w:rsidR="00303A65" w:rsidRDefault="00CE7F93">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lang w:val="en-IE"/>
        </w:rPr>
      </w:pPr>
      <w:r>
        <w:rPr>
          <w:rFonts w:ascii="Times New Roman" w:hAnsi="Times New Roman" w:cs="Times New Roman"/>
          <w:i/>
          <w:noProof/>
          <w:sz w:val="24"/>
          <w:lang w:val="en-IE"/>
        </w:rPr>
        <w:t></w:t>
      </w:r>
      <w:r>
        <w:rPr>
          <w:rFonts w:ascii="Times New Roman" w:hAnsi="Times New Roman" w:cs="Times New Roman"/>
          <w:i/>
          <w:noProof/>
          <w:sz w:val="24"/>
          <w:lang w:val="en-IE"/>
        </w:rPr>
        <w:tab/>
        <w:t xml:space="preserve">Assess the risk profile of suppliers; as a consequence, </w:t>
      </w:r>
      <w:r>
        <w:rPr>
          <w:rFonts w:ascii="Times New Roman" w:hAnsi="Times New Roman" w:cs="Times New Roman"/>
          <w:b/>
          <w:i/>
          <w:noProof/>
          <w:sz w:val="24"/>
          <w:lang w:val="en-IE"/>
        </w:rPr>
        <w:t xml:space="preserve">apply relevant restrictions for suppliers considered to be high risk - including necessary exclusions to effectively </w:t>
      </w:r>
      <w:r>
        <w:rPr>
          <w:rFonts w:ascii="Times New Roman" w:hAnsi="Times New Roman" w:cs="Times New Roman"/>
          <w:b/>
          <w:i/>
          <w:noProof/>
          <w:sz w:val="24"/>
          <w:lang w:val="en-IE"/>
        </w:rPr>
        <w:t>mitigate risks - for key assets</w:t>
      </w:r>
      <w:r>
        <w:rPr>
          <w:rFonts w:ascii="Times New Roman" w:hAnsi="Times New Roman" w:cs="Times New Roman"/>
          <w:i/>
          <w:noProof/>
          <w:sz w:val="24"/>
          <w:lang w:val="en-IE"/>
        </w:rPr>
        <w:t xml:space="preserve"> defined as critical and sensitive in the EU coordinated risk assessment (e.g. core network functions, network management and orchestration functions, and access network functions); </w:t>
      </w:r>
    </w:p>
    <w:p w:rsidR="00303A65" w:rsidRDefault="00CE7F93">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lang w:val="en-IE"/>
        </w:rPr>
      </w:pPr>
      <w:r>
        <w:rPr>
          <w:rFonts w:ascii="Times New Roman" w:hAnsi="Times New Roman" w:cs="Times New Roman"/>
          <w:i/>
          <w:noProof/>
          <w:sz w:val="24"/>
          <w:lang w:val="en-IE"/>
        </w:rPr>
        <w:t></w:t>
      </w:r>
      <w:r>
        <w:rPr>
          <w:rFonts w:ascii="Times New Roman" w:hAnsi="Times New Roman" w:cs="Times New Roman"/>
          <w:i/>
          <w:noProof/>
          <w:sz w:val="24"/>
          <w:lang w:val="en-IE"/>
        </w:rPr>
        <w:tab/>
        <w:t>Ensure that each operator has an appropr</w:t>
      </w:r>
      <w:r>
        <w:rPr>
          <w:rFonts w:ascii="Times New Roman" w:hAnsi="Times New Roman" w:cs="Times New Roman"/>
          <w:i/>
          <w:noProof/>
          <w:sz w:val="24"/>
          <w:lang w:val="en-IE"/>
        </w:rPr>
        <w:t xml:space="preserve">iate multi-vendor strategy to </w:t>
      </w:r>
      <w:r>
        <w:rPr>
          <w:rFonts w:ascii="Times New Roman" w:hAnsi="Times New Roman" w:cs="Times New Roman"/>
          <w:b/>
          <w:i/>
          <w:noProof/>
          <w:sz w:val="24"/>
          <w:lang w:val="en-IE"/>
        </w:rPr>
        <w:t>avoid or limit any major dependency</w:t>
      </w:r>
      <w:r>
        <w:rPr>
          <w:rFonts w:ascii="Times New Roman" w:hAnsi="Times New Roman" w:cs="Times New Roman"/>
          <w:i/>
          <w:noProof/>
          <w:sz w:val="24"/>
          <w:lang w:val="en-IE"/>
        </w:rPr>
        <w:t xml:space="preserve"> on a single supplier (or suppliers with a similar risk profile), ensure an adequate balance of suppliers at national level and </w:t>
      </w:r>
      <w:r>
        <w:rPr>
          <w:rFonts w:ascii="Times New Roman" w:hAnsi="Times New Roman" w:cs="Times New Roman"/>
          <w:b/>
          <w:i/>
          <w:noProof/>
          <w:sz w:val="24"/>
          <w:lang w:val="en-IE"/>
        </w:rPr>
        <w:t>avoid dependency on suppliers considered to be high risk</w:t>
      </w:r>
      <w:r>
        <w:rPr>
          <w:rFonts w:ascii="Times New Roman" w:hAnsi="Times New Roman" w:cs="Times New Roman"/>
          <w:i/>
          <w:noProof/>
          <w:sz w:val="24"/>
          <w:lang w:val="en-IE"/>
        </w:rPr>
        <w:t xml:space="preserve">; this </w:t>
      </w:r>
      <w:r>
        <w:rPr>
          <w:rFonts w:ascii="Times New Roman" w:hAnsi="Times New Roman" w:cs="Times New Roman"/>
          <w:i/>
          <w:noProof/>
          <w:sz w:val="24"/>
          <w:lang w:val="en-IE"/>
        </w:rPr>
        <w:t>also requires avoiding any situations of lock-in with a single supplier, including by promoting greater interoperability of equipment.</w:t>
      </w:r>
    </w:p>
    <w:p w:rsidR="00303A65" w:rsidRDefault="00CE7F93">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lang w:val="en-IE"/>
        </w:rPr>
      </w:pPr>
      <w:r>
        <w:rPr>
          <w:rFonts w:ascii="Times New Roman" w:hAnsi="Times New Roman" w:cs="Times New Roman"/>
          <w:i/>
          <w:noProof/>
          <w:sz w:val="24"/>
          <w:lang w:val="en-IE"/>
        </w:rPr>
        <w:t>2. The European Commission, jointly with Member states, should contribute to:</w:t>
      </w:r>
    </w:p>
    <w:p w:rsidR="00303A65" w:rsidRDefault="00CE7F93">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lang w:val="en-IE"/>
        </w:rPr>
      </w:pPr>
      <w:r>
        <w:rPr>
          <w:rFonts w:ascii="Times New Roman" w:hAnsi="Times New Roman" w:cs="Times New Roman"/>
          <w:i/>
          <w:noProof/>
          <w:sz w:val="24"/>
          <w:lang w:val="en-IE"/>
        </w:rPr>
        <w:t></w:t>
      </w:r>
      <w:r>
        <w:rPr>
          <w:rFonts w:ascii="Times New Roman" w:hAnsi="Times New Roman" w:cs="Times New Roman"/>
          <w:i/>
          <w:noProof/>
          <w:sz w:val="24"/>
          <w:lang w:val="en-IE"/>
        </w:rPr>
        <w:tab/>
        <w:t xml:space="preserve">Maintaining a </w:t>
      </w:r>
      <w:r>
        <w:rPr>
          <w:rFonts w:ascii="Times New Roman" w:hAnsi="Times New Roman" w:cs="Times New Roman"/>
          <w:b/>
          <w:i/>
          <w:noProof/>
          <w:sz w:val="24"/>
          <w:lang w:val="en-IE"/>
        </w:rPr>
        <w:t xml:space="preserve">diverse and sustainable 5G </w:t>
      </w:r>
      <w:r>
        <w:rPr>
          <w:rFonts w:ascii="Times New Roman" w:hAnsi="Times New Roman" w:cs="Times New Roman"/>
          <w:b/>
          <w:i/>
          <w:noProof/>
          <w:sz w:val="24"/>
          <w:lang w:val="en-IE"/>
        </w:rPr>
        <w:t>supply chain</w:t>
      </w:r>
      <w:r>
        <w:rPr>
          <w:rFonts w:ascii="Times New Roman" w:hAnsi="Times New Roman" w:cs="Times New Roman"/>
          <w:i/>
          <w:noProof/>
          <w:sz w:val="24"/>
          <w:lang w:val="en-IE"/>
        </w:rPr>
        <w:t xml:space="preserve"> in order to avoid long-term dependency, including by:</w:t>
      </w:r>
    </w:p>
    <w:p w:rsidR="00303A65" w:rsidRDefault="00CE7F93">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ind w:firstLine="720"/>
        <w:rPr>
          <w:rFonts w:ascii="Times New Roman" w:hAnsi="Times New Roman" w:cs="Times New Roman"/>
          <w:i/>
          <w:noProof/>
          <w:sz w:val="24"/>
          <w:lang w:val="en-IE"/>
        </w:rPr>
      </w:pPr>
      <w:r>
        <w:rPr>
          <w:rFonts w:ascii="Times New Roman" w:hAnsi="Times New Roman" w:cs="Times New Roman"/>
          <w:i/>
          <w:noProof/>
          <w:sz w:val="24"/>
          <w:lang w:val="en-IE"/>
        </w:rPr>
        <w:t xml:space="preserve">o Making full use of the existing EU tools and instruments, in particular through the screening of potential </w:t>
      </w:r>
      <w:r>
        <w:rPr>
          <w:rFonts w:ascii="Times New Roman" w:hAnsi="Times New Roman" w:cs="Times New Roman"/>
          <w:b/>
          <w:i/>
          <w:noProof/>
          <w:sz w:val="24"/>
          <w:lang w:val="en-IE"/>
        </w:rPr>
        <w:t>foreign direct investments</w:t>
      </w:r>
      <w:r>
        <w:rPr>
          <w:rFonts w:ascii="Times New Roman" w:hAnsi="Times New Roman" w:cs="Times New Roman"/>
          <w:i/>
          <w:noProof/>
          <w:sz w:val="24"/>
          <w:lang w:val="en-IE"/>
        </w:rPr>
        <w:t xml:space="preserve"> (FDIs) affecting 5G key assets and by avoiding </w:t>
      </w:r>
      <w:r>
        <w:rPr>
          <w:rFonts w:ascii="Times New Roman" w:hAnsi="Times New Roman" w:cs="Times New Roman"/>
          <w:b/>
          <w:i/>
          <w:noProof/>
          <w:sz w:val="24"/>
          <w:lang w:val="en-IE"/>
        </w:rPr>
        <w:t>distortions</w:t>
      </w:r>
      <w:r>
        <w:rPr>
          <w:rFonts w:ascii="Times New Roman" w:hAnsi="Times New Roman" w:cs="Times New Roman"/>
          <w:i/>
          <w:noProof/>
          <w:sz w:val="24"/>
          <w:lang w:val="en-IE"/>
        </w:rPr>
        <w:t xml:space="preserve"> in the 5G supply market stemming from potential dumping or subsidies; and </w:t>
      </w:r>
    </w:p>
    <w:p w:rsidR="00303A65" w:rsidRDefault="00CE7F93">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ind w:firstLine="720"/>
        <w:rPr>
          <w:rFonts w:ascii="Times New Roman" w:hAnsi="Times New Roman" w:cs="Times New Roman"/>
          <w:i/>
          <w:noProof/>
          <w:sz w:val="24"/>
          <w:lang w:val="en-IE"/>
        </w:rPr>
      </w:pPr>
      <w:r>
        <w:rPr>
          <w:rFonts w:ascii="Times New Roman" w:hAnsi="Times New Roman" w:cs="Times New Roman"/>
          <w:i/>
          <w:noProof/>
          <w:sz w:val="24"/>
          <w:lang w:val="en-IE"/>
        </w:rPr>
        <w:t xml:space="preserve">o Further strengthening </w:t>
      </w:r>
      <w:r>
        <w:rPr>
          <w:rFonts w:ascii="Times New Roman" w:hAnsi="Times New Roman" w:cs="Times New Roman"/>
          <w:b/>
          <w:i/>
          <w:noProof/>
          <w:sz w:val="24"/>
          <w:lang w:val="en-IE"/>
        </w:rPr>
        <w:t>EU capacities in the 5G and post-5G technologies</w:t>
      </w:r>
      <w:r>
        <w:rPr>
          <w:rFonts w:ascii="Times New Roman" w:hAnsi="Times New Roman" w:cs="Times New Roman"/>
          <w:i/>
          <w:noProof/>
          <w:sz w:val="24"/>
          <w:lang w:val="en-IE"/>
        </w:rPr>
        <w:t>, by using relevant EU programmes and funding.</w:t>
      </w:r>
    </w:p>
    <w:p w:rsidR="00303A65" w:rsidRDefault="00CE7F93">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lang w:val="en-IE"/>
        </w:rPr>
      </w:pPr>
      <w:r>
        <w:rPr>
          <w:rFonts w:ascii="Times New Roman" w:hAnsi="Times New Roman" w:cs="Times New Roman"/>
          <w:i/>
          <w:noProof/>
          <w:sz w:val="24"/>
          <w:lang w:val="en-IE"/>
        </w:rPr>
        <w:t></w:t>
      </w:r>
      <w:r>
        <w:rPr>
          <w:rFonts w:ascii="Times New Roman" w:hAnsi="Times New Roman" w:cs="Times New Roman"/>
          <w:i/>
          <w:noProof/>
          <w:sz w:val="24"/>
          <w:lang w:val="en-IE"/>
        </w:rPr>
        <w:tab/>
        <w:t xml:space="preserve">Facilitating coordination between Member states </w:t>
      </w:r>
      <w:r>
        <w:rPr>
          <w:rFonts w:ascii="Times New Roman" w:hAnsi="Times New Roman" w:cs="Times New Roman"/>
          <w:i/>
          <w:noProof/>
          <w:sz w:val="24"/>
          <w:lang w:val="en-IE"/>
        </w:rPr>
        <w:t xml:space="preserve">regarding </w:t>
      </w:r>
      <w:r>
        <w:rPr>
          <w:rFonts w:ascii="Times New Roman" w:hAnsi="Times New Roman" w:cs="Times New Roman"/>
          <w:b/>
          <w:i/>
          <w:noProof/>
          <w:sz w:val="24"/>
          <w:lang w:val="en-IE"/>
        </w:rPr>
        <w:t>standardisation</w:t>
      </w:r>
      <w:r>
        <w:rPr>
          <w:rFonts w:ascii="Times New Roman" w:hAnsi="Times New Roman" w:cs="Times New Roman"/>
          <w:i/>
          <w:noProof/>
          <w:sz w:val="24"/>
          <w:lang w:val="en-IE"/>
        </w:rPr>
        <w:t xml:space="preserve"> to achieve specific security objectives and developing </w:t>
      </w:r>
      <w:r>
        <w:rPr>
          <w:rFonts w:ascii="Times New Roman" w:hAnsi="Times New Roman" w:cs="Times New Roman"/>
          <w:b/>
          <w:i/>
          <w:noProof/>
          <w:sz w:val="24"/>
          <w:lang w:val="en-IE"/>
        </w:rPr>
        <w:t>relevant EU-wide certification scheme(s)</w:t>
      </w:r>
      <w:r>
        <w:rPr>
          <w:rFonts w:ascii="Times New Roman" w:hAnsi="Times New Roman" w:cs="Times New Roman"/>
          <w:i/>
          <w:noProof/>
          <w:sz w:val="24"/>
          <w:lang w:val="en-IE"/>
        </w:rPr>
        <w:t xml:space="preserve"> in order to promote more secure products and processes.</w:t>
      </w:r>
    </w:p>
    <w:p w:rsidR="00303A65" w:rsidRDefault="00CE7F93">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lang w:val="en-IE"/>
        </w:rPr>
      </w:pPr>
      <w:r>
        <w:rPr>
          <w:rFonts w:ascii="Times New Roman" w:hAnsi="Times New Roman" w:cs="Times New Roman"/>
          <w:i/>
          <w:noProof/>
          <w:sz w:val="24"/>
          <w:lang w:val="en-IE"/>
        </w:rPr>
        <w:t xml:space="preserve">3. To ensure that this coordinated approach stands the test of time, the </w:t>
      </w:r>
      <w:r>
        <w:rPr>
          <w:rFonts w:ascii="Times New Roman" w:hAnsi="Times New Roman" w:cs="Times New Roman"/>
          <w:i/>
          <w:noProof/>
          <w:sz w:val="24"/>
          <w:lang w:val="en-IE"/>
        </w:rPr>
        <w:t>mandate of the NIS Cooperation Group Work Stream should be extended, as well as the cooperation with other relevant bodies and entities, in order, in particular, to:</w:t>
      </w:r>
    </w:p>
    <w:p w:rsidR="00303A65" w:rsidRDefault="00CE7F93">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lang w:val="en-IE"/>
        </w:rPr>
      </w:pPr>
      <w:r>
        <w:rPr>
          <w:rFonts w:ascii="Times New Roman" w:hAnsi="Times New Roman" w:cs="Times New Roman"/>
          <w:i/>
          <w:noProof/>
          <w:sz w:val="24"/>
          <w:lang w:val="en-IE"/>
        </w:rPr>
        <w:t></w:t>
      </w:r>
      <w:r>
        <w:rPr>
          <w:rFonts w:ascii="Times New Roman" w:hAnsi="Times New Roman" w:cs="Times New Roman"/>
          <w:i/>
          <w:noProof/>
          <w:sz w:val="24"/>
          <w:lang w:val="en-IE"/>
        </w:rPr>
        <w:tab/>
        <w:t xml:space="preserve">Review periodically - with the support of the Commission and ENISA - the </w:t>
      </w:r>
      <w:r>
        <w:rPr>
          <w:rFonts w:ascii="Times New Roman" w:hAnsi="Times New Roman" w:cs="Times New Roman"/>
          <w:b/>
          <w:i/>
          <w:noProof/>
          <w:sz w:val="24"/>
          <w:lang w:val="en-IE"/>
        </w:rPr>
        <w:t>national and EU</w:t>
      </w:r>
      <w:r>
        <w:rPr>
          <w:rFonts w:ascii="Times New Roman" w:hAnsi="Times New Roman" w:cs="Times New Roman"/>
          <w:b/>
          <w:i/>
          <w:noProof/>
          <w:sz w:val="24"/>
          <w:lang w:val="en-IE"/>
        </w:rPr>
        <w:t xml:space="preserve"> risk assessments</w:t>
      </w:r>
      <w:r>
        <w:rPr>
          <w:rFonts w:ascii="Times New Roman" w:hAnsi="Times New Roman" w:cs="Times New Roman"/>
          <w:i/>
          <w:noProof/>
          <w:sz w:val="24"/>
          <w:lang w:val="en-IE"/>
        </w:rPr>
        <w:t xml:space="preserve"> on the security of 5G and post-5G networks, further elaborating and aligning the assessment methodology followed and adapting to the evolving 5G technology;</w:t>
      </w:r>
    </w:p>
    <w:p w:rsidR="00303A65" w:rsidRDefault="00CE7F93">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lang w:val="en-IE"/>
        </w:rPr>
      </w:pPr>
      <w:r>
        <w:rPr>
          <w:rFonts w:ascii="Times New Roman" w:hAnsi="Times New Roman" w:cs="Times New Roman"/>
          <w:i/>
          <w:noProof/>
          <w:sz w:val="24"/>
          <w:lang w:val="en-IE"/>
        </w:rPr>
        <w:t></w:t>
      </w:r>
      <w:r>
        <w:rPr>
          <w:rFonts w:ascii="Times New Roman" w:hAnsi="Times New Roman" w:cs="Times New Roman"/>
          <w:i/>
          <w:noProof/>
          <w:sz w:val="24"/>
          <w:lang w:val="en-IE"/>
        </w:rPr>
        <w:tab/>
        <w:t xml:space="preserve">Perform a detailed and regular </w:t>
      </w:r>
      <w:r>
        <w:rPr>
          <w:rFonts w:ascii="Times New Roman" w:hAnsi="Times New Roman" w:cs="Times New Roman"/>
          <w:b/>
          <w:i/>
          <w:noProof/>
          <w:sz w:val="24"/>
          <w:lang w:val="en-IE"/>
        </w:rPr>
        <w:t>monitoring and evaluation of the implementation</w:t>
      </w:r>
      <w:r>
        <w:rPr>
          <w:rFonts w:ascii="Times New Roman" w:hAnsi="Times New Roman" w:cs="Times New Roman"/>
          <w:i/>
          <w:noProof/>
          <w:sz w:val="24"/>
          <w:lang w:val="en-IE"/>
        </w:rPr>
        <w:t xml:space="preserve"> </w:t>
      </w:r>
      <w:r>
        <w:rPr>
          <w:rFonts w:ascii="Times New Roman" w:hAnsi="Times New Roman" w:cs="Times New Roman"/>
          <w:i/>
          <w:noProof/>
          <w:sz w:val="24"/>
          <w:lang w:val="en-IE"/>
        </w:rPr>
        <w:t>of the toolbox based on a structured reporting by Member States;</w:t>
      </w:r>
    </w:p>
    <w:p w:rsidR="00303A65" w:rsidRDefault="00CE7F93">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i/>
          <w:noProof/>
          <w:sz w:val="24"/>
          <w:lang w:val="en-IE"/>
        </w:rPr>
      </w:pPr>
      <w:r>
        <w:rPr>
          <w:rFonts w:ascii="Times New Roman" w:hAnsi="Times New Roman" w:cs="Times New Roman"/>
          <w:i/>
          <w:noProof/>
          <w:sz w:val="24"/>
          <w:lang w:val="en-IE"/>
        </w:rPr>
        <w:t></w:t>
      </w:r>
      <w:r>
        <w:rPr>
          <w:rFonts w:ascii="Times New Roman" w:hAnsi="Times New Roman" w:cs="Times New Roman"/>
          <w:i/>
          <w:noProof/>
          <w:sz w:val="24"/>
          <w:lang w:val="en-IE"/>
        </w:rPr>
        <w:tab/>
        <w:t xml:space="preserve">Coordinate and support the implementation of </w:t>
      </w:r>
      <w:r>
        <w:rPr>
          <w:rFonts w:ascii="Times New Roman" w:hAnsi="Times New Roman" w:cs="Times New Roman"/>
          <w:b/>
          <w:i/>
          <w:noProof/>
          <w:sz w:val="24"/>
          <w:lang w:val="en-IE"/>
        </w:rPr>
        <w:t>supporting actions</w:t>
      </w:r>
      <w:r>
        <w:rPr>
          <w:rFonts w:ascii="Times New Roman" w:hAnsi="Times New Roman" w:cs="Times New Roman"/>
          <w:i/>
          <w:noProof/>
          <w:sz w:val="24"/>
          <w:lang w:val="en-IE"/>
        </w:rPr>
        <w:t>, which require cooperation at EU level, in particular regarding the elaboration of guidance and exchange of best practices on</w:t>
      </w:r>
      <w:r>
        <w:rPr>
          <w:rFonts w:ascii="Times New Roman" w:hAnsi="Times New Roman" w:cs="Times New Roman"/>
          <w:i/>
          <w:noProof/>
          <w:sz w:val="24"/>
          <w:lang w:val="en-IE"/>
        </w:rPr>
        <w:t xml:space="preserve"> the various measures;</w:t>
      </w:r>
    </w:p>
    <w:p w:rsidR="00303A65" w:rsidRDefault="00CE7F93">
      <w:pPr>
        <w:pStyle w:val="Briefingtext"/>
        <w:pBdr>
          <w:top w:val="single" w:sz="4" w:space="1" w:color="auto"/>
          <w:left w:val="single" w:sz="4" w:space="4" w:color="auto"/>
          <w:bottom w:val="single" w:sz="4" w:space="1" w:color="auto"/>
          <w:right w:val="single" w:sz="4" w:space="4" w:color="auto"/>
        </w:pBdr>
        <w:shd w:val="clear" w:color="auto" w:fill="FFFFFF" w:themeFill="background1"/>
        <w:suppressAutoHyphens/>
        <w:rPr>
          <w:rFonts w:ascii="Times New Roman" w:hAnsi="Times New Roman" w:cs="Times New Roman"/>
          <w:b/>
          <w:i/>
          <w:noProof/>
          <w:sz w:val="24"/>
          <w:lang w:val="en-IE"/>
        </w:rPr>
      </w:pPr>
      <w:r>
        <w:rPr>
          <w:rFonts w:ascii="Times New Roman" w:hAnsi="Times New Roman" w:cs="Times New Roman"/>
          <w:i/>
          <w:noProof/>
          <w:sz w:val="24"/>
          <w:lang w:val="en-IE"/>
        </w:rPr>
        <w:t></w:t>
      </w:r>
      <w:r>
        <w:rPr>
          <w:rFonts w:ascii="Times New Roman" w:hAnsi="Times New Roman" w:cs="Times New Roman"/>
          <w:i/>
          <w:noProof/>
          <w:sz w:val="24"/>
          <w:lang w:val="en-IE"/>
        </w:rPr>
        <w:tab/>
        <w:t xml:space="preserve">Support further possible coordination at EU-level where appropriate, in particular to bring further convergence as </w:t>
      </w:r>
      <w:r>
        <w:rPr>
          <w:rFonts w:ascii="Times New Roman" w:hAnsi="Times New Roman" w:cs="Times New Roman"/>
          <w:b/>
          <w:i/>
          <w:noProof/>
          <w:sz w:val="24"/>
          <w:lang w:val="en-IE"/>
        </w:rPr>
        <w:t>regards technical and organisational security requirements for network operators.</w:t>
      </w:r>
    </w:p>
    <w:p w:rsidR="00303A65" w:rsidRDefault="00CE7F93">
      <w:pPr>
        <w:jc w:val="both"/>
        <w:rPr>
          <w:rFonts w:eastAsia="Times New Roman"/>
          <w:noProof/>
          <w:lang w:val="en-US"/>
        </w:rPr>
      </w:pPr>
      <w:r>
        <w:rPr>
          <w:rFonts w:eastAsia="Times New Roman"/>
          <w:noProof/>
          <w:lang w:val="en-US"/>
        </w:rPr>
        <w:t>Source: EU toolbox.</w:t>
      </w:r>
    </w:p>
    <w:p w:rsidR="00303A65" w:rsidRDefault="00303A65">
      <w:pPr>
        <w:jc w:val="both"/>
        <w:rPr>
          <w:rFonts w:eastAsia="Times New Roman"/>
          <w:noProof/>
          <w:lang w:val="en-US"/>
        </w:rPr>
      </w:pPr>
    </w:p>
    <w:p w:rsidR="00303A65" w:rsidRDefault="00CE7F93">
      <w:pPr>
        <w:jc w:val="both"/>
        <w:rPr>
          <w:rFonts w:eastAsia="Times New Roman"/>
          <w:noProof/>
          <w:lang w:val="en-US"/>
        </w:rPr>
      </w:pPr>
      <w:r>
        <w:rPr>
          <w:rFonts w:eastAsia="Times New Roman"/>
          <w:iCs/>
          <w:noProof/>
          <w:lang w:val="en-US"/>
        </w:rPr>
        <w:t>The toolbox c</w:t>
      </w:r>
      <w:r>
        <w:rPr>
          <w:rFonts w:eastAsia="Times New Roman"/>
          <w:iCs/>
          <w:noProof/>
          <w:lang w:val="en-US"/>
        </w:rPr>
        <w:t xml:space="preserve">onclusions demonstrate the strong resolve of Member States to jointly respond to the security challenges of 5G networks. This is of fundamental importance for security within Member States and EU-wide, for national economies as well as for the EU internal </w:t>
      </w:r>
      <w:r>
        <w:rPr>
          <w:rFonts w:eastAsia="Times New Roman"/>
          <w:iCs/>
          <w:noProof/>
          <w:lang w:val="en-US"/>
        </w:rPr>
        <w:t>market and Europe’s technological sovereignty.</w:t>
      </w:r>
      <w:r>
        <w:rPr>
          <w:rFonts w:eastAsia="Times New Roman"/>
          <w:noProof/>
          <w:lang w:val="en-US"/>
        </w:rPr>
        <w:t xml:space="preserve"> Both the EU coordinated risk assessment and the EU toolbox show the high value of the collective work done in the NIS Cooperation Group, with the intensive collaboration between representatives from all Member</w:t>
      </w:r>
      <w:r>
        <w:rPr>
          <w:rFonts w:eastAsia="Times New Roman"/>
          <w:noProof/>
          <w:lang w:val="en-US"/>
        </w:rPr>
        <w:t xml:space="preserve"> States, the Commission and ENISA.</w:t>
      </w:r>
    </w:p>
    <w:p w:rsidR="00303A65" w:rsidRDefault="00303A65">
      <w:pPr>
        <w:jc w:val="both"/>
        <w:rPr>
          <w:rFonts w:eastAsia="Times New Roman"/>
          <w:noProof/>
          <w:lang w:val="en-US"/>
        </w:rPr>
      </w:pPr>
    </w:p>
    <w:p w:rsidR="00303A65" w:rsidRDefault="00CE7F93">
      <w:pPr>
        <w:jc w:val="both"/>
        <w:rPr>
          <w:rFonts w:eastAsia="Times New Roman"/>
          <w:noProof/>
          <w:lang w:val="en-IE"/>
        </w:rPr>
      </w:pPr>
      <w:r>
        <w:rPr>
          <w:rFonts w:eastAsia="Times New Roman"/>
          <w:noProof/>
          <w:lang w:val="en-US"/>
        </w:rPr>
        <w:t>The toolbox enables a common EU approach to 5G cybersecurity, supporting consistency across the internal market through EU policies and coordination, as well as the exercise of Member States' competences notably regardin</w:t>
      </w:r>
      <w:r>
        <w:rPr>
          <w:rFonts w:eastAsia="Times New Roman"/>
          <w:noProof/>
          <w:lang w:val="en-US"/>
        </w:rPr>
        <w:t>g national security. The mitigating measures and mitigation plans it contains allow for an appropriate, effective and proportionate EU response to common 5G cybersecurity challenges.</w:t>
      </w:r>
    </w:p>
    <w:p w:rsidR="00303A65" w:rsidRDefault="00303A65">
      <w:pPr>
        <w:jc w:val="both"/>
        <w:rPr>
          <w:rFonts w:eastAsia="Times New Roman"/>
          <w:noProof/>
          <w:lang w:val="en-US"/>
        </w:rPr>
      </w:pPr>
    </w:p>
    <w:p w:rsidR="00303A65" w:rsidRDefault="00CE7F93">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both"/>
        <w:rPr>
          <w:rFonts w:eastAsia="Times New Roman"/>
          <w:noProof/>
          <w:lang w:val="en-US"/>
        </w:rPr>
      </w:pPr>
      <w:r>
        <w:rPr>
          <w:rFonts w:eastAsia="Times New Roman"/>
          <w:noProof/>
          <w:lang w:val="en-US"/>
        </w:rPr>
        <w:t xml:space="preserve">The Commission welcomes the publication of the EU toolbox on 5G cybersecurity and fully supports all its above conclusions. </w:t>
      </w:r>
    </w:p>
    <w:p w:rsidR="00303A65" w:rsidRDefault="00CE7F93">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both"/>
        <w:rPr>
          <w:rFonts w:eastAsia="Times New Roman"/>
          <w:noProof/>
          <w:lang w:val="en-US"/>
        </w:rPr>
      </w:pPr>
      <w:r>
        <w:rPr>
          <w:rFonts w:eastAsia="Times New Roman"/>
          <w:noProof/>
          <w:lang w:val="en-US"/>
        </w:rPr>
        <w:t>The Commission calls on Member States and relevant Union institutions, agencies and other bodies to:</w:t>
      </w:r>
    </w:p>
    <w:p w:rsidR="00303A65" w:rsidRDefault="00CE7F93">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both"/>
        <w:rPr>
          <w:rFonts w:eastAsia="Times New Roman"/>
          <w:noProof/>
          <w:lang w:val="en-US"/>
        </w:rPr>
      </w:pPr>
      <w:r>
        <w:rPr>
          <w:rFonts w:eastAsia="Times New Roman"/>
          <w:noProof/>
          <w:lang w:val="en-US"/>
        </w:rPr>
        <w:t>(i) ensure the swift implement</w:t>
      </w:r>
      <w:r>
        <w:rPr>
          <w:rFonts w:eastAsia="Times New Roman"/>
          <w:noProof/>
          <w:lang w:val="en-US"/>
        </w:rPr>
        <w:t xml:space="preserve">ation of effective and appropriate risk mitigating strategies across the EU in line with the EU toolbox, and </w:t>
      </w:r>
    </w:p>
    <w:p w:rsidR="00303A65" w:rsidRDefault="00CE7F93">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both"/>
        <w:rPr>
          <w:noProof/>
          <w:lang w:val="en-IE"/>
        </w:rPr>
      </w:pPr>
      <w:r>
        <w:rPr>
          <w:rFonts w:eastAsia="Times New Roman"/>
          <w:noProof/>
          <w:lang w:val="en-US"/>
        </w:rPr>
        <w:t>(ii) take all necessary further steps to ensure coordination at Union level, including through continued work within the NIS Cooperation Group and</w:t>
      </w:r>
      <w:r>
        <w:rPr>
          <w:rFonts w:eastAsia="Times New Roman"/>
          <w:noProof/>
          <w:lang w:val="en-US"/>
        </w:rPr>
        <w:t xml:space="preserve"> setting up a robust mechanism to monitor the implementation of the EU toolbox,</w:t>
      </w:r>
      <w:r>
        <w:rPr>
          <w:noProof/>
          <w:lang w:val="en-IE"/>
        </w:rPr>
        <w:t xml:space="preserve"> in order to ensure the effectiveness of the measures and the smooth functioning of the internal market. </w:t>
      </w:r>
    </w:p>
    <w:p w:rsidR="00303A65" w:rsidRDefault="00303A65">
      <w:pPr>
        <w:spacing w:after="240"/>
        <w:jc w:val="both"/>
        <w:rPr>
          <w:rFonts w:eastAsia="Times New Roman"/>
          <w:b/>
          <w:noProof/>
          <w:lang w:val="en-IE"/>
        </w:rPr>
      </w:pPr>
    </w:p>
    <w:p w:rsidR="00303A65" w:rsidRDefault="00CE7F93">
      <w:pPr>
        <w:spacing w:after="240"/>
        <w:jc w:val="both"/>
        <w:rPr>
          <w:rFonts w:eastAsia="Times New Roman"/>
          <w:b/>
          <w:i/>
          <w:noProof/>
          <w:u w:val="single"/>
          <w:lang w:val="en-IE"/>
        </w:rPr>
      </w:pPr>
      <w:r>
        <w:rPr>
          <w:rFonts w:eastAsia="Times New Roman"/>
          <w:b/>
          <w:i/>
          <w:noProof/>
          <w:u w:val="single"/>
          <w:lang w:val="en-IE"/>
        </w:rPr>
        <w:t>5. Implementing the toolbox</w:t>
      </w:r>
    </w:p>
    <w:p w:rsidR="00303A65" w:rsidRDefault="00CE7F93">
      <w:pPr>
        <w:spacing w:after="240"/>
        <w:jc w:val="both"/>
        <w:rPr>
          <w:rFonts w:eastAsia="Times New Roman"/>
          <w:iCs/>
          <w:noProof/>
          <w:lang w:val="en-US"/>
        </w:rPr>
      </w:pPr>
      <w:r>
        <w:rPr>
          <w:rFonts w:eastAsia="Times New Roman"/>
          <w:iCs/>
          <w:noProof/>
          <w:lang w:val="en-IE"/>
        </w:rPr>
        <w:t>T</w:t>
      </w:r>
      <w:r>
        <w:rPr>
          <w:rFonts w:eastAsia="Times New Roman"/>
          <w:iCs/>
          <w:noProof/>
          <w:lang w:val="en-US"/>
        </w:rPr>
        <w:t xml:space="preserve">he determination of Member States in making full use of the toolbox is essential for a credible and successful European approach to 5G security. While Member States will decide on the suitability of a particular measure based on national circumstances, it </w:t>
      </w:r>
      <w:r>
        <w:rPr>
          <w:rFonts w:eastAsia="Times New Roman"/>
          <w:iCs/>
          <w:noProof/>
          <w:lang w:val="en-US"/>
        </w:rPr>
        <w:t xml:space="preserve">is absolutely essential that a </w:t>
      </w:r>
      <w:r>
        <w:rPr>
          <w:rFonts w:eastAsia="Times New Roman"/>
          <w:b/>
          <w:iCs/>
          <w:noProof/>
          <w:lang w:val="en-US"/>
        </w:rPr>
        <w:t xml:space="preserve">set of key measures, as recommended by the NIS Cooperation Group (see toolbox conclusions above), is put in place in every Member State and, for some of the measures, at EU level, </w:t>
      </w:r>
      <w:r>
        <w:rPr>
          <w:rFonts w:eastAsia="Times New Roman"/>
          <w:iCs/>
          <w:noProof/>
          <w:lang w:val="en-US"/>
        </w:rPr>
        <w:t>in order</w:t>
      </w:r>
      <w:r>
        <w:rPr>
          <w:rFonts w:eastAsia="Times New Roman"/>
          <w:b/>
          <w:iCs/>
          <w:noProof/>
          <w:lang w:val="en-US"/>
        </w:rPr>
        <w:t xml:space="preserve"> </w:t>
      </w:r>
      <w:r>
        <w:rPr>
          <w:rFonts w:eastAsia="Times New Roman"/>
          <w:iCs/>
          <w:noProof/>
          <w:lang w:val="en-US"/>
        </w:rPr>
        <w:t xml:space="preserve">to address the risks that have been </w:t>
      </w:r>
      <w:r>
        <w:rPr>
          <w:rFonts w:eastAsia="Times New Roman"/>
          <w:iCs/>
          <w:noProof/>
          <w:lang w:val="en-US"/>
        </w:rPr>
        <w:t>identified. </w:t>
      </w:r>
    </w:p>
    <w:p w:rsidR="00303A65" w:rsidRDefault="00CE7F93">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rFonts w:eastAsia="Times New Roman"/>
          <w:noProof/>
          <w:lang w:val="en-US"/>
        </w:rPr>
      </w:pPr>
      <w:r>
        <w:rPr>
          <w:rFonts w:eastAsia="Times New Roman"/>
          <w:noProof/>
          <w:lang w:val="en-US"/>
        </w:rPr>
        <w:t>The Commission is ready to continue to provide its full support during the next phases and calls on</w:t>
      </w:r>
      <w:r>
        <w:rPr>
          <w:noProof/>
          <w:lang w:val="en-IE"/>
        </w:rPr>
        <w:t xml:space="preserve"> Member States</w:t>
      </w:r>
      <w:r>
        <w:rPr>
          <w:rFonts w:eastAsia="Times New Roman"/>
          <w:noProof/>
          <w:lang w:val="en-US"/>
        </w:rPr>
        <w:t>:</w:t>
      </w:r>
    </w:p>
    <w:p w:rsidR="00303A65" w:rsidRDefault="00CE7F93">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noProof/>
          <w:lang w:val="en-IE"/>
        </w:rPr>
      </w:pPr>
      <w:r>
        <w:rPr>
          <w:noProof/>
          <w:lang w:val="en-US"/>
        </w:rPr>
        <w:t xml:space="preserve">- </w:t>
      </w:r>
      <w:r>
        <w:rPr>
          <w:b/>
          <w:noProof/>
          <w:lang w:val="en-IE"/>
        </w:rPr>
        <w:t xml:space="preserve">by 30 April 2020, </w:t>
      </w:r>
      <w:r>
        <w:rPr>
          <w:noProof/>
          <w:lang w:val="en-IE"/>
        </w:rPr>
        <w:t>to</w:t>
      </w:r>
      <w:r>
        <w:rPr>
          <w:b/>
          <w:noProof/>
          <w:lang w:val="en-IE"/>
        </w:rPr>
        <w:t xml:space="preserve"> </w:t>
      </w:r>
      <w:r>
        <w:rPr>
          <w:noProof/>
          <w:lang w:val="en-IE"/>
        </w:rPr>
        <w:t>take concrete and measurable steps to implement the set of key measures recommended in the EU toolbox con</w:t>
      </w:r>
      <w:r>
        <w:rPr>
          <w:noProof/>
          <w:lang w:val="en-IE"/>
        </w:rPr>
        <w:t xml:space="preserve">clusions;  </w:t>
      </w:r>
    </w:p>
    <w:p w:rsidR="00303A65" w:rsidRDefault="00CE7F93">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noProof/>
          <w:lang w:val="en-US"/>
        </w:rPr>
      </w:pPr>
      <w:r>
        <w:rPr>
          <w:rFonts w:eastAsia="Times New Roman"/>
          <w:noProof/>
          <w:lang w:val="en-US"/>
        </w:rPr>
        <w:t xml:space="preserve">- </w:t>
      </w:r>
      <w:r>
        <w:rPr>
          <w:rFonts w:eastAsia="Times New Roman"/>
          <w:b/>
          <w:noProof/>
          <w:lang w:val="en-US"/>
        </w:rPr>
        <w:t xml:space="preserve">by 30 June 2020, </w:t>
      </w:r>
      <w:r>
        <w:rPr>
          <w:rFonts w:eastAsia="Times New Roman"/>
          <w:noProof/>
          <w:lang w:val="en-US"/>
        </w:rPr>
        <w:t>to</w:t>
      </w:r>
      <w:r>
        <w:rPr>
          <w:rFonts w:eastAsia="Times New Roman"/>
          <w:b/>
          <w:noProof/>
          <w:lang w:val="en-US"/>
        </w:rPr>
        <w:t xml:space="preserve"> </w:t>
      </w:r>
      <w:r>
        <w:rPr>
          <w:rFonts w:eastAsia="Times New Roman"/>
          <w:noProof/>
          <w:lang w:val="en-US"/>
        </w:rPr>
        <w:t>prepare a report by the NIS Cooperation Group on the state of implementation in each Member States of these key measures , based on the regular reporting and monitoring carried out notably within the NIS Cooperation Group,</w:t>
      </w:r>
      <w:r>
        <w:rPr>
          <w:rFonts w:eastAsia="Times New Roman"/>
          <w:noProof/>
          <w:lang w:val="en-US"/>
        </w:rPr>
        <w:t xml:space="preserve"> with the support of the Commission and ENISA. </w:t>
      </w:r>
    </w:p>
    <w:p w:rsidR="00303A65" w:rsidRDefault="00CE7F93">
      <w:pPr>
        <w:spacing w:after="240"/>
        <w:jc w:val="both"/>
        <w:rPr>
          <w:rFonts w:eastAsia="Times New Roman"/>
          <w:i/>
          <w:noProof/>
          <w:u w:val="single"/>
          <w:lang w:val="en-US"/>
        </w:rPr>
      </w:pPr>
      <w:r>
        <w:rPr>
          <w:rFonts w:eastAsia="Times New Roman"/>
          <w:i/>
          <w:noProof/>
          <w:u w:val="single"/>
          <w:lang w:val="en-US"/>
        </w:rPr>
        <w:t>5.1. A risk-based, concerted approach to 5G suppliers</w:t>
      </w:r>
    </w:p>
    <w:p w:rsidR="00303A65" w:rsidRDefault="00CE7F93">
      <w:pPr>
        <w:spacing w:after="240"/>
        <w:jc w:val="both"/>
        <w:rPr>
          <w:rFonts w:eastAsia="Times New Roman"/>
          <w:iCs/>
          <w:noProof/>
          <w:lang w:val="en-US"/>
        </w:rPr>
      </w:pPr>
      <w:r>
        <w:rPr>
          <w:rFonts w:eastAsia="Times New Roman"/>
          <w:iCs/>
          <w:noProof/>
          <w:lang w:val="en-US"/>
        </w:rPr>
        <w:t>Given the ultimate objective to ensure the security and resilience of the 5G networks and their sustainability, Member States agreed on the need to assess</w:t>
      </w:r>
      <w:r>
        <w:rPr>
          <w:rFonts w:eastAsia="Times New Roman"/>
          <w:iCs/>
          <w:noProof/>
          <w:lang w:val="en-US"/>
        </w:rPr>
        <w:t xml:space="preserve"> the risk profile of individual suppliers and, as a consequence to apply relevant restrictions for suppliers considered to be high risk, including necessary exclusions to effectively mitigate risks, for key assets, as indicated in the toolbox</w:t>
      </w:r>
      <w:r>
        <w:rPr>
          <w:rFonts w:eastAsia="Times New Roman"/>
          <w:i/>
          <w:iCs/>
          <w:noProof/>
          <w:lang w:val="en-US"/>
        </w:rPr>
        <w:t>.</w:t>
      </w:r>
      <w:r>
        <w:rPr>
          <w:rFonts w:eastAsia="Times New Roman"/>
          <w:iCs/>
          <w:noProof/>
          <w:lang w:val="en-US"/>
        </w:rPr>
        <w:t xml:space="preserve"> The Commissi</w:t>
      </w:r>
      <w:r>
        <w:rPr>
          <w:rFonts w:eastAsia="Times New Roman"/>
          <w:iCs/>
          <w:noProof/>
          <w:lang w:val="en-US"/>
        </w:rPr>
        <w:t>on is ready to support the Member States in implementing these measures.</w:t>
      </w:r>
    </w:p>
    <w:p w:rsidR="00303A65" w:rsidRDefault="00CE7F93">
      <w:pPr>
        <w:spacing w:after="240"/>
        <w:jc w:val="both"/>
        <w:rPr>
          <w:rFonts w:eastAsia="Times New Roman"/>
          <w:iCs/>
          <w:noProof/>
          <w:lang w:val="en-US"/>
        </w:rPr>
      </w:pPr>
      <w:r>
        <w:rPr>
          <w:rFonts w:eastAsia="Times New Roman"/>
          <w:iCs/>
          <w:noProof/>
          <w:lang w:val="en-US"/>
        </w:rPr>
        <w:t>To support their implementation across the EU, the EU coordinated risk assessment and the EU toolbox provide guidance regarding (1) the assessment of the risk profile of suppliers</w:t>
      </w:r>
      <w:r>
        <w:rPr>
          <w:rStyle w:val="FootnoteReference"/>
          <w:rFonts w:eastAsia="Times New Roman"/>
          <w:iCs/>
          <w:noProof/>
          <w:lang w:val="en-US"/>
        </w:rPr>
        <w:footnoteReference w:id="18"/>
      </w:r>
      <w:r>
        <w:rPr>
          <w:rFonts w:eastAsia="Times New Roman"/>
          <w:iCs/>
          <w:noProof/>
          <w:lang w:val="en-US"/>
        </w:rPr>
        <w:t xml:space="preserve"> an</w:t>
      </w:r>
      <w:r>
        <w:rPr>
          <w:rFonts w:eastAsia="Times New Roman"/>
          <w:iCs/>
          <w:noProof/>
          <w:lang w:val="en-US"/>
        </w:rPr>
        <w:t>d (2) the sensitivity of network elements and functions</w:t>
      </w:r>
      <w:r>
        <w:rPr>
          <w:rStyle w:val="FootnoteReference"/>
          <w:rFonts w:eastAsia="Times New Roman"/>
          <w:iCs/>
          <w:noProof/>
          <w:lang w:val="en-US"/>
        </w:rPr>
        <w:footnoteReference w:id="19"/>
      </w:r>
      <w:r>
        <w:rPr>
          <w:rFonts w:eastAsia="Times New Roman"/>
          <w:iCs/>
          <w:noProof/>
          <w:lang w:val="en-US"/>
        </w:rPr>
        <w:t>, as well as other assets. Both the EU coordinated risk assessment and the toolbox measures cover the risks related to the suppliers of 5G network equipment and network services. They do not cover the</w:t>
      </w:r>
      <w:r>
        <w:rPr>
          <w:rFonts w:eastAsia="Times New Roman"/>
          <w:iCs/>
          <w:noProof/>
          <w:lang w:val="en-US"/>
        </w:rPr>
        <w:t xml:space="preserve"> other products or services that these or other suppliers may provide. </w:t>
      </w:r>
    </w:p>
    <w:p w:rsidR="00303A65" w:rsidRDefault="00CE7F93">
      <w:pPr>
        <w:spacing w:after="240"/>
        <w:jc w:val="both"/>
        <w:rPr>
          <w:rFonts w:eastAsia="Times New Roman"/>
          <w:noProof/>
          <w:lang w:val="en-IE"/>
        </w:rPr>
      </w:pPr>
      <w:r>
        <w:rPr>
          <w:rFonts w:eastAsia="Times New Roman"/>
          <w:noProof/>
          <w:lang w:val="en-IE"/>
        </w:rPr>
        <w:t>As defined in paragraph 2.37 of the EU coordinated risk assessment, the risk profiles of individual suppliers can be assessed on the basis of several factors.</w:t>
      </w:r>
    </w:p>
    <w:p w:rsidR="00303A65" w:rsidRDefault="00CE7F93">
      <w:pPr>
        <w:jc w:val="both"/>
        <w:rPr>
          <w:rFonts w:eastAsia="Times New Roman"/>
          <w:iCs/>
          <w:noProof/>
          <w:lang w:val="en-IE"/>
        </w:rPr>
      </w:pPr>
      <w:r>
        <w:rPr>
          <w:noProof/>
          <w:lang w:val="en-IE"/>
        </w:rPr>
        <w:t xml:space="preserve">The assessment of the risk profiles of suppliers should be conducted solely on security grounds and based on objective criteria. In order </w:t>
      </w:r>
      <w:r>
        <w:rPr>
          <w:rFonts w:eastAsia="Times New Roman"/>
          <w:iCs/>
          <w:noProof/>
          <w:lang w:val="en-IE"/>
        </w:rPr>
        <w:t>to facilitate a coordinated approach on the implementation of these measures, the toolbox recommends that Member State</w:t>
      </w:r>
      <w:r>
        <w:rPr>
          <w:rFonts w:eastAsia="Times New Roman"/>
          <w:iCs/>
          <w:noProof/>
          <w:lang w:val="en-IE"/>
        </w:rPr>
        <w:t>s exchange information about national approaches and best practices. Furthermore, it is the Commission’s view that this action should be one of the first priorities of the next phase of the work within the NIS Cooperation Group, together with the Commissio</w:t>
      </w:r>
      <w:r>
        <w:rPr>
          <w:rFonts w:eastAsia="Times New Roman"/>
          <w:iCs/>
          <w:noProof/>
          <w:lang w:val="en-IE"/>
        </w:rPr>
        <w:t xml:space="preserve">n and ENISA. </w:t>
      </w:r>
    </w:p>
    <w:p w:rsidR="00303A65" w:rsidRDefault="00303A65">
      <w:pPr>
        <w:jc w:val="both"/>
        <w:rPr>
          <w:rFonts w:eastAsia="Times New Roman"/>
          <w:iCs/>
          <w:noProof/>
          <w:lang w:val="en-IE"/>
        </w:rPr>
      </w:pPr>
    </w:p>
    <w:p w:rsidR="00303A65" w:rsidRDefault="00CE7F93">
      <w:pPr>
        <w:jc w:val="both"/>
        <w:rPr>
          <w:rFonts w:eastAsia="Times New Roman"/>
          <w:iCs/>
          <w:noProof/>
          <w:lang w:val="en-US"/>
        </w:rPr>
      </w:pPr>
      <w:r>
        <w:rPr>
          <w:rFonts w:eastAsia="Times New Roman"/>
          <w:iCs/>
          <w:noProof/>
          <w:lang w:val="en-IE"/>
        </w:rPr>
        <w:t>It is</w:t>
      </w:r>
      <w:r>
        <w:rPr>
          <w:rFonts w:eastAsia="Times New Roman"/>
          <w:iCs/>
          <w:noProof/>
          <w:lang w:val="en-US"/>
        </w:rPr>
        <w:t xml:space="preserve"> important that restrictions concerning suppliers considered to be high risk, including necessary exclusions to effectively mitigate risks, as well as measures to avoid dependency on these suppliers, are taken in a timely manner. Doing so at the earliest s</w:t>
      </w:r>
      <w:r>
        <w:rPr>
          <w:rFonts w:eastAsia="Times New Roman"/>
          <w:iCs/>
          <w:noProof/>
          <w:lang w:val="en-US"/>
        </w:rPr>
        <w:t>tage, including where possible in relation to the 5G frequencies licensing processes, will also increase predictability for market operators, thereby contributing to a swift roll-out of 5G networks, and will ensure the  long-term security of 5G networks an</w:t>
      </w:r>
      <w:r>
        <w:rPr>
          <w:rFonts w:eastAsia="Times New Roman"/>
          <w:iCs/>
          <w:noProof/>
          <w:lang w:val="en-US"/>
        </w:rPr>
        <w:t xml:space="preserve">d resilience  of the 5G supply chain. </w:t>
      </w:r>
    </w:p>
    <w:p w:rsidR="00303A65" w:rsidRDefault="00303A65">
      <w:pPr>
        <w:jc w:val="both"/>
        <w:rPr>
          <w:rFonts w:eastAsia="Times New Roman"/>
          <w:iCs/>
          <w:noProof/>
          <w:lang w:val="en-US"/>
        </w:rPr>
      </w:pPr>
    </w:p>
    <w:p w:rsidR="00303A65" w:rsidRDefault="00CE7F93">
      <w:pPr>
        <w:jc w:val="both"/>
        <w:rPr>
          <w:rFonts w:eastAsia="Times New Roman"/>
          <w:iCs/>
          <w:noProof/>
          <w:lang w:val="en-US"/>
        </w:rPr>
      </w:pPr>
      <w:r>
        <w:rPr>
          <w:rFonts w:eastAsia="Times New Roman"/>
          <w:iCs/>
          <w:noProof/>
          <w:lang w:val="en-US"/>
        </w:rPr>
        <w:t>At the same time, the national implementation of these measures may specify different timeframes, where necessary and justified, in particular in case of a high degree of existing reliance on equipment or services fr</w:t>
      </w:r>
      <w:r>
        <w:rPr>
          <w:rFonts w:eastAsia="Times New Roman"/>
          <w:iCs/>
          <w:noProof/>
          <w:lang w:val="en-US"/>
        </w:rPr>
        <w:t>om suppliers assessed to be high risk (</w:t>
      </w:r>
      <w:r>
        <w:rPr>
          <w:noProof/>
          <w:lang w:val="en-US"/>
        </w:rPr>
        <w:t>e.g. by taking into account equipment upgrade cycles, in particular the migration from ‘non stand-alone’ to ‘stand-alone’ 5G networks)</w:t>
      </w:r>
      <w:r>
        <w:rPr>
          <w:rFonts w:eastAsia="Times New Roman"/>
          <w:iCs/>
          <w:noProof/>
          <w:lang w:val="en-US"/>
        </w:rPr>
        <w:t>. Member States could consider defining implementation plans that might include app</w:t>
      </w:r>
      <w:r>
        <w:rPr>
          <w:rFonts w:eastAsia="Times New Roman"/>
          <w:iCs/>
          <w:noProof/>
          <w:lang w:val="en-US"/>
        </w:rPr>
        <w:t>ropriate transition periods for concerned network operators. In this context, transition periods should be defined in such a manner as to preserve or even strengthen incentives to invest in modern network equipment, including accelerating the deployment of</w:t>
      </w:r>
      <w:r>
        <w:rPr>
          <w:rFonts w:eastAsia="Times New Roman"/>
          <w:iCs/>
          <w:noProof/>
          <w:lang w:val="en-US"/>
        </w:rPr>
        <w:t xml:space="preserve"> fully-fledged (‘stand-alone’) 5G core networks and replacing existing 4G equipment in other parts of the networks (</w:t>
      </w:r>
      <w:r>
        <w:rPr>
          <w:rFonts w:eastAsia="Times New Roman"/>
          <w:noProof/>
          <w:lang w:val="en-US"/>
        </w:rPr>
        <w:t>e.g. in the Radio Access Network)</w:t>
      </w:r>
      <w:r>
        <w:rPr>
          <w:rFonts w:eastAsia="Times New Roman"/>
          <w:iCs/>
          <w:noProof/>
          <w:lang w:val="en-US"/>
        </w:rPr>
        <w:t>, in line with the objectives of the 5G Action Plan.</w:t>
      </w:r>
      <w:r>
        <w:rPr>
          <w:rStyle w:val="FootnoteReference"/>
          <w:rFonts w:eastAsia="Times New Roman"/>
          <w:iCs/>
          <w:noProof/>
          <w:lang w:val="en-US"/>
        </w:rPr>
        <w:footnoteReference w:id="20"/>
      </w:r>
      <w:r>
        <w:rPr>
          <w:rFonts w:eastAsia="Times New Roman"/>
          <w:iCs/>
          <w:noProof/>
          <w:lang w:val="en-US"/>
        </w:rPr>
        <w:t xml:space="preserve"> </w:t>
      </w:r>
    </w:p>
    <w:p w:rsidR="00303A65" w:rsidRDefault="00303A65">
      <w:pPr>
        <w:jc w:val="both"/>
        <w:rPr>
          <w:rFonts w:eastAsia="Times New Roman"/>
          <w:noProof/>
          <w:lang w:val="en-US" w:eastAsia="en-GB"/>
        </w:rPr>
      </w:pPr>
    </w:p>
    <w:p w:rsidR="00303A65" w:rsidRDefault="00CE7F93">
      <w:pPr>
        <w:jc w:val="both"/>
        <w:rPr>
          <w:noProof/>
          <w:lang w:val="en-US"/>
        </w:rPr>
      </w:pPr>
      <w:r>
        <w:rPr>
          <w:noProof/>
          <w:lang w:val="en-US"/>
        </w:rPr>
        <w:t>Additionally, due to the complexity of the 5G softw</w:t>
      </w:r>
      <w:r>
        <w:rPr>
          <w:noProof/>
          <w:lang w:val="en-US"/>
        </w:rPr>
        <w:t>are-based networks, telecom operators may increasingly rely on third party entities to perform certain tasks, such as the maintenance and upgrade of the 5G networks and software, as well as other outsourced managed services, in addition to the supply of ne</w:t>
      </w:r>
      <w:r>
        <w:rPr>
          <w:noProof/>
          <w:lang w:val="en-US"/>
        </w:rPr>
        <w:t>twork equipment. As described in the EU coordinated risk assessment, this constitutes a source of serious security risk. Particular attention should therefore be paid to this aspect. It is essential that a thorough security assessment is also done of the r</w:t>
      </w:r>
      <w:r>
        <w:rPr>
          <w:noProof/>
          <w:lang w:val="en-US"/>
        </w:rPr>
        <w:t xml:space="preserve">isk profile of the suppliers tasked with these services, in particular when these tasks are not performed in the EU. Appropriate measures should be taken, including </w:t>
      </w:r>
      <w:r>
        <w:rPr>
          <w:noProof/>
          <w:lang w:val="en-IE"/>
        </w:rPr>
        <w:t>applying restrictions in particular in sensitive parts of the 5G networks or</w:t>
      </w:r>
      <w:r>
        <w:rPr>
          <w:noProof/>
          <w:sz w:val="20"/>
          <w:szCs w:val="20"/>
          <w:lang w:val="en-IE"/>
        </w:rPr>
        <w:t xml:space="preserve"> </w:t>
      </w:r>
      <w:r>
        <w:rPr>
          <w:noProof/>
          <w:lang w:val="en-US"/>
        </w:rPr>
        <w:t>necessary excl</w:t>
      </w:r>
      <w:r>
        <w:rPr>
          <w:noProof/>
          <w:lang w:val="en-US"/>
        </w:rPr>
        <w:t>usion of high risk entities in line with the mitigating measures of the toolbox, in order to preserve the long-term integrity of the 5G infrastructure.</w:t>
      </w:r>
    </w:p>
    <w:p w:rsidR="00303A65" w:rsidRDefault="00303A65">
      <w:pPr>
        <w:jc w:val="both"/>
        <w:rPr>
          <w:rFonts w:eastAsia="Times New Roman"/>
          <w:noProof/>
          <w:lang w:val="en-US" w:eastAsia="en-GB"/>
        </w:rPr>
      </w:pPr>
    </w:p>
    <w:p w:rsidR="00303A65" w:rsidRDefault="00CE7F93">
      <w:pPr>
        <w:spacing w:after="240"/>
        <w:jc w:val="both"/>
        <w:rPr>
          <w:rFonts w:eastAsia="Times New Roman"/>
          <w:i/>
          <w:iCs/>
          <w:noProof/>
          <w:u w:val="single"/>
          <w:lang w:val="en-US"/>
        </w:rPr>
      </w:pPr>
      <w:r>
        <w:rPr>
          <w:rFonts w:eastAsia="Times New Roman"/>
          <w:i/>
          <w:iCs/>
          <w:noProof/>
          <w:u w:val="single"/>
          <w:lang w:val="en-US"/>
        </w:rPr>
        <w:t>5.2. The Commission’s role in supporting the toolbox implementation</w:t>
      </w:r>
    </w:p>
    <w:p w:rsidR="00303A65" w:rsidRDefault="00CE7F93">
      <w:pPr>
        <w:spacing w:after="240"/>
        <w:jc w:val="both"/>
        <w:rPr>
          <w:rFonts w:eastAsia="Times New Roman"/>
          <w:noProof/>
          <w:lang w:val="en-US"/>
        </w:rPr>
      </w:pPr>
      <w:r>
        <w:rPr>
          <w:rFonts w:eastAsia="Times New Roman"/>
          <w:noProof/>
          <w:lang w:val="en-US"/>
        </w:rPr>
        <w:t>The Commission will continue suppor</w:t>
      </w:r>
      <w:r>
        <w:rPr>
          <w:rFonts w:eastAsia="Times New Roman"/>
          <w:noProof/>
          <w:lang w:val="en-US"/>
        </w:rPr>
        <w:t xml:space="preserve">ting the implementation of the EU approach on 5G cybersecurity in general, as well as taking specific initiatives in relation to measures and objectives of the toolbox where it can add value. The </w:t>
      </w:r>
      <w:r>
        <w:rPr>
          <w:rFonts w:eastAsia="Times New Roman"/>
          <w:iCs/>
          <w:noProof/>
          <w:lang w:val="en-US"/>
        </w:rPr>
        <w:t>Commission</w:t>
      </w:r>
      <w:r>
        <w:rPr>
          <w:rFonts w:eastAsia="Times New Roman"/>
          <w:noProof/>
          <w:lang w:val="en-US"/>
        </w:rPr>
        <w:t xml:space="preserve"> will make full use of its competences and relevan</w:t>
      </w:r>
      <w:r>
        <w:rPr>
          <w:rFonts w:eastAsia="Times New Roman"/>
          <w:noProof/>
          <w:lang w:val="en-US"/>
        </w:rPr>
        <w:t xml:space="preserve">t instruments to the extent necessary to address the identified security considerations. By doing so, and by acting collectively together with Member States and the private sector, the Commission seeks to support strategic measures that will contribute to </w:t>
      </w:r>
      <w:r>
        <w:rPr>
          <w:rFonts w:eastAsia="Times New Roman"/>
          <w:noProof/>
          <w:lang w:val="en-US"/>
        </w:rPr>
        <w:t xml:space="preserve">ensure EU technology sovereignty and leadership in future development of network technologies, in cybersecurity technologies and all relevant building blocks on which our whole economy and security depend. </w:t>
      </w:r>
    </w:p>
    <w:p w:rsidR="00303A65" w:rsidRDefault="00CE7F93">
      <w:pPr>
        <w:spacing w:after="240"/>
        <w:jc w:val="both"/>
        <w:rPr>
          <w:rFonts w:eastAsia="Times New Roman"/>
          <w:noProof/>
          <w:lang w:val="en-US"/>
        </w:rPr>
      </w:pPr>
      <w:r>
        <w:rPr>
          <w:rFonts w:eastAsia="Times New Roman"/>
          <w:noProof/>
          <w:lang w:val="en-US"/>
        </w:rPr>
        <w:t xml:space="preserve">More specifically, </w:t>
      </w:r>
      <w:r>
        <w:rPr>
          <w:noProof/>
          <w:lang w:val="en-US"/>
        </w:rPr>
        <w:t xml:space="preserve">the Commission will undertake </w:t>
      </w:r>
      <w:r>
        <w:rPr>
          <w:noProof/>
          <w:lang w:val="en-US"/>
        </w:rPr>
        <w:t>the following to ensure implementation of the corresponding mitigating measures in the toolbox in the areas under its competence:</w:t>
      </w:r>
    </w:p>
    <w:p w:rsidR="00303A65" w:rsidRDefault="00CE7F93">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b/>
          <w:noProof/>
          <w:lang w:val="en-US"/>
        </w:rPr>
      </w:pPr>
      <w:r>
        <w:rPr>
          <w:b/>
          <w:noProof/>
          <w:lang w:val="en-US"/>
        </w:rPr>
        <w:t>Safeguarding the cybersecurity of 5G networks and a diverse 5G value chain:</w:t>
      </w:r>
    </w:p>
    <w:p w:rsidR="00303A65" w:rsidRDefault="00CE7F93">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noProof/>
          <w:lang w:val="en-US"/>
        </w:rPr>
      </w:pPr>
      <w:r>
        <w:rPr>
          <w:noProof/>
          <w:lang w:val="en-US"/>
        </w:rPr>
        <w:t>-</w:t>
      </w:r>
      <w:r>
        <w:rPr>
          <w:b/>
          <w:noProof/>
          <w:lang w:val="en-US"/>
        </w:rPr>
        <w:t>Cybersecurity cooperation</w:t>
      </w:r>
      <w:r>
        <w:rPr>
          <w:noProof/>
          <w:lang w:val="en-US"/>
        </w:rPr>
        <w:t xml:space="preserve">: Continue to provide support to Member States for the effective, coordinated and timely implementation of national measures through the NIS Cooperation Group. </w:t>
      </w:r>
    </w:p>
    <w:p w:rsidR="00303A65" w:rsidRDefault="00CE7F93">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noProof/>
          <w:lang w:val="en-US"/>
        </w:rPr>
      </w:pPr>
      <w:r>
        <w:rPr>
          <w:b/>
          <w:noProof/>
          <w:lang w:val="en-US"/>
        </w:rPr>
        <w:t>- Telecoms and cybersecurity rules</w:t>
      </w:r>
      <w:r>
        <w:rPr>
          <w:noProof/>
          <w:lang w:val="en-US"/>
        </w:rPr>
        <w:t xml:space="preserve">: Provide support for the implementation of toolbox measures </w:t>
      </w:r>
      <w:r>
        <w:rPr>
          <w:noProof/>
          <w:lang w:val="en-US"/>
        </w:rPr>
        <w:t>relating to security requirements, notably with regard to relevant provisions under European rules on electronic communications, and consider the added value of possible implementing acts detailing technical and organisational security measures in order to</w:t>
      </w:r>
      <w:r>
        <w:rPr>
          <w:noProof/>
          <w:lang w:val="en-US"/>
        </w:rPr>
        <w:t xml:space="preserve"> complement national rules and enhance the effectiveness and consistency of security measures imposed on the operators.</w:t>
      </w:r>
    </w:p>
    <w:p w:rsidR="00303A65" w:rsidRDefault="00CE7F93">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noProof/>
          <w:lang w:val="en-US"/>
        </w:rPr>
      </w:pPr>
      <w:r>
        <w:rPr>
          <w:noProof/>
          <w:lang w:val="en-US"/>
        </w:rPr>
        <w:t xml:space="preserve">- </w:t>
      </w:r>
      <w:r>
        <w:rPr>
          <w:b/>
          <w:noProof/>
          <w:lang w:val="en-US"/>
        </w:rPr>
        <w:t>Standardisation</w:t>
      </w:r>
      <w:r>
        <w:rPr>
          <w:noProof/>
          <w:lang w:val="en-US"/>
        </w:rPr>
        <w:t>: Take action to help maintain and where needed increase European participation in the respective standardisation bodie</w:t>
      </w:r>
      <w:r>
        <w:rPr>
          <w:noProof/>
          <w:lang w:val="en-US"/>
        </w:rPr>
        <w:t>s, in order to achieve Europe’s security and interoperability objectives. In particular, the Commission will, together with the Member States, assess and promote the technical specifications and standards enabling interoperability between suppliers of 5G e</w:t>
      </w:r>
      <w:r>
        <w:rPr>
          <w:noProof/>
          <w:lang w:val="en-US"/>
        </w:rPr>
        <w:t xml:space="preserve">quipment in different parts of the network, including in legacy networks, to enable a true multi-vendor environment, through for example open, interoperable interfaces.  </w:t>
      </w:r>
    </w:p>
    <w:p w:rsidR="00303A65" w:rsidRDefault="00CE7F93">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noProof/>
          <w:lang w:val="en-US"/>
        </w:rPr>
      </w:pPr>
      <w:r>
        <w:rPr>
          <w:noProof/>
          <w:lang w:val="en-US"/>
        </w:rPr>
        <w:t xml:space="preserve">- </w:t>
      </w:r>
      <w:r>
        <w:rPr>
          <w:b/>
          <w:noProof/>
          <w:lang w:val="en-US"/>
        </w:rPr>
        <w:t>Certification</w:t>
      </w:r>
      <w:r>
        <w:rPr>
          <w:noProof/>
          <w:lang w:val="en-US"/>
        </w:rPr>
        <w:t>: Support the</w:t>
      </w:r>
      <w:r>
        <w:rPr>
          <w:i/>
          <w:noProof/>
          <w:lang w:val="en-US"/>
        </w:rPr>
        <w:t xml:space="preserve"> </w:t>
      </w:r>
      <w:r>
        <w:rPr>
          <w:rFonts w:eastAsia="Times New Roman"/>
          <w:noProof/>
          <w:lang w:val="en-US"/>
        </w:rPr>
        <w:t>development of 5G certification schemes addressing the n</w:t>
      </w:r>
      <w:r>
        <w:rPr>
          <w:rFonts w:eastAsia="Times New Roman"/>
          <w:noProof/>
          <w:lang w:val="en-US"/>
        </w:rPr>
        <w:t>eeds of 5G networks under the EU’s cybersecurity certification framework.</w:t>
      </w:r>
    </w:p>
    <w:p w:rsidR="00303A65" w:rsidRDefault="00CE7F93">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noProof/>
          <w:lang w:val="en-US"/>
        </w:rPr>
      </w:pPr>
      <w:r>
        <w:rPr>
          <w:noProof/>
          <w:lang w:val="en-US"/>
        </w:rPr>
        <w:t xml:space="preserve">- </w:t>
      </w:r>
      <w:r>
        <w:rPr>
          <w:b/>
          <w:noProof/>
          <w:lang w:val="en-US"/>
        </w:rPr>
        <w:t>Foreign Direct Investment (FDI) screening</w:t>
      </w:r>
      <w:r>
        <w:rPr>
          <w:noProof/>
          <w:lang w:val="en-US"/>
        </w:rPr>
        <w:t>: Support the implementation of the EU screening framework by mapping the 5G value chain, including sensitive network assets, and regular m</w:t>
      </w:r>
      <w:r>
        <w:rPr>
          <w:noProof/>
          <w:lang w:val="en-US"/>
        </w:rPr>
        <w:t>onitoring of FDI along the value chain. In line with the FDI screening timeline (as of October 2020), the Commission will scrutinise foreign investments in the 5G area in line with the guidelines provided in Regulation EU2019/452, taking into account the E</w:t>
      </w:r>
      <w:r>
        <w:rPr>
          <w:noProof/>
          <w:lang w:val="en-US"/>
        </w:rPr>
        <w:t xml:space="preserve">U coordinated risk assessment and the EU toolbox. </w:t>
      </w:r>
    </w:p>
    <w:p w:rsidR="00303A65" w:rsidRDefault="00CE7F93">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noProof/>
          <w:lang w:val="en-US"/>
        </w:rPr>
      </w:pPr>
      <w:r>
        <w:rPr>
          <w:b/>
          <w:noProof/>
          <w:lang w:val="en-US"/>
        </w:rPr>
        <w:t>- Trade defense instruments</w:t>
      </w:r>
      <w:r>
        <w:rPr>
          <w:noProof/>
          <w:lang w:val="en-US"/>
        </w:rPr>
        <w:t>: Monitor all relevant market developments in the EU and in third countries, and protect EU actors in the European 5G market with trade defense measures to address potential trad</w:t>
      </w:r>
      <w:r>
        <w:rPr>
          <w:noProof/>
          <w:lang w:val="en-US"/>
        </w:rPr>
        <w:t xml:space="preserve">e distorting practices (dumping or subsidisation), including by launching preliminary enquiries where appropriate. </w:t>
      </w:r>
    </w:p>
    <w:p w:rsidR="00303A65" w:rsidRDefault="00CE7F93">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noProof/>
          <w:lang w:val="en-US"/>
        </w:rPr>
      </w:pPr>
      <w:r>
        <w:rPr>
          <w:b/>
          <w:noProof/>
          <w:lang w:val="en-US"/>
        </w:rPr>
        <w:t xml:space="preserve">- Competition rules: </w:t>
      </w:r>
      <w:r>
        <w:rPr>
          <w:noProof/>
          <w:lang w:val="en-US"/>
        </w:rPr>
        <w:t>Monitor the functioning of the markets for the supply of 5G hardware and software with a view to ensuring that they del</w:t>
      </w:r>
      <w:r>
        <w:rPr>
          <w:noProof/>
          <w:lang w:val="en-US"/>
        </w:rPr>
        <w:t>iver competitive outcomes, including in relation to possible contractual or technical ‘lock-in’ situations.</w:t>
      </w:r>
    </w:p>
    <w:p w:rsidR="00303A65" w:rsidRDefault="00CE7F93">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noProof/>
          <w:lang w:val="en-US"/>
        </w:rPr>
      </w:pPr>
      <w:r>
        <w:rPr>
          <w:noProof/>
          <w:lang w:val="en-US"/>
        </w:rPr>
        <w:t xml:space="preserve">- </w:t>
      </w:r>
      <w:r>
        <w:rPr>
          <w:b/>
          <w:noProof/>
          <w:lang w:val="en-US"/>
        </w:rPr>
        <w:t>EU funding programmes</w:t>
      </w:r>
      <w:r>
        <w:rPr>
          <w:noProof/>
          <w:lang w:val="en-US"/>
        </w:rPr>
        <w:t xml:space="preserve">: Ensure that participation in EU funding programmes in </w:t>
      </w:r>
      <w:r>
        <w:rPr>
          <w:rFonts w:eastAsia="Times New Roman"/>
          <w:noProof/>
          <w:lang w:val="en-US"/>
        </w:rPr>
        <w:t>relevant technology domains will be conditional on compliance with se</w:t>
      </w:r>
      <w:r>
        <w:rPr>
          <w:rFonts w:eastAsia="Times New Roman"/>
          <w:noProof/>
          <w:lang w:val="en-US"/>
        </w:rPr>
        <w:t>curity requirements, by</w:t>
      </w:r>
      <w:r>
        <w:rPr>
          <w:noProof/>
          <w:lang w:val="en-US"/>
        </w:rPr>
        <w:t xml:space="preserve"> making full use of and further implementing security conditions in R&amp;I programmes, in particular in Horizon Europe, the Digital Europe Programme and Connecting Europe Facility 2, in European structural and investment funds and in ot</w:t>
      </w:r>
      <w:r>
        <w:rPr>
          <w:noProof/>
          <w:lang w:val="en-US"/>
        </w:rPr>
        <w:t>her relevant programmes</w:t>
      </w:r>
      <w:r>
        <w:rPr>
          <w:rFonts w:eastAsia="Times New Roman"/>
          <w:noProof/>
          <w:lang w:val="en-US"/>
        </w:rPr>
        <w:t>.</w:t>
      </w:r>
      <w:r>
        <w:rPr>
          <w:rStyle w:val="FootnoteReference"/>
          <w:noProof/>
          <w:lang w:val="en-US"/>
        </w:rPr>
        <w:t xml:space="preserve"> </w:t>
      </w:r>
      <w:r>
        <w:rPr>
          <w:rFonts w:eastAsia="Times New Roman"/>
          <w:noProof/>
          <w:lang w:val="en-US"/>
        </w:rPr>
        <w:t>A similar approach should also be taken in the EU’s external funding programmes and financial instruments</w:t>
      </w:r>
      <w:r>
        <w:rPr>
          <w:noProof/>
          <w:lang w:val="en-US"/>
        </w:rPr>
        <w:t>, including with regard to funding provided through international financial institutions.</w:t>
      </w:r>
    </w:p>
    <w:p w:rsidR="00303A65" w:rsidRDefault="00CE7F93">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noProof/>
          <w:lang w:val="en-US"/>
        </w:rPr>
      </w:pPr>
      <w:r>
        <w:rPr>
          <w:b/>
          <w:noProof/>
          <w:lang w:val="en-US"/>
        </w:rPr>
        <w:t>- Public procurement:</w:t>
      </w:r>
      <w:r>
        <w:rPr>
          <w:noProof/>
          <w:lang w:val="en-US"/>
        </w:rPr>
        <w:t xml:space="preserve"> Leverage publi</w:t>
      </w:r>
      <w:r>
        <w:rPr>
          <w:noProof/>
          <w:lang w:val="en-US"/>
        </w:rPr>
        <w:t>c procurements in the area of 5G networks to support identified objectives of security, diversity of suppliers and long-term sustainability of 5G networks; in particular, seek to ensure the due consideration of security aspects in the awarding of public pr</w:t>
      </w:r>
      <w:r>
        <w:rPr>
          <w:noProof/>
          <w:lang w:val="en-US"/>
        </w:rPr>
        <w:t>ocurement contracts related to the area of 5G networks, in line with the EU public procurement rules.</w:t>
      </w:r>
    </w:p>
    <w:p w:rsidR="00303A65" w:rsidRDefault="00CE7F93">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noProof/>
          <w:lang w:val="en-US"/>
        </w:rPr>
      </w:pPr>
      <w:r>
        <w:rPr>
          <w:b/>
          <w:noProof/>
          <w:lang w:val="en-US"/>
        </w:rPr>
        <w:t>- Incident response and crisis management (Blueprint) and</w:t>
      </w:r>
      <w:r>
        <w:rPr>
          <w:noProof/>
          <w:lang w:val="en-US"/>
        </w:rPr>
        <w:t xml:space="preserve"> </w:t>
      </w:r>
      <w:r>
        <w:rPr>
          <w:b/>
          <w:noProof/>
          <w:lang w:val="en-US"/>
        </w:rPr>
        <w:t>Cyber exercises</w:t>
      </w:r>
      <w:r>
        <w:rPr>
          <w:noProof/>
          <w:lang w:val="en-US"/>
        </w:rPr>
        <w:t>: Make full use of the development of the EU’s Blueprint</w:t>
      </w:r>
      <w:r>
        <w:rPr>
          <w:rStyle w:val="FootnoteReference"/>
          <w:noProof/>
          <w:lang w:val="en-US"/>
        </w:rPr>
        <w:footnoteReference w:id="21"/>
      </w:r>
      <w:r>
        <w:rPr>
          <w:noProof/>
          <w:lang w:val="en-US"/>
        </w:rPr>
        <w:t xml:space="preserve"> on the coordinated resp</w:t>
      </w:r>
      <w:r>
        <w:rPr>
          <w:noProof/>
          <w:lang w:val="en-US"/>
        </w:rPr>
        <w:t xml:space="preserve">onse to large-scale cybersecurity incidents. In addition, together with ENISA, consider the possibility of conducting a 5G cyber exercise as soon as the maturity of the market allows. </w:t>
      </w:r>
    </w:p>
    <w:p w:rsidR="00303A65" w:rsidRDefault="00CE7F93">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noProof/>
          <w:lang w:val="en-US"/>
        </w:rPr>
      </w:pPr>
      <w:r>
        <w:rPr>
          <w:noProof/>
          <w:lang w:val="en-US"/>
        </w:rPr>
        <w:t>And, under the responsibility of the High Representative of the Union f</w:t>
      </w:r>
      <w:r>
        <w:rPr>
          <w:noProof/>
          <w:lang w:val="en-US"/>
        </w:rPr>
        <w:t xml:space="preserve">or Foreign Affairs and Security Policy and Vice President of the Commission, and the Council: </w:t>
      </w:r>
    </w:p>
    <w:p w:rsidR="00303A65" w:rsidRDefault="00CE7F93">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jc w:val="both"/>
        <w:rPr>
          <w:noProof/>
          <w:lang w:val="en-US"/>
        </w:rPr>
      </w:pPr>
      <w:r>
        <w:rPr>
          <w:noProof/>
          <w:lang w:val="en-US"/>
        </w:rPr>
        <w:t xml:space="preserve">- </w:t>
      </w:r>
      <w:r>
        <w:rPr>
          <w:b/>
          <w:noProof/>
          <w:lang w:val="en-US"/>
        </w:rPr>
        <w:t>Framework for Joint EU Diplomatic response to malicious cyber activities (Cyber Diplomacy toolbox)</w:t>
      </w:r>
      <w:r>
        <w:rPr>
          <w:rStyle w:val="FootnoteReference"/>
          <w:b/>
          <w:noProof/>
          <w:lang w:val="en-US"/>
        </w:rPr>
        <w:footnoteReference w:id="22"/>
      </w:r>
      <w:r>
        <w:rPr>
          <w:noProof/>
          <w:lang w:val="en-US"/>
        </w:rPr>
        <w:t>: In case of malicious cyber activities that threaten the in</w:t>
      </w:r>
      <w:r>
        <w:rPr>
          <w:noProof/>
          <w:lang w:val="en-US"/>
        </w:rPr>
        <w:t>tegrity and security of the EU, Member States are encouraged to use relevant Common Foreign and Security Policy measures part of the EU Cyber Diplomacy Toolbox, (including, if necessary, restrictive measures), to encourage cooperation, facilitate mitigatio</w:t>
      </w:r>
      <w:r>
        <w:rPr>
          <w:noProof/>
          <w:lang w:val="en-US"/>
        </w:rPr>
        <w:t xml:space="preserve">n of threats and influence the behavior of potential aggressors. </w:t>
      </w:r>
    </w:p>
    <w:p w:rsidR="00303A65" w:rsidRDefault="00CE7F93">
      <w:pPr>
        <w:shd w:val="clear" w:color="auto" w:fill="FFFFFF" w:themeFill="background1"/>
        <w:spacing w:before="100" w:beforeAutospacing="1" w:after="240"/>
        <w:ind w:left="66"/>
        <w:jc w:val="both"/>
        <w:rPr>
          <w:rFonts w:eastAsia="Times New Roman"/>
          <w:noProof/>
          <w:lang w:val="en-US"/>
        </w:rPr>
      </w:pPr>
      <w:r>
        <w:rPr>
          <w:rFonts w:eastAsia="Times New Roman"/>
          <w:noProof/>
          <w:lang w:val="en-US"/>
        </w:rPr>
        <w:t>Moreover, a number of programmes will contribute to the objectives of avoiding or limiting the risk of long-term dependency, by promoting a diverse and sustainable market for 5G, including by maintaining EU capacities in the 5G value chain and investing in</w:t>
      </w:r>
      <w:r>
        <w:rPr>
          <w:rFonts w:eastAsia="Times New Roman"/>
          <w:noProof/>
          <w:lang w:val="en-US"/>
        </w:rPr>
        <w:t xml:space="preserve"> innovation, in line with the EU’s international obligations. </w:t>
      </w:r>
    </w:p>
    <w:p w:rsidR="00303A65" w:rsidRDefault="00CE7F93">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240"/>
        <w:ind w:left="66"/>
        <w:jc w:val="both"/>
        <w:rPr>
          <w:rFonts w:eastAsia="Times New Roman"/>
          <w:b/>
          <w:noProof/>
          <w:lang w:val="en-US"/>
        </w:rPr>
      </w:pPr>
      <w:r>
        <w:rPr>
          <w:rFonts w:eastAsia="Times New Roman"/>
          <w:b/>
          <w:noProof/>
          <w:lang w:val="en-US"/>
        </w:rPr>
        <w:t xml:space="preserve">Promoting innovation and investing in cybersecurity and in network infrastructure technologies:  </w:t>
      </w:r>
    </w:p>
    <w:p w:rsidR="00303A65" w:rsidRDefault="00CE7F93">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240"/>
        <w:ind w:left="66"/>
        <w:jc w:val="both"/>
        <w:rPr>
          <w:rFonts w:eastAsia="Times New Roman"/>
          <w:noProof/>
          <w:lang w:val="en-US"/>
        </w:rPr>
      </w:pPr>
      <w:r>
        <w:rPr>
          <w:rFonts w:eastAsia="Times New Roman"/>
          <w:noProof/>
          <w:lang w:val="en-US"/>
        </w:rPr>
        <w:t>- EU funding</w:t>
      </w:r>
      <w:r>
        <w:rPr>
          <w:rFonts w:eastAsia="Times New Roman"/>
          <w:b/>
          <w:noProof/>
          <w:lang w:val="en-US"/>
        </w:rPr>
        <w:t xml:space="preserve"> programmes</w:t>
      </w:r>
      <w:r>
        <w:rPr>
          <w:rFonts w:eastAsia="Times New Roman"/>
          <w:noProof/>
          <w:lang w:val="en-US"/>
        </w:rPr>
        <w:t xml:space="preserve">: Increase the investments in research, innovation and deployment of </w:t>
      </w:r>
      <w:r>
        <w:rPr>
          <w:rFonts w:eastAsia="Times New Roman"/>
          <w:noProof/>
          <w:lang w:val="en-US"/>
        </w:rPr>
        <w:t>network technologies and relevant underlying building blocks. The Commission has</w:t>
      </w:r>
      <w:r>
        <w:rPr>
          <w:rFonts w:eastAsia="Times New Roman"/>
          <w:b/>
          <w:noProof/>
          <w:lang w:val="en-US"/>
        </w:rPr>
        <w:t xml:space="preserve"> </w:t>
      </w:r>
      <w:r>
        <w:rPr>
          <w:rFonts w:eastAsia="Times New Roman"/>
          <w:noProof/>
          <w:lang w:val="en-US"/>
        </w:rPr>
        <w:t xml:space="preserve">proposed close to 3 billion Euro of investments in cybersecurity technologies under the next EU budget 2021-27. This includes research and innovation under Horizon Europe and </w:t>
      </w:r>
      <w:r>
        <w:rPr>
          <w:rFonts w:eastAsia="Times New Roman"/>
          <w:noProof/>
          <w:lang w:val="en-US"/>
        </w:rPr>
        <w:t xml:space="preserve">support to cybersecurity capabilities under the Digital Europe Programme. </w:t>
      </w:r>
      <w:r>
        <w:rPr>
          <w:noProof/>
          <w:lang w:val="en-GB"/>
        </w:rPr>
        <w:t xml:space="preserve">InvestEU can also provide financial support for research and development in the area of 5G as well as support </w:t>
      </w:r>
      <w:bookmarkStart w:id="1" w:name="_GoBack"/>
      <w:bookmarkEnd w:id="1"/>
      <w:r>
        <w:rPr>
          <w:noProof/>
          <w:lang w:val="en-GB"/>
        </w:rPr>
        <w:t>for its deployment.</w:t>
      </w:r>
    </w:p>
    <w:p w:rsidR="00303A65" w:rsidRDefault="00CE7F93">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240"/>
        <w:ind w:left="66"/>
        <w:jc w:val="both"/>
        <w:rPr>
          <w:rFonts w:eastAsia="Times New Roman"/>
          <w:noProof/>
          <w:lang w:val="en-US"/>
        </w:rPr>
      </w:pPr>
      <w:r>
        <w:rPr>
          <w:rFonts w:eastAsia="Times New Roman"/>
          <w:noProof/>
          <w:lang w:val="en-US"/>
        </w:rPr>
        <w:t>Moreover, under the next Horizon Europe</w:t>
      </w:r>
      <w:r>
        <w:rPr>
          <w:rStyle w:val="FootnoteReference"/>
          <w:rFonts w:eastAsia="Times New Roman"/>
          <w:noProof/>
          <w:lang w:val="en-US"/>
        </w:rPr>
        <w:footnoteReference w:id="23"/>
      </w:r>
      <w:r>
        <w:rPr>
          <w:rFonts w:eastAsia="Times New Roman"/>
          <w:noProof/>
          <w:lang w:val="en-US"/>
        </w:rPr>
        <w:t>, the Com</w:t>
      </w:r>
      <w:r>
        <w:rPr>
          <w:rFonts w:eastAsia="Times New Roman"/>
          <w:noProof/>
          <w:lang w:val="en-US"/>
        </w:rPr>
        <w:t>mission has proposed the set-up of an EU institutionalised partnership on NGI/6G (‘Smart Networks and Services’), in partnership with industry and coordination with Member States to complete the deployment of 5G and mainly</w:t>
      </w:r>
      <w:r>
        <w:rPr>
          <w:rFonts w:eastAsia="Times New Roman"/>
          <w:b/>
          <w:noProof/>
          <w:lang w:val="en-US"/>
        </w:rPr>
        <w:t xml:space="preserve"> to prepare for 6G,</w:t>
      </w:r>
      <w:r>
        <w:rPr>
          <w:rFonts w:eastAsia="Times New Roman"/>
          <w:noProof/>
          <w:lang w:val="en-US"/>
        </w:rPr>
        <w:t xml:space="preserve"> the next gener</w:t>
      </w:r>
      <w:r>
        <w:rPr>
          <w:rFonts w:eastAsia="Times New Roman"/>
          <w:noProof/>
          <w:lang w:val="en-US"/>
        </w:rPr>
        <w:t>ation of mobile technology. More than 2.5 billion Euro of EU investments was proposed from the EU budget (2021-27), to be matched by at least 7.5 billion Euro of private investments in this initiative.</w:t>
      </w:r>
    </w:p>
    <w:p w:rsidR="00303A65" w:rsidRDefault="00CE7F93">
      <w:pPr>
        <w:pBdr>
          <w:top w:val="single" w:sz="4" w:space="1" w:color="auto"/>
          <w:left w:val="single" w:sz="4" w:space="4" w:color="auto"/>
          <w:bottom w:val="single" w:sz="4" w:space="1" w:color="auto"/>
          <w:right w:val="single" w:sz="4" w:space="4" w:color="auto"/>
        </w:pBdr>
        <w:shd w:val="clear" w:color="auto" w:fill="F2F2F2" w:themeFill="background1" w:themeFillShade="F2"/>
        <w:spacing w:before="100" w:beforeAutospacing="1" w:after="240"/>
        <w:ind w:left="66"/>
        <w:jc w:val="both"/>
        <w:rPr>
          <w:noProof/>
          <w:lang w:val="en-US"/>
        </w:rPr>
      </w:pPr>
      <w:r>
        <w:rPr>
          <w:b/>
          <w:noProof/>
          <w:lang w:val="en-US"/>
        </w:rPr>
        <w:t>- Industrial development and deployment</w:t>
      </w:r>
      <w:r>
        <w:rPr>
          <w:noProof/>
          <w:lang w:val="en-US"/>
        </w:rPr>
        <w:t>: Evaluate pote</w:t>
      </w:r>
      <w:r>
        <w:rPr>
          <w:noProof/>
          <w:lang w:val="en-US"/>
        </w:rPr>
        <w:t>ntial market gaps or failures along the 5G value chain, which would justify targeted interventions under the next long-term budget or a possible IPCEI (Important Projects of Common European Interest) on cybersecurity, in line with the suggestions of the IP</w:t>
      </w:r>
      <w:r>
        <w:rPr>
          <w:noProof/>
          <w:lang w:val="en-US"/>
        </w:rPr>
        <w:t>CEI high-level forum. The decision to design and set up IPCEIs lies in the hands of Member States and companies. The EU rules provide an enabling framework and the Commission stands ready to facilitate the necessary contacts and provide guidance.</w:t>
      </w:r>
    </w:p>
    <w:p w:rsidR="00303A65" w:rsidRDefault="00CE7F93">
      <w:pPr>
        <w:spacing w:after="200" w:line="276" w:lineRule="auto"/>
        <w:ind w:firstLine="720"/>
        <w:rPr>
          <w:rFonts w:eastAsia="Times New Roman"/>
          <w:b/>
          <w:i/>
          <w:noProof/>
          <w:u w:val="single"/>
          <w:lang w:val="en-US"/>
        </w:rPr>
      </w:pPr>
      <w:r>
        <w:rPr>
          <w:rFonts w:eastAsia="Times New Roman"/>
          <w:b/>
          <w:i/>
          <w:noProof/>
          <w:u w:val="single"/>
          <w:lang w:val="en-US"/>
        </w:rPr>
        <w:br w:type="page"/>
        <w:t>6. Concl</w:t>
      </w:r>
      <w:r>
        <w:rPr>
          <w:rFonts w:eastAsia="Times New Roman"/>
          <w:b/>
          <w:i/>
          <w:noProof/>
          <w:u w:val="single"/>
          <w:lang w:val="en-US"/>
        </w:rPr>
        <w:t>usion</w:t>
      </w:r>
    </w:p>
    <w:p w:rsidR="00303A65" w:rsidRDefault="00CE7F93">
      <w:pPr>
        <w:spacing w:after="240"/>
        <w:jc w:val="both"/>
        <w:rPr>
          <w:rFonts w:eastAsia="Times New Roman"/>
          <w:noProof/>
          <w:lang w:val="en-US"/>
        </w:rPr>
      </w:pPr>
      <w:r>
        <w:rPr>
          <w:noProof/>
          <w:lang w:val="en-IE"/>
        </w:rPr>
        <w:t xml:space="preserve">5G networks are set to deliver an array of opportunities for the European citizens, society and economy. Ensuring the security and resilience of 5G networks is therefore essential. At the same time, </w:t>
      </w:r>
      <w:r>
        <w:rPr>
          <w:rFonts w:eastAsia="Times New Roman"/>
          <w:noProof/>
          <w:lang w:val="en-US"/>
        </w:rPr>
        <w:t>cybersecurity threats (including the risk of interf</w:t>
      </w:r>
      <w:r>
        <w:rPr>
          <w:rFonts w:eastAsia="Times New Roman"/>
          <w:noProof/>
          <w:lang w:val="en-US"/>
        </w:rPr>
        <w:t>erence by non-EU state or state-backed actors) are an evolving challenge, which grows in relevance alongside the increased reliance on technology and data. Neglecting cybersecurity would undermine the trust in the development of the digital economy and soc</w:t>
      </w:r>
      <w:r>
        <w:rPr>
          <w:rFonts w:eastAsia="Times New Roman"/>
          <w:noProof/>
          <w:lang w:val="en-US"/>
        </w:rPr>
        <w:t>iety and would prevent the EU from reaping the full benefits of it. This requires a correspondingly evolving and strengthened response. </w:t>
      </w:r>
    </w:p>
    <w:p w:rsidR="00303A65" w:rsidRDefault="00CE7F93">
      <w:pPr>
        <w:spacing w:after="240"/>
        <w:jc w:val="both"/>
        <w:rPr>
          <w:rFonts w:eastAsia="Times New Roman"/>
          <w:noProof/>
          <w:lang w:val="en-US"/>
        </w:rPr>
      </w:pPr>
      <w:r>
        <w:rPr>
          <w:rFonts w:eastAsia="Times New Roman"/>
          <w:noProof/>
          <w:lang w:val="en-US"/>
        </w:rPr>
        <w:t>A coordinated and consistent approach to cybersecurity in the EU for critical technologies and networks is essential fo</w:t>
      </w:r>
      <w:r>
        <w:rPr>
          <w:rFonts w:eastAsia="Times New Roman"/>
          <w:noProof/>
          <w:lang w:val="en-US"/>
        </w:rPr>
        <w:t>r the EU to ensure its technological sovereignty, maintaining and developing industrial capacities. The Commission will fully support the implementation of the EU’s cybersecurity approach to 5G networks while ensuring that EU markets remain open to product</w:t>
      </w:r>
      <w:r>
        <w:rPr>
          <w:rFonts w:eastAsia="Times New Roman"/>
          <w:noProof/>
          <w:lang w:val="en-US"/>
        </w:rPr>
        <w:t xml:space="preserve">s and services that respect the evolving requirements for cybersecurity and trust. </w:t>
      </w:r>
    </w:p>
    <w:p w:rsidR="00303A65" w:rsidRDefault="00CE7F93">
      <w:pPr>
        <w:spacing w:after="240"/>
        <w:jc w:val="both"/>
        <w:rPr>
          <w:rFonts w:eastAsia="Times New Roman"/>
          <w:iCs/>
          <w:noProof/>
          <w:lang w:val="en-US"/>
        </w:rPr>
      </w:pPr>
      <w:r>
        <w:rPr>
          <w:rFonts w:eastAsia="Times New Roman"/>
          <w:noProof/>
          <w:lang w:val="en-US"/>
        </w:rPr>
        <w:t>To this end, it is important that the commitment of all stakeholders around 5G security remains high and will require continued collaboration between Member States, the Com</w:t>
      </w:r>
      <w:r>
        <w:rPr>
          <w:rFonts w:eastAsia="Times New Roman"/>
          <w:noProof/>
          <w:lang w:val="en-US"/>
        </w:rPr>
        <w:t xml:space="preserve">mission and ENISA. </w:t>
      </w:r>
    </w:p>
    <w:p w:rsidR="00303A65" w:rsidRDefault="00CE7F93">
      <w:pPr>
        <w:spacing w:after="240"/>
        <w:jc w:val="both"/>
        <w:rPr>
          <w:rFonts w:eastAsia="Times New Roman"/>
          <w:noProof/>
          <w:lang w:val="en-US"/>
        </w:rPr>
      </w:pPr>
      <w:r>
        <w:rPr>
          <w:rFonts w:eastAsia="Times New Roman"/>
          <w:noProof/>
          <w:lang w:val="en-US"/>
        </w:rPr>
        <w:t>As an immediate next step, as outlined above, the Commission calls on Member States to take swift action to implement effectively and objectively the measures agreed as part of the toolbox, and to continue to work together, with the sup</w:t>
      </w:r>
      <w:r>
        <w:rPr>
          <w:rFonts w:eastAsia="Times New Roman"/>
          <w:noProof/>
          <w:lang w:val="en-US"/>
        </w:rPr>
        <w:t xml:space="preserve">port of the Commission and ENISA, to ensure coordination at EU level. In parallel, the Commission will launch all relevant actions within its competence to support the implementation of the toolbox by Member States and to reinforce its impact. </w:t>
      </w:r>
      <w:r>
        <w:rPr>
          <w:rFonts w:eastAsia="Times New Roman"/>
          <w:noProof/>
          <w:lang w:val="en-US"/>
        </w:rPr>
        <w:br w:type="page"/>
      </w:r>
    </w:p>
    <w:p w:rsidR="00303A65" w:rsidRDefault="00CE7F93">
      <w:pPr>
        <w:spacing w:after="240"/>
        <w:rPr>
          <w:i/>
          <w:noProof/>
          <w:u w:val="single"/>
          <w:lang w:val="en-US"/>
        </w:rPr>
      </w:pPr>
      <w:r>
        <w:rPr>
          <w:i/>
          <w:noProof/>
          <w:u w:val="single"/>
          <w:lang w:val="en-US"/>
        </w:rPr>
        <w:t xml:space="preserve">Appendix: </w:t>
      </w:r>
      <w:r>
        <w:rPr>
          <w:i/>
          <w:noProof/>
          <w:u w:val="single"/>
          <w:lang w:val="en-US"/>
        </w:rPr>
        <w:t>Risk categories (source: EU coordinated risk assessment).</w:t>
      </w:r>
    </w:p>
    <w:tbl>
      <w:tblPr>
        <w:tblStyle w:val="TableGrid"/>
        <w:tblW w:w="8075" w:type="dxa"/>
        <w:tblLook w:val="04A0" w:firstRow="1" w:lastRow="0" w:firstColumn="1" w:lastColumn="0" w:noHBand="0" w:noVBand="1"/>
      </w:tblPr>
      <w:tblGrid>
        <w:gridCol w:w="4106"/>
        <w:gridCol w:w="3969"/>
      </w:tblGrid>
      <w:tr w:rsidR="00303A65">
        <w:tc>
          <w:tcPr>
            <w:tcW w:w="4106" w:type="dxa"/>
            <w:shd w:val="clear" w:color="auto" w:fill="8DB3E2" w:themeFill="text2" w:themeFillTint="66"/>
          </w:tcPr>
          <w:p w:rsidR="00303A65" w:rsidRDefault="00303A65">
            <w:pPr>
              <w:spacing w:after="120"/>
              <w:rPr>
                <w:b/>
                <w:i/>
                <w:noProof/>
                <w:sz w:val="22"/>
                <w:szCs w:val="22"/>
                <w:lang w:val="en-IE"/>
              </w:rPr>
            </w:pPr>
          </w:p>
        </w:tc>
        <w:tc>
          <w:tcPr>
            <w:tcW w:w="3969" w:type="dxa"/>
            <w:shd w:val="clear" w:color="auto" w:fill="FFFFFF" w:themeFill="background1"/>
          </w:tcPr>
          <w:p w:rsidR="00303A65" w:rsidRDefault="00CE7F93">
            <w:pPr>
              <w:spacing w:after="120"/>
              <w:jc w:val="both"/>
              <w:rPr>
                <w:b/>
                <w:i/>
                <w:noProof/>
                <w:sz w:val="22"/>
                <w:szCs w:val="22"/>
                <w:lang w:val="en-IE"/>
              </w:rPr>
            </w:pPr>
            <w:r>
              <w:rPr>
                <w:b/>
                <w:i/>
                <w:noProof/>
                <w:sz w:val="22"/>
                <w:szCs w:val="22"/>
                <w:lang w:val="en-IE"/>
              </w:rPr>
              <w:t>Risk categories</w:t>
            </w:r>
          </w:p>
        </w:tc>
      </w:tr>
      <w:tr w:rsidR="00303A65">
        <w:tc>
          <w:tcPr>
            <w:tcW w:w="4106" w:type="dxa"/>
            <w:vMerge w:val="restart"/>
            <w:shd w:val="clear" w:color="auto" w:fill="8DB3E2" w:themeFill="text2" w:themeFillTint="66"/>
          </w:tcPr>
          <w:p w:rsidR="00303A65" w:rsidRDefault="00303A65">
            <w:pPr>
              <w:spacing w:after="120"/>
              <w:rPr>
                <w:b/>
                <w:i/>
                <w:noProof/>
                <w:sz w:val="22"/>
                <w:szCs w:val="22"/>
                <w:lang w:val="en-IE"/>
              </w:rPr>
            </w:pPr>
          </w:p>
          <w:p w:rsidR="00303A65" w:rsidRDefault="00CE7F93">
            <w:pPr>
              <w:spacing w:after="120"/>
              <w:rPr>
                <w:b/>
                <w:i/>
                <w:noProof/>
                <w:sz w:val="22"/>
                <w:szCs w:val="22"/>
                <w:lang w:val="en-IE"/>
              </w:rPr>
            </w:pPr>
            <w:r>
              <w:rPr>
                <w:b/>
                <w:i/>
                <w:noProof/>
                <w:sz w:val="22"/>
                <w:szCs w:val="22"/>
                <w:lang w:val="en-IE"/>
              </w:rPr>
              <w:t>Risk scenarios related to insufficient security measures</w:t>
            </w:r>
          </w:p>
        </w:tc>
        <w:tc>
          <w:tcPr>
            <w:tcW w:w="3969" w:type="dxa"/>
            <w:shd w:val="clear" w:color="auto" w:fill="FFFFFF" w:themeFill="background1"/>
          </w:tcPr>
          <w:p w:rsidR="00303A65" w:rsidRDefault="00CE7F93">
            <w:pPr>
              <w:spacing w:after="120"/>
              <w:rPr>
                <w:i/>
                <w:noProof/>
                <w:sz w:val="22"/>
                <w:szCs w:val="22"/>
                <w:lang w:val="en-IE"/>
              </w:rPr>
            </w:pPr>
            <w:r>
              <w:rPr>
                <w:i/>
                <w:noProof/>
                <w:sz w:val="22"/>
                <w:szCs w:val="22"/>
                <w:lang w:val="en-IE"/>
              </w:rPr>
              <w:t>R1: Misconfiguration of networks</w:t>
            </w:r>
          </w:p>
          <w:p w:rsidR="00303A65" w:rsidRDefault="00303A65">
            <w:pPr>
              <w:spacing w:after="120"/>
              <w:jc w:val="both"/>
              <w:rPr>
                <w:b/>
                <w:i/>
                <w:noProof/>
                <w:sz w:val="22"/>
                <w:szCs w:val="22"/>
                <w:lang w:val="en-IE"/>
              </w:rPr>
            </w:pPr>
          </w:p>
        </w:tc>
      </w:tr>
      <w:tr w:rsidR="00303A65" w:rsidRPr="00CE7F93">
        <w:tc>
          <w:tcPr>
            <w:tcW w:w="4106" w:type="dxa"/>
            <w:vMerge/>
            <w:shd w:val="clear" w:color="auto" w:fill="8DB3E2" w:themeFill="text2" w:themeFillTint="66"/>
          </w:tcPr>
          <w:p w:rsidR="00303A65" w:rsidRDefault="00303A65">
            <w:pPr>
              <w:spacing w:after="120"/>
              <w:rPr>
                <w:b/>
                <w:i/>
                <w:noProof/>
                <w:sz w:val="22"/>
                <w:szCs w:val="22"/>
                <w:lang w:val="en-IE"/>
              </w:rPr>
            </w:pPr>
          </w:p>
        </w:tc>
        <w:tc>
          <w:tcPr>
            <w:tcW w:w="3969" w:type="dxa"/>
            <w:shd w:val="clear" w:color="auto" w:fill="FFFFFF" w:themeFill="background1"/>
          </w:tcPr>
          <w:p w:rsidR="00303A65" w:rsidRDefault="00CE7F93">
            <w:pPr>
              <w:spacing w:after="120"/>
              <w:jc w:val="both"/>
              <w:rPr>
                <w:i/>
                <w:noProof/>
                <w:sz w:val="22"/>
                <w:szCs w:val="22"/>
                <w:lang w:val="en-IE"/>
              </w:rPr>
            </w:pPr>
            <w:r>
              <w:rPr>
                <w:i/>
                <w:noProof/>
                <w:sz w:val="22"/>
                <w:szCs w:val="22"/>
                <w:lang w:val="en-IE"/>
              </w:rPr>
              <w:t>R2: Lack of access controls</w:t>
            </w:r>
          </w:p>
        </w:tc>
      </w:tr>
      <w:tr w:rsidR="00303A65">
        <w:tc>
          <w:tcPr>
            <w:tcW w:w="4106" w:type="dxa"/>
            <w:vMerge w:val="restart"/>
            <w:shd w:val="clear" w:color="auto" w:fill="8DB3E2" w:themeFill="text2" w:themeFillTint="66"/>
          </w:tcPr>
          <w:p w:rsidR="00303A65" w:rsidRDefault="00303A65">
            <w:pPr>
              <w:spacing w:after="120"/>
              <w:rPr>
                <w:b/>
                <w:i/>
                <w:noProof/>
                <w:sz w:val="22"/>
                <w:szCs w:val="22"/>
                <w:lang w:val="en-IE"/>
              </w:rPr>
            </w:pPr>
          </w:p>
          <w:p w:rsidR="00303A65" w:rsidRDefault="00CE7F93">
            <w:pPr>
              <w:spacing w:after="120"/>
              <w:rPr>
                <w:b/>
                <w:i/>
                <w:noProof/>
                <w:sz w:val="22"/>
                <w:szCs w:val="22"/>
                <w:lang w:val="en-IE"/>
              </w:rPr>
            </w:pPr>
            <w:r>
              <w:rPr>
                <w:b/>
                <w:i/>
                <w:noProof/>
                <w:sz w:val="22"/>
                <w:szCs w:val="22"/>
                <w:lang w:val="en-IE"/>
              </w:rPr>
              <w:t>Risk scenarios related to 5G supply chain</w:t>
            </w:r>
          </w:p>
          <w:p w:rsidR="00303A65" w:rsidRDefault="00303A65">
            <w:pPr>
              <w:spacing w:after="120"/>
              <w:rPr>
                <w:b/>
                <w:i/>
                <w:noProof/>
                <w:sz w:val="22"/>
                <w:szCs w:val="22"/>
                <w:lang w:val="en-IE"/>
              </w:rPr>
            </w:pPr>
          </w:p>
        </w:tc>
        <w:tc>
          <w:tcPr>
            <w:tcW w:w="3969" w:type="dxa"/>
            <w:shd w:val="clear" w:color="auto" w:fill="FFFFFF" w:themeFill="background1"/>
          </w:tcPr>
          <w:p w:rsidR="00303A65" w:rsidRDefault="00CE7F93">
            <w:pPr>
              <w:spacing w:after="120"/>
              <w:jc w:val="both"/>
              <w:rPr>
                <w:i/>
                <w:noProof/>
                <w:sz w:val="22"/>
                <w:szCs w:val="22"/>
                <w:lang w:val="en-IE"/>
              </w:rPr>
            </w:pPr>
            <w:r>
              <w:rPr>
                <w:i/>
                <w:noProof/>
                <w:sz w:val="22"/>
                <w:szCs w:val="22"/>
                <w:lang w:val="en-IE"/>
              </w:rPr>
              <w:t xml:space="preserve">R3: Low product quality </w:t>
            </w:r>
          </w:p>
          <w:p w:rsidR="00303A65" w:rsidRDefault="00303A65">
            <w:pPr>
              <w:spacing w:after="120"/>
              <w:jc w:val="both"/>
              <w:rPr>
                <w:b/>
                <w:i/>
                <w:noProof/>
                <w:sz w:val="22"/>
                <w:szCs w:val="22"/>
                <w:lang w:val="en-IE"/>
              </w:rPr>
            </w:pPr>
          </w:p>
        </w:tc>
      </w:tr>
      <w:tr w:rsidR="00303A65" w:rsidRPr="00CE7F93">
        <w:tc>
          <w:tcPr>
            <w:tcW w:w="4106" w:type="dxa"/>
            <w:vMerge/>
            <w:shd w:val="clear" w:color="auto" w:fill="8DB3E2" w:themeFill="text2" w:themeFillTint="66"/>
          </w:tcPr>
          <w:p w:rsidR="00303A65" w:rsidRDefault="00303A65">
            <w:pPr>
              <w:spacing w:after="120"/>
              <w:rPr>
                <w:b/>
                <w:i/>
                <w:noProof/>
                <w:sz w:val="22"/>
                <w:szCs w:val="22"/>
                <w:lang w:val="en-IE"/>
              </w:rPr>
            </w:pPr>
          </w:p>
        </w:tc>
        <w:tc>
          <w:tcPr>
            <w:tcW w:w="3969" w:type="dxa"/>
            <w:shd w:val="clear" w:color="auto" w:fill="FFFFFF" w:themeFill="background1"/>
          </w:tcPr>
          <w:p w:rsidR="00303A65" w:rsidRDefault="00CE7F93">
            <w:pPr>
              <w:spacing w:after="120"/>
              <w:jc w:val="both"/>
              <w:rPr>
                <w:i/>
                <w:noProof/>
                <w:sz w:val="22"/>
                <w:szCs w:val="22"/>
                <w:lang w:val="en-IE"/>
              </w:rPr>
            </w:pPr>
            <w:r>
              <w:rPr>
                <w:i/>
                <w:noProof/>
                <w:sz w:val="22"/>
                <w:szCs w:val="22"/>
                <w:lang w:val="en-IE"/>
              </w:rPr>
              <w:t>R4: Dependency on any single supplier within individual networks or lack of diversity on nation-wide basis</w:t>
            </w:r>
          </w:p>
        </w:tc>
      </w:tr>
      <w:tr w:rsidR="00303A65" w:rsidRPr="00CE7F93">
        <w:tc>
          <w:tcPr>
            <w:tcW w:w="4106" w:type="dxa"/>
            <w:vMerge w:val="restart"/>
            <w:shd w:val="clear" w:color="auto" w:fill="8DB3E2" w:themeFill="text2" w:themeFillTint="66"/>
          </w:tcPr>
          <w:p w:rsidR="00303A65" w:rsidRDefault="00CE7F93">
            <w:pPr>
              <w:spacing w:after="120"/>
              <w:rPr>
                <w:b/>
                <w:i/>
                <w:noProof/>
                <w:sz w:val="22"/>
                <w:szCs w:val="22"/>
                <w:lang w:val="en-IE"/>
              </w:rPr>
            </w:pPr>
            <w:r>
              <w:rPr>
                <w:b/>
                <w:i/>
                <w:noProof/>
                <w:sz w:val="22"/>
                <w:szCs w:val="22"/>
                <w:lang w:val="en-IE"/>
              </w:rPr>
              <w:t>Risk scenarios related to modus operandi of main threat actors</w:t>
            </w:r>
          </w:p>
          <w:p w:rsidR="00303A65" w:rsidRDefault="00303A65">
            <w:pPr>
              <w:spacing w:after="120"/>
              <w:rPr>
                <w:b/>
                <w:i/>
                <w:noProof/>
                <w:sz w:val="22"/>
                <w:szCs w:val="22"/>
                <w:lang w:val="en-IE"/>
              </w:rPr>
            </w:pPr>
          </w:p>
        </w:tc>
        <w:tc>
          <w:tcPr>
            <w:tcW w:w="3969" w:type="dxa"/>
            <w:shd w:val="clear" w:color="auto" w:fill="FFFFFF" w:themeFill="background1"/>
          </w:tcPr>
          <w:p w:rsidR="00303A65" w:rsidRDefault="00CE7F93">
            <w:pPr>
              <w:spacing w:after="120"/>
              <w:jc w:val="both"/>
              <w:rPr>
                <w:i/>
                <w:noProof/>
                <w:sz w:val="22"/>
                <w:szCs w:val="22"/>
                <w:lang w:val="en-IE"/>
              </w:rPr>
            </w:pPr>
            <w:r>
              <w:rPr>
                <w:i/>
                <w:noProof/>
                <w:sz w:val="22"/>
                <w:szCs w:val="22"/>
                <w:lang w:val="en-IE"/>
              </w:rPr>
              <w:t>R5: State interference through 5G supply chain</w:t>
            </w:r>
          </w:p>
          <w:p w:rsidR="00303A65" w:rsidRDefault="00303A65">
            <w:pPr>
              <w:spacing w:after="120"/>
              <w:jc w:val="both"/>
              <w:rPr>
                <w:b/>
                <w:i/>
                <w:noProof/>
                <w:sz w:val="22"/>
                <w:szCs w:val="22"/>
                <w:lang w:val="en-IE"/>
              </w:rPr>
            </w:pPr>
          </w:p>
        </w:tc>
      </w:tr>
      <w:tr w:rsidR="00303A65" w:rsidRPr="00CE7F93">
        <w:tc>
          <w:tcPr>
            <w:tcW w:w="4106" w:type="dxa"/>
            <w:vMerge/>
            <w:shd w:val="clear" w:color="auto" w:fill="8DB3E2" w:themeFill="text2" w:themeFillTint="66"/>
          </w:tcPr>
          <w:p w:rsidR="00303A65" w:rsidRDefault="00303A65">
            <w:pPr>
              <w:spacing w:after="120"/>
              <w:rPr>
                <w:b/>
                <w:i/>
                <w:noProof/>
                <w:sz w:val="22"/>
                <w:szCs w:val="22"/>
                <w:lang w:val="en-IE"/>
              </w:rPr>
            </w:pPr>
          </w:p>
        </w:tc>
        <w:tc>
          <w:tcPr>
            <w:tcW w:w="3969" w:type="dxa"/>
            <w:shd w:val="clear" w:color="auto" w:fill="FFFFFF" w:themeFill="background1"/>
          </w:tcPr>
          <w:p w:rsidR="00303A65" w:rsidRDefault="00CE7F93">
            <w:pPr>
              <w:spacing w:after="120"/>
              <w:jc w:val="both"/>
              <w:rPr>
                <w:i/>
                <w:noProof/>
                <w:sz w:val="22"/>
                <w:szCs w:val="22"/>
                <w:lang w:val="en-IE"/>
              </w:rPr>
            </w:pPr>
            <w:r>
              <w:rPr>
                <w:i/>
                <w:noProof/>
                <w:sz w:val="22"/>
                <w:szCs w:val="22"/>
                <w:lang w:val="en-IE"/>
              </w:rPr>
              <w:t xml:space="preserve">R6: Exploitation of 5G networks by organised crime or Organised crime group targeting end-users </w:t>
            </w:r>
          </w:p>
        </w:tc>
      </w:tr>
      <w:tr w:rsidR="00303A65">
        <w:tc>
          <w:tcPr>
            <w:tcW w:w="4106" w:type="dxa"/>
            <w:vMerge w:val="restart"/>
            <w:shd w:val="clear" w:color="auto" w:fill="8DB3E2" w:themeFill="text2" w:themeFillTint="66"/>
          </w:tcPr>
          <w:p w:rsidR="00303A65" w:rsidRDefault="00CE7F93">
            <w:pPr>
              <w:spacing w:after="120"/>
              <w:rPr>
                <w:b/>
                <w:i/>
                <w:noProof/>
                <w:sz w:val="22"/>
                <w:szCs w:val="22"/>
                <w:lang w:val="en-IE"/>
              </w:rPr>
            </w:pPr>
            <w:r>
              <w:rPr>
                <w:b/>
                <w:i/>
                <w:noProof/>
                <w:sz w:val="22"/>
                <w:szCs w:val="22"/>
                <w:lang w:val="en-IE"/>
              </w:rPr>
              <w:t>Risk scenarios related to interdependencies between 5G networks and other critical systems</w:t>
            </w:r>
          </w:p>
          <w:p w:rsidR="00303A65" w:rsidRDefault="00303A65">
            <w:pPr>
              <w:spacing w:after="120"/>
              <w:rPr>
                <w:b/>
                <w:i/>
                <w:noProof/>
                <w:sz w:val="22"/>
                <w:szCs w:val="22"/>
                <w:lang w:val="en-IE"/>
              </w:rPr>
            </w:pPr>
          </w:p>
        </w:tc>
        <w:tc>
          <w:tcPr>
            <w:tcW w:w="3969" w:type="dxa"/>
            <w:shd w:val="clear" w:color="auto" w:fill="FFFFFF" w:themeFill="background1"/>
          </w:tcPr>
          <w:p w:rsidR="00303A65" w:rsidRDefault="00CE7F93">
            <w:pPr>
              <w:spacing w:after="120"/>
              <w:jc w:val="both"/>
              <w:rPr>
                <w:b/>
                <w:i/>
                <w:noProof/>
                <w:sz w:val="22"/>
                <w:szCs w:val="22"/>
                <w:lang w:val="en-IE"/>
              </w:rPr>
            </w:pPr>
            <w:r>
              <w:rPr>
                <w:i/>
                <w:noProof/>
                <w:sz w:val="22"/>
                <w:szCs w:val="22"/>
                <w:lang w:val="en-IE"/>
              </w:rPr>
              <w:t>R7: Significant disruption of critical infrastructures or services</w:t>
            </w:r>
          </w:p>
        </w:tc>
      </w:tr>
      <w:tr w:rsidR="00303A65" w:rsidRPr="00CE7F93">
        <w:tc>
          <w:tcPr>
            <w:tcW w:w="4106" w:type="dxa"/>
            <w:vMerge/>
            <w:shd w:val="clear" w:color="auto" w:fill="8DB3E2" w:themeFill="text2" w:themeFillTint="66"/>
          </w:tcPr>
          <w:p w:rsidR="00303A65" w:rsidRDefault="00303A65">
            <w:pPr>
              <w:spacing w:after="120"/>
              <w:rPr>
                <w:b/>
                <w:i/>
                <w:noProof/>
                <w:sz w:val="22"/>
                <w:szCs w:val="22"/>
                <w:lang w:val="en-IE"/>
              </w:rPr>
            </w:pPr>
          </w:p>
        </w:tc>
        <w:tc>
          <w:tcPr>
            <w:tcW w:w="3969" w:type="dxa"/>
            <w:shd w:val="clear" w:color="auto" w:fill="FFFFFF" w:themeFill="background1"/>
          </w:tcPr>
          <w:p w:rsidR="00303A65" w:rsidRDefault="00CE7F93">
            <w:pPr>
              <w:spacing w:after="120"/>
              <w:jc w:val="both"/>
              <w:rPr>
                <w:i/>
                <w:noProof/>
                <w:sz w:val="22"/>
                <w:szCs w:val="22"/>
                <w:lang w:val="en-IE"/>
              </w:rPr>
            </w:pPr>
            <w:r>
              <w:rPr>
                <w:i/>
                <w:noProof/>
                <w:sz w:val="22"/>
                <w:szCs w:val="22"/>
                <w:lang w:val="en-IE"/>
              </w:rPr>
              <w:t>R8: Massive failure of networks due to interruption of electricity supply or other support systems</w:t>
            </w:r>
          </w:p>
        </w:tc>
      </w:tr>
      <w:tr w:rsidR="00303A65" w:rsidRPr="00CE7F93">
        <w:tc>
          <w:tcPr>
            <w:tcW w:w="4106" w:type="dxa"/>
            <w:shd w:val="clear" w:color="auto" w:fill="8DB3E2" w:themeFill="text2" w:themeFillTint="66"/>
          </w:tcPr>
          <w:p w:rsidR="00303A65" w:rsidRDefault="00CE7F93">
            <w:pPr>
              <w:spacing w:after="120"/>
              <w:rPr>
                <w:b/>
                <w:i/>
                <w:noProof/>
                <w:sz w:val="22"/>
                <w:szCs w:val="22"/>
                <w:lang w:val="en-IE"/>
              </w:rPr>
            </w:pPr>
            <w:r>
              <w:rPr>
                <w:b/>
                <w:i/>
                <w:noProof/>
                <w:sz w:val="22"/>
                <w:szCs w:val="22"/>
                <w:lang w:val="en-IE"/>
              </w:rPr>
              <w:t>Risk scenarios related to end user devices</w:t>
            </w:r>
          </w:p>
        </w:tc>
        <w:tc>
          <w:tcPr>
            <w:tcW w:w="3969" w:type="dxa"/>
            <w:shd w:val="clear" w:color="auto" w:fill="FFFFFF" w:themeFill="background1"/>
          </w:tcPr>
          <w:p w:rsidR="00303A65" w:rsidRDefault="00CE7F93">
            <w:pPr>
              <w:spacing w:after="120"/>
              <w:jc w:val="both"/>
              <w:rPr>
                <w:i/>
                <w:noProof/>
                <w:sz w:val="22"/>
                <w:szCs w:val="22"/>
                <w:lang w:val="en-IE"/>
              </w:rPr>
            </w:pPr>
            <w:r>
              <w:rPr>
                <w:i/>
                <w:noProof/>
                <w:sz w:val="22"/>
                <w:szCs w:val="22"/>
                <w:lang w:val="en-IE"/>
              </w:rPr>
              <w:t>R9: IoT (Internet of Things) exploitation</w:t>
            </w:r>
          </w:p>
        </w:tc>
      </w:tr>
    </w:tbl>
    <w:p w:rsidR="00303A65" w:rsidRDefault="00303A65">
      <w:pPr>
        <w:spacing w:after="240"/>
        <w:contextualSpacing/>
        <w:jc w:val="both"/>
        <w:rPr>
          <w:noProof/>
          <w:lang w:val="en-IE"/>
        </w:rPr>
      </w:pPr>
    </w:p>
    <w:p w:rsidR="00303A65" w:rsidRDefault="00303A65">
      <w:pPr>
        <w:spacing w:after="240"/>
        <w:contextualSpacing/>
        <w:jc w:val="both"/>
        <w:rPr>
          <w:noProof/>
          <w:lang w:val="en-IE"/>
        </w:rPr>
      </w:pPr>
    </w:p>
    <w:sectPr w:rsidR="00303A65">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A65" w:rsidRDefault="00CE7F93">
      <w:r>
        <w:separator/>
      </w:r>
    </w:p>
  </w:endnote>
  <w:endnote w:type="continuationSeparator" w:id="0">
    <w:p w:rsidR="00303A65" w:rsidRDefault="00CE7F93">
      <w:r>
        <w:continuationSeparator/>
      </w:r>
    </w:p>
  </w:endnote>
  <w:endnote w:type="continuationNotice" w:id="1">
    <w:p w:rsidR="00303A65" w:rsidRDefault="00303A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A65" w:rsidRDefault="00303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A65" w:rsidRDefault="00CE7F93">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A65" w:rsidRDefault="00303A6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A65" w:rsidRDefault="00303A6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2652909"/>
      <w:docPartObj>
        <w:docPartGallery w:val="Page Numbers (Bottom of Page)"/>
        <w:docPartUnique/>
      </w:docPartObj>
    </w:sdtPr>
    <w:sdtEndPr>
      <w:rPr>
        <w:noProof/>
        <w:sz w:val="20"/>
        <w:szCs w:val="20"/>
      </w:rPr>
    </w:sdtEndPr>
    <w:sdtContent>
      <w:p w:rsidR="00303A65" w:rsidRDefault="00CE7F93">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10</w:t>
        </w:r>
        <w:r>
          <w:rPr>
            <w:noProof/>
            <w:sz w:val="20"/>
            <w:szCs w:val="20"/>
          </w:rPr>
          <w:fldChar w:fldCharType="end"/>
        </w:r>
      </w:p>
    </w:sdtContent>
  </w:sdt>
  <w:p w:rsidR="00303A65" w:rsidRDefault="00303A6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A65" w:rsidRDefault="00303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A65" w:rsidRDefault="00CE7F93">
      <w:r>
        <w:separator/>
      </w:r>
    </w:p>
  </w:footnote>
  <w:footnote w:type="continuationSeparator" w:id="0">
    <w:p w:rsidR="00303A65" w:rsidRDefault="00CE7F93">
      <w:r>
        <w:continuationSeparator/>
      </w:r>
    </w:p>
  </w:footnote>
  <w:footnote w:type="continuationNotice" w:id="1">
    <w:p w:rsidR="00303A65" w:rsidRDefault="00303A65"/>
  </w:footnote>
  <w:footnote w:id="2">
    <w:p w:rsidR="00303A65" w:rsidRDefault="00CE7F93">
      <w:pPr>
        <w:pStyle w:val="FootnoteText"/>
      </w:pPr>
      <w:r>
        <w:rPr>
          <w:rStyle w:val="FootnoteReference"/>
        </w:rPr>
        <w:footnoteRef/>
      </w:r>
      <w:r>
        <w:t xml:space="preserve"> </w:t>
      </w:r>
      <w:r>
        <w:rPr>
          <w:rFonts w:ascii="Times New Roman" w:hAnsi="Times New Roman" w:cs="Times New Roman"/>
          <w:sz w:val="18"/>
          <w:szCs w:val="18"/>
          <w:lang w:val="en-US"/>
        </w:rPr>
        <w:t xml:space="preserve">Recommendation (EU) 2019/534 on the cybersecurity of 5G networks, OJ L 88, 29.3.2019, p. 42–47. </w:t>
      </w:r>
    </w:p>
  </w:footnote>
  <w:footnote w:id="3">
    <w:p w:rsidR="00303A65" w:rsidRDefault="00CE7F93">
      <w:pPr>
        <w:pStyle w:val="FootnoteText"/>
      </w:pPr>
      <w:r>
        <w:rPr>
          <w:rStyle w:val="FootnoteReference"/>
        </w:rPr>
        <w:footnoteRef/>
      </w:r>
      <w:r>
        <w:rPr>
          <w:lang w:val="en-US"/>
        </w:rPr>
        <w:t xml:space="preserve"> </w:t>
      </w:r>
      <w:r>
        <w:rPr>
          <w:rFonts w:ascii="Times New Roman" w:hAnsi="Times New Roman" w:cs="Times New Roman"/>
          <w:sz w:val="18"/>
          <w:szCs w:val="18"/>
          <w:lang w:val="en-US"/>
        </w:rPr>
        <w:t>COM(2016) 588 of 14 June, 2016 on  5G for Europe: An Action Plan.</w:t>
      </w:r>
    </w:p>
  </w:footnote>
  <w:footnote w:id="4">
    <w:p w:rsidR="00303A65" w:rsidRDefault="00CE7F93">
      <w:pPr>
        <w:pStyle w:val="FootnoteText"/>
        <w:rPr>
          <w:lang w:val="en-IE"/>
        </w:rPr>
      </w:pPr>
      <w:r>
        <w:rPr>
          <w:rStyle w:val="FootnoteReference"/>
        </w:rPr>
        <w:footnoteRef/>
      </w:r>
      <w:r>
        <w:t xml:space="preserve"> </w:t>
      </w:r>
      <w:r>
        <w:rPr>
          <w:rFonts w:ascii="Times New Roman" w:hAnsi="Times New Roman" w:cs="Times New Roman"/>
          <w:sz w:val="18"/>
          <w:szCs w:val="18"/>
          <w:lang w:val="en-US"/>
        </w:rPr>
        <w:t>COM(2016)587 “Connectivity for a Competitive Digital Single Market – towards a European G</w:t>
      </w:r>
      <w:r>
        <w:rPr>
          <w:rFonts w:ascii="Times New Roman" w:hAnsi="Times New Roman" w:cs="Times New Roman"/>
          <w:sz w:val="18"/>
          <w:szCs w:val="18"/>
          <w:lang w:val="en-US"/>
        </w:rPr>
        <w:t>igabit Society”.</w:t>
      </w:r>
      <w:r>
        <w:rPr>
          <w:color w:val="1F497D"/>
        </w:rPr>
        <w:t xml:space="preserve"> </w:t>
      </w:r>
    </w:p>
  </w:footnote>
  <w:footnote w:id="5">
    <w:p w:rsidR="00303A65" w:rsidRDefault="00CE7F93">
      <w:pPr>
        <w:pStyle w:val="FootnoteText"/>
        <w:rPr>
          <w:lang w:val="en-IE"/>
        </w:rPr>
      </w:pPr>
      <w:r>
        <w:rPr>
          <w:rStyle w:val="FootnoteReference"/>
        </w:rPr>
        <w:footnoteRef/>
      </w:r>
      <w:r>
        <w:t xml:space="preserve"> </w:t>
      </w:r>
      <w:hyperlink r:id="rId1" w:history="1">
        <w:r>
          <w:rPr>
            <w:rFonts w:ascii="Times New Roman" w:hAnsi="Times New Roman" w:cs="Times New Roman"/>
            <w:sz w:val="18"/>
            <w:szCs w:val="18"/>
          </w:rPr>
          <w:t>http://www.</w:t>
        </w:r>
        <w:r>
          <w:rPr>
            <w:rFonts w:ascii="Times New Roman" w:hAnsi="Times New Roman" w:cs="Times New Roman"/>
            <w:sz w:val="18"/>
            <w:szCs w:val="18"/>
            <w:lang w:val="en-US"/>
          </w:rPr>
          <w:t>5GObservatory.eu</w:t>
        </w:r>
      </w:hyperlink>
    </w:p>
  </w:footnote>
  <w:footnote w:id="6">
    <w:p w:rsidR="00303A65" w:rsidRDefault="00CE7F93">
      <w:pPr>
        <w:pStyle w:val="FootnoteText"/>
        <w:jc w:val="both"/>
      </w:pPr>
      <w:r>
        <w:rPr>
          <w:rStyle w:val="FootnoteReference"/>
        </w:rPr>
        <w:footnoteRef/>
      </w:r>
      <w:r>
        <w:t xml:space="preserve"> </w:t>
      </w:r>
      <w:hyperlink r:id="rId2" w:history="1">
        <w:r>
          <w:rPr>
            <w:rFonts w:ascii="Times New Roman" w:hAnsi="Times New Roman" w:cs="Times New Roman"/>
            <w:sz w:val="18"/>
            <w:szCs w:val="18"/>
          </w:rPr>
          <w:t>http://www.</w:t>
        </w:r>
        <w:r>
          <w:rPr>
            <w:rFonts w:ascii="Times New Roman" w:hAnsi="Times New Roman" w:cs="Times New Roman"/>
            <w:sz w:val="18"/>
            <w:szCs w:val="18"/>
            <w:lang w:val="en-US"/>
          </w:rPr>
          <w:t>5GObservatory.eu</w:t>
        </w:r>
      </w:hyperlink>
    </w:p>
  </w:footnote>
  <w:footnote w:id="7">
    <w:p w:rsidR="00303A65" w:rsidRDefault="00CE7F93">
      <w:pPr>
        <w:pStyle w:val="FootnoteText"/>
        <w:jc w:val="both"/>
        <w:rPr>
          <w:lang w:val="en-IE"/>
        </w:rPr>
      </w:pPr>
      <w:r>
        <w:rPr>
          <w:rStyle w:val="FootnoteReference"/>
        </w:rPr>
        <w:footnoteRef/>
      </w:r>
      <w:r>
        <w:t xml:space="preserve"> </w:t>
      </w:r>
      <w:r>
        <w:rPr>
          <w:rFonts w:ascii="Times New Roman" w:hAnsi="Times New Roman" w:cs="Times New Roman"/>
          <w:sz w:val="18"/>
          <w:szCs w:val="18"/>
        </w:rPr>
        <w:t>Some of the new functionalities of 5G will be introduced following a phased approach. In</w:t>
      </w:r>
      <w:r>
        <w:rPr>
          <w:rFonts w:ascii="Times New Roman" w:hAnsi="Times New Roman" w:cs="Times New Roman"/>
          <w:sz w:val="18"/>
          <w:szCs w:val="18"/>
        </w:rPr>
        <w:t xml:space="preserve"> a first phase (very short or short-term), 5G deployment will consist primarily in ‘non stand-alone' networks, where  only the radio access network is upgraded to 5G technology, and otherwise still relies on existing  4G core networks, which will provide e</w:t>
      </w:r>
      <w:r>
        <w:rPr>
          <w:rFonts w:ascii="Times New Roman" w:hAnsi="Times New Roman" w:cs="Times New Roman"/>
          <w:sz w:val="18"/>
          <w:szCs w:val="18"/>
        </w:rPr>
        <w:t>nhanced mobile broadband performances to end-users. During subsequent phases (short/mid-term to long-term), deployment of 'stand-alone' 5G networks, including 5G core network functions, will require and will result over time in a much more extensive change</w:t>
      </w:r>
      <w:r>
        <w:rPr>
          <w:rFonts w:ascii="Times New Roman" w:hAnsi="Times New Roman" w:cs="Times New Roman"/>
          <w:sz w:val="18"/>
          <w:szCs w:val="18"/>
        </w:rPr>
        <w:t xml:space="preserve"> in the network architecture.</w:t>
      </w:r>
      <w:r>
        <w:t xml:space="preserve"> </w:t>
      </w:r>
    </w:p>
  </w:footnote>
  <w:footnote w:id="8">
    <w:p w:rsidR="00303A65" w:rsidRDefault="00CE7F93">
      <w:pPr>
        <w:pStyle w:val="FootnoteText"/>
        <w:jc w:val="both"/>
        <w:rPr>
          <w:rFonts w:ascii="Times New Roman" w:hAnsi="Times New Roman" w:cs="Times New Roman"/>
          <w:sz w:val="18"/>
          <w:szCs w:val="18"/>
        </w:rPr>
      </w:pPr>
      <w:r>
        <w:rPr>
          <w:rStyle w:val="FootnoteReference"/>
        </w:rPr>
        <w:footnoteRef/>
      </w:r>
      <w:r>
        <w:rPr>
          <w:rStyle w:val="FootnoteReference"/>
        </w:rPr>
        <w:t xml:space="preserve"> </w:t>
      </w:r>
      <w:r>
        <w:rPr>
          <w:rFonts w:ascii="Times New Roman" w:hAnsi="Times New Roman" w:cs="Times New Roman"/>
          <w:sz w:val="18"/>
          <w:szCs w:val="18"/>
        </w:rPr>
        <w:t>Directive (EU) 2018/1972 of the European Parliament and the Council establishing the European Electronic Communications Code (Recast).</w:t>
      </w:r>
    </w:p>
  </w:footnote>
  <w:footnote w:id="9">
    <w:p w:rsidR="00303A65" w:rsidRDefault="00CE7F93">
      <w:pPr>
        <w:pStyle w:val="FootnoteText"/>
        <w:jc w:val="both"/>
      </w:pPr>
      <w:r>
        <w:rPr>
          <w:rStyle w:val="FootnoteReference"/>
        </w:rPr>
        <w:footnoteRef/>
      </w:r>
      <w:r>
        <w:rPr>
          <w:rFonts w:ascii="Times New Roman" w:hAnsi="Times New Roman" w:cs="Times New Roman"/>
          <w:sz w:val="18"/>
          <w:szCs w:val="18"/>
        </w:rPr>
        <w:t xml:space="preserve"> Proposal for a Regulation COM(2018)438 of 6 June, 2018 establishing the Connecting Eur</w:t>
      </w:r>
      <w:r>
        <w:rPr>
          <w:rFonts w:ascii="Times New Roman" w:hAnsi="Times New Roman" w:cs="Times New Roman"/>
          <w:sz w:val="18"/>
          <w:szCs w:val="18"/>
        </w:rPr>
        <w:t xml:space="preserve">ope Facility and repealing Regulations (EU) No 1316/2013 and (EU) No 283/2014 </w:t>
      </w:r>
    </w:p>
  </w:footnote>
  <w:footnote w:id="10">
    <w:p w:rsidR="00303A65" w:rsidRDefault="00CE7F93">
      <w:pPr>
        <w:pStyle w:val="PlainText"/>
        <w:jc w:val="both"/>
        <w:rPr>
          <w:lang w:val="en-IE"/>
        </w:rPr>
      </w:pPr>
      <w:r>
        <w:rPr>
          <w:rStyle w:val="FootnoteReference"/>
        </w:rPr>
        <w:footnoteRef/>
      </w:r>
      <w:r>
        <w:rPr>
          <w:lang w:val="en-IE"/>
        </w:rPr>
        <w:t xml:space="preserve"> </w:t>
      </w:r>
      <w:r>
        <w:rPr>
          <w:rFonts w:ascii="Times New Roman" w:hAnsi="Times New Roman" w:cs="Times New Roman"/>
          <w:sz w:val="18"/>
          <w:szCs w:val="18"/>
          <w:lang w:val="en-GB"/>
        </w:rPr>
        <w:t xml:space="preserve">5G network slicing allows a high degree of separation between different service layers on the same physical network, thus increasing the possibilities to offer differentiated </w:t>
      </w:r>
      <w:r>
        <w:rPr>
          <w:rFonts w:ascii="Times New Roman" w:hAnsi="Times New Roman" w:cs="Times New Roman"/>
          <w:sz w:val="18"/>
          <w:szCs w:val="18"/>
          <w:lang w:val="en-GB"/>
        </w:rPr>
        <w:t xml:space="preserve">services over the whole network. </w:t>
      </w:r>
    </w:p>
  </w:footnote>
  <w:footnote w:id="11">
    <w:p w:rsidR="00303A65" w:rsidRDefault="00CE7F93">
      <w:pPr>
        <w:pStyle w:val="FootnoteText"/>
        <w:jc w:val="both"/>
      </w:pPr>
      <w:r>
        <w:rPr>
          <w:rStyle w:val="FootnoteReference"/>
        </w:rPr>
        <w:footnoteRef/>
      </w:r>
      <w:r>
        <w:t xml:space="preserve"> </w:t>
      </w:r>
      <w:r>
        <w:rPr>
          <w:rFonts w:ascii="Times New Roman" w:hAnsi="Times New Roman" w:cs="Times New Roman"/>
          <w:bCs/>
          <w:sz w:val="18"/>
          <w:szCs w:val="18"/>
        </w:rPr>
        <w:t>Edge computing</w:t>
      </w:r>
      <w:r>
        <w:rPr>
          <w:rFonts w:ascii="Times New Roman" w:hAnsi="Times New Roman" w:cs="Times New Roman"/>
          <w:sz w:val="18"/>
          <w:szCs w:val="18"/>
        </w:rPr>
        <w:t xml:space="preserve"> is a </w:t>
      </w:r>
      <w:hyperlink r:id="rId3" w:tooltip="Distributed computing" w:history="1">
        <w:r>
          <w:rPr>
            <w:rFonts w:ascii="Times New Roman" w:hAnsi="Times New Roman" w:cs="Times New Roman"/>
            <w:sz w:val="18"/>
            <w:szCs w:val="18"/>
          </w:rPr>
          <w:t>distributed computing</w:t>
        </w:r>
      </w:hyperlink>
      <w:r>
        <w:rPr>
          <w:rFonts w:ascii="Times New Roman" w:hAnsi="Times New Roman" w:cs="Times New Roman"/>
          <w:sz w:val="18"/>
          <w:szCs w:val="18"/>
        </w:rPr>
        <w:t xml:space="preserve"> paradigm which brings </w:t>
      </w:r>
      <w:hyperlink r:id="rId4" w:tooltip="Computation" w:history="1">
        <w:r>
          <w:rPr>
            <w:rFonts w:ascii="Times New Roman" w:hAnsi="Times New Roman" w:cs="Times New Roman"/>
            <w:sz w:val="18"/>
            <w:szCs w:val="18"/>
          </w:rPr>
          <w:t>computation</w:t>
        </w:r>
      </w:hyperlink>
      <w:r>
        <w:rPr>
          <w:rFonts w:ascii="Times New Roman" w:hAnsi="Times New Roman" w:cs="Times New Roman"/>
          <w:sz w:val="18"/>
          <w:szCs w:val="18"/>
        </w:rPr>
        <w:t xml:space="preserve"> and </w:t>
      </w:r>
      <w:hyperlink r:id="rId5" w:tooltip="Data storage" w:history="1">
        <w:r>
          <w:rPr>
            <w:rFonts w:ascii="Times New Roman" w:hAnsi="Times New Roman" w:cs="Times New Roman"/>
            <w:sz w:val="18"/>
            <w:szCs w:val="18"/>
          </w:rPr>
          <w:t>data storage</w:t>
        </w:r>
      </w:hyperlink>
      <w:r>
        <w:rPr>
          <w:rFonts w:ascii="Times New Roman" w:hAnsi="Times New Roman" w:cs="Times New Roman"/>
          <w:sz w:val="18"/>
          <w:szCs w:val="18"/>
        </w:rPr>
        <w:t xml:space="preserve"> closer to the location where it is needed, to improve response times and save</w:t>
      </w:r>
      <w:r>
        <w:rPr>
          <w:rFonts w:ascii="Times New Roman" w:hAnsi="Times New Roman" w:cs="Times New Roman"/>
          <w:sz w:val="18"/>
          <w:szCs w:val="18"/>
        </w:rPr>
        <w:t xml:space="preserve"> bandwidth.</w:t>
      </w:r>
    </w:p>
  </w:footnote>
  <w:footnote w:id="12">
    <w:p w:rsidR="00303A65" w:rsidRDefault="00CE7F93">
      <w:pPr>
        <w:pStyle w:val="FootnoteText"/>
        <w:jc w:val="both"/>
      </w:pPr>
      <w:r>
        <w:rPr>
          <w:rStyle w:val="FootnoteReference"/>
        </w:rPr>
        <w:footnoteRef/>
      </w:r>
      <w:r>
        <w:t xml:space="preserve"> </w:t>
      </w:r>
      <w:r>
        <w:rPr>
          <w:rFonts w:ascii="Times New Roman" w:hAnsi="Times New Roman" w:cs="Times New Roman"/>
          <w:sz w:val="18"/>
          <w:szCs w:val="18"/>
        </w:rPr>
        <w:t>Council Recommendation of 12 July 1999 on the limitation of exposure of the general public to electromagnetic fields (0 Hz to 300 GHz) (1999/519/EC).</w:t>
      </w:r>
    </w:p>
  </w:footnote>
  <w:footnote w:id="13">
    <w:p w:rsidR="00303A65" w:rsidRDefault="00CE7F93">
      <w:pPr>
        <w:pStyle w:val="FootnoteText"/>
        <w:jc w:val="both"/>
        <w:rPr>
          <w:rFonts w:ascii="Times New Roman" w:hAnsi="Times New Roman" w:cs="Times New Roman"/>
          <w:sz w:val="18"/>
          <w:szCs w:val="18"/>
        </w:rPr>
      </w:pPr>
      <w:r>
        <w:rPr>
          <w:rStyle w:val="FootnoteReference"/>
        </w:rPr>
        <w:footnoteRef/>
      </w:r>
      <w:r>
        <w:rPr>
          <w:rFonts w:ascii="Times New Roman" w:hAnsi="Times New Roman" w:cs="Times New Roman"/>
          <w:sz w:val="18"/>
          <w:szCs w:val="18"/>
        </w:rPr>
        <w:t xml:space="preserve"> Directive (EU) 2016/1148 of the European Parliament and of the Council of 6 July 2016 conc</w:t>
      </w:r>
      <w:r>
        <w:rPr>
          <w:rFonts w:ascii="Times New Roman" w:hAnsi="Times New Roman" w:cs="Times New Roman"/>
          <w:sz w:val="18"/>
          <w:szCs w:val="18"/>
        </w:rPr>
        <w:t>erning measures for a high common level of security of network and information systems across the Union (NIS Directive). The NIS Cooperation Group has been established by the NIS Directive to ensure strategic cooperation and the exchange of information amo</w:t>
      </w:r>
      <w:r>
        <w:rPr>
          <w:rFonts w:ascii="Times New Roman" w:hAnsi="Times New Roman" w:cs="Times New Roman"/>
          <w:sz w:val="18"/>
          <w:szCs w:val="18"/>
        </w:rPr>
        <w:t>ng EU Member States in cybersecurity.</w:t>
      </w:r>
    </w:p>
  </w:footnote>
  <w:footnote w:id="14">
    <w:p w:rsidR="00303A65" w:rsidRDefault="00CE7F93">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hyperlink r:id="rId6" w:history="1">
        <w:r>
          <w:rPr>
            <w:rStyle w:val="Hyperlink"/>
            <w:rFonts w:ascii="Times New Roman" w:hAnsi="Times New Roman" w:cs="Times New Roman"/>
            <w:color w:val="auto"/>
            <w:sz w:val="18"/>
            <w:szCs w:val="18"/>
          </w:rPr>
          <w:t>https://ec.europa.eu/digital-single-market/en/news/eu-wide-coordinated-risk-assessment-5g-ne</w:t>
        </w:r>
        <w:r>
          <w:rPr>
            <w:rStyle w:val="Hyperlink"/>
            <w:rFonts w:ascii="Times New Roman" w:hAnsi="Times New Roman" w:cs="Times New Roman"/>
            <w:color w:val="auto"/>
            <w:sz w:val="18"/>
            <w:szCs w:val="18"/>
          </w:rPr>
          <w:t>tworks-security</w:t>
        </w:r>
      </w:hyperlink>
    </w:p>
  </w:footnote>
  <w:footnote w:id="15">
    <w:p w:rsidR="00303A65" w:rsidRDefault="00CE7F93">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ENISA Threat landscape for 5G networks: https://www.enisa.europa.eu/publications/enisa-threat-landscape-for-5g-networks.</w:t>
      </w:r>
    </w:p>
  </w:footnote>
  <w:footnote w:id="16">
    <w:p w:rsidR="00303A65" w:rsidRDefault="00CE7F93">
      <w:pPr>
        <w:pStyle w:val="FootnoteText"/>
        <w:jc w:val="both"/>
        <w:rPr>
          <w:rFonts w:ascii="Times New Roman" w:hAnsi="Times New Roman" w:cs="Times New Roman"/>
          <w:sz w:val="16"/>
          <w:szCs w:val="16"/>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Council Conclusions on the significance of 5G to the European Economy and the need to mitigate security risks linke</w:t>
      </w:r>
      <w:r>
        <w:rPr>
          <w:rFonts w:ascii="Times New Roman" w:hAnsi="Times New Roman" w:cs="Times New Roman"/>
          <w:sz w:val="18"/>
          <w:szCs w:val="18"/>
        </w:rPr>
        <w:t xml:space="preserve">d to 5G. 3 December, 2019 14517/19 </w:t>
      </w:r>
      <w:hyperlink r:id="rId7" w:history="1">
        <w:r>
          <w:rPr>
            <w:rStyle w:val="Hyperlink"/>
            <w:rFonts w:ascii="Times New Roman" w:hAnsi="Times New Roman" w:cs="Times New Roman"/>
            <w:color w:val="auto"/>
            <w:sz w:val="18"/>
            <w:szCs w:val="18"/>
          </w:rPr>
          <w:t>https://www.consilium.europa.eu/media/41595/st14517-en19.pdf</w:t>
        </w:r>
      </w:hyperlink>
      <w:r>
        <w:rPr>
          <w:rFonts w:ascii="Times New Roman" w:hAnsi="Times New Roman" w:cs="Times New Roman"/>
          <w:sz w:val="16"/>
          <w:szCs w:val="16"/>
        </w:rPr>
        <w:t>.</w:t>
      </w:r>
    </w:p>
  </w:footnote>
  <w:footnote w:id="17">
    <w:p w:rsidR="00303A65" w:rsidRDefault="00CE7F93">
      <w:pPr>
        <w:pStyle w:val="FootnoteText"/>
        <w:jc w:val="both"/>
      </w:pPr>
      <w:r>
        <w:rPr>
          <w:rStyle w:val="FootnoteReference"/>
        </w:rPr>
        <w:footnoteRef/>
      </w:r>
      <w:r>
        <w:t xml:space="preserve"> </w:t>
      </w:r>
      <w:r>
        <w:rPr>
          <w:rFonts w:ascii="Times New Roman" w:hAnsi="Times New Roman" w:cs="Times New Roman"/>
          <w:sz w:val="16"/>
          <w:szCs w:val="16"/>
        </w:rPr>
        <w:t>Cybersecurity of 5G networks - EU Toolbox of risk mitigating measures, 29 Januar</w:t>
      </w:r>
      <w:r>
        <w:rPr>
          <w:rFonts w:ascii="Times New Roman" w:hAnsi="Times New Roman" w:cs="Times New Roman"/>
          <w:sz w:val="16"/>
          <w:szCs w:val="16"/>
        </w:rPr>
        <w:t>y 2020. https://ec.europa.eu/digital-single-market/en/nis-cooperation-group.</w:t>
      </w:r>
    </w:p>
  </w:footnote>
  <w:footnote w:id="18">
    <w:p w:rsidR="00303A65" w:rsidRDefault="00CE7F93">
      <w:pPr>
        <w:pStyle w:val="FootnoteText"/>
        <w:jc w:val="both"/>
        <w:rPr>
          <w:lang w:val="en-IE"/>
        </w:rPr>
      </w:pPr>
      <w:r>
        <w:rPr>
          <w:rStyle w:val="FootnoteReference"/>
        </w:rPr>
        <w:footnoteRef/>
      </w:r>
      <w:r>
        <w:t xml:space="preserve"> </w:t>
      </w:r>
      <w:r>
        <w:rPr>
          <w:rFonts w:ascii="Times New Roman" w:hAnsi="Times New Roman" w:cs="Times New Roman"/>
          <w:sz w:val="18"/>
          <w:szCs w:val="18"/>
        </w:rPr>
        <w:t>Paragraph 2.37 of the EU coordinated risk assessment.</w:t>
      </w:r>
      <w:r>
        <w:t xml:space="preserve"> </w:t>
      </w:r>
    </w:p>
  </w:footnote>
  <w:footnote w:id="19">
    <w:p w:rsidR="00303A65" w:rsidRDefault="00CE7F93">
      <w:pPr>
        <w:pStyle w:val="FootnoteText"/>
        <w:jc w:val="both"/>
      </w:pPr>
      <w:r>
        <w:rPr>
          <w:rStyle w:val="FootnoteReference"/>
        </w:rPr>
        <w:footnoteRef/>
      </w:r>
      <w:r>
        <w:t xml:space="preserve"> </w:t>
      </w:r>
      <w:r>
        <w:rPr>
          <w:rFonts w:ascii="Times New Roman" w:hAnsi="Times New Roman" w:cs="Times New Roman"/>
          <w:sz w:val="18"/>
          <w:szCs w:val="18"/>
        </w:rPr>
        <w:t>Paragraph 2.21 of the EU coordinated risk assessment presents the main categories of elements and functions and their ov</w:t>
      </w:r>
      <w:r>
        <w:rPr>
          <w:rFonts w:ascii="Times New Roman" w:hAnsi="Times New Roman" w:cs="Times New Roman"/>
          <w:sz w:val="18"/>
          <w:szCs w:val="18"/>
        </w:rPr>
        <w:t>erall level of sensitivity, and lists a number of key elements identified by Member States for each category and paragraphs 2.28 and 2.29 identify a number of other types of sensitive assets or areas (e.g. specific entities or geographic areas).</w:t>
      </w:r>
      <w:r>
        <w:t xml:space="preserve"> </w:t>
      </w:r>
    </w:p>
  </w:footnote>
  <w:footnote w:id="20">
    <w:p w:rsidR="00303A65" w:rsidRDefault="00CE7F93">
      <w:pPr>
        <w:pStyle w:val="FootnoteText"/>
        <w:rPr>
          <w:lang w:val="en-US"/>
        </w:rPr>
      </w:pPr>
      <w:r>
        <w:rPr>
          <w:rStyle w:val="FootnoteReference"/>
        </w:rPr>
        <w:footnoteRef/>
      </w:r>
      <w:r>
        <w:t xml:space="preserve"> </w:t>
      </w:r>
      <w:r>
        <w:rPr>
          <w:rFonts w:ascii="Times New Roman" w:hAnsi="Times New Roman" w:cs="Times New Roman"/>
          <w:sz w:val="18"/>
          <w:szCs w:val="18"/>
        </w:rPr>
        <w:t>COM(2016)588 of the 14 September, 2016 5G for Europe: An Action Plan.</w:t>
      </w:r>
    </w:p>
  </w:footnote>
  <w:footnote w:id="21">
    <w:p w:rsidR="00303A65" w:rsidRDefault="00CE7F93">
      <w:pPr>
        <w:pStyle w:val="FootnoteText"/>
        <w:rPr>
          <w:rFonts w:ascii="Times New Roman" w:hAnsi="Times New Roman" w:cs="Times New Roman"/>
          <w:sz w:val="18"/>
          <w:szCs w:val="18"/>
          <w:lang w:val="en-US"/>
        </w:rPr>
      </w:pPr>
      <w:r>
        <w:rPr>
          <w:rStyle w:val="FootnoteReference"/>
        </w:rPr>
        <w:footnoteRef/>
      </w:r>
      <w:r>
        <w:t xml:space="preserve"> </w:t>
      </w:r>
      <w:r>
        <w:rPr>
          <w:rFonts w:ascii="Times New Roman" w:hAnsi="Times New Roman" w:cs="Times New Roman"/>
          <w:sz w:val="18"/>
          <w:szCs w:val="18"/>
        </w:rPr>
        <w:t>Commission Recommendation on a coordinated response to large-scale cybersecurity incidents &amp; crisis (EU 2017/1584).</w:t>
      </w:r>
    </w:p>
  </w:footnote>
  <w:footnote w:id="22">
    <w:p w:rsidR="00303A65" w:rsidRDefault="00CE7F93">
      <w:pPr>
        <w:pStyle w:val="FootnoteText"/>
        <w:rPr>
          <w:lang w:val="en-IE"/>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Council Conclusions</w:t>
      </w:r>
      <w:r>
        <w:rPr>
          <w:rFonts w:ascii="Times New Roman" w:hAnsi="Times New Roman" w:cs="Times New Roman"/>
          <w:b/>
          <w:sz w:val="18"/>
          <w:szCs w:val="18"/>
        </w:rPr>
        <w:t xml:space="preserve"> </w:t>
      </w:r>
      <w:r>
        <w:rPr>
          <w:rFonts w:ascii="Times New Roman" w:hAnsi="Times New Roman" w:cs="Times New Roman"/>
          <w:sz w:val="18"/>
          <w:szCs w:val="18"/>
        </w:rPr>
        <w:t>20 November, 2017, 9916/17.</w:t>
      </w:r>
    </w:p>
  </w:footnote>
  <w:footnote w:id="23">
    <w:p w:rsidR="00303A65" w:rsidRDefault="00CE7F93">
      <w:pPr>
        <w:pStyle w:val="FootnoteText"/>
        <w:rPr>
          <w:lang w:val="en-IE"/>
        </w:rPr>
      </w:pPr>
      <w:r>
        <w:rPr>
          <w:rStyle w:val="FootnoteReference"/>
        </w:rPr>
        <w:footnoteRef/>
      </w:r>
      <w:r>
        <w:t xml:space="preserve"> </w:t>
      </w:r>
      <w:r>
        <w:rPr>
          <w:rFonts w:ascii="Times New Roman" w:hAnsi="Times New Roman" w:cs="Times New Roman"/>
          <w:sz w:val="18"/>
          <w:szCs w:val="18"/>
        </w:rPr>
        <w:t>Funding can also</w:t>
      </w:r>
      <w:r>
        <w:rPr>
          <w:rFonts w:ascii="Times New Roman" w:hAnsi="Times New Roman" w:cs="Times New Roman"/>
          <w:sz w:val="18"/>
          <w:szCs w:val="18"/>
        </w:rPr>
        <w:t xml:space="preserve"> be provided through the CEF 2.0 and Digital Europe Programme.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A65" w:rsidRDefault="00303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A65" w:rsidRDefault="00303A6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A65" w:rsidRDefault="00303A6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A65" w:rsidRDefault="00303A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A65" w:rsidRDefault="00303A6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A65" w:rsidRDefault="00303A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5"/>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AF463A"/>
    <w:multiLevelType w:val="hybridMultilevel"/>
    <w:tmpl w:val="DBC4B0B0"/>
    <w:lvl w:ilvl="0" w:tplc="3BEC51E2">
      <w:start w:val="4"/>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6C57465"/>
    <w:multiLevelType w:val="hybridMultilevel"/>
    <w:tmpl w:val="0C5205C2"/>
    <w:lvl w:ilvl="0" w:tplc="6DB4F02C">
      <w:numFmt w:val="bullet"/>
      <w:lvlText w:val="-"/>
      <w:lvlJc w:val="left"/>
      <w:pPr>
        <w:ind w:left="1080" w:hanging="360"/>
      </w:pPr>
      <w:rPr>
        <w:rFonts w:ascii="Arial" w:eastAsiaTheme="minorHAnsi" w:hAnsi="Arial" w:cs="Arial" w:hint="default"/>
        <w:i/>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6DB4F02C">
      <w:numFmt w:val="bullet"/>
      <w:lvlText w:val="-"/>
      <w:lvlJc w:val="left"/>
      <w:pPr>
        <w:ind w:left="3240" w:hanging="360"/>
      </w:pPr>
      <w:rPr>
        <w:rFonts w:ascii="Arial" w:eastAsiaTheme="minorHAnsi" w:hAnsi="Arial" w:cs="Arial" w:hint="default"/>
        <w:i/>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814255F"/>
    <w:multiLevelType w:val="multilevel"/>
    <w:tmpl w:val="E1F06DB2"/>
    <w:lvl w:ilvl="0">
      <w:start w:val="1"/>
      <w:numFmt w:val="bullet"/>
      <w:lvlText w:val=""/>
      <w:lvlJc w:val="left"/>
      <w:pPr>
        <w:tabs>
          <w:tab w:val="num" w:pos="654"/>
        </w:tabs>
        <w:ind w:left="654" w:hanging="360"/>
      </w:pPr>
      <w:rPr>
        <w:rFonts w:ascii="Symbol" w:hAnsi="Symbol" w:hint="default"/>
        <w:sz w:val="20"/>
      </w:rPr>
    </w:lvl>
    <w:lvl w:ilvl="1">
      <w:start w:val="1"/>
      <w:numFmt w:val="bullet"/>
      <w:lvlText w:val="o"/>
      <w:lvlJc w:val="left"/>
      <w:pPr>
        <w:tabs>
          <w:tab w:val="num" w:pos="1374"/>
        </w:tabs>
        <w:ind w:left="1374" w:hanging="360"/>
      </w:pPr>
      <w:rPr>
        <w:rFonts w:ascii="Courier New" w:hAnsi="Courier New" w:cs="Times New Roman" w:hint="default"/>
        <w:sz w:val="20"/>
      </w:rPr>
    </w:lvl>
    <w:lvl w:ilvl="2">
      <w:start w:val="1"/>
      <w:numFmt w:val="bullet"/>
      <w:lvlText w:val=""/>
      <w:lvlJc w:val="left"/>
      <w:pPr>
        <w:tabs>
          <w:tab w:val="num" w:pos="2094"/>
        </w:tabs>
        <w:ind w:left="2094" w:hanging="360"/>
      </w:pPr>
      <w:rPr>
        <w:rFonts w:ascii="Wingdings" w:hAnsi="Wingdings" w:hint="default"/>
        <w:sz w:val="20"/>
      </w:rPr>
    </w:lvl>
    <w:lvl w:ilvl="3">
      <w:start w:val="1"/>
      <w:numFmt w:val="bullet"/>
      <w:lvlText w:val=""/>
      <w:lvlJc w:val="left"/>
      <w:pPr>
        <w:tabs>
          <w:tab w:val="num" w:pos="2814"/>
        </w:tabs>
        <w:ind w:left="2814" w:hanging="360"/>
      </w:pPr>
      <w:rPr>
        <w:rFonts w:ascii="Wingdings" w:hAnsi="Wingdings" w:hint="default"/>
        <w:sz w:val="20"/>
      </w:rPr>
    </w:lvl>
    <w:lvl w:ilvl="4">
      <w:start w:val="1"/>
      <w:numFmt w:val="bullet"/>
      <w:lvlText w:val=""/>
      <w:lvlJc w:val="left"/>
      <w:pPr>
        <w:tabs>
          <w:tab w:val="num" w:pos="3534"/>
        </w:tabs>
        <w:ind w:left="3534" w:hanging="360"/>
      </w:pPr>
      <w:rPr>
        <w:rFonts w:ascii="Wingdings" w:hAnsi="Wingdings" w:hint="default"/>
        <w:sz w:val="20"/>
      </w:rPr>
    </w:lvl>
    <w:lvl w:ilvl="5">
      <w:start w:val="1"/>
      <w:numFmt w:val="bullet"/>
      <w:lvlText w:val=""/>
      <w:lvlJc w:val="left"/>
      <w:pPr>
        <w:tabs>
          <w:tab w:val="num" w:pos="4254"/>
        </w:tabs>
        <w:ind w:left="4254" w:hanging="360"/>
      </w:pPr>
      <w:rPr>
        <w:rFonts w:ascii="Wingdings" w:hAnsi="Wingdings" w:hint="default"/>
        <w:sz w:val="20"/>
      </w:rPr>
    </w:lvl>
    <w:lvl w:ilvl="6">
      <w:start w:val="1"/>
      <w:numFmt w:val="bullet"/>
      <w:lvlText w:val=""/>
      <w:lvlJc w:val="left"/>
      <w:pPr>
        <w:tabs>
          <w:tab w:val="num" w:pos="4974"/>
        </w:tabs>
        <w:ind w:left="4974" w:hanging="360"/>
      </w:pPr>
      <w:rPr>
        <w:rFonts w:ascii="Wingdings" w:hAnsi="Wingdings" w:hint="default"/>
        <w:sz w:val="20"/>
      </w:rPr>
    </w:lvl>
    <w:lvl w:ilvl="7">
      <w:start w:val="1"/>
      <w:numFmt w:val="bullet"/>
      <w:lvlText w:val=""/>
      <w:lvlJc w:val="left"/>
      <w:pPr>
        <w:tabs>
          <w:tab w:val="num" w:pos="5694"/>
        </w:tabs>
        <w:ind w:left="5694" w:hanging="360"/>
      </w:pPr>
      <w:rPr>
        <w:rFonts w:ascii="Wingdings" w:hAnsi="Wingdings" w:hint="default"/>
        <w:sz w:val="20"/>
      </w:rPr>
    </w:lvl>
    <w:lvl w:ilvl="8">
      <w:start w:val="1"/>
      <w:numFmt w:val="bullet"/>
      <w:lvlText w:val=""/>
      <w:lvlJc w:val="left"/>
      <w:pPr>
        <w:tabs>
          <w:tab w:val="num" w:pos="6414"/>
        </w:tabs>
        <w:ind w:left="6414" w:hanging="360"/>
      </w:pPr>
      <w:rPr>
        <w:rFonts w:ascii="Wingdings" w:hAnsi="Wingdings" w:hint="default"/>
        <w:sz w:val="20"/>
      </w:rPr>
    </w:lvl>
  </w:abstractNum>
  <w:abstractNum w:abstractNumId="4" w15:restartNumberingAfterBreak="0">
    <w:nsid w:val="10D1540F"/>
    <w:multiLevelType w:val="hybridMultilevel"/>
    <w:tmpl w:val="20A4A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304444"/>
    <w:multiLevelType w:val="multilevel"/>
    <w:tmpl w:val="4F0C0336"/>
    <w:lvl w:ilvl="0">
      <w:start w:val="1"/>
      <w:numFmt w:val="bullet"/>
      <w:lvlText w:val=""/>
      <w:lvlJc w:val="left"/>
      <w:pPr>
        <w:tabs>
          <w:tab w:val="num" w:pos="426"/>
        </w:tabs>
        <w:ind w:left="426" w:hanging="360"/>
      </w:pPr>
      <w:rPr>
        <w:rFonts w:ascii="Symbol" w:hAnsi="Symbol" w:hint="default"/>
        <w:sz w:val="20"/>
      </w:rPr>
    </w:lvl>
    <w:lvl w:ilvl="1">
      <w:start w:val="1"/>
      <w:numFmt w:val="bullet"/>
      <w:lvlText w:val="o"/>
      <w:lvlJc w:val="left"/>
      <w:pPr>
        <w:tabs>
          <w:tab w:val="num" w:pos="1146"/>
        </w:tabs>
        <w:ind w:left="1146" w:hanging="360"/>
      </w:pPr>
      <w:rPr>
        <w:rFonts w:ascii="Courier New" w:hAnsi="Courier New" w:cs="Times New Roman" w:hint="default"/>
        <w:sz w:val="20"/>
      </w:rPr>
    </w:lvl>
    <w:lvl w:ilvl="2">
      <w:start w:val="1"/>
      <w:numFmt w:val="bullet"/>
      <w:lvlText w:val=""/>
      <w:lvlJc w:val="left"/>
      <w:pPr>
        <w:tabs>
          <w:tab w:val="num" w:pos="1866"/>
        </w:tabs>
        <w:ind w:left="1866" w:hanging="360"/>
      </w:pPr>
      <w:rPr>
        <w:rFonts w:ascii="Wingdings" w:hAnsi="Wingdings" w:hint="default"/>
        <w:sz w:val="20"/>
      </w:rPr>
    </w:lvl>
    <w:lvl w:ilvl="3">
      <w:start w:val="1"/>
      <w:numFmt w:val="bullet"/>
      <w:lvlText w:val=""/>
      <w:lvlJc w:val="left"/>
      <w:pPr>
        <w:tabs>
          <w:tab w:val="num" w:pos="2586"/>
        </w:tabs>
        <w:ind w:left="2586" w:hanging="360"/>
      </w:pPr>
      <w:rPr>
        <w:rFonts w:ascii="Wingdings" w:hAnsi="Wingdings" w:hint="default"/>
        <w:sz w:val="20"/>
      </w:rPr>
    </w:lvl>
    <w:lvl w:ilvl="4">
      <w:start w:val="1"/>
      <w:numFmt w:val="bullet"/>
      <w:lvlText w:val=""/>
      <w:lvlJc w:val="left"/>
      <w:pPr>
        <w:tabs>
          <w:tab w:val="num" w:pos="3306"/>
        </w:tabs>
        <w:ind w:left="3306" w:hanging="360"/>
      </w:pPr>
      <w:rPr>
        <w:rFonts w:ascii="Wingdings" w:hAnsi="Wingdings" w:hint="default"/>
        <w:sz w:val="20"/>
      </w:rPr>
    </w:lvl>
    <w:lvl w:ilvl="5">
      <w:start w:val="1"/>
      <w:numFmt w:val="bullet"/>
      <w:lvlText w:val=""/>
      <w:lvlJc w:val="left"/>
      <w:pPr>
        <w:tabs>
          <w:tab w:val="num" w:pos="4026"/>
        </w:tabs>
        <w:ind w:left="4026" w:hanging="360"/>
      </w:pPr>
      <w:rPr>
        <w:rFonts w:ascii="Wingdings" w:hAnsi="Wingdings" w:hint="default"/>
        <w:sz w:val="20"/>
      </w:rPr>
    </w:lvl>
    <w:lvl w:ilvl="6">
      <w:start w:val="1"/>
      <w:numFmt w:val="bullet"/>
      <w:lvlText w:val=""/>
      <w:lvlJc w:val="left"/>
      <w:pPr>
        <w:tabs>
          <w:tab w:val="num" w:pos="4746"/>
        </w:tabs>
        <w:ind w:left="4746" w:hanging="360"/>
      </w:pPr>
      <w:rPr>
        <w:rFonts w:ascii="Wingdings" w:hAnsi="Wingdings" w:hint="default"/>
        <w:sz w:val="20"/>
      </w:rPr>
    </w:lvl>
    <w:lvl w:ilvl="7">
      <w:start w:val="1"/>
      <w:numFmt w:val="bullet"/>
      <w:lvlText w:val=""/>
      <w:lvlJc w:val="left"/>
      <w:pPr>
        <w:tabs>
          <w:tab w:val="num" w:pos="5466"/>
        </w:tabs>
        <w:ind w:left="5466" w:hanging="360"/>
      </w:pPr>
      <w:rPr>
        <w:rFonts w:ascii="Wingdings" w:hAnsi="Wingdings" w:hint="default"/>
        <w:sz w:val="20"/>
      </w:rPr>
    </w:lvl>
    <w:lvl w:ilvl="8">
      <w:start w:val="1"/>
      <w:numFmt w:val="bullet"/>
      <w:lvlText w:val=""/>
      <w:lvlJc w:val="left"/>
      <w:pPr>
        <w:tabs>
          <w:tab w:val="num" w:pos="6186"/>
        </w:tabs>
        <w:ind w:left="6186" w:hanging="360"/>
      </w:pPr>
      <w:rPr>
        <w:rFonts w:ascii="Wingdings" w:hAnsi="Wingdings" w:hint="default"/>
        <w:sz w:val="20"/>
      </w:rPr>
    </w:lvl>
  </w:abstractNum>
  <w:abstractNum w:abstractNumId="6" w15:restartNumberingAfterBreak="0">
    <w:nsid w:val="204E0ABA"/>
    <w:multiLevelType w:val="multilevel"/>
    <w:tmpl w:val="6D62B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F38A4"/>
    <w:multiLevelType w:val="hybridMultilevel"/>
    <w:tmpl w:val="29A64B4E"/>
    <w:lvl w:ilvl="0" w:tplc="2DA466C6">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9270079"/>
    <w:multiLevelType w:val="hybridMultilevel"/>
    <w:tmpl w:val="B8FE5DBA"/>
    <w:lvl w:ilvl="0" w:tplc="58E22F30">
      <w:start w:val="5"/>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EC0470D"/>
    <w:multiLevelType w:val="hybridMultilevel"/>
    <w:tmpl w:val="E58CEDE0"/>
    <w:lvl w:ilvl="0" w:tplc="080C0001">
      <w:start w:val="1"/>
      <w:numFmt w:val="bullet"/>
      <w:lvlText w:val=""/>
      <w:lvlJc w:val="left"/>
      <w:pPr>
        <w:ind w:left="784" w:hanging="360"/>
      </w:pPr>
      <w:rPr>
        <w:rFonts w:ascii="Symbol" w:hAnsi="Symbol" w:hint="default"/>
      </w:rPr>
    </w:lvl>
    <w:lvl w:ilvl="1" w:tplc="080C0003" w:tentative="1">
      <w:start w:val="1"/>
      <w:numFmt w:val="bullet"/>
      <w:lvlText w:val="o"/>
      <w:lvlJc w:val="left"/>
      <w:pPr>
        <w:ind w:left="1504" w:hanging="360"/>
      </w:pPr>
      <w:rPr>
        <w:rFonts w:ascii="Courier New" w:hAnsi="Courier New" w:cs="Courier New" w:hint="default"/>
      </w:rPr>
    </w:lvl>
    <w:lvl w:ilvl="2" w:tplc="080C0005" w:tentative="1">
      <w:start w:val="1"/>
      <w:numFmt w:val="bullet"/>
      <w:lvlText w:val=""/>
      <w:lvlJc w:val="left"/>
      <w:pPr>
        <w:ind w:left="2224" w:hanging="360"/>
      </w:pPr>
      <w:rPr>
        <w:rFonts w:ascii="Wingdings" w:hAnsi="Wingdings" w:hint="default"/>
      </w:rPr>
    </w:lvl>
    <w:lvl w:ilvl="3" w:tplc="080C0001" w:tentative="1">
      <w:start w:val="1"/>
      <w:numFmt w:val="bullet"/>
      <w:lvlText w:val=""/>
      <w:lvlJc w:val="left"/>
      <w:pPr>
        <w:ind w:left="2944" w:hanging="360"/>
      </w:pPr>
      <w:rPr>
        <w:rFonts w:ascii="Symbol" w:hAnsi="Symbol" w:hint="default"/>
      </w:rPr>
    </w:lvl>
    <w:lvl w:ilvl="4" w:tplc="080C0003" w:tentative="1">
      <w:start w:val="1"/>
      <w:numFmt w:val="bullet"/>
      <w:lvlText w:val="o"/>
      <w:lvlJc w:val="left"/>
      <w:pPr>
        <w:ind w:left="3664" w:hanging="360"/>
      </w:pPr>
      <w:rPr>
        <w:rFonts w:ascii="Courier New" w:hAnsi="Courier New" w:cs="Courier New" w:hint="default"/>
      </w:rPr>
    </w:lvl>
    <w:lvl w:ilvl="5" w:tplc="080C0005" w:tentative="1">
      <w:start w:val="1"/>
      <w:numFmt w:val="bullet"/>
      <w:lvlText w:val=""/>
      <w:lvlJc w:val="left"/>
      <w:pPr>
        <w:ind w:left="4384" w:hanging="360"/>
      </w:pPr>
      <w:rPr>
        <w:rFonts w:ascii="Wingdings" w:hAnsi="Wingdings" w:hint="default"/>
      </w:rPr>
    </w:lvl>
    <w:lvl w:ilvl="6" w:tplc="080C0001" w:tentative="1">
      <w:start w:val="1"/>
      <w:numFmt w:val="bullet"/>
      <w:lvlText w:val=""/>
      <w:lvlJc w:val="left"/>
      <w:pPr>
        <w:ind w:left="5104" w:hanging="360"/>
      </w:pPr>
      <w:rPr>
        <w:rFonts w:ascii="Symbol" w:hAnsi="Symbol" w:hint="default"/>
      </w:rPr>
    </w:lvl>
    <w:lvl w:ilvl="7" w:tplc="080C0003" w:tentative="1">
      <w:start w:val="1"/>
      <w:numFmt w:val="bullet"/>
      <w:lvlText w:val="o"/>
      <w:lvlJc w:val="left"/>
      <w:pPr>
        <w:ind w:left="5824" w:hanging="360"/>
      </w:pPr>
      <w:rPr>
        <w:rFonts w:ascii="Courier New" w:hAnsi="Courier New" w:cs="Courier New" w:hint="default"/>
      </w:rPr>
    </w:lvl>
    <w:lvl w:ilvl="8" w:tplc="080C0005" w:tentative="1">
      <w:start w:val="1"/>
      <w:numFmt w:val="bullet"/>
      <w:lvlText w:val=""/>
      <w:lvlJc w:val="left"/>
      <w:pPr>
        <w:ind w:left="6544" w:hanging="360"/>
      </w:pPr>
      <w:rPr>
        <w:rFonts w:ascii="Wingdings" w:hAnsi="Wingdings" w:hint="default"/>
      </w:rPr>
    </w:lvl>
  </w:abstractNum>
  <w:abstractNum w:abstractNumId="10" w15:restartNumberingAfterBreak="0">
    <w:nsid w:val="352808C7"/>
    <w:multiLevelType w:val="hybridMultilevel"/>
    <w:tmpl w:val="1A08F252"/>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1" w15:restartNumberingAfterBreak="0">
    <w:nsid w:val="35E42105"/>
    <w:multiLevelType w:val="multilevel"/>
    <w:tmpl w:val="0950B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E956A5"/>
    <w:multiLevelType w:val="multilevel"/>
    <w:tmpl w:val="1BE68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0B65E1"/>
    <w:multiLevelType w:val="multilevel"/>
    <w:tmpl w:val="60DEADA8"/>
    <w:lvl w:ilvl="0">
      <w:start w:val="1"/>
      <w:numFmt w:val="bullet"/>
      <w:lvlText w:val=""/>
      <w:lvlJc w:val="left"/>
      <w:pPr>
        <w:tabs>
          <w:tab w:val="num" w:pos="709"/>
        </w:tabs>
        <w:ind w:left="709" w:hanging="360"/>
      </w:pPr>
      <w:rPr>
        <w:rFonts w:ascii="Symbol" w:hAnsi="Symbol" w:hint="default"/>
        <w:sz w:val="20"/>
      </w:rPr>
    </w:lvl>
    <w:lvl w:ilvl="1">
      <w:start w:val="1"/>
      <w:numFmt w:val="bullet"/>
      <w:lvlText w:val="o"/>
      <w:lvlJc w:val="left"/>
      <w:pPr>
        <w:tabs>
          <w:tab w:val="num" w:pos="1429"/>
        </w:tabs>
        <w:ind w:left="1429" w:hanging="360"/>
      </w:pPr>
      <w:rPr>
        <w:rFonts w:ascii="Courier New" w:hAnsi="Courier New" w:cs="Times New Roman" w:hint="default"/>
        <w:sz w:val="20"/>
      </w:rPr>
    </w:lvl>
    <w:lvl w:ilvl="2">
      <w:start w:val="1"/>
      <w:numFmt w:val="bullet"/>
      <w:lvlText w:val=""/>
      <w:lvlJc w:val="left"/>
      <w:pPr>
        <w:tabs>
          <w:tab w:val="num" w:pos="2149"/>
        </w:tabs>
        <w:ind w:left="2149" w:hanging="360"/>
      </w:pPr>
      <w:rPr>
        <w:rFonts w:ascii="Wingdings" w:hAnsi="Wingdings" w:hint="default"/>
        <w:sz w:val="20"/>
      </w:rPr>
    </w:lvl>
    <w:lvl w:ilvl="3">
      <w:start w:val="1"/>
      <w:numFmt w:val="bullet"/>
      <w:lvlText w:val=""/>
      <w:lvlJc w:val="left"/>
      <w:pPr>
        <w:tabs>
          <w:tab w:val="num" w:pos="2869"/>
        </w:tabs>
        <w:ind w:left="2869" w:hanging="360"/>
      </w:pPr>
      <w:rPr>
        <w:rFonts w:ascii="Wingdings" w:hAnsi="Wingdings" w:hint="default"/>
        <w:sz w:val="20"/>
      </w:rPr>
    </w:lvl>
    <w:lvl w:ilvl="4">
      <w:start w:val="1"/>
      <w:numFmt w:val="bullet"/>
      <w:lvlText w:val=""/>
      <w:lvlJc w:val="left"/>
      <w:pPr>
        <w:tabs>
          <w:tab w:val="num" w:pos="3589"/>
        </w:tabs>
        <w:ind w:left="3589" w:hanging="360"/>
      </w:pPr>
      <w:rPr>
        <w:rFonts w:ascii="Wingdings" w:hAnsi="Wingdings" w:hint="default"/>
        <w:sz w:val="20"/>
      </w:rPr>
    </w:lvl>
    <w:lvl w:ilvl="5">
      <w:start w:val="1"/>
      <w:numFmt w:val="bullet"/>
      <w:lvlText w:val=""/>
      <w:lvlJc w:val="left"/>
      <w:pPr>
        <w:tabs>
          <w:tab w:val="num" w:pos="4309"/>
        </w:tabs>
        <w:ind w:left="4309" w:hanging="360"/>
      </w:pPr>
      <w:rPr>
        <w:rFonts w:ascii="Wingdings" w:hAnsi="Wingdings" w:hint="default"/>
        <w:sz w:val="20"/>
      </w:rPr>
    </w:lvl>
    <w:lvl w:ilvl="6">
      <w:start w:val="1"/>
      <w:numFmt w:val="bullet"/>
      <w:lvlText w:val=""/>
      <w:lvlJc w:val="left"/>
      <w:pPr>
        <w:tabs>
          <w:tab w:val="num" w:pos="5029"/>
        </w:tabs>
        <w:ind w:left="5029" w:hanging="360"/>
      </w:pPr>
      <w:rPr>
        <w:rFonts w:ascii="Wingdings" w:hAnsi="Wingdings" w:hint="default"/>
        <w:sz w:val="20"/>
      </w:rPr>
    </w:lvl>
    <w:lvl w:ilvl="7">
      <w:start w:val="1"/>
      <w:numFmt w:val="bullet"/>
      <w:lvlText w:val=""/>
      <w:lvlJc w:val="left"/>
      <w:pPr>
        <w:tabs>
          <w:tab w:val="num" w:pos="5749"/>
        </w:tabs>
        <w:ind w:left="5749" w:hanging="360"/>
      </w:pPr>
      <w:rPr>
        <w:rFonts w:ascii="Wingdings" w:hAnsi="Wingdings" w:hint="default"/>
        <w:sz w:val="20"/>
      </w:rPr>
    </w:lvl>
    <w:lvl w:ilvl="8">
      <w:start w:val="1"/>
      <w:numFmt w:val="bullet"/>
      <w:lvlText w:val=""/>
      <w:lvlJc w:val="left"/>
      <w:pPr>
        <w:tabs>
          <w:tab w:val="num" w:pos="6469"/>
        </w:tabs>
        <w:ind w:left="6469" w:hanging="360"/>
      </w:pPr>
      <w:rPr>
        <w:rFonts w:ascii="Wingdings" w:hAnsi="Wingdings" w:hint="default"/>
        <w:sz w:val="20"/>
      </w:rPr>
    </w:lvl>
  </w:abstractNum>
  <w:abstractNum w:abstractNumId="14" w15:restartNumberingAfterBreak="0">
    <w:nsid w:val="46D76EFE"/>
    <w:multiLevelType w:val="hybridMultilevel"/>
    <w:tmpl w:val="E6FE659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4DEA5C29"/>
    <w:multiLevelType w:val="hybridMultilevel"/>
    <w:tmpl w:val="9C224BFA"/>
    <w:lvl w:ilvl="0" w:tplc="080C0001">
      <w:start w:val="1"/>
      <w:numFmt w:val="bullet"/>
      <w:lvlText w:val=""/>
      <w:lvlJc w:val="left"/>
      <w:pPr>
        <w:ind w:left="1080" w:hanging="360"/>
      </w:pPr>
      <w:rPr>
        <w:rFonts w:ascii="Symbol" w:hAnsi="Symbol" w:hint="default"/>
        <w:i/>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6DB4F02C">
      <w:numFmt w:val="bullet"/>
      <w:lvlText w:val="-"/>
      <w:lvlJc w:val="left"/>
      <w:pPr>
        <w:ind w:left="3240" w:hanging="360"/>
      </w:pPr>
      <w:rPr>
        <w:rFonts w:ascii="Arial" w:eastAsiaTheme="minorHAnsi" w:hAnsi="Arial" w:cs="Arial" w:hint="default"/>
        <w:i/>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4F105B17"/>
    <w:multiLevelType w:val="hybridMultilevel"/>
    <w:tmpl w:val="997C8F92"/>
    <w:lvl w:ilvl="0" w:tplc="080C0001">
      <w:start w:val="1"/>
      <w:numFmt w:val="bullet"/>
      <w:lvlText w:val=""/>
      <w:lvlJc w:val="left"/>
      <w:pPr>
        <w:ind w:left="1080" w:hanging="360"/>
      </w:pPr>
      <w:rPr>
        <w:rFonts w:ascii="Symbol" w:hAnsi="Symbol" w:hint="default"/>
        <w:i/>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6DB4F02C">
      <w:numFmt w:val="bullet"/>
      <w:lvlText w:val="-"/>
      <w:lvlJc w:val="left"/>
      <w:pPr>
        <w:ind w:left="3240" w:hanging="360"/>
      </w:pPr>
      <w:rPr>
        <w:rFonts w:ascii="Arial" w:eastAsiaTheme="minorHAnsi" w:hAnsi="Arial" w:cs="Arial" w:hint="default"/>
        <w:i/>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 w15:restartNumberingAfterBreak="0">
    <w:nsid w:val="50285F5D"/>
    <w:multiLevelType w:val="hybridMultilevel"/>
    <w:tmpl w:val="398AE9B2"/>
    <w:lvl w:ilvl="0" w:tplc="CFDCDBD6">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A857623"/>
    <w:multiLevelType w:val="multilevel"/>
    <w:tmpl w:val="C16E4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387A67"/>
    <w:multiLevelType w:val="multilevel"/>
    <w:tmpl w:val="1BE68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82610B"/>
    <w:multiLevelType w:val="hybridMultilevel"/>
    <w:tmpl w:val="23E8D47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722F4E58"/>
    <w:multiLevelType w:val="hybridMultilevel"/>
    <w:tmpl w:val="6E46D102"/>
    <w:lvl w:ilvl="0" w:tplc="080C0005">
      <w:start w:val="1"/>
      <w:numFmt w:val="bullet"/>
      <w:lvlText w:val=""/>
      <w:lvlJc w:val="left"/>
      <w:pPr>
        <w:ind w:left="1080" w:hanging="360"/>
      </w:pPr>
      <w:rPr>
        <w:rFonts w:ascii="Wingdings" w:hAnsi="Wingdings"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6DB4F02C">
      <w:numFmt w:val="bullet"/>
      <w:lvlText w:val="-"/>
      <w:lvlJc w:val="left"/>
      <w:pPr>
        <w:ind w:left="3240" w:hanging="360"/>
      </w:pPr>
      <w:rPr>
        <w:rFonts w:ascii="Arial" w:eastAsiaTheme="minorHAnsi" w:hAnsi="Arial" w:cs="Arial" w:hint="default"/>
        <w:i/>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2" w15:restartNumberingAfterBreak="0">
    <w:nsid w:val="76F0320B"/>
    <w:multiLevelType w:val="hybridMultilevel"/>
    <w:tmpl w:val="3F3C64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D4042F7"/>
    <w:multiLevelType w:val="multilevel"/>
    <w:tmpl w:val="7E723804"/>
    <w:lvl w:ilvl="0">
      <w:start w:val="1"/>
      <w:numFmt w:val="bullet"/>
      <w:lvlText w:val=""/>
      <w:lvlJc w:val="left"/>
      <w:pPr>
        <w:tabs>
          <w:tab w:val="num" w:pos="588"/>
        </w:tabs>
        <w:ind w:left="588" w:hanging="360"/>
      </w:pPr>
      <w:rPr>
        <w:rFonts w:ascii="Symbol" w:hAnsi="Symbol" w:hint="default"/>
        <w:sz w:val="20"/>
      </w:rPr>
    </w:lvl>
    <w:lvl w:ilvl="1">
      <w:start w:val="1"/>
      <w:numFmt w:val="bullet"/>
      <w:lvlText w:val="o"/>
      <w:lvlJc w:val="left"/>
      <w:pPr>
        <w:tabs>
          <w:tab w:val="num" w:pos="1308"/>
        </w:tabs>
        <w:ind w:left="1308" w:hanging="360"/>
      </w:pPr>
      <w:rPr>
        <w:rFonts w:ascii="Courier New" w:hAnsi="Courier New" w:cs="Times New Roman" w:hint="default"/>
        <w:sz w:val="20"/>
      </w:rPr>
    </w:lvl>
    <w:lvl w:ilvl="2">
      <w:start w:val="1"/>
      <w:numFmt w:val="bullet"/>
      <w:lvlText w:val=""/>
      <w:lvlJc w:val="left"/>
      <w:pPr>
        <w:tabs>
          <w:tab w:val="num" w:pos="2028"/>
        </w:tabs>
        <w:ind w:left="2028" w:hanging="360"/>
      </w:pPr>
      <w:rPr>
        <w:rFonts w:ascii="Wingdings" w:hAnsi="Wingdings" w:hint="default"/>
        <w:sz w:val="20"/>
      </w:rPr>
    </w:lvl>
    <w:lvl w:ilvl="3">
      <w:start w:val="1"/>
      <w:numFmt w:val="bullet"/>
      <w:lvlText w:val=""/>
      <w:lvlJc w:val="left"/>
      <w:pPr>
        <w:tabs>
          <w:tab w:val="num" w:pos="2748"/>
        </w:tabs>
        <w:ind w:left="2748" w:hanging="360"/>
      </w:pPr>
      <w:rPr>
        <w:rFonts w:ascii="Wingdings" w:hAnsi="Wingdings" w:hint="default"/>
        <w:sz w:val="20"/>
      </w:rPr>
    </w:lvl>
    <w:lvl w:ilvl="4">
      <w:start w:val="1"/>
      <w:numFmt w:val="bullet"/>
      <w:lvlText w:val=""/>
      <w:lvlJc w:val="left"/>
      <w:pPr>
        <w:tabs>
          <w:tab w:val="num" w:pos="3468"/>
        </w:tabs>
        <w:ind w:left="3468" w:hanging="360"/>
      </w:pPr>
      <w:rPr>
        <w:rFonts w:ascii="Wingdings" w:hAnsi="Wingdings" w:hint="default"/>
        <w:sz w:val="20"/>
      </w:rPr>
    </w:lvl>
    <w:lvl w:ilvl="5">
      <w:start w:val="1"/>
      <w:numFmt w:val="bullet"/>
      <w:lvlText w:val=""/>
      <w:lvlJc w:val="left"/>
      <w:pPr>
        <w:tabs>
          <w:tab w:val="num" w:pos="4188"/>
        </w:tabs>
        <w:ind w:left="4188" w:hanging="360"/>
      </w:pPr>
      <w:rPr>
        <w:rFonts w:ascii="Wingdings" w:hAnsi="Wingdings" w:hint="default"/>
        <w:sz w:val="20"/>
      </w:rPr>
    </w:lvl>
    <w:lvl w:ilvl="6">
      <w:start w:val="1"/>
      <w:numFmt w:val="bullet"/>
      <w:lvlText w:val=""/>
      <w:lvlJc w:val="left"/>
      <w:pPr>
        <w:tabs>
          <w:tab w:val="num" w:pos="4908"/>
        </w:tabs>
        <w:ind w:left="4908" w:hanging="360"/>
      </w:pPr>
      <w:rPr>
        <w:rFonts w:ascii="Wingdings" w:hAnsi="Wingdings" w:hint="default"/>
        <w:sz w:val="20"/>
      </w:rPr>
    </w:lvl>
    <w:lvl w:ilvl="7">
      <w:start w:val="1"/>
      <w:numFmt w:val="bullet"/>
      <w:lvlText w:val=""/>
      <w:lvlJc w:val="left"/>
      <w:pPr>
        <w:tabs>
          <w:tab w:val="num" w:pos="5628"/>
        </w:tabs>
        <w:ind w:left="5628" w:hanging="360"/>
      </w:pPr>
      <w:rPr>
        <w:rFonts w:ascii="Wingdings" w:hAnsi="Wingdings" w:hint="default"/>
        <w:sz w:val="20"/>
      </w:rPr>
    </w:lvl>
    <w:lvl w:ilvl="8">
      <w:start w:val="1"/>
      <w:numFmt w:val="bullet"/>
      <w:lvlText w:val=""/>
      <w:lvlJc w:val="left"/>
      <w:pPr>
        <w:tabs>
          <w:tab w:val="num" w:pos="6348"/>
        </w:tabs>
        <w:ind w:left="6348" w:hanging="360"/>
      </w:pPr>
      <w:rPr>
        <w:rFonts w:ascii="Wingdings" w:hAnsi="Wingdings" w:hint="default"/>
        <w:sz w:val="20"/>
      </w:rPr>
    </w:lvl>
  </w:abstractNum>
  <w:abstractNum w:abstractNumId="24" w15:restartNumberingAfterBreak="0">
    <w:nsid w:val="7E391CC1"/>
    <w:multiLevelType w:val="hybridMultilevel"/>
    <w:tmpl w:val="B802BCE6"/>
    <w:lvl w:ilvl="0" w:tplc="6A38404A">
      <w:start w:val="1"/>
      <w:numFmt w:val="bullet"/>
      <w:lvlText w:val=""/>
      <w:lvlJc w:val="left"/>
      <w:pPr>
        <w:ind w:left="1080" w:hanging="360"/>
      </w:pPr>
      <w:rPr>
        <w:rFonts w:ascii="Symbol" w:hAnsi="Symbol" w:hint="default"/>
        <w:b w:val="0"/>
        <w:i w:val="0"/>
        <w:caps w:val="0"/>
        <w:strike w:val="0"/>
        <w:dstrike w:val="0"/>
        <w:vanish w:val="0"/>
        <w:vertAlign w:val="baseline"/>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6DB4F02C">
      <w:numFmt w:val="bullet"/>
      <w:lvlText w:val="-"/>
      <w:lvlJc w:val="left"/>
      <w:pPr>
        <w:ind w:left="3240" w:hanging="360"/>
      </w:pPr>
      <w:rPr>
        <w:rFonts w:ascii="Arial" w:eastAsiaTheme="minorHAnsi" w:hAnsi="Arial" w:cs="Arial" w:hint="default"/>
        <w:i/>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abstractNumId w:val="18"/>
  </w:num>
  <w:num w:numId="2">
    <w:abstractNumId w:val="19"/>
  </w:num>
  <w:num w:numId="3">
    <w:abstractNumId w:val="13"/>
  </w:num>
  <w:num w:numId="4">
    <w:abstractNumId w:val="11"/>
  </w:num>
  <w:num w:numId="5">
    <w:abstractNumId w:val="3"/>
  </w:num>
  <w:num w:numId="6">
    <w:abstractNumId w:val="23"/>
  </w:num>
  <w:num w:numId="7">
    <w:abstractNumId w:val="5"/>
  </w:num>
  <w:num w:numId="8">
    <w:abstractNumId w:val="6"/>
  </w:num>
  <w:num w:numId="9">
    <w:abstractNumId w:val="17"/>
  </w:num>
  <w:num w:numId="10">
    <w:abstractNumId w:val="9"/>
  </w:num>
  <w:num w:numId="11">
    <w:abstractNumId w:val="0"/>
  </w:num>
  <w:num w:numId="12">
    <w:abstractNumId w:val="10"/>
  </w:num>
  <w:num w:numId="13">
    <w:abstractNumId w:val="12"/>
  </w:num>
  <w:num w:numId="14">
    <w:abstractNumId w:val="10"/>
  </w:num>
  <w:num w:numId="15">
    <w:abstractNumId w:val="4"/>
  </w:num>
  <w:num w:numId="16">
    <w:abstractNumId w:val="7"/>
  </w:num>
  <w:num w:numId="17">
    <w:abstractNumId w:val="21"/>
  </w:num>
  <w:num w:numId="18">
    <w:abstractNumId w:val="1"/>
  </w:num>
  <w:num w:numId="19">
    <w:abstractNumId w:val="14"/>
  </w:num>
  <w:num w:numId="20">
    <w:abstractNumId w:val="2"/>
  </w:num>
  <w:num w:numId="21">
    <w:abstractNumId w:val="22"/>
  </w:num>
  <w:num w:numId="22">
    <w:abstractNumId w:val="15"/>
  </w:num>
  <w:num w:numId="23">
    <w:abstractNumId w:val="16"/>
  </w:num>
  <w:num w:numId="24">
    <w:abstractNumId w:val="24"/>
  </w:num>
  <w:num w:numId="25">
    <w:abstractNumId w:val="2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revisionView w:markup="0"/>
  <w:defaultTabStop w:val="720"/>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ED48C1C-C6C0-49E5-B345-B9AE45ED60C9"/>
    <w:docVar w:name="LW_COVERPAGE_TYPE" w:val="1"/>
    <w:docVar w:name="LW_CROSSREFERENCE" w:val="&lt;UNUSED&gt;"/>
    <w:docVar w:name="LW_DocType" w:val="NORMAL"/>
    <w:docVar w:name="LW_EMISSION" w:val="29.1.2020"/>
    <w:docVar w:name="LW_EMISSION_ISODATE" w:val="2020-01-29"/>
    <w:docVar w:name="LW_EMISSION_LOCATION" w:val="BRX"/>
    <w:docVar w:name="LW_EMISSION_PREFIX" w:val="Brussels, "/>
    <w:docVar w:name="LW_EMISSION_SUFFIX" w:val=" "/>
    <w:docVar w:name="LW_ID_DOCTYPE_NONLW" w:val="CP-01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5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ecure 5G deployment in the EU - Implementing the EU toolbox"/>
    <w:docVar w:name="LW_TYPE.DOC.CP" w:val="COMMUNICATION FROM THE COMMISSION TO THE EUROPEAN PARLIAMENT, THE COUNCIL, THE EUROPEAN ECONOMIC AND SOCIAL COMMITTEE AND THE COMMITTEE OF THE REGIONS"/>
    <w:docVar w:name="LW_TYPE.DOC.CP.USERTEXT" w:val="&lt;EMPTY&gt;"/>
  </w:docVars>
  <w:rsids>
    <w:rsidRoot w:val="00303A65"/>
    <w:rsid w:val="00303A65"/>
    <w:rsid w:val="00CE7F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lang w:val="fr-BE" w:eastAsia="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s"/>
    <w:basedOn w:val="Normal"/>
    <w:uiPriority w:val="34"/>
    <w:qFormat/>
    <w:pPr>
      <w:spacing w:after="200" w:line="276" w:lineRule="auto"/>
      <w:ind w:left="720"/>
      <w:contextualSpacing/>
    </w:pPr>
    <w:rPr>
      <w:rFonts w:asciiTheme="minorHAnsi" w:hAnsiTheme="minorHAnsi" w:cstheme="minorBidi"/>
      <w:sz w:val="22"/>
      <w:szCs w:val="22"/>
      <w:lang w:val="en-GB" w:eastAsia="en-US"/>
    </w:rPr>
  </w:style>
  <w:style w:type="paragraph" w:styleId="FootnoteText">
    <w:name w:val="footnote text"/>
    <w:aliases w:val="Reference,Footnote text,Testo nota a piè di pagina_Rientro,Footnote Text Char Char Char Char,Footnote Text Char Char,Footnote Text Char Char Char Char Char,Footnote Text Char Char Ch,stile,Fußnote,Schriftart: 9 pt,Schriftart: 10 pt,o,f t,f"/>
    <w:basedOn w:val="Normal"/>
    <w:link w:val="FootnoteTextChar"/>
    <w:uiPriority w:val="99"/>
    <w:unhideWhenUsed/>
    <w:qFormat/>
    <w:rPr>
      <w:rFonts w:asciiTheme="minorHAnsi" w:hAnsiTheme="minorHAnsi" w:cstheme="minorBidi"/>
      <w:sz w:val="20"/>
      <w:szCs w:val="20"/>
      <w:lang w:val="en-GB" w:eastAsia="en-US"/>
    </w:rPr>
  </w:style>
  <w:style w:type="character" w:customStyle="1" w:styleId="FootnoteTextChar">
    <w:name w:val="Footnote Text Char"/>
    <w:aliases w:val="Reference Char,Footnote text Char,Testo nota a piè di pagina_Rientro Char,Footnote Text Char Char Char Char Char1,Footnote Text Char Char Char,Footnote Text Char Char Char Char Char Char,Footnote Text Char Char Ch Char,stile Char"/>
    <w:basedOn w:val="DefaultParagraphFont"/>
    <w:link w:val="FootnoteText"/>
    <w:uiPriority w:val="99"/>
    <w:qFormat/>
    <w:rPr>
      <w:sz w:val="20"/>
      <w:szCs w:val="20"/>
    </w:rPr>
  </w:style>
  <w:style w:type="character" w:styleId="FootnoteReference">
    <w:name w:val="footnote reference"/>
    <w:aliases w:val="Footnote symbol,Voetnootverwijzing,Times 10 Point,Exposant 3 Point,Footnote,Footnote Reference Superscript,Odwołanie przypisu,footnote ref,FR,Fußnotenzeichen diss neu,Appel note de bas de p,Style 12,Style 124,Ref,fr, Exposant 3 Point"/>
    <w:basedOn w:val="DefaultParagraphFont"/>
    <w:uiPriority w:val="99"/>
    <w:unhideWhenUsed/>
    <w:qFormat/>
    <w:rPr>
      <w:vertAlign w:val="superscript"/>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iefingtextChar">
    <w:name w:val="Briefing text Char"/>
    <w:link w:val="Briefingtext"/>
    <w:locked/>
    <w:rPr>
      <w:rFonts w:ascii="Arial" w:eastAsia="Times New Roman" w:hAnsi="Arial" w:cs="Arial"/>
      <w:szCs w:val="24"/>
    </w:rPr>
  </w:style>
  <w:style w:type="paragraph" w:customStyle="1" w:styleId="Briefingtext">
    <w:name w:val="Briefing text"/>
    <w:basedOn w:val="Normal"/>
    <w:link w:val="BriefingtextChar"/>
    <w:pPr>
      <w:spacing w:after="240"/>
      <w:jc w:val="both"/>
    </w:pPr>
    <w:rPr>
      <w:rFonts w:ascii="Arial" w:eastAsia="Times New Roman" w:hAnsi="Arial" w:cs="Arial"/>
      <w:sz w:val="22"/>
      <w:lang w:val="en-GB"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BE" w:eastAsia="fr-B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BE" w:eastAsia="fr-B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BE" w:eastAsia="fr-B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sz w:val="24"/>
      <w:szCs w:val="24"/>
      <w:lang w:val="fr-BE" w:eastAsia="fr-B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sz w:val="24"/>
      <w:szCs w:val="24"/>
      <w:lang w:val="fr-BE" w:eastAsia="fr-B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fr-BE"/>
    </w:rPr>
  </w:style>
  <w:style w:type="paragraph" w:styleId="PlainText">
    <w:name w:val="Plain Text"/>
    <w:basedOn w:val="Normal"/>
    <w:link w:val="PlainTextChar"/>
    <w:uiPriority w:val="99"/>
    <w:unhideWhenUsed/>
    <w:rPr>
      <w:rFonts w:ascii="Calibri" w:hAnsi="Calibri" w:cstheme="minorBidi"/>
      <w:sz w:val="22"/>
      <w:szCs w:val="21"/>
      <w:lang w:eastAsia="en-US"/>
    </w:rPr>
  </w:style>
  <w:style w:type="character" w:customStyle="1" w:styleId="PlainTextChar">
    <w:name w:val="Plain Text Char"/>
    <w:basedOn w:val="DefaultParagraphFont"/>
    <w:link w:val="PlainText"/>
    <w:uiPriority w:val="99"/>
    <w:rPr>
      <w:rFonts w:ascii="Calibri" w:hAnsi="Calibri"/>
      <w:szCs w:val="21"/>
      <w:lang w:val="fr-B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hAnsi="Times New Roman" w:cs="Times New Roman"/>
      <w:sz w:val="24"/>
      <w:szCs w:val="24"/>
      <w:lang w:val="fr-BE"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szCs w:val="24"/>
      <w:lang w:val="fr-BE" w:eastAsia="fr-BE"/>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hAnsi="Times New Roman" w:cs="Times New Roman"/>
      <w:sz w:val="24"/>
      <w:szCs w:val="24"/>
      <w:lang w:val="fr-BE"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szCs w:val="24"/>
      <w:lang w:val="fr-BE" w:eastAsia="fr-BE"/>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0961">
      <w:bodyDiv w:val="1"/>
      <w:marLeft w:val="0"/>
      <w:marRight w:val="0"/>
      <w:marTop w:val="0"/>
      <w:marBottom w:val="0"/>
      <w:divBdr>
        <w:top w:val="none" w:sz="0" w:space="0" w:color="auto"/>
        <w:left w:val="none" w:sz="0" w:space="0" w:color="auto"/>
        <w:bottom w:val="none" w:sz="0" w:space="0" w:color="auto"/>
        <w:right w:val="none" w:sz="0" w:space="0" w:color="auto"/>
      </w:divBdr>
    </w:div>
    <w:div w:id="358162347">
      <w:bodyDiv w:val="1"/>
      <w:marLeft w:val="0"/>
      <w:marRight w:val="0"/>
      <w:marTop w:val="0"/>
      <w:marBottom w:val="0"/>
      <w:divBdr>
        <w:top w:val="none" w:sz="0" w:space="0" w:color="auto"/>
        <w:left w:val="none" w:sz="0" w:space="0" w:color="auto"/>
        <w:bottom w:val="none" w:sz="0" w:space="0" w:color="auto"/>
        <w:right w:val="none" w:sz="0" w:space="0" w:color="auto"/>
      </w:divBdr>
    </w:div>
    <w:div w:id="708458875">
      <w:bodyDiv w:val="1"/>
      <w:marLeft w:val="0"/>
      <w:marRight w:val="0"/>
      <w:marTop w:val="0"/>
      <w:marBottom w:val="0"/>
      <w:divBdr>
        <w:top w:val="none" w:sz="0" w:space="0" w:color="auto"/>
        <w:left w:val="none" w:sz="0" w:space="0" w:color="auto"/>
        <w:bottom w:val="none" w:sz="0" w:space="0" w:color="auto"/>
        <w:right w:val="none" w:sz="0" w:space="0" w:color="auto"/>
      </w:divBdr>
    </w:div>
    <w:div w:id="750002460">
      <w:bodyDiv w:val="1"/>
      <w:marLeft w:val="0"/>
      <w:marRight w:val="0"/>
      <w:marTop w:val="0"/>
      <w:marBottom w:val="0"/>
      <w:divBdr>
        <w:top w:val="none" w:sz="0" w:space="0" w:color="auto"/>
        <w:left w:val="none" w:sz="0" w:space="0" w:color="auto"/>
        <w:bottom w:val="none" w:sz="0" w:space="0" w:color="auto"/>
        <w:right w:val="none" w:sz="0" w:space="0" w:color="auto"/>
      </w:divBdr>
    </w:div>
    <w:div w:id="817184220">
      <w:bodyDiv w:val="1"/>
      <w:marLeft w:val="0"/>
      <w:marRight w:val="0"/>
      <w:marTop w:val="0"/>
      <w:marBottom w:val="0"/>
      <w:divBdr>
        <w:top w:val="none" w:sz="0" w:space="0" w:color="auto"/>
        <w:left w:val="none" w:sz="0" w:space="0" w:color="auto"/>
        <w:bottom w:val="none" w:sz="0" w:space="0" w:color="auto"/>
        <w:right w:val="none" w:sz="0" w:space="0" w:color="auto"/>
      </w:divBdr>
    </w:div>
    <w:div w:id="953244100">
      <w:bodyDiv w:val="1"/>
      <w:marLeft w:val="0"/>
      <w:marRight w:val="0"/>
      <w:marTop w:val="0"/>
      <w:marBottom w:val="0"/>
      <w:divBdr>
        <w:top w:val="none" w:sz="0" w:space="0" w:color="auto"/>
        <w:left w:val="none" w:sz="0" w:space="0" w:color="auto"/>
        <w:bottom w:val="none" w:sz="0" w:space="0" w:color="auto"/>
        <w:right w:val="none" w:sz="0" w:space="0" w:color="auto"/>
      </w:divBdr>
    </w:div>
    <w:div w:id="1119033273">
      <w:bodyDiv w:val="1"/>
      <w:marLeft w:val="0"/>
      <w:marRight w:val="0"/>
      <w:marTop w:val="0"/>
      <w:marBottom w:val="0"/>
      <w:divBdr>
        <w:top w:val="none" w:sz="0" w:space="0" w:color="auto"/>
        <w:left w:val="none" w:sz="0" w:space="0" w:color="auto"/>
        <w:bottom w:val="none" w:sz="0" w:space="0" w:color="auto"/>
        <w:right w:val="none" w:sz="0" w:space="0" w:color="auto"/>
      </w:divBdr>
    </w:div>
    <w:div w:id="1149900911">
      <w:bodyDiv w:val="1"/>
      <w:marLeft w:val="0"/>
      <w:marRight w:val="0"/>
      <w:marTop w:val="0"/>
      <w:marBottom w:val="0"/>
      <w:divBdr>
        <w:top w:val="none" w:sz="0" w:space="0" w:color="auto"/>
        <w:left w:val="none" w:sz="0" w:space="0" w:color="auto"/>
        <w:bottom w:val="none" w:sz="0" w:space="0" w:color="auto"/>
        <w:right w:val="none" w:sz="0" w:space="0" w:color="auto"/>
      </w:divBdr>
    </w:div>
    <w:div w:id="1239484386">
      <w:bodyDiv w:val="1"/>
      <w:marLeft w:val="0"/>
      <w:marRight w:val="0"/>
      <w:marTop w:val="0"/>
      <w:marBottom w:val="0"/>
      <w:divBdr>
        <w:top w:val="none" w:sz="0" w:space="0" w:color="auto"/>
        <w:left w:val="none" w:sz="0" w:space="0" w:color="auto"/>
        <w:bottom w:val="none" w:sz="0" w:space="0" w:color="auto"/>
        <w:right w:val="none" w:sz="0" w:space="0" w:color="auto"/>
      </w:divBdr>
    </w:div>
    <w:div w:id="1423843548">
      <w:bodyDiv w:val="1"/>
      <w:marLeft w:val="0"/>
      <w:marRight w:val="0"/>
      <w:marTop w:val="0"/>
      <w:marBottom w:val="0"/>
      <w:divBdr>
        <w:top w:val="none" w:sz="0" w:space="0" w:color="auto"/>
        <w:left w:val="none" w:sz="0" w:space="0" w:color="auto"/>
        <w:bottom w:val="none" w:sz="0" w:space="0" w:color="auto"/>
        <w:right w:val="none" w:sz="0" w:space="0" w:color="auto"/>
      </w:divBdr>
    </w:div>
    <w:div w:id="1744062838">
      <w:bodyDiv w:val="1"/>
      <w:marLeft w:val="0"/>
      <w:marRight w:val="0"/>
      <w:marTop w:val="0"/>
      <w:marBottom w:val="0"/>
      <w:divBdr>
        <w:top w:val="none" w:sz="0" w:space="0" w:color="auto"/>
        <w:left w:val="none" w:sz="0" w:space="0" w:color="auto"/>
        <w:bottom w:val="none" w:sz="0" w:space="0" w:color="auto"/>
        <w:right w:val="none" w:sz="0" w:space="0" w:color="auto"/>
      </w:divBdr>
    </w:div>
    <w:div w:id="192683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Distributed_computing" TargetMode="External"/><Relationship Id="rId7" Type="http://schemas.openxmlformats.org/officeDocument/2006/relationships/hyperlink" Target="https://www.consilium.europa.eu/media/41595/st14517-en19.pdf" TargetMode="External"/><Relationship Id="rId2" Type="http://schemas.openxmlformats.org/officeDocument/2006/relationships/hyperlink" Target="http://www.5GObservatory.eu" TargetMode="External"/><Relationship Id="rId1" Type="http://schemas.openxmlformats.org/officeDocument/2006/relationships/hyperlink" Target="http://www.5GObservatory.eu" TargetMode="External"/><Relationship Id="rId6" Type="http://schemas.openxmlformats.org/officeDocument/2006/relationships/hyperlink" Target="https://ec.europa.eu/digital-single-market/en/news/eu-wide-coordinated-risk-assessment-5g-networks-security" TargetMode="External"/><Relationship Id="rId5" Type="http://schemas.openxmlformats.org/officeDocument/2006/relationships/hyperlink" Target="https://en.wikipedia.org/wiki/Data_storage" TargetMode="External"/><Relationship Id="rId4" Type="http://schemas.openxmlformats.org/officeDocument/2006/relationships/hyperlink" Target="https://en.wikipedia.org/wiki/Compu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4BD16F6-1AA0-4D21-9A63-2714A41B0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5074</Words>
  <Characters>28521</Characters>
  <Application>Microsoft Office Word</Application>
  <DocSecurity>0</DocSecurity>
  <Lines>491</Lines>
  <Paragraphs>134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2020-01-28T11:31:00Z</dcterms:created>
  <dcterms:modified xsi:type="dcterms:W3CDTF">2020-01-28T23:36:00Z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7.0, Build 20190717</vt:lpwstr>
  </property>
  <property fmtid="{D5CDD505-2E9C-101B-9397-08002B2CF9AE}" pid="8" name="Created using">
    <vt:lpwstr>LW 7.0, Build 20190717</vt:lpwstr>
  </property>
</Properties>
</file>