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B5EF18B0-9122-4656-93EA-2D4075F390F2" style="width:450.35pt;height:397.3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CRSeparator"/>
        <w:rPr>
          <w:noProof/>
          <w:lang w:val="en-GB"/>
        </w:rPr>
      </w:pPr>
      <w:bookmarkStart w:id="0" w:name="_GoBack"/>
      <w:bookmarkEnd w:id="0"/>
    </w:p>
    <w:p>
      <w:pPr>
        <w:pStyle w:val="CRReference"/>
        <w:rPr>
          <w:noProof/>
          <w:lang w:val="pl-PL"/>
        </w:rPr>
      </w:pPr>
      <w:r>
        <w:rPr>
          <w:noProof/>
          <w:lang w:val="en-GB"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  <w:lang w:val="en-GB"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  <w:lang w:val="en-GB"/>
        </w:rPr>
        <w:fldChar w:fldCharType="end"/>
      </w:r>
      <w:r>
        <w:rPr>
          <w:noProof/>
          <w:lang w:val="pl-PL"/>
        </w:rPr>
        <w:t> 91/477</w:t>
      </w:r>
    </w:p>
    <w:p>
      <w:pPr>
        <w:pStyle w:val="Annexetitre"/>
        <w:rPr>
          <w:noProof/>
        </w:rPr>
      </w:pPr>
      <w:r>
        <w:rPr>
          <w:noProof/>
        </w:rPr>
        <w:t>ZAŁĄCZNIK I</w:t>
      </w:r>
    </w:p>
    <w:p>
      <w:pPr>
        <w:pStyle w:val="ManualHeading4"/>
        <w:rPr>
          <w:noProof/>
        </w:rPr>
      </w:pPr>
      <w:r>
        <w:rPr>
          <w:noProof/>
        </w:rPr>
        <w:t>I.</w:t>
      </w:r>
      <w:r>
        <w:rPr>
          <w:noProof/>
        </w:rPr>
        <w:tab/>
        <w:t>Do celów niniejszej dyrektywy „broń” oznacza: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2008/51 art. 1 pkt 13 lit. a) (dostosowany)</w:t>
      </w:r>
    </w:p>
    <w:p>
      <w:pPr>
        <w:pStyle w:val="Tiret0"/>
        <w:numPr>
          <w:ilvl w:val="0"/>
          <w:numId w:val="23"/>
        </w:numPr>
        <w:ind w:left="851"/>
        <w:rPr>
          <w:noProof/>
        </w:rPr>
      </w:pPr>
      <w:r>
        <w:rPr>
          <w:noProof/>
        </w:rPr>
        <w:t>każdą broń palną określoną w art. 1,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91/477 (dostosowany)</w:t>
      </w: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è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è</w:t>
      </w:r>
      <w:r>
        <w:rPr>
          <w:noProof/>
        </w:rPr>
        <w:fldChar w:fldCharType="end"/>
      </w:r>
      <w:r>
        <w:rPr>
          <w:rStyle w:val="CRRefNum"/>
          <w:noProof/>
          <w:lang w:val="pl-PL"/>
        </w:rPr>
        <w:t>1</w:t>
      </w:r>
      <w:r>
        <w:rPr>
          <w:noProof/>
          <w:lang w:val="pl-PL"/>
        </w:rPr>
        <w:t> 2017/853 art. 1 pkt 19 ppkt 1 lit. a)</w:t>
      </w: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è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è</w:t>
      </w:r>
      <w:r>
        <w:rPr>
          <w:noProof/>
        </w:rPr>
        <w:fldChar w:fldCharType="end"/>
      </w:r>
      <w:r>
        <w:rPr>
          <w:rStyle w:val="CRRefNum"/>
          <w:noProof/>
          <w:lang w:val="pl-PL"/>
        </w:rPr>
        <w:t>2</w:t>
      </w:r>
      <w:r>
        <w:rPr>
          <w:noProof/>
          <w:lang w:val="pl-PL"/>
        </w:rPr>
        <w:t> Sprostowanie, Dz.U. L 191 z 22.7.2017, s. 12.</w:t>
      </w:r>
    </w:p>
    <w:p>
      <w:pPr>
        <w:pStyle w:val="Tiret0"/>
        <w:ind w:left="851"/>
        <w:rPr>
          <w:noProof/>
        </w:rPr>
      </w:pPr>
      <w:r>
        <w:rPr>
          <w:noProof/>
        </w:rPr>
        <w:t>broń inną niż broń palna zgodnie z definicją w ustawodawstwie krajowym.</w:t>
      </w:r>
    </w:p>
    <w:p>
      <w:pPr>
        <w:pStyle w:val="ManualHeading4"/>
        <w:rPr>
          <w:noProof/>
        </w:rPr>
      </w:pPr>
      <w:r>
        <w:rPr>
          <w:noProof/>
        </w:rPr>
        <w:t>II.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è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è</w:t>
      </w:r>
      <w:r>
        <w:rPr>
          <w:noProof/>
        </w:rPr>
        <w:fldChar w:fldCharType="end"/>
      </w:r>
      <w:r>
        <w:rPr>
          <w:rStyle w:val="CRRefNum"/>
          <w:noProof/>
        </w:rPr>
        <w:t>1</w:t>
      </w:r>
      <w:r>
        <w:rPr>
          <w:noProof/>
        </w:rPr>
        <w:t> Do celów niniejszej dyrektywy broń palna jest sklasyfikowana w poniższych kategoriach: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ç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ç</w:t>
      </w:r>
      <w:r>
        <w:rPr>
          <w:noProof/>
        </w:rPr>
        <w:fldChar w:fldCharType="end"/>
      </w:r>
    </w:p>
    <w:p>
      <w:pPr>
        <w:pStyle w:val="ManualHeading3"/>
        <w:rPr>
          <w:noProof/>
        </w:rPr>
      </w:pPr>
      <w:r>
        <w:rPr>
          <w:noProof/>
        </w:rPr>
        <w:t>Kategoria A - Broń palna niedozwolona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Wojskowe pociski wybuchowe i granatniki.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è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è</w:t>
      </w:r>
      <w:r>
        <w:rPr>
          <w:noProof/>
        </w:rPr>
        <w:fldChar w:fldCharType="end"/>
      </w:r>
      <w:r>
        <w:rPr>
          <w:rStyle w:val="CRRefNum"/>
          <w:noProof/>
        </w:rPr>
        <w:t>2</w:t>
      </w:r>
      <w:r>
        <w:rPr>
          <w:noProof/>
        </w:rPr>
        <w:t> Samoczynna broń palna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ç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ç</w:t>
      </w:r>
      <w:r>
        <w:rPr>
          <w:noProof/>
        </w:rPr>
        <w:fldChar w:fldCharType="end"/>
      </w:r>
      <w:r>
        <w:rPr>
          <w:noProof/>
        </w:rPr>
        <w:t xml:space="preserve"> 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Broń palna ukryta pod postacią innego przedmiotu.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Amunicja z pociskami penetrującymi, wybuchowymi lub zapalającymi oraz pociski dla takiej amunicji.</w:t>
      </w:r>
    </w:p>
    <w:p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>Amunicja do pistoletów i rewolwerów z pociskami rozprężnymi oraz pociski dla takiej amunicji, oprócz broni dla myślistwa i strzelectwa sportowego dla osób uprawnionych do korzystania z niej.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2017/853 art. 1 pkt 19 ppkt 1 lit. b) ppkt (ii)</w:t>
      </w:r>
    </w:p>
    <w:p>
      <w:pPr>
        <w:pStyle w:val="Point0"/>
        <w:rPr>
          <w:noProof/>
        </w:rPr>
      </w:pPr>
      <w:r>
        <w:rPr>
          <w:noProof/>
        </w:rPr>
        <w:t>6.</w:t>
      </w:r>
      <w:r>
        <w:rPr>
          <w:noProof/>
        </w:rPr>
        <w:tab/>
        <w:t>Samoczynna broń palna, która została przerobiona na samopowtarzalną broń palną, bez uszczerbku dla art. 10 ust. 5.</w:t>
      </w:r>
    </w:p>
    <w:p>
      <w:pPr>
        <w:pStyle w:val="Point0"/>
        <w:rPr>
          <w:noProof/>
        </w:rPr>
      </w:pPr>
      <w:r>
        <w:rPr>
          <w:noProof/>
        </w:rPr>
        <w:t>7.</w:t>
      </w:r>
      <w:r>
        <w:rPr>
          <w:noProof/>
        </w:rPr>
        <w:tab/>
        <w:t>Każdy z poniższych rodzajów samopowtarzalnej broni palnej centralnego zapłonu: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krótka broń palna, pozwalająca na wystrzeliwanie ponad 21 nabojów bez przeładowania, jeżeli:</w:t>
      </w:r>
    </w:p>
    <w:p>
      <w:pPr>
        <w:pStyle w:val="Point2"/>
        <w:rPr>
          <w:noProof/>
        </w:rPr>
      </w:pPr>
      <w:r>
        <w:rPr>
          <w:noProof/>
        </w:rPr>
        <w:t>(i)</w:t>
      </w:r>
      <w:r>
        <w:rPr>
          <w:noProof/>
        </w:rPr>
        <w:tab/>
        <w:t>mechanizm ładujący o pojemności przekraczającej 20 nabojów stanowi część tej broni palnej; lub</w:t>
      </w:r>
    </w:p>
    <w:p>
      <w:pPr>
        <w:pStyle w:val="Point2"/>
        <w:rPr>
          <w:noProof/>
        </w:rPr>
      </w:pPr>
      <w:r>
        <w:rPr>
          <w:noProof/>
        </w:rPr>
        <w:t>(ii)</w:t>
      </w:r>
      <w:r>
        <w:rPr>
          <w:noProof/>
        </w:rPr>
        <w:tab/>
        <w:t>odłączalny mechanizm ładujący o pojemności przekraczającej 20 nabojów jest do niej wprowadzony;</w:t>
      </w:r>
    </w:p>
    <w:p>
      <w:pPr>
        <w:pStyle w:val="Point1"/>
        <w:keepNext/>
        <w:keepLines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długa broń palna, pozwalająca na wystrzeliwanie ponad 11 nabojów bez przeładowania, jeżeli:</w:t>
      </w:r>
    </w:p>
    <w:p>
      <w:pPr>
        <w:pStyle w:val="Point2"/>
        <w:keepNext/>
        <w:keepLines/>
        <w:rPr>
          <w:noProof/>
        </w:rPr>
      </w:pPr>
      <w:r>
        <w:rPr>
          <w:noProof/>
        </w:rPr>
        <w:t>(i)</w:t>
      </w:r>
      <w:r>
        <w:rPr>
          <w:noProof/>
        </w:rPr>
        <w:tab/>
        <w:t>mechanizm ładujący o pojemności przekraczającej 10 nabojów stanowi część tej broni palnej; lub</w:t>
      </w:r>
    </w:p>
    <w:p>
      <w:pPr>
        <w:pStyle w:val="Point2"/>
        <w:rPr>
          <w:noProof/>
        </w:rPr>
      </w:pPr>
      <w:r>
        <w:rPr>
          <w:noProof/>
        </w:rPr>
        <w:t>(ii)</w:t>
      </w:r>
      <w:r>
        <w:rPr>
          <w:noProof/>
        </w:rPr>
        <w:tab/>
        <w:t>odłączalny mechanizm ładujący o pojemności przekraczającej 10 nabojów jest do niej wprowadzony.</w:t>
      </w:r>
    </w:p>
    <w:p>
      <w:pPr>
        <w:pStyle w:val="Point0"/>
        <w:rPr>
          <w:noProof/>
        </w:rPr>
      </w:pPr>
      <w:r>
        <w:rPr>
          <w:noProof/>
        </w:rPr>
        <w:t>8.</w:t>
      </w:r>
      <w:r>
        <w:rPr>
          <w:noProof/>
        </w:rPr>
        <w:tab/>
        <w:t>Samopowtarzalna długa broń palna (tj. broń palna, która jest pierwotnie przeznaczona do strzelania z ramienia), którą można zmniejszyć do długości mniejszej niż 60 cm bez utraty funkcjonalności dzięki zastosowaniu kolby składanej lub teleskopowej lub kolby, którą można usunąć bez użycia narzędzi.</w:t>
      </w:r>
    </w:p>
    <w:p>
      <w:pPr>
        <w:pStyle w:val="Point0"/>
        <w:rPr>
          <w:noProof/>
        </w:rPr>
      </w:pPr>
      <w:r>
        <w:rPr>
          <w:noProof/>
        </w:rPr>
        <w:t>9.</w:t>
      </w:r>
      <w:r>
        <w:rPr>
          <w:noProof/>
        </w:rPr>
        <w:tab/>
        <w:t>Każda broń palna w niniejszej kategorii, która została przerobiona na broń do strzelania ślepymi nabojami, wystrzeliwania substancji drażniących, innych substancji aktywnych lub nabojów pirotechnicznych, lub na broń salutacyjną lub akustyczną.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2017/853 art. 1 pkt 19 ppkt 1 lit. b ppkt (iii)</w:t>
      </w:r>
    </w:p>
    <w:p>
      <w:pPr>
        <w:pStyle w:val="ManualHeading3"/>
        <w:rPr>
          <w:noProof/>
        </w:rPr>
      </w:pPr>
      <w:r>
        <w:rPr>
          <w:noProof/>
        </w:rPr>
        <w:t>Kategoria B - Broń palna, w przypadku której wymagane jest pozwolenie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Krótka broń palna powtarzalna.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Krótka broń palna jednostrzałowa centralnego zapłonu.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Krótka broń palna jednostrzałowa bocznego zapłonu, której całkowita długość nie przekracza 28 cm.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Samopowtarzalna długa broń palna, której mechanizm ładujący i komora mogą łącznie pomieścić więcej niż trzy naboje w przypadku broni palnej bocznego zapłonu, a ponad trzy, lecz mniej niż dwanaście nabojów w przypadku broni palnej centralnego zapłonu.</w:t>
      </w:r>
    </w:p>
    <w:p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>Samopowtarzalna krótka broń palna inna niż broń palna wymieniona w kategorii A pkt 7 lit. a).</w:t>
      </w:r>
    </w:p>
    <w:p>
      <w:pPr>
        <w:pStyle w:val="Point0"/>
        <w:rPr>
          <w:noProof/>
        </w:rPr>
      </w:pPr>
      <w:r>
        <w:rPr>
          <w:noProof/>
        </w:rPr>
        <w:t>6.</w:t>
      </w:r>
      <w:r>
        <w:rPr>
          <w:noProof/>
        </w:rPr>
        <w:tab/>
        <w:t>Samopowtarzalna długa broń palna wymieniona w kategorii A pkt 7 lit. b), której mechanizm ładujący i komora nie mogą razem pomieścić więcej niż trzy naboje, w przypadku gdy mechanizm ładujący jest odłączalny lub w przypadku gdy nie jest pewne, czy broni tej nie można przerobić, za pomocą zwykłych narzędzi, na broń, której mechanizm ładujący i komora mogą pomieścić łącznie więcej niż trzy naboje.</w:t>
      </w:r>
    </w:p>
    <w:p>
      <w:pPr>
        <w:pStyle w:val="Point0"/>
        <w:rPr>
          <w:noProof/>
        </w:rPr>
      </w:pPr>
      <w:r>
        <w:rPr>
          <w:noProof/>
        </w:rPr>
        <w:t>7.</w:t>
      </w:r>
      <w:r>
        <w:rPr>
          <w:noProof/>
        </w:rPr>
        <w:tab/>
        <w:t>Powtarzalna i samopowtarzalna długa broń palna z lufą o gładkim przewodzie, której długość nie przekracza 60 cm.</w:t>
      </w:r>
    </w:p>
    <w:p>
      <w:pPr>
        <w:pStyle w:val="Point0"/>
        <w:rPr>
          <w:noProof/>
        </w:rPr>
      </w:pPr>
      <w:r>
        <w:rPr>
          <w:noProof/>
        </w:rPr>
        <w:t>8.</w:t>
      </w:r>
      <w:r>
        <w:rPr>
          <w:noProof/>
        </w:rPr>
        <w:tab/>
        <w:t>Każda broń palna w niniejszej kategorii, która została przerobiona na broń do strzelania ślepymi nabojami, wystrzeliwania substancji drażniących, innych substancji aktywnych lub nabojów pirotechnicznych, lub na broń salutacyjną lub akustyczną.</w:t>
      </w:r>
    </w:p>
    <w:p>
      <w:pPr>
        <w:pStyle w:val="Point0"/>
        <w:rPr>
          <w:noProof/>
        </w:rPr>
      </w:pPr>
      <w:r>
        <w:rPr>
          <w:noProof/>
        </w:rPr>
        <w:t>9.</w:t>
      </w:r>
      <w:r>
        <w:rPr>
          <w:noProof/>
        </w:rPr>
        <w:tab/>
        <w:t>Samopowtarzalna broń palna do użytku cywilnego, która jest podobna do broni z mechanizmami automatycznymi, inna niż wymieniona w kategorii A pkt 6, 7 lub 8.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2017/853 art. 1 pkt 19 ppkt 1 lit. b ppkt (iv)</w:t>
      </w:r>
    </w:p>
    <w:p>
      <w:pPr>
        <w:pStyle w:val="ManualHeading3"/>
        <w:rPr>
          <w:noProof/>
        </w:rPr>
      </w:pPr>
      <w:r>
        <w:rPr>
          <w:noProof/>
        </w:rPr>
        <w:t>Kategoria C - Broń palna i broń, w przypadku której wymagane jest oświadczenie</w:t>
      </w:r>
    </w:p>
    <w:p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  <w:t>Powtarzalna długa broń palna inna niż wymieniona w kategorii B pkt 7.</w:t>
      </w:r>
    </w:p>
    <w:p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Długa broń palna jednostrzałowa z lufą bruzdowaną.</w:t>
      </w:r>
    </w:p>
    <w:p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Samopowtarzalna długa broń palna inna niż wymieniona w kategorii A lub B.</w:t>
      </w:r>
    </w:p>
    <w:p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Jednostrzałowa krótka broń palna bocznego zapłonu, której całkowita długość przekracza 28 cm.</w:t>
      </w:r>
    </w:p>
    <w:p>
      <w:pPr>
        <w:pStyle w:val="Point0"/>
        <w:rPr>
          <w:noProof/>
        </w:rPr>
      </w:pPr>
      <w:r>
        <w:rPr>
          <w:noProof/>
        </w:rPr>
        <w:t>5.</w:t>
      </w:r>
      <w:r>
        <w:rPr>
          <w:noProof/>
        </w:rPr>
        <w:tab/>
        <w:t>Każda broń palna w niniejszej kategorii, która została przerobiona na broń do strzelania ślepymi nabojami, wystrzeliwania substancji drażniących, innych substancji aktywnych lub nabojów pirotechnicznych, lub na broń salutacyjną lub akustyczną.</w:t>
      </w:r>
    </w:p>
    <w:p>
      <w:pPr>
        <w:pStyle w:val="Point0"/>
        <w:rPr>
          <w:noProof/>
        </w:rPr>
      </w:pPr>
      <w:r>
        <w:rPr>
          <w:noProof/>
        </w:rPr>
        <w:t>6.</w:t>
      </w:r>
      <w:r>
        <w:rPr>
          <w:noProof/>
        </w:rPr>
        <w:tab/>
        <w:t>Broń palna sklasyfikowana w kategorii A lub B, lub w niniejszej kategorii, która została pozbawiona cech użytkowych zgodnie z rozporządzeniem wykonawczym (UE) 2015/2403.</w:t>
      </w:r>
    </w:p>
    <w:p>
      <w:pPr>
        <w:pStyle w:val="Point0"/>
        <w:rPr>
          <w:noProof/>
        </w:rPr>
      </w:pPr>
      <w:r>
        <w:rPr>
          <w:noProof/>
        </w:rPr>
        <w:t>7.</w:t>
      </w:r>
      <w:r>
        <w:rPr>
          <w:noProof/>
        </w:rPr>
        <w:tab/>
        <w:t>Jednostrzałowa długa broń palna z lufą o gładkim przewodzie, wprowadzana do obrotu począwszy od dnia 14 września 2018 r.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2017/853 art. 1 pkt 19 ppkt 2</w:t>
      </w:r>
    </w:p>
    <w:p>
      <w:pPr>
        <w:pStyle w:val="ManualHeading4"/>
        <w:rPr>
          <w:noProof/>
        </w:rPr>
      </w:pPr>
      <w:r>
        <w:rPr>
          <w:noProof/>
        </w:rPr>
        <w:t>III.</w:t>
      </w:r>
      <w:r>
        <w:rPr>
          <w:noProof/>
        </w:rPr>
        <w:tab/>
        <w:t>Do celów niniejszego załącznika przedmioty, które odpowiadają definicji broni palnej nie są włączone w zakres tej definicji, jeśli: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są przeznaczone do alarmowania, sygnalizowania, ratowania życia, uboju zwierząt lub połowów ryb za pomocą harpuna lub do celów przemysłowych lub technicznych, pod warunkiem że mogą być wykorzystywane wyłącznie do zadeklarowanych celów;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uznawane są za broń zabytkową, w przypadku gdy nie zostały włączone do kategorii określonych w części II oraz podlegają przepisom krajowym.</w:t>
      </w:r>
    </w:p>
    <w:p>
      <w:pPr>
        <w:rPr>
          <w:noProof/>
        </w:rPr>
      </w:pPr>
      <w:r>
        <w:rPr>
          <w:noProof/>
        </w:rPr>
        <w:t>Do czasu zakończenia koordynacji w Unii państwa członkowskie mogą stosować swoje przepisy krajowe w odniesieniu do broni palnej wymienionej w niniejszej części.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91/477</w:t>
      </w: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è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è</w:t>
      </w:r>
      <w:r>
        <w:rPr>
          <w:noProof/>
        </w:rPr>
        <w:fldChar w:fldCharType="end"/>
      </w:r>
      <w:r>
        <w:rPr>
          <w:rStyle w:val="CRRefNum"/>
          <w:noProof/>
          <w:lang w:val="pl-PL"/>
        </w:rPr>
        <w:t>1</w:t>
      </w:r>
      <w:r>
        <w:rPr>
          <w:noProof/>
          <w:lang w:val="pl-PL"/>
        </w:rPr>
        <w:t> Sprostowanie, Dz.U. L 191 z 22.7.2017, s. 12.</w:t>
      </w:r>
    </w:p>
    <w:p>
      <w:pPr>
        <w:pStyle w:val="ManualHeading4"/>
        <w:rPr>
          <w:noProof/>
        </w:rPr>
      </w:pPr>
      <w:r>
        <w:rPr>
          <w:noProof/>
        </w:rPr>
        <w:t>IV.</w:t>
      </w:r>
      <w:r>
        <w:rPr>
          <w:noProof/>
        </w:rPr>
        <w:tab/>
        <w:t>Do celów niniejszego załącznika określenie: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krótka broń palna” oznacza broń palną z lufą, której długość nie przekracza 30 centymetrów lub której całkowita długość nie przekracza 60 centymetrów;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„długa broń palna” oznacza każdą broń palną inną niż krótka broń palna;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è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è</w:t>
      </w:r>
      <w:r>
        <w:rPr>
          <w:noProof/>
        </w:rPr>
        <w:fldChar w:fldCharType="end"/>
      </w:r>
      <w:r>
        <w:rPr>
          <w:rStyle w:val="CRRefNum"/>
          <w:noProof/>
        </w:rPr>
        <w:t>1</w:t>
      </w:r>
      <w:r>
        <w:rPr>
          <w:noProof/>
        </w:rPr>
        <w:t> „samoczynna broń palna”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ç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ç</w:t>
      </w:r>
      <w:r>
        <w:rPr>
          <w:noProof/>
        </w:rPr>
        <w:fldChar w:fldCharType="end"/>
      </w:r>
      <w:r>
        <w:rPr>
          <w:noProof/>
        </w:rPr>
        <w:t xml:space="preserve"> oznacza broń palną, która ładuje się automatycznie po każdorazowym wystrzeleniu naboju i która może wystrzelić więcej niż jeden nabój przy jednym naciśnięciu spustu;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è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è</w:t>
      </w:r>
      <w:r>
        <w:rPr>
          <w:noProof/>
        </w:rPr>
        <w:fldChar w:fldCharType="end"/>
      </w:r>
      <w:r>
        <w:rPr>
          <w:rStyle w:val="CRRefNum"/>
          <w:noProof/>
        </w:rPr>
        <w:t>1</w:t>
      </w:r>
      <w:r>
        <w:rPr>
          <w:noProof/>
        </w:rPr>
        <w:t> „samopowtarzalna broń palna”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ç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ç</w:t>
      </w:r>
      <w:r>
        <w:rPr>
          <w:noProof/>
        </w:rPr>
        <w:fldChar w:fldCharType="end"/>
      </w:r>
      <w:r>
        <w:rPr>
          <w:noProof/>
        </w:rPr>
        <w:t xml:space="preserve"> oznacza broń palną, która ładuje się automatycznie po każdorazowym wystrzeleniu naboju i która może wystrzelić tylko jeden nabój przy jednym naciśnięciu spustu;</w:t>
      </w:r>
    </w:p>
    <w:p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è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è</w:t>
      </w:r>
      <w:r>
        <w:rPr>
          <w:noProof/>
        </w:rPr>
        <w:fldChar w:fldCharType="end"/>
      </w:r>
      <w:r>
        <w:rPr>
          <w:rStyle w:val="CRRefNum"/>
          <w:noProof/>
        </w:rPr>
        <w:t>1</w:t>
      </w:r>
      <w:r>
        <w:rPr>
          <w:noProof/>
        </w:rPr>
        <w:t> „powtarzalna broń palna” </w:t>
      </w:r>
      <w:r>
        <w:rPr>
          <w:noProof/>
        </w:rPr>
        <w:fldChar w:fldCharType="begin"/>
      </w:r>
      <w:r>
        <w:rPr>
          <w:noProof/>
        </w:rPr>
        <w:instrText xml:space="preserve"> QUOTE "</w:instrText>
      </w:r>
      <w:r>
        <w:rPr>
          <w:rStyle w:val="CRMarker"/>
          <w:noProof/>
        </w:rPr>
        <w:instrText>ç</w:instrText>
      </w:r>
      <w:r>
        <w:rPr>
          <w:noProof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</w:rPr>
        <w:t>ç</w:t>
      </w:r>
      <w:r>
        <w:rPr>
          <w:noProof/>
        </w:rPr>
        <w:fldChar w:fldCharType="end"/>
      </w:r>
      <w:r>
        <w:rPr>
          <w:noProof/>
        </w:rPr>
        <w:t xml:space="preserve"> oznacza broń palną, która po wystrzeleniu naboju może zostać ponownie naładowana ręcznie z magazynka lub cylindra;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„jednostrzałowa broń palna” oznacza broń palną bez magazynka, którą ładuje się przed każdorazowym strzałem poprzez ręczny załadunek naboju do komory lub wgłębienia na ładunek w części zamkowej lufy;</w:t>
      </w:r>
    </w:p>
    <w:p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  <w:t>„amunicja z pociskami penetrującymi” oznacza amunicję do użytku wojskowego z pociskami osłoniętymi i posiadającymi rdzeń penetrujący;</w:t>
      </w:r>
    </w:p>
    <w:p>
      <w:pPr>
        <w:pStyle w:val="Point0"/>
        <w:rPr>
          <w:noProof/>
        </w:rPr>
      </w:pPr>
      <w:r>
        <w:rPr>
          <w:noProof/>
        </w:rPr>
        <w:t>h)</w:t>
      </w:r>
      <w:r>
        <w:rPr>
          <w:noProof/>
        </w:rPr>
        <w:tab/>
        <w:t>„amunicja z pociskami wybuchającymi” oznacza amunicję do użytku wojskowego z pociskami zawierającymi ładunek eksplodujący przy uderzeniu;</w:t>
      </w:r>
    </w:p>
    <w:p>
      <w:pPr>
        <w:pStyle w:val="Point0"/>
        <w:rPr>
          <w:noProof/>
        </w:rPr>
      </w:pPr>
      <w:r>
        <w:rPr>
          <w:noProof/>
        </w:rPr>
        <w:t>i)</w:t>
      </w:r>
      <w:r>
        <w:rPr>
          <w:noProof/>
        </w:rPr>
        <w:tab/>
        <w:t>„amunicja z pociskami zapalającymi” oznacza amunicję do użytku wojskowego z pociskami zawierającymi mieszaninę chemiczną, która ulega zapaleniu przy kontakcie z powietrzem lub przy uderzeniu.</w:t>
      </w:r>
    </w:p>
    <w:p>
      <w:pPr>
        <w:jc w:val="center"/>
        <w:rPr>
          <w:noProof/>
        </w:rPr>
      </w:pPr>
      <w:r>
        <w:rPr>
          <w:rFonts w:eastAsia="Times New Roman"/>
          <w:noProof/>
          <w:szCs w:val="20"/>
        </w:rPr>
        <w:t>_____________</w:t>
      </w:r>
    </w:p>
    <w:p>
      <w:pPr>
        <w:adjustRightInd w:val="0"/>
        <w:spacing w:before="0" w:after="0"/>
        <w:jc w:val="left"/>
        <w:rPr>
          <w:noProof/>
        </w:rPr>
        <w:sectPr>
          <w:footerReference w:type="default" r:id="rId16"/>
          <w:footerReference w:type="first" r:id="rId17"/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rFonts w:eastAsia="Times New Roman"/>
          <w:noProof/>
          <w:lang w:val="pl-PL"/>
        </w:rPr>
      </w:pPr>
    </w:p>
    <w:p>
      <w:pPr>
        <w:pStyle w:val="CRReference"/>
        <w:rPr>
          <w:rFonts w:eastAsia="Times New Roman"/>
          <w:noProof/>
          <w:lang w:val="pl-PL"/>
        </w:rPr>
      </w:pPr>
      <w:r>
        <w:rPr>
          <w:rFonts w:eastAsia="Times New Roman"/>
          <w:noProof/>
        </w:rPr>
        <w:fldChar w:fldCharType="begin"/>
      </w:r>
      <w:r>
        <w:rPr>
          <w:rFonts w:eastAsia="Times New Roman"/>
          <w:noProof/>
          <w:lang w:val="pl-PL"/>
        </w:rPr>
        <w:instrText xml:space="preserve"> QUOTE "</w:instrText>
      </w:r>
      <w:r>
        <w:rPr>
          <w:rFonts w:ascii="Wingdings" w:eastAsia="Times New Roman" w:hAnsi="Wingdings" w:cs="Wingdings"/>
          <w:noProof/>
          <w:lang w:val="pl-PL"/>
        </w:rPr>
        <w:instrText>ê</w:instrText>
      </w:r>
      <w:r>
        <w:rPr>
          <w:rFonts w:eastAsia="Times New Roman"/>
          <w:noProof/>
          <w:lang w:val="pl-PL"/>
        </w:rPr>
        <w:instrText xml:space="preserve">" </w:instrText>
      </w:r>
      <w:r>
        <w:rPr>
          <w:rFonts w:eastAsia="Times New Roman"/>
          <w:noProof/>
        </w:rPr>
        <w:fldChar w:fldCharType="separate"/>
      </w:r>
      <w:r>
        <w:rPr>
          <w:rFonts w:ascii="Wingdings" w:eastAsia="Times New Roman" w:hAnsi="Wingdings" w:cs="Wingdings"/>
          <w:noProof/>
          <w:lang w:val="pl-PL"/>
        </w:rPr>
        <w:t>ê</w:t>
      </w:r>
      <w:r>
        <w:rPr>
          <w:rFonts w:eastAsia="Times New Roman"/>
          <w:noProof/>
        </w:rPr>
        <w:fldChar w:fldCharType="end"/>
      </w:r>
      <w:r>
        <w:rPr>
          <w:rFonts w:eastAsia="Times New Roman"/>
          <w:noProof/>
          <w:lang w:val="pl-PL"/>
        </w:rPr>
        <w:t> 91/477</w:t>
      </w:r>
    </w:p>
    <w:p>
      <w:pPr>
        <w:pStyle w:val="Annexetitre"/>
        <w:rPr>
          <w:noProof/>
        </w:rPr>
      </w:pPr>
      <w:r>
        <w:rPr>
          <w:noProof/>
        </w:rPr>
        <w:t>ZAŁĄCZNIK II</w:t>
      </w:r>
    </w:p>
    <w:p>
      <w:pPr>
        <w:pStyle w:val="ManualHeading1"/>
        <w:jc w:val="center"/>
        <w:rPr>
          <w:noProof/>
        </w:rPr>
      </w:pPr>
      <w:r>
        <w:rPr>
          <w:noProof/>
        </w:rPr>
        <w:t>EUROPEJSKA KARTA BRONI PALNEJ</w:t>
      </w:r>
    </w:p>
    <w:p>
      <w:pPr>
        <w:rPr>
          <w:noProof/>
        </w:rPr>
      </w:pPr>
      <w:r>
        <w:rPr>
          <w:noProof/>
        </w:rPr>
        <w:t>Karta musi zawierać następujące sekcje:</w:t>
      </w:r>
    </w:p>
    <w:p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>tożsamość posiadacza;</w:t>
      </w:r>
    </w:p>
    <w:p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identyfikacja broni lub broni palnej, łącznie z odnośnikiem do kategorii w rozumieniu niniejszej dyrektywy;</w:t>
      </w:r>
    </w:p>
    <w:p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okres ważności karty;</w:t>
      </w:r>
    </w:p>
    <w:p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sekcja na użytek państwa członkowskiego wydającego kartę (typ i odniesienia dotyczące pozwolenia itd.);</w:t>
      </w:r>
    </w:p>
    <w:p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  <w:t>sekcja na wpisy innych państw członkowskich (pozwolenia na wwóz broni na ich terytorium itd.);</w:t>
      </w: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ê</w:instrText>
      </w:r>
      <w:r>
        <w:rPr>
          <w:noProof/>
          <w:lang w:val="pl-PL"/>
        </w:rPr>
        <w:instrText xml:space="preserve">" </w:instrText>
      </w:r>
      <w:r>
        <w:rPr>
          <w:noProof/>
        </w:rPr>
        <w:fldChar w:fldCharType="separate"/>
      </w:r>
      <w:r>
        <w:rPr>
          <w:rStyle w:val="CRMarker"/>
          <w:noProof/>
          <w:lang w:val="pl-PL"/>
        </w:rPr>
        <w:t>ê</w:t>
      </w:r>
      <w:r>
        <w:rPr>
          <w:noProof/>
        </w:rPr>
        <w:fldChar w:fldCharType="end"/>
      </w:r>
      <w:r>
        <w:rPr>
          <w:noProof/>
          <w:lang w:val="pl-PL"/>
        </w:rPr>
        <w:t> 2017/853 art. 1 pkt 20 (dostosowany)</w:t>
      </w:r>
    </w:p>
    <w:p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oświadczenia:</w:t>
      </w:r>
    </w:p>
    <w:p>
      <w:pPr>
        <w:pStyle w:val="Text1"/>
        <w:rPr>
          <w:noProof/>
        </w:rPr>
      </w:pPr>
      <w:r>
        <w:rPr>
          <w:noProof/>
        </w:rPr>
        <w:t>„Prawo podróżowania do innego państwa członkowskiego z jedną lub większą liczbą jednostek broni palnej sklasyfikowanych w kategoriach A, B lub C wymienionych w niniejszej karcie wymaga uprzedniego uzyskania jednego lub większej liczby pozwoleń wydawanych przez odwiedzane państwo członkowskie. Takie pozwolenia mogą zostać odnotowane w niniejszej karcie.</w:t>
      </w:r>
    </w:p>
    <w:p>
      <w:pPr>
        <w:pStyle w:val="Text1"/>
        <w:rPr>
          <w:noProof/>
        </w:rPr>
      </w:pPr>
      <w:r>
        <w:rPr>
          <w:noProof/>
        </w:rPr>
        <w:t>Uprzednie pozwolenie, o którym mowa powyżej, nie jest co do zasady konieczne w celu odbycia podróży z bronią palną sklasyfikowaną w kategorii C z zamiarem jej wykorzystania w celach łowieckich lub podczas rekonstrukcji historycznej, lub z bronią sklasyfikowaną w kategorii A, B lub C w celu jej wykorzystania do strzelectwa sportowego, pod warunkiem że podróżny posiada przy sobie kartę broni palnej i może określić powód podróży.”</w:t>
      </w:r>
    </w:p>
    <w:p>
      <w:pPr>
        <w:pStyle w:val="Text1"/>
        <w:rPr>
          <w:noProof/>
        </w:rPr>
      </w:pPr>
      <w:r>
        <w:rPr>
          <w:noProof/>
        </w:rPr>
        <w:t>W przypadku gdy dane państwo członkowskie poinformowało pozostałe państwa członkowskie, zgodnie z art. 11 ust. 3, że posiadanie niektórych rodzajów broni palnej sklasyfikowanej w kategoriach B lub C jest zakazane lub wymaga pozwolenia, dodaje się jedno z następujących oświadczeń:</w:t>
      </w:r>
    </w:p>
    <w:p>
      <w:pPr>
        <w:pStyle w:val="Text1"/>
        <w:rPr>
          <w:noProof/>
        </w:rPr>
      </w:pPr>
      <w:r>
        <w:rPr>
          <w:noProof/>
        </w:rPr>
        <w:t>„Podróż do… (państwo(-a) przeznaczenia) z bronią palną… (identyfikacja) jest zakazana.”</w:t>
      </w:r>
    </w:p>
    <w:p>
      <w:pPr>
        <w:pStyle w:val="Text1"/>
        <w:rPr>
          <w:noProof/>
        </w:rPr>
      </w:pPr>
      <w:r>
        <w:rPr>
          <w:noProof/>
        </w:rPr>
        <w:t>„Podróż do… (państwo(-a) przeznaczenia) z bronią palną… (identyfikacja) wymaga uzyskania pozwolenia.”</w:t>
      </w:r>
    </w:p>
    <w:p>
      <w:pPr>
        <w:jc w:val="center"/>
        <w:rPr>
          <w:noProof/>
        </w:rPr>
      </w:pPr>
      <w:r>
        <w:rPr>
          <w:rFonts w:eastAsia="Times New Roman"/>
          <w:noProof/>
          <w:szCs w:val="20"/>
        </w:rPr>
        <w:t>_____________</w:t>
      </w:r>
    </w:p>
    <w:p>
      <w:pPr>
        <w:rPr>
          <w:noProof/>
        </w:rPr>
        <w:sectPr>
          <w:pgSz w:w="11906" w:h="16838"/>
          <w:pgMar w:top="1134" w:right="1418" w:bottom="1134" w:left="1418" w:header="709" w:footer="709" w:gutter="0"/>
          <w:cols w:space="709"/>
          <w:docGrid w:linePitch="326"/>
        </w:sectPr>
      </w:pPr>
    </w:p>
    <w:p>
      <w:pPr>
        <w:pStyle w:val="CRSeparator"/>
        <w:rPr>
          <w:noProof/>
          <w:lang w:val="pl-PL"/>
        </w:rPr>
      </w:pPr>
    </w:p>
    <w:p>
      <w:pPr>
        <w:pStyle w:val="CRReference"/>
        <w:rPr>
          <w:noProof/>
          <w:lang w:val="pl-PL"/>
        </w:rPr>
      </w:pPr>
      <w:r>
        <w:rPr>
          <w:noProof/>
          <w:lang w:val="en-GB"/>
        </w:rPr>
        <w:fldChar w:fldCharType="begin"/>
      </w:r>
      <w:r>
        <w:rPr>
          <w:noProof/>
          <w:lang w:val="pl-PL"/>
        </w:rPr>
        <w:instrText xml:space="preserve"> QUOTE "</w:instrText>
      </w:r>
      <w:r>
        <w:rPr>
          <w:rStyle w:val="CRMarker"/>
          <w:noProof/>
          <w:lang w:val="pl-PL"/>
        </w:rPr>
        <w:instrText>é</w:instrText>
      </w:r>
      <w:r>
        <w:rPr>
          <w:noProof/>
          <w:lang w:val="pl-PL"/>
        </w:rPr>
        <w:instrText xml:space="preserve">" </w:instrText>
      </w:r>
      <w:r>
        <w:rPr>
          <w:noProof/>
          <w:lang w:val="en-GB"/>
        </w:rPr>
        <w:fldChar w:fldCharType="separate"/>
      </w:r>
      <w:r>
        <w:rPr>
          <w:rStyle w:val="CRMarker"/>
          <w:noProof/>
          <w:lang w:val="pl-PL"/>
        </w:rPr>
        <w:t>é</w:t>
      </w:r>
      <w:r>
        <w:rPr>
          <w:noProof/>
          <w:lang w:val="en-GB"/>
        </w:rPr>
        <w:fldChar w:fldCharType="end"/>
      </w:r>
      <w:r>
        <w:rPr>
          <w:noProof/>
          <w:lang w:val="pl-PL"/>
        </w:rPr>
        <w:t> </w:t>
      </w:r>
    </w:p>
    <w:p>
      <w:pPr>
        <w:pStyle w:val="Annexetitre"/>
        <w:rPr>
          <w:noProof/>
        </w:rPr>
      </w:pPr>
      <w:r>
        <w:rPr>
          <w:noProof/>
        </w:rPr>
        <w:t>ZAŁĄCZNIK III</w:t>
      </w:r>
    </w:p>
    <w:p>
      <w:pPr>
        <w:widowControl w:val="0"/>
        <w:tabs>
          <w:tab w:val="right" w:pos="9600"/>
        </w:tabs>
        <w:suppressAutoHyphens/>
        <w:spacing w:before="0" w:after="240"/>
        <w:jc w:val="center"/>
        <w:rPr>
          <w:rFonts w:eastAsia="Times New Roman"/>
          <w:noProof/>
          <w:lang w:eastAsia="fr-BE"/>
        </w:rPr>
      </w:pPr>
      <w:r>
        <w:rPr>
          <w:rFonts w:eastAsia="Times New Roman"/>
          <w:noProof/>
          <w:lang w:eastAsia="fr-BE"/>
        </w:rPr>
        <w:t>Część A</w:t>
      </w:r>
    </w:p>
    <w:p>
      <w:pPr>
        <w:jc w:val="center"/>
        <w:rPr>
          <w:b/>
          <w:noProof/>
        </w:rPr>
      </w:pPr>
      <w:r>
        <w:rPr>
          <w:b/>
          <w:noProof/>
        </w:rPr>
        <w:t>Uchylona dyrektywa wraz z jej kolejnymi zmianami (o których mowa w art. 26)</w:t>
      </w:r>
    </w:p>
    <w:tbl>
      <w:tblPr>
        <w:tblW w:w="936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60"/>
        <w:gridCol w:w="4440"/>
        <w:gridCol w:w="360"/>
        <w:gridCol w:w="3840"/>
        <w:gridCol w:w="360"/>
      </w:tblGrid>
      <w:tr>
        <w:trPr>
          <w:gridAfter w:val="1"/>
          <w:wAfter w:w="360" w:type="dxa"/>
        </w:trPr>
        <w:tc>
          <w:tcPr>
            <w:tcW w:w="48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rFonts w:eastAsia="Times New Roman"/>
                <w:noProof/>
              </w:rPr>
              <w:t xml:space="preserve">Dyrektywa </w:t>
            </w:r>
            <w:r>
              <w:rPr>
                <w:noProof/>
              </w:rPr>
              <w:t xml:space="preserve">Rady </w:t>
            </w:r>
            <w:r>
              <w:rPr>
                <w:rFonts w:eastAsia="Times New Roman"/>
                <w:noProof/>
              </w:rPr>
              <w:t>91/477/EWG</w:t>
            </w:r>
          </w:p>
        </w:tc>
        <w:tc>
          <w:tcPr>
            <w:tcW w:w="42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(Dz.U. </w:t>
            </w:r>
            <w:r>
              <w:rPr>
                <w:noProof/>
                <w:lang w:val="fr-FR"/>
              </w:rPr>
              <w:t>L 256, 13.9.1991</w:t>
            </w:r>
            <w:r>
              <w:rPr>
                <w:noProof/>
              </w:rPr>
              <w:t>, s. 51)</w:t>
            </w:r>
          </w:p>
        </w:tc>
      </w:tr>
      <w:tr>
        <w:trPr>
          <w:gridBefore w:val="1"/>
          <w:wBefore w:w="360" w:type="dxa"/>
        </w:trPr>
        <w:tc>
          <w:tcPr>
            <w:tcW w:w="48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Dyrektywa Parlamentu Europejskiego i Rady 2008/51/WE</w:t>
            </w:r>
          </w:p>
        </w:tc>
        <w:tc>
          <w:tcPr>
            <w:tcW w:w="42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(DZ.U. L 179, 8.7.2008, s. 5)</w:t>
            </w:r>
          </w:p>
        </w:tc>
      </w:tr>
      <w:tr>
        <w:trPr>
          <w:gridBefore w:val="1"/>
          <w:wBefore w:w="360" w:type="dxa"/>
        </w:trPr>
        <w:tc>
          <w:tcPr>
            <w:tcW w:w="48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Dyrektywa Parlamentu Europejskiego i Rady (UE) 2017/853 </w:t>
            </w:r>
          </w:p>
        </w:tc>
        <w:tc>
          <w:tcPr>
            <w:tcW w:w="4200" w:type="dxa"/>
            <w:gridSpan w:val="2"/>
          </w:tcPr>
          <w:p>
            <w:pPr>
              <w:jc w:val="left"/>
              <w:rPr>
                <w:noProof/>
              </w:rPr>
            </w:pPr>
            <w:r>
              <w:rPr>
                <w:noProof/>
              </w:rPr>
              <w:t>(DZ.U. L 137, 24.5.2017, s. 22)</w:t>
            </w:r>
          </w:p>
        </w:tc>
      </w:tr>
    </w:tbl>
    <w:p>
      <w:pPr>
        <w:widowControl w:val="0"/>
        <w:tabs>
          <w:tab w:val="right" w:pos="9600"/>
        </w:tabs>
        <w:suppressAutoHyphens/>
        <w:spacing w:before="0" w:after="240"/>
        <w:jc w:val="center"/>
        <w:outlineLvl w:val="0"/>
        <w:rPr>
          <w:rFonts w:eastAsia="Times New Roman"/>
          <w:noProof/>
          <w:lang w:eastAsia="fr-BE"/>
        </w:rPr>
      </w:pPr>
      <w:r>
        <w:rPr>
          <w:rFonts w:eastAsia="Times New Roman"/>
          <w:noProof/>
          <w:lang w:eastAsia="fr-BE"/>
        </w:rPr>
        <w:t>Część B</w:t>
      </w:r>
    </w:p>
    <w:p>
      <w:pPr>
        <w:widowControl w:val="0"/>
        <w:tabs>
          <w:tab w:val="right" w:pos="9600"/>
        </w:tabs>
        <w:suppressAutoHyphens/>
        <w:spacing w:before="0" w:after="240"/>
        <w:jc w:val="center"/>
        <w:outlineLvl w:val="0"/>
        <w:rPr>
          <w:rFonts w:eastAsia="Times New Roman"/>
          <w:b/>
          <w:bCs/>
          <w:noProof/>
          <w:lang w:eastAsia="fr-BE"/>
        </w:rPr>
      </w:pPr>
      <w:r>
        <w:rPr>
          <w:rFonts w:eastAsia="Times New Roman"/>
          <w:b/>
          <w:bCs/>
          <w:noProof/>
          <w:lang w:eastAsia="fr-BE"/>
        </w:rPr>
        <w:t>Terminy transpozycji do prawa krajowego</w:t>
      </w:r>
      <w:r>
        <w:rPr>
          <w:rFonts w:eastAsia="Times New Roman"/>
          <w:b/>
          <w:bCs/>
          <w:noProof/>
          <w:lang w:eastAsia="fr-BE"/>
        </w:rPr>
        <w:br/>
        <w:t>(o których mowa w art. 26)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3107"/>
      </w:tblGrid>
      <w:tr>
        <w:trPr>
          <w:jc w:val="center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noProof/>
                <w:lang w:val="fr-BE" w:eastAsia="fr-BE"/>
              </w:rPr>
              <w:t>Dyrektywa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bCs/>
                <w:noProof/>
                <w:lang w:val="en-GB" w:eastAsia="fr-BE"/>
              </w:rPr>
              <w:t>Data transpozycji</w:t>
            </w:r>
          </w:p>
        </w:tc>
      </w:tr>
      <w:tr>
        <w:trPr>
          <w:jc w:val="center"/>
        </w:trPr>
        <w:tc>
          <w:tcPr>
            <w:tcW w:w="3079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noProof/>
              </w:rPr>
              <w:t>91/477/EWG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noProof/>
                <w:lang w:val="fr-BE" w:eastAsia="fr-BE"/>
              </w:rPr>
              <w:t>31 grudzień 1992</w:t>
            </w:r>
          </w:p>
        </w:tc>
      </w:tr>
      <w:tr>
        <w:trPr>
          <w:jc w:val="center"/>
        </w:trPr>
        <w:tc>
          <w:tcPr>
            <w:tcW w:w="3079" w:type="dxa"/>
            <w:tcBorders>
              <w:righ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noProof/>
              </w:rPr>
              <w:t>2008/51/WE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noProof/>
                <w:lang w:val="fr-BE" w:eastAsia="fr-BE"/>
              </w:rPr>
              <w:t>28 lipiec 2010</w:t>
            </w:r>
          </w:p>
        </w:tc>
      </w:tr>
      <w:tr>
        <w:trPr>
          <w:jc w:val="center"/>
        </w:trPr>
        <w:tc>
          <w:tcPr>
            <w:tcW w:w="3079" w:type="dxa"/>
            <w:tcBorders>
              <w:righ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noProof/>
              </w:rPr>
              <w:t>(WE) 2017/853</w:t>
            </w:r>
          </w:p>
        </w:tc>
        <w:tc>
          <w:tcPr>
            <w:tcW w:w="3107" w:type="dxa"/>
            <w:tcBorders>
              <w:left w:val="single" w:sz="4" w:space="0" w:color="auto"/>
            </w:tcBorders>
          </w:tcPr>
          <w:p>
            <w:pPr>
              <w:widowControl w:val="0"/>
              <w:tabs>
                <w:tab w:val="right" w:pos="9600"/>
              </w:tabs>
              <w:suppressAutoHyphens/>
              <w:jc w:val="center"/>
              <w:rPr>
                <w:rFonts w:eastAsia="Times New Roman"/>
                <w:noProof/>
                <w:lang w:val="fr-BE" w:eastAsia="fr-BE"/>
              </w:rPr>
            </w:pPr>
            <w:r>
              <w:rPr>
                <w:rFonts w:eastAsia="Times New Roman"/>
                <w:noProof/>
                <w:lang w:val="fr-BE" w:eastAsia="fr-BE"/>
              </w:rPr>
              <w:t>14 wrzesień 2018</w:t>
            </w:r>
            <w:r>
              <w:rPr>
                <w:rStyle w:val="FootnoteReference"/>
                <w:rFonts w:eastAsia="Times New Roman"/>
                <w:noProof/>
                <w:lang w:val="fr-BE" w:eastAsia="fr-BE"/>
              </w:rPr>
              <w:footnoteReference w:id="1"/>
            </w:r>
          </w:p>
        </w:tc>
      </w:tr>
    </w:tbl>
    <w:p>
      <w:pPr>
        <w:jc w:val="center"/>
        <w:rPr>
          <w:rFonts w:eastAsia="Times New Roman"/>
          <w:noProof/>
          <w:szCs w:val="20"/>
        </w:rPr>
      </w:pPr>
      <w:r>
        <w:rPr>
          <w:rFonts w:eastAsia="Times New Roman"/>
          <w:noProof/>
          <w:szCs w:val="20"/>
        </w:rPr>
        <w:t>_____________</w:t>
      </w:r>
    </w:p>
    <w:p>
      <w:pPr>
        <w:jc w:val="center"/>
        <w:rPr>
          <w:rFonts w:eastAsia="Times New Roman"/>
          <w:noProof/>
          <w:szCs w:val="20"/>
        </w:rPr>
        <w:sectPr>
          <w:pgSz w:w="11907" w:h="16839"/>
          <w:pgMar w:top="1134" w:right="1418" w:bottom="1134" w:left="1418" w:header="709" w:footer="709" w:gutter="0"/>
          <w:cols w:space="720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ZAŁĄCZNIK IV</w:t>
      </w:r>
    </w:p>
    <w:p>
      <w:pPr>
        <w:keepNext/>
        <w:spacing w:before="360"/>
        <w:jc w:val="center"/>
        <w:outlineLvl w:val="0"/>
        <w:rPr>
          <w:rFonts w:eastAsia="Times New Roman"/>
          <w:b/>
          <w:smallCaps/>
          <w:noProof/>
          <w:szCs w:val="20"/>
        </w:rPr>
      </w:pPr>
      <w:r>
        <w:rPr>
          <w:rFonts w:eastAsia="Times New Roman"/>
          <w:b/>
          <w:smallCaps/>
          <w:noProof/>
          <w:szCs w:val="20"/>
        </w:rPr>
        <w:t xml:space="preserve">Tabela korelacji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674"/>
      </w:tblGrid>
      <w:tr>
        <w:tc>
          <w:tcPr>
            <w:tcW w:w="4674" w:type="dxa"/>
            <w:tcBorders>
              <w:left w:val="nil"/>
            </w:tcBorders>
          </w:tcPr>
          <w:p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Dyrektywa 91/477/EWG</w:t>
            </w:r>
          </w:p>
        </w:tc>
        <w:tc>
          <w:tcPr>
            <w:tcW w:w="4674" w:type="dxa"/>
            <w:tcBorders>
              <w:right w:val="nil"/>
            </w:tcBorders>
          </w:tcPr>
          <w:p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Niniejsza Dyrektywa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1 i 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1 i 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2 lit. 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ust. 6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4 lit. 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6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5 lit. 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7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5 lit. b)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8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9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7 ust. 1 do 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10 ust. 1 do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7 ust. 4 lit. a)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10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7 ust. 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10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6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8 ust. 1 akapit pierwszy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11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1 akapit pierwszy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8 ust. 1 akapit drugi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11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1 akapit drugi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8 ust. 2 i 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11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2 i 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9 ust. 1 </w:t>
            </w:r>
            <w:r>
              <w:rPr>
                <w:noProof/>
                <w:szCs w:val="20"/>
              </w:rPr>
              <w:t>wyrażenie wprowadzające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12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1 </w:t>
            </w:r>
            <w:r>
              <w:rPr>
                <w:noProof/>
                <w:szCs w:val="20"/>
              </w:rPr>
              <w:t>wyrażenie wprowadzające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9 ust. 1 tiret pierwsze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12 ust. 1 lit. a)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9 ust. 1 tiret drugie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12 ust. 1 lit. b)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9 ust. 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12 ust. 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10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10a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10b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15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1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16 </w:t>
            </w:r>
            <w:r>
              <w:rPr>
                <w:rFonts w:eastAsia="Times New Roman"/>
                <w:noProof/>
                <w:lang w:val="en-GB"/>
              </w:rPr>
              <w:t>ust.</w:t>
            </w:r>
            <w:r>
              <w:rPr>
                <w:rFonts w:eastAsia="Times New Roman"/>
                <w:noProof/>
              </w:rPr>
              <w:t xml:space="preserve"> 1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11 ust. 2 akapit pierwszy </w:t>
            </w:r>
            <w:r>
              <w:rPr>
                <w:noProof/>
                <w:szCs w:val="20"/>
              </w:rPr>
              <w:t>wyrażenie wprowadzające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16 ust. 2 akapit pierwszy </w:t>
            </w:r>
            <w:r>
              <w:rPr>
                <w:noProof/>
                <w:szCs w:val="20"/>
              </w:rPr>
              <w:t>wyrażenie wprowadzające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pierwsze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lang w:val="en-GB"/>
              </w:rPr>
              <w:t>Artykuł 16 ust. 2 lit. a)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drugie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lang w:val="en-GB"/>
              </w:rPr>
              <w:t>Artykuł 16 ust. 2 lit. b)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trzecie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lang w:val="en-GB"/>
              </w:rPr>
              <w:t>Artykuł 16 ust. 2 lit. c)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czwarte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 ust. 2 lit. d)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piąte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 ust. 2 lit. e)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pierwszy tiret szóste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 ust. 2 lit. f)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2 akapit drugi, trzeci i czwarty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 ust. 2 akapit drugi, trzeci i czwarty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11 ust. 3 i 4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 ust. 3 i 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12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17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13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18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13a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19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13b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20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14 </w:t>
            </w:r>
            <w:r>
              <w:rPr>
                <w:noProof/>
                <w:szCs w:val="20"/>
              </w:rPr>
              <w:t>wyrażenie wprowadzające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Artykuł 21 </w:t>
            </w:r>
            <w:r>
              <w:rPr>
                <w:noProof/>
                <w:szCs w:val="20"/>
              </w:rPr>
              <w:t>wyrażenie wprowadzające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14 tiret pierwsze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21 lit. a)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14 tiret drugie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21 lit. b)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15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22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16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23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17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24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18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Artykuły 25, 26 i 27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19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Artykuł 28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II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III</w:t>
            </w:r>
          </w:p>
        </w:tc>
      </w:tr>
      <w:tr>
        <w:tc>
          <w:tcPr>
            <w:tcW w:w="4674" w:type="dxa"/>
            <w:tcBorders>
              <w:top w:val="nil"/>
              <w:left w:val="nil"/>
              <w:bottom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–</w:t>
            </w:r>
          </w:p>
        </w:tc>
        <w:tc>
          <w:tcPr>
            <w:tcW w:w="4674" w:type="dxa"/>
            <w:tcBorders>
              <w:top w:val="nil"/>
              <w:bottom w:val="nil"/>
              <w:right w:val="nil"/>
            </w:tcBorders>
          </w:tcPr>
          <w:p>
            <w:pPr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  <w:szCs w:val="20"/>
                <w:lang w:val="en-GB"/>
              </w:rPr>
              <w:t xml:space="preserve">Załącznik </w:t>
            </w:r>
            <w:r>
              <w:rPr>
                <w:rFonts w:eastAsia="Times New Roman"/>
                <w:noProof/>
              </w:rPr>
              <w:t>IV</w:t>
            </w:r>
          </w:p>
        </w:tc>
      </w:tr>
    </w:tbl>
    <w:p>
      <w:pPr>
        <w:jc w:val="center"/>
        <w:rPr>
          <w:noProof/>
        </w:rPr>
      </w:pPr>
      <w:r>
        <w:rPr>
          <w:rFonts w:eastAsia="Times New Roman"/>
          <w:noProof/>
          <w:szCs w:val="20"/>
        </w:rPr>
        <w:t>_____________</w:t>
      </w:r>
      <w:bookmarkStart w:id="1" w:name="_CopyToNewDocument_"/>
      <w:bookmarkEnd w:id="1"/>
    </w:p>
    <w:sectPr>
      <w:pgSz w:w="11906" w:h="16838"/>
      <w:pgMar w:top="1134" w:right="1418" w:bottom="1134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Jednakże, zgodnie z art 2 ust. 2 dyrektywy (EU) 2017/853, '</w:t>
      </w:r>
      <w:r>
        <w:rPr>
          <w:rFonts w:eastAsia="Arial Unicode MS"/>
          <w:i/>
          <w:color w:val="000000"/>
        </w:rPr>
        <w:t> W drodze odstępstwa od ust. 1 niniejszego artykułu państwa członkowskie wprowadzają w życie przepisy ustawowe, wykonawcze i administracyjne niezbędne do wykonania art. 4 ust. 3 i 4 dyrektywy 91/477/EWG, zmienionej niniejszą dyrektywą, do dnia 14 grudnia 2019 r. Niezwłocznie powiadamiają o tym Komisję.'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ABA4B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4BC434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7DB4E0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73448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62EF8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F06AC4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0E22C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0D6B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  <w:lvlOverride w:ilvl="0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BIAK Lukasz (SJ)">
    <w15:presenceInfo w15:providerId="None" w15:userId="HABIAK Lukasz (SJ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oNotDisplayPageBoundaries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0" w:val="Sprostowanie, Dz.U. L 191 z 22.7.2017, s. 12."/>
    <w:docVar w:name="CR_RefCount" w:val="1"/>
    <w:docVar w:name="CR_RefLast" w:val="4"/>
    <w:docVar w:name="DQCDateTime" w:val="2020-02-12 09:12:5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1"/>
    <w:docVar w:name="LW_ACCOMPAGNANT" w:val="do"/>
    <w:docVar w:name="LW_ACCOMPAGNANT.CP" w:val="do"/>
    <w:docVar w:name="LW_ANNEX_NBR_FIRST" w:val="1"/>
    <w:docVar w:name="LW_ANNEX_NBR_LAST" w:val="4"/>
    <w:docVar w:name="LW_ANNEX_UNIQUE" w:val="0"/>
    <w:docVar w:name="LW_CORRIGENDUM" w:val="&lt;UNUSED&gt;"/>
    <w:docVar w:name="LW_COVERPAGE_EXISTS" w:val="True"/>
    <w:docVar w:name="LW_COVERPAGE_GUID" w:val="B5EF18B0-9122-4656-93EA-2D4075F390F2"/>
    <w:docVar w:name="LW_COVERPAGE_TYPE" w:val="1"/>
    <w:docVar w:name="LW_CROSSREFERENCE" w:val="&lt;UNUSED&gt;"/>
    <w:docVar w:name="LW_DocType" w:val="ANNEX"/>
    <w:docVar w:name="LW_EMISSION" w:val="19.2.2020"/>
    <w:docVar w:name="LW_EMISSION_ISODATE" w:val="2020-02-19"/>
    <w:docVar w:name="LW_EMISSION_LOCATION" w:val="BRX"/>
    <w:docVar w:name="LW_EMISSION_PREFIX" w:val="Bruksela, dnia "/>
    <w:docVar w:name="LW_EMISSION_SUFFIX" w:val=" r."/>
    <w:docVar w:name="LW_ID_DOCSTRUCTURE" w:val="COM/ANNEX"/>
    <w:docVar w:name="LW_ID_DOCTYPE" w:val="SG-017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OBJETACTEPRINCIPAL" w:val="w sprawie kontroli nabywania i posiadania broni (wersja ujednolicona)"/>
    <w:docVar w:name="LW_OBJETACTEPRINCIPAL.CP" w:val="w sprawie kontroli nabywania i posiadania broni (wersja ujednolicona)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0) 4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ZA\u321?\u260?CZNIKI"/>
    <w:docVar w:name="LW_TYPE.DOC.CP" w:val="ZA\u321?\u260?CZNIKI"/>
    <w:docVar w:name="LW_TYPEACTEPRINCIPAL" w:val="DYREKTYWA PARLAMENTU EUROPEJSKIEGO I RADY_x000b__x000b_"/>
    <w:docVar w:name="LW_TYPEACTEPRINCIPAL.CP" w:val="DYREKTYWA PARLAMENTU EUROPEJSKIEGO I RADY_x000b_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paragraph" w:customStyle="1" w:styleId="Annexetitreglobale">
    <w:name w:val="Annexe titre (global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character" w:customStyle="1" w:styleId="CRRefNum">
    <w:name w:val="CR RefNum"/>
    <w:basedOn w:val="DefaultParagraphFont"/>
    <w:uiPriority w:val="99"/>
    <w:rPr>
      <w:rFonts w:cs="Times New Roman"/>
      <w:vertAlign w:val="subscript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customStyle="1" w:styleId="Titreobjet">
    <w:name w:val="Titre objet"/>
    <w:basedOn w:val="Normal"/>
    <w:next w:val="Normal"/>
    <w:uiPriority w:val="99"/>
    <w:pPr>
      <w:autoSpaceDE w:val="0"/>
      <w:autoSpaceDN w:val="0"/>
      <w:spacing w:before="360" w:after="360"/>
      <w:jc w:val="center"/>
    </w:pPr>
    <w:rPr>
      <w:rFonts w:eastAsiaTheme="minorEastAsia"/>
      <w:b/>
      <w:bCs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character" w:customStyle="1" w:styleId="CRDeleted">
    <w:name w:val="CR Deleted"/>
    <w:basedOn w:val="DefaultParagraphFont"/>
    <w:rPr>
      <w:strike w:val="0"/>
      <w:dstrike/>
    </w:r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customStyle="1" w:styleId="norm">
    <w:name w:val="norm"/>
    <w:basedOn w:val="Normal"/>
    <w:pPr>
      <w:spacing w:after="0"/>
    </w:pPr>
    <w:rPr>
      <w:rFonts w:eastAsia="Times New Roman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etitreacte">
    <w:name w:val="Annexe titre (act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paragraph" w:customStyle="1" w:styleId="Annexetitreglobale">
    <w:name w:val="Annexe titre (globale)"/>
    <w:basedOn w:val="Normal"/>
    <w:next w:val="Normal"/>
    <w:uiPriority w:val="99"/>
    <w:pPr>
      <w:autoSpaceDE w:val="0"/>
      <w:autoSpaceDN w:val="0"/>
      <w:jc w:val="center"/>
    </w:pPr>
    <w:rPr>
      <w:rFonts w:eastAsiaTheme="minorEastAsia"/>
      <w:b/>
      <w:bCs/>
      <w:szCs w:val="24"/>
      <w:u w:val="single"/>
      <w:lang w:val="fr-FR" w:eastAsia="en-GB"/>
    </w:r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autoSpaceDE w:val="0"/>
      <w:autoSpaceDN w:val="0"/>
      <w:spacing w:before="0" w:after="0"/>
    </w:pPr>
    <w:rPr>
      <w:rFonts w:eastAsiaTheme="minorEastAsia"/>
      <w:szCs w:val="24"/>
      <w:lang w:val="fr-FR" w:eastAsia="en-GB"/>
    </w:r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before="0" w:after="0"/>
      <w:ind w:left="5670"/>
      <w:jc w:val="left"/>
    </w:pPr>
    <w:rPr>
      <w:rFonts w:eastAsiaTheme="minorEastAsia"/>
      <w:szCs w:val="24"/>
      <w:lang w:val="fr-FR" w:eastAsia="en-GB"/>
    </w:rPr>
  </w:style>
  <w:style w:type="character" w:customStyle="1" w:styleId="CRRefNum">
    <w:name w:val="CR RefNum"/>
    <w:basedOn w:val="DefaultParagraphFont"/>
    <w:uiPriority w:val="99"/>
    <w:rPr>
      <w:rFonts w:cs="Times New Roman"/>
      <w:vertAlign w:val="subscript"/>
    </w:rPr>
  </w:style>
  <w:style w:type="paragraph" w:customStyle="1" w:styleId="CRParaDeleted">
    <w:name w:val="CR ParaDeleted"/>
    <w:basedOn w:val="Normal"/>
    <w:next w:val="Normal"/>
    <w:uiPriority w:val="99"/>
    <w:pPr>
      <w:autoSpaceDE w:val="0"/>
      <w:autoSpaceDN w:val="0"/>
    </w:pPr>
    <w:rPr>
      <w:rFonts w:eastAsiaTheme="minorEastAsia"/>
      <w:szCs w:val="24"/>
      <w:lang w:val="fr-FR" w:eastAsia="en-GB"/>
    </w:rPr>
  </w:style>
  <w:style w:type="paragraph" w:customStyle="1" w:styleId="Titreobjet">
    <w:name w:val="Titre objet"/>
    <w:basedOn w:val="Normal"/>
    <w:next w:val="Normal"/>
    <w:uiPriority w:val="99"/>
    <w:pPr>
      <w:autoSpaceDE w:val="0"/>
      <w:autoSpaceDN w:val="0"/>
      <w:spacing w:before="360" w:after="360"/>
      <w:jc w:val="center"/>
    </w:pPr>
    <w:rPr>
      <w:rFonts w:eastAsiaTheme="minorEastAsia"/>
      <w:b/>
      <w:bCs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character" w:customStyle="1" w:styleId="CRDeleted">
    <w:name w:val="CR Deleted"/>
    <w:basedOn w:val="DefaultParagraphFont"/>
    <w:rPr>
      <w:strike w:val="0"/>
      <w:dstrike/>
    </w:rPr>
  </w:style>
  <w:style w:type="character" w:customStyle="1" w:styleId="CRMinorChangeDeleted">
    <w:name w:val="CR Minor Change Deleted"/>
    <w:basedOn w:val="DefaultParagraphFont"/>
    <w:rPr>
      <w:strike w:val="0"/>
      <w:dstrike/>
      <w:u w:val="doub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</w:style>
  <w:style w:type="paragraph" w:styleId="ListBullet">
    <w:name w:val="List Bullet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5"/>
      </w:numPr>
      <w:contextualSpacing/>
    </w:pPr>
  </w:style>
  <w:style w:type="paragraph" w:customStyle="1" w:styleId="norm">
    <w:name w:val="norm"/>
    <w:basedOn w:val="Normal"/>
    <w:pPr>
      <w:spacing w:after="0"/>
    </w:pPr>
    <w:rPr>
      <w:rFonts w:eastAsia="Times New Roman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pl-PL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691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0C69-6C78-4643-9A2A-936A0E33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10</Pages>
  <Words>1870</Words>
  <Characters>10233</Characters>
  <Application>Microsoft Office Word</Application>
  <DocSecurity>0</DocSecurity>
  <Lines>341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MAJ-POLECH Patrycja (SJ)</dc:creator>
  <cp:lastModifiedBy>WES PDFC Administrator</cp:lastModifiedBy>
  <cp:revision>9</cp:revision>
  <cp:lastPrinted>2018-11-26T14:17:00Z</cp:lastPrinted>
  <dcterms:created xsi:type="dcterms:W3CDTF">2019-11-19T11:06:00Z</dcterms:created>
  <dcterms:modified xsi:type="dcterms:W3CDTF">2020-02-12T08:12:00Z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6.0.1, Build 20180503</vt:lpwstr>
  </property>
  <property fmtid="{D5CDD505-2E9C-101B-9397-08002B2CF9AE}" pid="6" name="First annex">
    <vt:lpwstr>1</vt:lpwstr>
  </property>
  <property fmtid="{D5CDD505-2E9C-101B-9397-08002B2CF9AE}" pid="7" name="Last annex">
    <vt:lpwstr>4</vt:lpwstr>
  </property>
  <property fmtid="{D5CDD505-2E9C-101B-9397-08002B2CF9AE}" pid="8" name="Unique annex">
    <vt:lpwstr>0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SG-017</vt:lpwstr>
  </property>
  <property fmtid="{D5CDD505-2E9C-101B-9397-08002B2CF9AE}" pid="13" name="LWCR IsRefonte">
    <vt:lpwstr>False</vt:lpwstr>
  </property>
  <property fmtid="{D5CDD505-2E9C-101B-9397-08002B2CF9AE}" pid="14" name="DQCStatus">
    <vt:lpwstr>Green (DQC version 03)</vt:lpwstr>
  </property>
</Properties>
</file>