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06A53B99-1E58-4DC2-B5AC-180CD61822CE" style="width:450.75pt;height:348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Pagedecouverture"/>
        <w:rPr>
          <w:noProof/>
        </w:rPr>
      </w:pPr>
      <w:bookmarkStart w:id="1" w:name="_GoBack"/>
      <w:bookmarkEnd w:id="1"/>
    </w:p>
    <w:p>
      <w:pPr>
        <w:pStyle w:val="Heading1"/>
        <w:rPr>
          <w:i/>
          <w:noProof/>
          <w:sz w:val="28"/>
          <w:szCs w:val="28"/>
        </w:rPr>
      </w:pPr>
      <w:r>
        <w:rPr>
          <w:noProof/>
          <w:sz w:val="28"/>
          <w:szCs w:val="28"/>
        </w:rPr>
        <w:t>RUMO À IGUALDADE DE GÉNERO NA EUROPA</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 xml:space="preserve">«Na realização de todas as suas ações, a União terá por objetivo eliminar as desigualdades e promover a igualdade entre homens e mulheres.» </w:t>
      </w:r>
    </w:p>
    <w:p>
      <w:pPr>
        <w:pStyle w:val="ListParagraph"/>
        <w:spacing w:line="100" w:lineRule="atLeast"/>
        <w:jc w:val="right"/>
        <w:rPr>
          <w:rFonts w:ascii="Times New Roman" w:hAnsi="Times New Roman" w:cs="Times New Roman"/>
          <w:noProof/>
          <w:sz w:val="24"/>
          <w:szCs w:val="24"/>
        </w:rPr>
      </w:pPr>
      <w:r>
        <w:rPr>
          <w:rFonts w:ascii="Times New Roman" w:hAnsi="Times New Roman"/>
          <w:noProof/>
          <w:sz w:val="24"/>
          <w:szCs w:val="24"/>
        </w:rPr>
        <w:t>Artigo 8.º do Tratado sobre o Funcionamento da União Europeia</w:t>
      </w:r>
    </w:p>
    <w:p>
      <w:pPr>
        <w:spacing w:line="100" w:lineRule="atLeast"/>
        <w:jc w:val="both"/>
        <w:rPr>
          <w:rFonts w:ascii="Times New Roman" w:hAnsi="Times New Roman" w:cs="Times New Roman"/>
          <w:b/>
          <w:i/>
          <w:noProof/>
          <w:sz w:val="24"/>
          <w:szCs w:val="24"/>
        </w:rPr>
      </w:pP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«Não devemos ser tímidos: devemos ter orgulho no trabalho realizado e ser ambiciosos quanto ao rumo a seguir.»</w:t>
      </w:r>
    </w:p>
    <w:p>
      <w:pPr>
        <w:spacing w:line="100" w:lineRule="atLeast"/>
        <w:jc w:val="right"/>
        <w:rPr>
          <w:rFonts w:ascii="Times New Roman" w:hAnsi="Times New Roman" w:cs="Times New Roman"/>
          <w:noProof/>
          <w:sz w:val="24"/>
          <w:szCs w:val="24"/>
        </w:rPr>
      </w:pPr>
      <w:r>
        <w:rPr>
          <w:rFonts w:ascii="Times New Roman" w:hAnsi="Times New Roman"/>
          <w:noProof/>
          <w:sz w:val="24"/>
          <w:szCs w:val="24"/>
        </w:rPr>
        <w:t>— Presidente Ursula von der Leyen</w:t>
      </w:r>
      <w:r>
        <w:rPr>
          <w:rFonts w:ascii="Times New Roman" w:hAnsi="Times New Roman"/>
          <w:noProof/>
          <w:sz w:val="24"/>
          <w:szCs w:val="24"/>
        </w:rPr>
        <w:br/>
        <w:t>Orientações Políticas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Compete à União, na realização de todas as suas ações, promover a igualdade entre mulheres e homens, em conformidade com os Tratados.</w:t>
      </w:r>
      <w:r>
        <w:rPr>
          <w:rFonts w:ascii="Times New Roman" w:hAnsi="Times New Roman"/>
          <w:noProof/>
          <w:sz w:val="24"/>
          <w:szCs w:val="24"/>
        </w:rPr>
        <w:t xml:space="preserve"> A igualdade de género é um valor fundamental da UE, um direito fundamental</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e um princípio-chave do Pilar Europeu dos Direitos Sociais</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Reflete o que somos e é igualmente uma condição essencial para uma economia europeia inovadora, competitiva e próspera. </w:t>
      </w:r>
      <w:r>
        <w:rPr>
          <w:rFonts w:ascii="Times New Roman" w:hAnsi="Times New Roman"/>
          <w:b/>
          <w:noProof/>
          <w:sz w:val="24"/>
          <w:szCs w:val="24"/>
        </w:rPr>
        <w:t xml:space="preserve">Nas empresas, na política e na sociedade em geral, só poderemos concretizar plenamente o nosso pleno potencial se utilizarmos todos os nossos talentos e diversidade. </w:t>
      </w:r>
      <w:r>
        <w:rPr>
          <w:rFonts w:ascii="Times New Roman" w:hAnsi="Times New Roman"/>
          <w:noProof/>
          <w:sz w:val="24"/>
          <w:szCs w:val="24"/>
        </w:rPr>
        <w:t>A igualdade de género cria mais empregos e aumenta a produtividade</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 um potencial que é necessário concretizar à medida que acolhemos as </w:t>
      </w:r>
      <w:r>
        <w:rPr>
          <w:rFonts w:ascii="Times New Roman" w:hAnsi="Times New Roman"/>
          <w:b/>
          <w:noProof/>
          <w:sz w:val="24"/>
          <w:szCs w:val="24"/>
        </w:rPr>
        <w:t>transições ecológica e digital</w:t>
      </w:r>
      <w:r>
        <w:rPr>
          <w:rFonts w:ascii="Times New Roman" w:hAnsi="Times New Roman"/>
          <w:noProof/>
          <w:sz w:val="24"/>
          <w:szCs w:val="24"/>
        </w:rPr>
        <w:t xml:space="preserve"> e enfrentamos os nossos desafios demográficos.</w:t>
      </w:r>
    </w:p>
    <w:p>
      <w:pPr>
        <w:spacing w:line="100" w:lineRule="atLeast"/>
        <w:jc w:val="both"/>
        <w:rPr>
          <w:rFonts w:ascii="Times New Roman" w:hAnsi="Times New Roman" w:cs="Times New Roman"/>
          <w:i/>
          <w:noProof/>
          <w:sz w:val="24"/>
          <w:szCs w:val="24"/>
        </w:rPr>
      </w:pPr>
      <w:r>
        <w:rPr>
          <w:rFonts w:ascii="Times New Roman" w:hAnsi="Times New Roman"/>
          <w:b/>
          <w:noProof/>
          <w:sz w:val="24"/>
          <w:szCs w:val="24"/>
        </w:rPr>
        <w:t xml:space="preserve">A União Europeia está na vanguarda mundial no que toca à igualdade de género: </w:t>
      </w:r>
      <w:r>
        <w:rPr>
          <w:rFonts w:ascii="Times New Roman" w:hAnsi="Times New Roman"/>
          <w:noProof/>
          <w:sz w:val="24"/>
          <w:szCs w:val="24"/>
        </w:rPr>
        <w:t>14 dos 20 países mais bem classificados à escala mundial em termos de igualdade de género são Estados-Membros da UE</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Graças a uma jurisprudência</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xml:space="preserve"> e legislação sólidas em matéria de igualdade de tratamento, aos esforços para integrar a perspetiva de género</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xml:space="preserve"> em diferentes áreas políticas e à legislação destinada a combater desigualdades específicas, a UE realizou progressos significativos no domínio da igualdade de género nas últimas décadas.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Todavia, nenhum Estado-Membro alcançou a plena igualdade de género e os progressos são lentos.</w:t>
      </w:r>
      <w:r>
        <w:rPr>
          <w:rFonts w:ascii="Times New Roman" w:hAnsi="Times New Roman"/>
          <w:noProof/>
          <w:sz w:val="24"/>
          <w:szCs w:val="24"/>
        </w:rPr>
        <w:t xml:space="preserve"> Em média, os Estados-Membros obtiveram uma pontuação de 67,4 pontos em 100 no Índice de Igualdade de Género de 2019</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da UE, melhorando apenas 5,4 pontos desde 2005.</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Lamentavelmente, os progressos em matéria de igualdade de género não são inevitáveis nem irreversíveis; devemos, pois, dar um novo impulso à igualdade de género.</w:t>
      </w:r>
      <w:r>
        <w:rPr>
          <w:rFonts w:ascii="Times New Roman" w:hAnsi="Times New Roman"/>
          <w:noProof/>
          <w:sz w:val="24"/>
          <w:szCs w:val="24"/>
        </w:rPr>
        <w:t xml:space="preserve"> Embora as disparidades de género na educação estejam a diminuir, continuam presentes ao nível do emprego, da remuneração, dos cuidados, dos lugares de decisão e das pensões.</w:t>
      </w:r>
      <w:r>
        <w:rPr>
          <w:noProof/>
          <w:sz w:val="24"/>
          <w:szCs w:val="24"/>
        </w:rPr>
        <w:t xml:space="preserve"> </w:t>
      </w:r>
      <w:r>
        <w:rPr>
          <w:rFonts w:ascii="Times New Roman" w:hAnsi="Times New Roman"/>
          <w:noProof/>
          <w:sz w:val="24"/>
          <w:szCs w:val="24"/>
        </w:rPr>
        <w:t>Demasiadas pessoas continuam a violar o princípio da igualdade de género com discursos de ódio sexistas e bloqueando medidas contra a violência de género e os estereótipos de género. A violência e o assédio com base no género continuam a registar níveis alarmantes. O movimento #</w:t>
      </w:r>
      <w:r>
        <w:rPr>
          <w:rFonts w:ascii="Times New Roman" w:hAnsi="Times New Roman"/>
          <w:i/>
          <w:iCs/>
          <w:noProof/>
          <w:sz w:val="24"/>
          <w:szCs w:val="24"/>
        </w:rPr>
        <w:t>MeToo</w:t>
      </w:r>
      <w:r>
        <w:rPr>
          <w:rFonts w:ascii="Times New Roman" w:hAnsi="Times New Roman"/>
          <w:noProof/>
          <w:sz w:val="24"/>
          <w:szCs w:val="24"/>
        </w:rPr>
        <w:t xml:space="preserve"> tem demonstrado a extensão do sexismo e dos abusos que as mulheres e as raparigas continuam a enfrentar. Ao mesmo tempo, deu às mulheres de todo o mundo os meios para tornar públicas as suas experiências e instaurar processos judiciais.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A Estratégia para a Igualdade de Género aqui definida enquadra o trabalho da Comissão Europeia nesta matéria e</w:t>
      </w:r>
      <w:r>
        <w:rPr>
          <w:rFonts w:ascii="Times New Roman" w:hAnsi="Times New Roman"/>
          <w:b/>
          <w:noProof/>
          <w:sz w:val="24"/>
          <w:szCs w:val="24"/>
        </w:rPr>
        <w:t xml:space="preserve"> estabelece os objetivos estratégicos e as principais ações para o período 2020-2025</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O seu objetivo é construir uma Europa em que a igualdade de género seja concretizada até 2025 e em que a violência de género, a discriminação sexual e a desigualdade estrutural entre mulheres e homens sejam uma coisa do passado. Uma Europa em que mulheres e homens, raparigas e rapazes, em toda a sua diversidade</w:t>
      </w:r>
      <w:r>
        <w:rPr>
          <w:rStyle w:val="FootnoteReference"/>
          <w:rFonts w:ascii="Times New Roman" w:hAnsi="Times New Roman" w:cs="Times New Roman"/>
          <w:bCs/>
          <w:noProof/>
          <w:sz w:val="24"/>
          <w:szCs w:val="24"/>
        </w:rPr>
        <w:footnoteReference w:id="10"/>
      </w:r>
      <w:r>
        <w:rPr>
          <w:rFonts w:ascii="Times New Roman" w:hAnsi="Times New Roman"/>
          <w:noProof/>
          <w:sz w:val="24"/>
          <w:szCs w:val="24"/>
        </w:rPr>
        <w:t xml:space="preserve">, sejam iguais e </w:t>
      </w:r>
      <w:r>
        <w:rPr>
          <w:rFonts w:ascii="Times New Roman" w:hAnsi="Times New Roman"/>
          <w:b/>
          <w:i/>
          <w:noProof/>
          <w:sz w:val="24"/>
          <w:szCs w:val="24"/>
        </w:rPr>
        <w:t xml:space="preserve">livres </w:t>
      </w:r>
      <w:r>
        <w:rPr>
          <w:rFonts w:ascii="Times New Roman" w:hAnsi="Times New Roman"/>
          <w:noProof/>
          <w:sz w:val="24"/>
          <w:szCs w:val="24"/>
        </w:rPr>
        <w:t xml:space="preserve">de seguir o caminho de vida que escolheram, tenham as mesmas oportunidades de </w:t>
      </w:r>
      <w:r>
        <w:rPr>
          <w:rFonts w:ascii="Times New Roman" w:hAnsi="Times New Roman"/>
          <w:b/>
          <w:i/>
          <w:noProof/>
          <w:sz w:val="24"/>
          <w:szCs w:val="24"/>
        </w:rPr>
        <w:t>realizarem o seu potencial</w:t>
      </w:r>
      <w:r>
        <w:rPr>
          <w:rFonts w:ascii="Times New Roman" w:hAnsi="Times New Roman"/>
          <w:noProof/>
          <w:sz w:val="24"/>
          <w:szCs w:val="24"/>
        </w:rPr>
        <w:t xml:space="preserve"> e possam participar na nossa sociedade europeia e </w:t>
      </w:r>
      <w:r>
        <w:rPr>
          <w:rFonts w:ascii="Times New Roman" w:hAnsi="Times New Roman"/>
          <w:b/>
          <w:i/>
          <w:noProof/>
          <w:sz w:val="24"/>
          <w:szCs w:val="24"/>
        </w:rPr>
        <w:t>dirigi-la</w:t>
      </w:r>
      <w:r>
        <w:rPr>
          <w:rFonts w:ascii="Times New Roman" w:hAnsi="Times New Roman"/>
          <w:noProof/>
          <w:sz w:val="24"/>
          <w:szCs w:val="24"/>
        </w:rPr>
        <w:t>, em igualdade de circunstâncias.</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 execução da presente estratégia assentará numa </w:t>
      </w:r>
      <w:r>
        <w:rPr>
          <w:rFonts w:ascii="Times New Roman" w:hAnsi="Times New Roman"/>
          <w:b/>
          <w:noProof/>
          <w:sz w:val="24"/>
          <w:szCs w:val="24"/>
        </w:rPr>
        <w:t>abordagem dupla</w:t>
      </w:r>
      <w:r>
        <w:rPr>
          <w:rFonts w:ascii="Times New Roman" w:hAnsi="Times New Roman"/>
          <w:noProof/>
          <w:sz w:val="24"/>
          <w:szCs w:val="24"/>
        </w:rPr>
        <w:t xml:space="preserve">, que consiste em medidas específicas destinadas a alcançar a igualdade de género combinadas com o reforço da integração da perspetiva de género. A Comissão promoverá esta integração inserindo </w:t>
      </w:r>
      <w:r>
        <w:rPr>
          <w:rFonts w:ascii="Times New Roman" w:hAnsi="Times New Roman"/>
          <w:b/>
          <w:noProof/>
          <w:sz w:val="24"/>
          <w:szCs w:val="24"/>
        </w:rPr>
        <w:t>sistematicamente uma perspetiva de género em todas as fases de conceção de políticas em todos os domínios de intervenção da UE, quer no plano interno quer externo</w:t>
      </w:r>
      <w:r>
        <w:rPr>
          <w:rFonts w:ascii="Times New Roman" w:hAnsi="Times New Roman"/>
          <w:noProof/>
          <w:sz w:val="24"/>
          <w:szCs w:val="24"/>
        </w:rPr>
        <w:t>. Para efeitos da execução da estratégia,</w:t>
      </w:r>
      <w:r>
        <w:rPr>
          <w:rFonts w:ascii="Times New Roman" w:hAnsi="Times New Roman"/>
          <w:b/>
          <w:noProof/>
          <w:sz w:val="24"/>
          <w:szCs w:val="24"/>
        </w:rPr>
        <w:t xml:space="preserve"> utilizar-se-á, como princípio transversal, a interseccionalidade</w:t>
      </w:r>
      <w:r>
        <w:rPr>
          <w:rStyle w:val="FootnoteReference"/>
          <w:rFonts w:ascii="Times New Roman" w:eastAsia="Times New Roman" w:hAnsi="Times New Roman" w:cs="Times New Roman"/>
          <w:noProof/>
          <w:sz w:val="24"/>
          <w:szCs w:val="24"/>
        </w:rPr>
        <w:footnoteReference w:id="11"/>
      </w:r>
      <w:r>
        <w:rPr>
          <w:rFonts w:ascii="Times New Roman" w:hAnsi="Times New Roman"/>
          <w:b/>
          <w:noProof/>
          <w:sz w:val="24"/>
          <w:szCs w:val="24"/>
        </w:rPr>
        <w:t xml:space="preserve"> </w:t>
      </w:r>
      <w:r>
        <w:rPr>
          <w:noProof/>
          <w:sz w:val="24"/>
          <w:szCs w:val="24"/>
        </w:rPr>
        <w:t>–</w:t>
      </w:r>
      <w:r>
        <w:rPr>
          <w:rFonts w:ascii="Times New Roman" w:hAnsi="Times New Roman"/>
          <w:noProof/>
          <w:sz w:val="24"/>
          <w:szCs w:val="24"/>
        </w:rPr>
        <w:t xml:space="preserve"> a combinação do género e de outras características ou identidades pessoais</w:t>
      </w:r>
      <w:r>
        <w:rPr>
          <w:noProof/>
          <w:sz w:val="24"/>
          <w:szCs w:val="24"/>
        </w:rPr>
        <w:t xml:space="preserve"> </w:t>
      </w:r>
      <w:r>
        <w:rPr>
          <w:rFonts w:ascii="Times New Roman" w:hAnsi="Times New Roman"/>
          <w:noProof/>
          <w:sz w:val="24"/>
          <w:szCs w:val="24"/>
        </w:rPr>
        <w:t>e o modo como essas intersecções contribuem para experiências de discriminação únicas</w:t>
      </w:r>
      <w:r>
        <w:rPr>
          <w:noProof/>
          <w:sz w:val="24"/>
          <w:szCs w:val="24"/>
        </w:rPr>
        <w:t>.</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Neste ano de 2020, em que se comemora o 25.º aniversário da adoção da Declaração e da Plataforma de Ação de Pequim</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o primeiro compromisso e plano de ação universal em prol da igualdade entre mulheres e homens –,</w:t>
      </w:r>
      <w:r>
        <w:rPr>
          <w:rFonts w:ascii="Times New Roman" w:hAnsi="Times New Roman"/>
          <w:b/>
          <w:noProof/>
          <w:sz w:val="24"/>
          <w:szCs w:val="24"/>
        </w:rPr>
        <w:t xml:space="preserve"> a presente estratégia representa o contributo da UE para criar um mundo melhor para mulheres e homens, raparigas e rapazes</w:t>
      </w:r>
      <w:r>
        <w:rPr>
          <w:rFonts w:ascii="Times New Roman" w:hAnsi="Times New Roman"/>
          <w:noProof/>
          <w:sz w:val="24"/>
          <w:szCs w:val="24"/>
        </w:rPr>
        <w:t>. A estratégia contribui para a concretização do objetivo de desenvolvimento sustentável relativo à igualdade de género (ODS 5) e da igualdade de género enquanto prioridade transversal de todos os ODS</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xml:space="preserve"> e honra o compromisso assumido pela UE no âmbito da Convenção das Nações Unidas sobre os Direitos das Pessoas com Deficiência.</w:t>
      </w:r>
    </w:p>
    <w:p>
      <w:pPr>
        <w:spacing w:before="360"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1. </w:t>
      </w:r>
      <w:r>
        <w:rPr>
          <w:rFonts w:ascii="Times New Roman" w:hAnsi="Times New Roman"/>
          <w:b/>
          <w:noProof/>
          <w:sz w:val="28"/>
          <w:szCs w:val="28"/>
        </w:rPr>
        <w:tab/>
        <w:t>Nem violência nem estereótipos</w:t>
      </w:r>
    </w:p>
    <w:p>
      <w:pPr>
        <w:spacing w:line="240" w:lineRule="auto"/>
        <w:jc w:val="both"/>
        <w:rPr>
          <w:rFonts w:ascii="Times New Roman" w:hAnsi="Times New Roman" w:cs="Times New Roman"/>
          <w:b/>
          <w:i/>
          <w:noProof/>
          <w:sz w:val="24"/>
          <w:szCs w:val="24"/>
        </w:rPr>
      </w:pPr>
      <w:r>
        <w:rPr>
          <w:rFonts w:ascii="Times New Roman" w:hAnsi="Times New Roman"/>
          <w:i/>
          <w:noProof/>
          <w:sz w:val="24"/>
          <w:szCs w:val="24"/>
        </w:rPr>
        <w:t>Todos devemos sentir-nos em segurança nas nossas casas, relacionamentos próximos, locais de trabalho, espaços públicos e em linha. Mulheres e homens, raparigas e rapazes, em toda a sua diversidade, devem ter a liberdade de expressar as suas ideias e emoções e seguir os percursos educativos e profissionais que escolherem sem restrições impostas por normas de género estereotipadas.</w:t>
      </w:r>
    </w:p>
    <w:p>
      <w:pPr>
        <w:rPr>
          <w:rFonts w:ascii="Times New Roman" w:hAnsi="Times New Roman" w:cs="Times New Roman"/>
          <w:b/>
          <w:noProof/>
          <w:sz w:val="24"/>
          <w:szCs w:val="24"/>
        </w:rPr>
      </w:pPr>
      <w:r>
        <w:rPr>
          <w:rFonts w:ascii="Times New Roman" w:hAnsi="Times New Roman"/>
          <w:b/>
          <w:i/>
          <w:noProof/>
          <w:sz w:val="24"/>
          <w:szCs w:val="24"/>
        </w:rPr>
        <w:t>Acabar com a violência de género</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A violência de género — ou a violência dirigida contra uma mulher por ela ser mulher ou que afete desproporcionalmente as mulheres</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 continua a ser um dos maiores desafios da nossa sociedade e está profundamente enraizada na desigualdade de género</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xml:space="preserve">. A violência de género, em todas as suas formas, continua a não ser suficientemente denunciada e continua a ser ignorada, tanto dentro como fora da UE. </w:t>
      </w:r>
      <w:r>
        <w:rPr>
          <w:rFonts w:ascii="Times New Roman" w:hAnsi="Times New Roman"/>
          <w:b/>
          <w:noProof/>
          <w:sz w:val="24"/>
          <w:szCs w:val="24"/>
        </w:rPr>
        <w:t xml:space="preserve">A UE fará tudo o que estiver ao seu alcance para prevenir e combater a violência de género, apoiar e proteger as vítimas de tais crimes e responsabilizar os autores dos crimes </w:t>
      </w:r>
      <w:r>
        <w:rPr>
          <w:rFonts w:ascii="Times New Roman" w:hAnsi="Times New Roman"/>
          <w:noProof/>
          <w:sz w:val="24"/>
          <w:szCs w:val="24"/>
        </w:rPr>
        <w:t>pelo seu comportamento abusivo.</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04448"/>
            <wp:effectExtent l="0" t="0" r="0" b="5715"/>
            <wp:docPr id="12" name="Picture 12" descr="C:\Users\britoan\AppData\Local\Temp\1\7zO8D84EE2D\PT_gender-based-vio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toan\AppData\Local\Temp\1\7zO8D84EE2D\PT_gender-based-viol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1004448"/>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 Convenção do Conselho da Europa para a Prevenção e o Combate à Violência Contra as Mulheres e a Violência Doméstica — </w:t>
      </w:r>
      <w:r>
        <w:rPr>
          <w:rFonts w:ascii="Times New Roman" w:hAnsi="Times New Roman"/>
          <w:b/>
          <w:noProof/>
          <w:sz w:val="24"/>
          <w:szCs w:val="24"/>
        </w:rPr>
        <w:t>«Convenção de Istambul»</w:t>
      </w:r>
      <w:r>
        <w:rPr>
          <w:rFonts w:ascii="Times New Roman" w:hAnsi="Times New Roman"/>
          <w:noProof/>
          <w:sz w:val="24"/>
          <w:szCs w:val="24"/>
        </w:rPr>
        <w:t xml:space="preserve"> — é a referência para as normas internacionais neste domínio. Concluir a adesão da UE à Convenção, que foi assinada em 2017, é uma prioridade fundamental para a Comissão. Para acelerar a conclusão da adesão da UE, em 2019 o Parlamento Europeu solicitou ao Tribunal de Justiça da União Europeia um parecer sobre esta questão</w:t>
      </w:r>
      <w:r>
        <w:rPr>
          <w:rFonts w:ascii="Times New Roman" w:eastAsia="Times New Roman" w:hAnsi="Times New Roman" w:cs="Times New Roman"/>
          <w:noProof/>
          <w:sz w:val="24"/>
          <w:szCs w:val="24"/>
          <w:vertAlign w:val="superscript"/>
        </w:rPr>
        <w:footnoteReference w:id="16"/>
      </w:r>
      <w:r>
        <w:rPr>
          <w:rFonts w:ascii="Times New Roman" w:hAnsi="Times New Roman"/>
          <w:noProof/>
          <w:sz w:val="24"/>
          <w:szCs w:val="24"/>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Se a adesão da UE à Convenção de Istambul continuar bloqueada, a Comissão tenciona </w:t>
      </w:r>
      <w:r>
        <w:rPr>
          <w:rFonts w:ascii="Times New Roman" w:hAnsi="Times New Roman"/>
          <w:b/>
          <w:noProof/>
          <w:sz w:val="24"/>
          <w:szCs w:val="24"/>
        </w:rPr>
        <w:t>propor, em 2021, medidas</w:t>
      </w:r>
      <w:r>
        <w:rPr>
          <w:rFonts w:ascii="Times New Roman" w:hAnsi="Times New Roman"/>
          <w:noProof/>
          <w:sz w:val="24"/>
          <w:szCs w:val="24"/>
        </w:rPr>
        <w:t xml:space="preserve">, dentro dos limites da competência da UE, </w:t>
      </w:r>
      <w:r>
        <w:rPr>
          <w:rFonts w:ascii="Times New Roman" w:hAnsi="Times New Roman"/>
          <w:b/>
          <w:noProof/>
          <w:sz w:val="24"/>
          <w:szCs w:val="24"/>
        </w:rPr>
        <w:t>para alcançar os mesmos objetivos que aquela convenção.</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Em particular, a Comissão tenciona apresentar uma iniciativa com vista a </w:t>
      </w:r>
      <w:r>
        <w:rPr>
          <w:rFonts w:ascii="Times New Roman" w:hAnsi="Times New Roman"/>
          <w:b/>
          <w:noProof/>
          <w:sz w:val="24"/>
          <w:szCs w:val="24"/>
        </w:rPr>
        <w:t>alargar os domínios de criminalidade</w:t>
      </w:r>
      <w:r>
        <w:rPr>
          <w:rFonts w:ascii="Times New Roman" w:hAnsi="Times New Roman"/>
          <w:noProof/>
          <w:sz w:val="24"/>
          <w:szCs w:val="24"/>
        </w:rPr>
        <w:t xml:space="preserve"> em que a harmonização é possível, os denominados «</w:t>
      </w:r>
      <w:r>
        <w:rPr>
          <w:rFonts w:ascii="Times New Roman" w:hAnsi="Times New Roman"/>
          <w:b/>
          <w:noProof/>
          <w:sz w:val="24"/>
          <w:szCs w:val="24"/>
        </w:rPr>
        <w:t>eurocrimes</w:t>
      </w:r>
      <w:r>
        <w:rPr>
          <w:rFonts w:ascii="Times New Roman" w:hAnsi="Times New Roman"/>
          <w:noProof/>
          <w:sz w:val="24"/>
          <w:szCs w:val="24"/>
        </w:rPr>
        <w:t>», a formas específicas de violência de género, nos termos do artigo 83.º, n.º 1, do TFUE.</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Na medida em que sejam já englobadas nos eurocrimes existentes na aceção do artigo 83.º, n.º 1, do TFUE, a Comissão proporá </w:t>
      </w:r>
      <w:r>
        <w:rPr>
          <w:rFonts w:ascii="Times New Roman" w:hAnsi="Times New Roman"/>
          <w:b/>
          <w:noProof/>
          <w:sz w:val="24"/>
          <w:szCs w:val="24"/>
        </w:rPr>
        <w:t>medidas adicionais para prevenir e combater formas específicas de violência de género</w:t>
      </w:r>
      <w:r>
        <w:rPr>
          <w:rFonts w:ascii="Times New Roman" w:hAnsi="Times New Roman"/>
          <w:noProof/>
          <w:sz w:val="24"/>
          <w:szCs w:val="24"/>
        </w:rPr>
        <w:t>, incluindo o assédio sexual, o abuso sexual de mulheres e a mutilação genital feminina.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18552"/>
            <wp:effectExtent l="0" t="0" r="0" b="0"/>
            <wp:docPr id="6" name="Picture 6" descr="C:\Users\britoan\AppData\Local\Temp\1\7zO8D89F90B\PT_F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toan\AppData\Local\Temp\1\7zO8D89F90B\PT_FG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018552"/>
                    </a:xfrm>
                    <a:prstGeom prst="rect">
                      <a:avLst/>
                    </a:prstGeom>
                    <a:noFill/>
                    <a:ln>
                      <a:noFill/>
                    </a:ln>
                  </pic:spPr>
                </pic:pic>
              </a:graphicData>
            </a:graphic>
          </wp:inline>
        </w:drawing>
      </w:r>
    </w:p>
    <w:p>
      <w:pPr>
        <w:spacing w:line="100" w:lineRule="atLeast"/>
        <w:jc w:val="both"/>
        <w:rPr>
          <w:rFonts w:ascii="Times New Roman" w:hAnsi="Times New Roman"/>
          <w:noProof/>
          <w:sz w:val="24"/>
          <w:szCs w:val="24"/>
        </w:rPr>
      </w:pPr>
      <w:r>
        <w:rPr>
          <w:rFonts w:ascii="Times New Roman" w:hAnsi="Times New Roman"/>
          <w:noProof/>
          <w:sz w:val="24"/>
          <w:szCs w:val="24"/>
        </w:rPr>
        <w:t>A mutilação genital feminina</w:t>
      </w:r>
      <w:r>
        <w:rPr>
          <w:rStyle w:val="FootnoteReference"/>
          <w:rFonts w:ascii="Times New Roman" w:hAnsi="Times New Roman" w:cs="Times New Roman"/>
          <w:noProof/>
          <w:sz w:val="24"/>
          <w:szCs w:val="24"/>
        </w:rPr>
        <w:footnoteReference w:id="17"/>
      </w:r>
      <w:r>
        <w:rPr>
          <w:rFonts w:ascii="Times New Roman" w:hAnsi="Times New Roman"/>
          <w:noProof/>
          <w:sz w:val="24"/>
          <w:szCs w:val="24"/>
        </w:rPr>
        <w:t>, o aborto forçado e a esterilização forçada, o casamento precoce e forçado, os denominados «crimes de honra» e outras</w:t>
      </w:r>
      <w:r>
        <w:rPr>
          <w:rFonts w:ascii="Times New Roman" w:hAnsi="Times New Roman"/>
          <w:b/>
          <w:noProof/>
          <w:sz w:val="24"/>
          <w:szCs w:val="24"/>
        </w:rPr>
        <w:t xml:space="preserve"> práticas nocivas contra mulheres e raparigas são formas de violência de género e violações graves dos direitos das mulheres e das crianças</w:t>
      </w:r>
      <w:r>
        <w:rPr>
          <w:rFonts w:ascii="Times New Roman" w:hAnsi="Times New Roman"/>
          <w:noProof/>
          <w:sz w:val="24"/>
          <w:szCs w:val="24"/>
        </w:rPr>
        <w:t xml:space="preserve">, na UE e no resto do mundo. Para além de eventual legislação, a UE apresentará uma </w:t>
      </w:r>
      <w:r>
        <w:rPr>
          <w:rFonts w:ascii="Times New Roman" w:hAnsi="Times New Roman"/>
          <w:b/>
          <w:noProof/>
          <w:sz w:val="24"/>
          <w:szCs w:val="24"/>
        </w:rPr>
        <w:t>recomendação sobre a prevenção de práticas nocivas</w:t>
      </w:r>
      <w:r>
        <w:rPr>
          <w:rFonts w:ascii="Times New Roman" w:hAnsi="Times New Roman"/>
          <w:noProof/>
          <w:sz w:val="24"/>
          <w:szCs w:val="24"/>
        </w:rPr>
        <w:t xml:space="preserve">, que incluirá também a necessidade de medidas preventivas eficazes e de programas de educação. A recomendação abordará ainda o reforço dos serviços públicos, medidas de prevenção e de apoio, o desenvolvimento das capacidades dos profissionais e um acesso à justiça centrado nas vítimas.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 Comissão apresentará igualmente, até ao início de 2020, uma </w:t>
      </w:r>
      <w:r>
        <w:rPr>
          <w:rFonts w:ascii="Times New Roman" w:hAnsi="Times New Roman"/>
          <w:b/>
          <w:noProof/>
          <w:sz w:val="24"/>
          <w:szCs w:val="24"/>
        </w:rPr>
        <w:t>estratégia em matéria de direitos das vítimas</w:t>
      </w:r>
      <w:r>
        <w:rPr>
          <w:rFonts w:ascii="Times New Roman" w:hAnsi="Times New Roman"/>
          <w:noProof/>
          <w:sz w:val="24"/>
          <w:szCs w:val="24"/>
        </w:rPr>
        <w:t xml:space="preserve"> que abordará as necessidades específicas das vítimas de violência de género, incluindo a violência doméstica, com base na Diretiva Direitos das Vítimas</w:t>
      </w:r>
      <w:r>
        <w:rPr>
          <w:rStyle w:val="FootnoteReference"/>
          <w:rFonts w:ascii="Times New Roman" w:eastAsia="Times New Roman" w:hAnsi="Times New Roman" w:cs="Times New Roman"/>
          <w:noProof/>
          <w:sz w:val="24"/>
          <w:szCs w:val="24"/>
        </w:rPr>
        <w:footnoteReference w:id="18"/>
      </w:r>
      <w:r>
        <w:rPr>
          <w:rFonts w:ascii="Times New Roman" w:hAnsi="Times New Roman"/>
          <w:noProof/>
          <w:sz w:val="24"/>
          <w:szCs w:val="24"/>
        </w:rPr>
        <w:t>.</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As mulheres com </w:t>
      </w:r>
      <w:r>
        <w:rPr>
          <w:rFonts w:ascii="Times New Roman" w:hAnsi="Times New Roman"/>
          <w:b/>
          <w:noProof/>
          <w:sz w:val="24"/>
          <w:szCs w:val="24"/>
        </w:rPr>
        <w:t>um problema de saúde ou uma deficiência</w:t>
      </w:r>
      <w:r>
        <w:rPr>
          <w:rFonts w:ascii="Times New Roman" w:hAnsi="Times New Roman"/>
          <w:noProof/>
          <w:sz w:val="24"/>
          <w:szCs w:val="24"/>
        </w:rPr>
        <w:t xml:space="preserve"> são mais suscetíveis de ser alvo de várias formas de violência</w:t>
      </w:r>
      <w:r>
        <w:rPr>
          <w:rStyle w:val="FootnoteReference"/>
          <w:rFonts w:ascii="Times New Roman" w:hAnsi="Times New Roman" w:cs="Times New Roman"/>
          <w:noProof/>
          <w:sz w:val="24"/>
          <w:szCs w:val="24"/>
        </w:rPr>
        <w:footnoteReference w:id="19"/>
      </w:r>
      <w:r>
        <w:rPr>
          <w:noProof/>
          <w:sz w:val="24"/>
          <w:szCs w:val="24"/>
        </w:rPr>
        <w:t>.</w:t>
      </w:r>
      <w:r>
        <w:rPr>
          <w:rFonts w:ascii="Times New Roman" w:hAnsi="Times New Roman"/>
          <w:noProof/>
          <w:sz w:val="24"/>
          <w:szCs w:val="24"/>
        </w:rPr>
        <w:t xml:space="preserve"> A Comissão irá elaborar e financiar medidas</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 xml:space="preserve"> destinadas a combater o abuso, a violência, bem como a esterilização e o aborto forçados, o que passa, por exemplo pelo reforço das capacidades dos profissionais e por campanhas de sensibilização para os direitos e o acesso à justiça.</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A prevenção eficaz da violência é fundamental</w:t>
      </w:r>
      <w:r>
        <w:rPr>
          <w:rFonts w:ascii="Times New Roman" w:hAnsi="Times New Roman"/>
          <w:noProof/>
          <w:sz w:val="24"/>
          <w:szCs w:val="24"/>
        </w:rPr>
        <w:t xml:space="preserve">. Tal implica educar rapazes e raparigas, desde tenra idade, sobre a igualdade de género, e favorecer o desenvolvimento de relações não violentas. Exige igualmente uma abordagem multidisciplinar por parte dos profissionais e dos serviços, que implique também o sistema de justiça penal, a prestação de apoio às vítimas, programas destinados aos autores de crimes e os serviços sociais e de saúde. Combater a violência contra as mulheres e as ideologias que comprometem os direitos destas pode também contribuir para a prevenção da radicalização que conduz ao extremismo violento e ao terrorismo. A Comissão lançará uma </w:t>
      </w:r>
      <w:r>
        <w:rPr>
          <w:rFonts w:ascii="Times New Roman" w:hAnsi="Times New Roman"/>
          <w:b/>
          <w:noProof/>
          <w:sz w:val="24"/>
          <w:szCs w:val="24"/>
        </w:rPr>
        <w:t>rede da UE de prevenção da violência de género e da violência doméstica</w:t>
      </w:r>
      <w:r>
        <w:rPr>
          <w:rFonts w:ascii="Times New Roman" w:hAnsi="Times New Roman"/>
          <w:noProof/>
          <w:sz w:val="24"/>
          <w:szCs w:val="24"/>
        </w:rPr>
        <w:t>, que reunirá os Estados-Membros e partes interessadas para o intercâmbio de boas práticas, e disponibilizará financiamento para a formação, o reforço de capacidades e os serviços de apoio. A prevenção da violência centrada nos homens, nos rapazes e na masculinidade</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 xml:space="preserve"> terá uma importância central.</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Para combater a violência e o assédio no mundo do trabalho, a Comissão continuará a incentivar os Estados-Membros a ratificar a </w:t>
      </w:r>
      <w:r>
        <w:rPr>
          <w:rFonts w:ascii="Times New Roman" w:hAnsi="Times New Roman"/>
          <w:b/>
          <w:noProof/>
          <w:sz w:val="24"/>
          <w:szCs w:val="24"/>
        </w:rPr>
        <w:t>Convenção da Organização Internacional do Trabalho (OIT) sobre a eliminação da violência e do assédio no mundo do trabalho</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a aplicar as regras</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da UE em vigor em matéria de proteção dos trabalhadores contra o assédio sexual e a sensibilizar os cidadãos. Enquanto empregador, a Comissão adotará um novo quadro jurídico abrangente, com um conjunto de medidas preventivas e reativas contra o assédio no local de trabalho.</w:t>
      </w:r>
    </w:p>
    <w:p>
      <w:pPr>
        <w:spacing w:line="100" w:lineRule="atLeast"/>
        <w:jc w:val="both"/>
        <w:rPr>
          <w:rFonts w:ascii="Times New Roman" w:hAnsi="Times New Roman"/>
          <w:noProof/>
          <w:sz w:val="24"/>
          <w:szCs w:val="24"/>
        </w:rPr>
      </w:pPr>
      <w:r>
        <w:rPr>
          <w:rFonts w:ascii="Times New Roman" w:hAnsi="Times New Roman"/>
          <w:b/>
          <w:noProof/>
          <w:sz w:val="24"/>
          <w:szCs w:val="24"/>
        </w:rPr>
        <w:t>A violência em linha contra as mulheres</w:t>
      </w:r>
      <w:r>
        <w:rPr>
          <w:rFonts w:ascii="Times New Roman" w:hAnsi="Times New Roman"/>
          <w:noProof/>
          <w:sz w:val="24"/>
          <w:szCs w:val="24"/>
        </w:rPr>
        <w:t xml:space="preserve"> generalizou-se e tem consequências específicas e dramáticas; </w:t>
      </w:r>
      <w:r>
        <w:rPr>
          <w:rFonts w:ascii="Times New Roman" w:hAnsi="Times New Roman"/>
          <w:b/>
          <w:noProof/>
          <w:sz w:val="24"/>
          <w:szCs w:val="24"/>
        </w:rPr>
        <w:t xml:space="preserve">esta situação é inaceitável. Este tipo de violência é um obstáculo à participação das mulheres na vida pública. </w:t>
      </w:r>
      <w:r>
        <w:rPr>
          <w:rFonts w:ascii="Times New Roman" w:hAnsi="Times New Roman"/>
          <w:noProof/>
          <w:sz w:val="24"/>
          <w:szCs w:val="24"/>
        </w:rPr>
        <w:t xml:space="preserve">A intimidação, o assédio e o abuso nas redes sociais têm efeitos profundos na vida quotidiana das mulheres e das raparigas. A Comissão proporá o </w:t>
      </w:r>
      <w:r>
        <w:rPr>
          <w:rFonts w:ascii="Times New Roman" w:hAnsi="Times New Roman"/>
          <w:b/>
          <w:noProof/>
          <w:sz w:val="24"/>
          <w:szCs w:val="24"/>
        </w:rPr>
        <w:t>ato legislativo sobre os serviços digitais</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para clarificar as responsabilidades das plataformas em linha no que diz respeito aos conteúdos difundidos pelos utilizadores. Este ato precisará as medidas que as plataformas devem tomar para combater as atividades ilegais em linha, protegendo simultaneamente os direitos fundamentais. É igualmente necessário que os utilizadores sejam capazes de combater outros tipos de conteúdos nocivos e abusivos que nem sempre são considerados ilegais mas que podem ter efeitos devastadores. Para proteger a segurança das mulheres em linha, a Comissão facilitará a elaboração de </w:t>
      </w:r>
      <w:r>
        <w:rPr>
          <w:rFonts w:ascii="Times New Roman" w:hAnsi="Times New Roman"/>
          <w:b/>
          <w:noProof/>
          <w:sz w:val="24"/>
          <w:szCs w:val="24"/>
        </w:rPr>
        <w:t>um novo quadro de cooperação entre plataformas Internet</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b/>
          <w:bCs/>
          <w:noProof/>
          <w:sz w:val="24"/>
          <w:szCs w:val="24"/>
        </w:rPr>
        <w:t>As mulheres e raparigas constituem a grande maioria das</w:t>
      </w:r>
      <w:r>
        <w:rPr>
          <w:rFonts w:ascii="Times New Roman" w:hAnsi="Times New Roman"/>
          <w:noProof/>
          <w:sz w:val="24"/>
          <w:szCs w:val="24"/>
        </w:rPr>
        <w:t xml:space="preserve"> </w:t>
      </w:r>
      <w:r>
        <w:rPr>
          <w:rFonts w:ascii="Times New Roman" w:hAnsi="Times New Roman"/>
          <w:b/>
          <w:bCs/>
          <w:noProof/>
          <w:sz w:val="24"/>
          <w:szCs w:val="24"/>
        </w:rPr>
        <w:t>vítimas de tráfico de seres humanos</w:t>
      </w:r>
      <w:r>
        <w:rPr>
          <w:rFonts w:ascii="Times New Roman" w:hAnsi="Times New Roman"/>
          <w:noProof/>
          <w:sz w:val="24"/>
          <w:szCs w:val="24"/>
        </w:rPr>
        <w:t xml:space="preserve">, tanto dentro como fora da UE; o objetivo desse tráfico é essencialmente a </w:t>
      </w:r>
      <w:r>
        <w:rPr>
          <w:rFonts w:ascii="Times New Roman" w:hAnsi="Times New Roman"/>
          <w:bCs/>
          <w:noProof/>
          <w:sz w:val="24"/>
          <w:szCs w:val="24"/>
        </w:rPr>
        <w:t>exploração sexual</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A UE combate o tráfico de seres humanos de forma abrangente, mediante uma coordenação em todos os domínios pertinentes</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Lutar contra a impunidade dos utilizadores, exploradores e beneficiários é uma prioridade. </w:t>
      </w:r>
      <w:r>
        <w:rPr>
          <w:rFonts w:ascii="Times New Roman" w:hAnsi="Times New Roman"/>
          <w:bCs/>
          <w:noProof/>
          <w:sz w:val="24"/>
          <w:szCs w:val="24"/>
        </w:rPr>
        <w:t xml:space="preserve">As preocupações das mulheres e raparigas vítimas de tráfico têm de estar no centro da elaboração de políticas. </w:t>
      </w:r>
      <w:r>
        <w:rPr>
          <w:rFonts w:ascii="Times New Roman" w:hAnsi="Times New Roman"/>
          <w:noProof/>
          <w:sz w:val="24"/>
          <w:szCs w:val="24"/>
        </w:rPr>
        <w:t xml:space="preserve">No âmbito da União da Segurança, a Comissão apresentará uma nova </w:t>
      </w:r>
      <w:r>
        <w:rPr>
          <w:rFonts w:ascii="Times New Roman" w:hAnsi="Times New Roman"/>
          <w:b/>
          <w:bCs/>
          <w:noProof/>
          <w:sz w:val="24"/>
          <w:szCs w:val="24"/>
        </w:rPr>
        <w:t>estratégia da UE para a erradicação do tráfico de seres humanos</w:t>
      </w:r>
      <w:r>
        <w:rPr>
          <w:rFonts w:ascii="Times New Roman" w:hAnsi="Times New Roman"/>
          <w:noProof/>
          <w:sz w:val="24"/>
          <w:szCs w:val="24"/>
        </w:rPr>
        <w:t xml:space="preserve"> e uma </w:t>
      </w:r>
      <w:r>
        <w:rPr>
          <w:rFonts w:ascii="Times New Roman" w:hAnsi="Times New Roman"/>
          <w:b/>
          <w:bCs/>
          <w:noProof/>
          <w:sz w:val="24"/>
          <w:szCs w:val="24"/>
        </w:rPr>
        <w:t>estratégia</w:t>
      </w:r>
      <w:r>
        <w:rPr>
          <w:rFonts w:ascii="Times New Roman" w:hAnsi="Times New Roman"/>
          <w:noProof/>
          <w:sz w:val="24"/>
          <w:szCs w:val="24"/>
        </w:rPr>
        <w:t xml:space="preserve"> </w:t>
      </w:r>
      <w:r>
        <w:rPr>
          <w:rFonts w:ascii="Times New Roman" w:hAnsi="Times New Roman"/>
          <w:b/>
          <w:bCs/>
          <w:noProof/>
          <w:sz w:val="24"/>
          <w:szCs w:val="24"/>
        </w:rPr>
        <w:t>da UE para uma luta mais eficaz contra o abuso sexual de crianças</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 xml:space="preserve">A UE necessita de dados abrangentes, atualizados e comparáveis </w:t>
      </w:r>
      <w:r>
        <w:rPr>
          <w:rFonts w:ascii="Times New Roman" w:hAnsi="Times New Roman"/>
          <w:noProof/>
          <w:sz w:val="24"/>
          <w:szCs w:val="24"/>
        </w:rPr>
        <w:t xml:space="preserve">para que as políticas de combate à violência de género sejam eficazes. Para se obter uma imagem completa da violência de género, os dados devem ser desagregados por aspetos interseccionais pertinentes e indicadores como a idade, a situação de deficiência, o estatuto de migrante e o local de residência (em meio rural ou urbano). Um </w:t>
      </w:r>
      <w:r>
        <w:rPr>
          <w:rFonts w:ascii="Times New Roman" w:hAnsi="Times New Roman"/>
          <w:b/>
          <w:noProof/>
          <w:sz w:val="24"/>
          <w:szCs w:val="24"/>
        </w:rPr>
        <w:t xml:space="preserve">inquérito à escala da UE, </w:t>
      </w:r>
      <w:r>
        <w:rPr>
          <w:rFonts w:ascii="Times New Roman" w:hAnsi="Times New Roman"/>
          <w:noProof/>
          <w:sz w:val="24"/>
          <w:szCs w:val="24"/>
        </w:rPr>
        <w:t>coordenado pelo Eurostat, fornecerá dados sobre a prevalência e a dinâmica da violência contra as mulheres e outras formas de violência interpessoal, cujos resultados serão apresentados em 2023.</w:t>
      </w:r>
    </w:p>
    <w:p>
      <w:pPr>
        <w:spacing w:line="100" w:lineRule="atLeast"/>
        <w:jc w:val="both"/>
        <w:rPr>
          <w:rFonts w:ascii="Times New Roman" w:eastAsia="Calibri" w:hAnsi="Times New Roman" w:cs="Times New Roman"/>
          <w:b/>
          <w:noProof/>
          <w:sz w:val="24"/>
          <w:szCs w:val="24"/>
        </w:rPr>
      </w:pPr>
      <w:r>
        <w:rPr>
          <w:rFonts w:ascii="Times New Roman" w:hAnsi="Times New Roman"/>
          <w:b/>
          <w:i/>
          <w:noProof/>
          <w:sz w:val="24"/>
          <w:szCs w:val="24"/>
        </w:rPr>
        <w:t>Combater os estereótipos de género</w:t>
      </w:r>
    </w:p>
    <w:p>
      <w:pPr>
        <w:pStyle w:val="NormalWeb"/>
        <w:spacing w:before="0" w:beforeAutospacing="0" w:after="200" w:afterAutospacing="0" w:line="100" w:lineRule="atLeast"/>
        <w:jc w:val="both"/>
        <w:rPr>
          <w:noProof/>
        </w:rPr>
      </w:pPr>
      <w:r>
        <w:rPr>
          <w:b/>
          <w:noProof/>
        </w:rPr>
        <w:t>Os estereótipos de género são uma das causas profundas da desigualdade de género e afetam todos os domínios da sociedade</w:t>
      </w:r>
      <w:r>
        <w:rPr>
          <w:rStyle w:val="FootnoteReference"/>
          <w:noProof/>
        </w:rPr>
        <w:footnoteReference w:id="28"/>
      </w:r>
      <w:r>
        <w:rPr>
          <w:noProof/>
        </w:rPr>
        <w:t>. As expectativas estereotipadas baseadas em normas para mulheres e homens e raparigas e rapazes limitam as suas aspirações, escolhas e liberdade, pelo que necessitam de ser eliminadas. Os estereótipos de género contribuem fortemente para as disparidades salariais entre homens e mulheres. São frequentemente associados a outros estereótipos, como os baseados na origem racial ou étnica, religião ou crença, deficiência, idade ou orientação sexual, o que pode reforçar os impactos negativos dos estereótipos.</w:t>
      </w:r>
    </w:p>
    <w:p>
      <w:pPr>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995233"/>
            <wp:effectExtent l="0" t="0" r="0" b="0"/>
            <wp:docPr id="18" name="Picture 18" descr="C:\Users\britoan\AppData\Local\Temp\1\7zO8D8F59CF\PT_stere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toan\AppData\Local\Temp\1\7zO8D8F59CF\PT_stereotyp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995233"/>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A inteligência artificial </w:t>
      </w:r>
      <w:r>
        <w:rPr>
          <w:rFonts w:ascii="Times New Roman" w:hAnsi="Times New Roman"/>
          <w:noProof/>
          <w:sz w:val="24"/>
          <w:szCs w:val="24"/>
        </w:rPr>
        <w:t xml:space="preserve">(IA) </w:t>
      </w:r>
      <w:r>
        <w:rPr>
          <w:rFonts w:ascii="Times New Roman" w:hAnsi="Times New Roman"/>
          <w:b/>
          <w:noProof/>
          <w:sz w:val="24"/>
          <w:szCs w:val="24"/>
        </w:rPr>
        <w:t>tornou-se um domínio de importância estratégica</w:t>
      </w:r>
      <w:r>
        <w:rPr>
          <w:rFonts w:ascii="Times New Roman" w:hAnsi="Times New Roman"/>
          <w:noProof/>
          <w:sz w:val="24"/>
          <w:szCs w:val="24"/>
        </w:rPr>
        <w:t xml:space="preserve"> e um motor fundamental do progresso económico, pelo que as mulheres têm de fazer parte do seu desenvolvimento enquanto investigadoras, programadoras e utilizadoras</w:t>
      </w:r>
      <w:r>
        <w:rPr>
          <w:rFonts w:ascii="Times New Roman" w:hAnsi="Times New Roman"/>
          <w:b/>
          <w:noProof/>
          <w:sz w:val="24"/>
          <w:szCs w:val="24"/>
        </w:rPr>
        <w:t xml:space="preserve">. </w:t>
      </w:r>
      <w:r>
        <w:rPr>
          <w:rFonts w:ascii="Times New Roman" w:hAnsi="Times New Roman"/>
          <w:noProof/>
          <w:sz w:val="24"/>
          <w:szCs w:val="24"/>
        </w:rPr>
        <w:t>Embora a IA possa proporcionar soluções para muitos desafios societais, comporta o risco de acentuar as desigualdades de género. Se os algoritmos e a aprendizagem automática conexa não forem suficientemente transparentes e sólidos, existe o risco de que reproduzam, ampliem ou contribuam para preconceitos de género de que os programadores possam não estar conscientes ou que são o resultado de uma seleção de dados específicos. O novo Livro Branco da Comissão sobre a inteligência artificial apresenta a abordagem europeia assente em valores e direitos fundamentais da UE, incluindo a não discriminação e a igualdade de género</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O próximo programa-quadro de investigação e inovação, </w:t>
      </w:r>
      <w:r>
        <w:rPr>
          <w:rFonts w:ascii="Times New Roman" w:hAnsi="Times New Roman"/>
          <w:b/>
          <w:noProof/>
          <w:sz w:val="24"/>
          <w:szCs w:val="24"/>
        </w:rPr>
        <w:t>Horizonte Europa</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fornecerá igualmente ideias e soluções para combater eventuais preconceitos de género no domínio da IA, bem como para desconstruir estereótipos de género em todos os domínios sociais, económicos e culturais, apoiando o desenvolvimento de políticas imparciais baseadas em dados concretos.</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Os meios de comunicação social e os setores culturais contribuem de forma significativa para moldar crenças, valores e a perceção da realidade das pessoas, constituindo assim canais fundamentais para mudar atitudes e combater estereótipos</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xml:space="preserve">. A Comissão continuará a apoiar projetos que promovam a igualdade de género no âmbito do programa </w:t>
      </w:r>
      <w:r>
        <w:rPr>
          <w:rFonts w:ascii="Times New Roman" w:hAnsi="Times New Roman"/>
          <w:b/>
          <w:noProof/>
          <w:sz w:val="24"/>
          <w:szCs w:val="24"/>
        </w:rPr>
        <w:t>Europa Criativa</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xml:space="preserve">, incluindo no âmbito do projeto </w:t>
      </w:r>
      <w:r>
        <w:rPr>
          <w:rFonts w:ascii="Times New Roman" w:hAnsi="Times New Roman"/>
          <w:b/>
          <w:noProof/>
          <w:sz w:val="24"/>
          <w:szCs w:val="24"/>
        </w:rPr>
        <w:t>A Música Move a Europa</w:t>
      </w:r>
      <w:r>
        <w:rPr>
          <w:rFonts w:ascii="Times New Roman" w:hAnsi="Times New Roman"/>
          <w:noProof/>
          <w:sz w:val="24"/>
          <w:szCs w:val="24"/>
        </w:rPr>
        <w:t xml:space="preserve">, e apresentará uma </w:t>
      </w:r>
      <w:r>
        <w:rPr>
          <w:rFonts w:ascii="Times New Roman" w:hAnsi="Times New Roman"/>
          <w:b/>
          <w:noProof/>
          <w:sz w:val="24"/>
          <w:szCs w:val="24"/>
        </w:rPr>
        <w:t>estratégia em matéria de igualdade de género na indústria audiovisual</w:t>
      </w:r>
      <w:r>
        <w:rPr>
          <w:rFonts w:ascii="Times New Roman" w:hAnsi="Times New Roman"/>
          <w:noProof/>
          <w:sz w:val="24"/>
          <w:szCs w:val="24"/>
        </w:rPr>
        <w:t xml:space="preserve"> como parte do próximo subprograma</w:t>
      </w:r>
      <w:r>
        <w:rPr>
          <w:rFonts w:ascii="Times New Roman" w:hAnsi="Times New Roman"/>
          <w:b/>
          <w:noProof/>
          <w:sz w:val="24"/>
          <w:szCs w:val="24"/>
        </w:rPr>
        <w:t xml:space="preserve"> MEDIA</w:t>
      </w:r>
      <w:r>
        <w:rPr>
          <w:rStyle w:val="FootnoteReference"/>
          <w:rFonts w:ascii="Times New Roman" w:hAnsi="Times New Roman" w:cs="Times New Roman"/>
          <w:noProof/>
          <w:sz w:val="24"/>
          <w:szCs w:val="24"/>
        </w:rPr>
        <w:footnoteReference w:id="33"/>
      </w:r>
      <w:r>
        <w:rPr>
          <w:rFonts w:ascii="Times New Roman" w:hAnsi="Times New Roman"/>
          <w:noProof/>
          <w:sz w:val="24"/>
          <w:szCs w:val="24"/>
        </w:rPr>
        <w:t>, incluindo apoio financeiro, diálogo estruturado, mentoria e formação para as mulheres cineastas, produtoras e argumentistas.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A Comissão lançará uma </w:t>
      </w:r>
      <w:r>
        <w:rPr>
          <w:rFonts w:ascii="Times New Roman" w:hAnsi="Times New Roman"/>
          <w:b/>
          <w:noProof/>
          <w:sz w:val="24"/>
          <w:szCs w:val="24"/>
        </w:rPr>
        <w:t>campanha de comunicação à escala da UE para combater os estereótipos de género</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Em colaboração com os Estados-Membros, abordará todas as esferas da vida através de uma abordagem interseccional, dando especial atenção à participação dos jovens.</w:t>
      </w:r>
    </w:p>
    <w:p>
      <w:pPr>
        <w:spacing w:line="240" w:lineRule="auto"/>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Para além de empreender as ações acima referidas, a Comissão convida:</w:t>
            </w: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o Conselho</w:t>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concluir a adesão da UE à Convenção de Istambul e a assegurar a rápida ratificação por parte da UE;</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os Estados-Membros</w:t>
            </w:r>
            <w:r>
              <w:rPr>
                <w:rFonts w:ascii="Times New Roman" w:hAnsi="Times New Roman"/>
                <w:noProof/>
                <w:sz w:val="24"/>
                <w:szCs w:val="24"/>
              </w:rPr>
              <w:t xml:space="preserve">: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a ratificarem e aplicarem a Convenção de Istambul,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ratificarem e aplicarem a Convenção da OIT sobre a eliminação da violência e do assédio no mundo do trabalho,</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aplicarem a Diretiva Direitos das Vítimas a Diretiva Abuso Sexual de Crianças</w:t>
            </w:r>
            <w:r>
              <w:rPr>
                <w:rStyle w:val="FootnoteReference"/>
                <w:rFonts w:ascii="Times New Roman" w:hAnsi="Times New Roman" w:cs="Times New Roman"/>
                <w:noProof/>
                <w:sz w:val="24"/>
                <w:szCs w:val="24"/>
              </w:rPr>
              <w:footnoteReference w:id="34"/>
            </w:r>
            <w:r>
              <w:rPr>
                <w:rFonts w:ascii="Times New Roman" w:hAnsi="Times New Roman"/>
                <w:noProof/>
                <w:sz w:val="24"/>
                <w:szCs w:val="24"/>
              </w:rPr>
              <w:t xml:space="preserve"> e outra legislação da UE pertinente que proteja as vítimas de violência de género</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a recolherem e comunicarem, de forma sistemática, dados sobre a violência de género,  </w:t>
            </w:r>
          </w:p>
          <w:p>
            <w:pPr>
              <w:pStyle w:val="ListParagraph"/>
              <w:numPr>
                <w:ilvl w:val="0"/>
                <w:numId w:val="54"/>
              </w:numPr>
              <w:spacing w:after="120"/>
              <w:jc w:val="both"/>
              <w:rPr>
                <w:rFonts w:ascii="Times New Roman" w:hAnsi="Times New Roman" w:cs="Times New Roman"/>
                <w:i/>
                <w:noProof/>
                <w:sz w:val="24"/>
                <w:szCs w:val="24"/>
              </w:rPr>
            </w:pPr>
            <w:r>
              <w:rPr>
                <w:rFonts w:ascii="Times New Roman" w:hAnsi="Times New Roman"/>
                <w:noProof/>
                <w:sz w:val="24"/>
                <w:szCs w:val="24"/>
              </w:rPr>
              <w:t>a apoiarem a sociedade civil e os serviços públicos na prevenção e no combate à violência e estereótipos de género, nomeadamente com a ajuda dos fundos da UE disponibilizados no âmbito do programa Cidadãos, Igualdade, Direitos e Valores (2021–2027).</w:t>
            </w:r>
          </w:p>
        </w:tc>
      </w:tr>
    </w:tbl>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rPr>
        <w:br/>
      </w:r>
    </w:p>
    <w:p>
      <w:pPr>
        <w:keepNext/>
        <w:ind w:left="567" w:hanging="567"/>
        <w:rPr>
          <w:rFonts w:ascii="Times New Roman" w:hAnsi="Times New Roman" w:cs="Times New Roman"/>
          <w:b/>
          <w:noProof/>
          <w:sz w:val="28"/>
          <w:szCs w:val="28"/>
        </w:rPr>
      </w:pPr>
      <w:r>
        <w:rPr>
          <w:rFonts w:ascii="Times New Roman" w:hAnsi="Times New Roman"/>
          <w:b/>
          <w:noProof/>
          <w:sz w:val="28"/>
          <w:szCs w:val="28"/>
        </w:rPr>
        <w:t xml:space="preserve">2. </w:t>
      </w:r>
      <w:r>
        <w:rPr>
          <w:rFonts w:ascii="Times New Roman" w:hAnsi="Times New Roman"/>
          <w:b/>
          <w:noProof/>
          <w:sz w:val="28"/>
          <w:szCs w:val="28"/>
        </w:rPr>
        <w:tab/>
        <w:t>Ter uma vida próspera numa economia assente na igualdade de género</w:t>
      </w:r>
    </w:p>
    <w:p>
      <w:pPr>
        <w:spacing w:line="100" w:lineRule="atLeast"/>
        <w:jc w:val="both"/>
        <w:rPr>
          <w:rFonts w:ascii="Times New Roman" w:hAnsi="Times New Roman" w:cs="Times New Roman"/>
          <w:b/>
          <w:noProof/>
          <w:sz w:val="24"/>
          <w:szCs w:val="24"/>
        </w:rPr>
      </w:pPr>
      <w:r>
        <w:rPr>
          <w:rFonts w:ascii="Times New Roman" w:hAnsi="Times New Roman"/>
          <w:i/>
          <w:noProof/>
          <w:sz w:val="24"/>
          <w:szCs w:val="24"/>
        </w:rPr>
        <w:t>A construção de uma Europa próspera e social depende de nós. As mulheres e os homens, em toda a sua diversidade, devem usufruir de igualdade de oportunidades para terem uma vida próspera</w:t>
      </w:r>
      <w:r>
        <w:rPr>
          <w:noProof/>
          <w:sz w:val="24"/>
          <w:szCs w:val="24"/>
        </w:rPr>
        <w:t xml:space="preserve"> </w:t>
      </w:r>
      <w:r>
        <w:rPr>
          <w:rFonts w:ascii="Times New Roman" w:hAnsi="Times New Roman"/>
          <w:i/>
          <w:noProof/>
          <w:sz w:val="24"/>
          <w:szCs w:val="24"/>
        </w:rPr>
        <w:t xml:space="preserve">e serem economicamente independentes, receberem a mesma remuneração por trabalho de valor igual, terem acesso igual ao financiamento e beneficiarem de pensões justas. As mulheres e os homens devem partilhar equitativamente as responsabilidades familiares e financeiras. </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 xml:space="preserve">Colmatar as disparidades de género no mercado de trabalho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O aumento da participação das mulheres no mercado de trabalho tem um impacto forte e positivo na economia, nomeadamente face a uma diminuição da mão-de-obra e a uma escassez de competências. </w:t>
      </w:r>
      <w:r>
        <w:rPr>
          <w:rFonts w:ascii="Times New Roman" w:hAnsi="Times New Roman"/>
          <w:noProof/>
          <w:sz w:val="24"/>
          <w:szCs w:val="24"/>
        </w:rPr>
        <w:t>Dá igualmente às mulheres meios para moldarem a sua própria vida, desempenharem um papel na vida pública e serem economicamente independentes.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Atualmente, a taxa de emprego das mulheres na UE é mais elevada do que nunca</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mas muitas mulheres continuam a enfrentar obstáculos para entrar e permanecer no mercado de trabalho</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Algumas estão estruturalmente sub-representadas no mercado de trabalho</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o que frequentemente resulta de interações entre o género e condições de vulnerabilidade ou marginalização adicionais, como a pertença a uma minoria étnica ou religiosa</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ou a origem migrante. </w:t>
      </w:r>
    </w:p>
    <w:p>
      <w:pPr>
        <w:pStyle w:val="NormalWeb"/>
        <w:spacing w:before="0" w:beforeAutospacing="0" w:after="200" w:afterAutospacing="0" w:line="100" w:lineRule="atLeast"/>
        <w:jc w:val="both"/>
        <w:rPr>
          <w:noProof/>
        </w:rPr>
      </w:pPr>
      <w:r>
        <w:rPr>
          <w:noProof/>
          <w:lang w:val="en-GB" w:eastAsia="en-GB"/>
        </w:rPr>
        <w:drawing>
          <wp:inline distT="0" distB="0" distL="0" distR="0">
            <wp:extent cx="5791200" cy="1991995"/>
            <wp:effectExtent l="0" t="0" r="0" b="8255"/>
            <wp:docPr id="15" name="Picture 15" descr="C:\Users\britoan\AppData\Local\Temp\1\7zO8D82BD3C\PT_gender-ga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toan\AppData\Local\Temp\1\7zO8D82BD3C\PT_gender-gap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980" cy="1992263"/>
                    </a:xfrm>
                    <a:prstGeom prst="rect">
                      <a:avLst/>
                    </a:prstGeom>
                    <a:noFill/>
                    <a:ln>
                      <a:noFill/>
                    </a:ln>
                  </pic:spPr>
                </pic:pic>
              </a:graphicData>
            </a:graphic>
          </wp:inline>
        </w:drawing>
      </w:r>
    </w:p>
    <w:p>
      <w:pPr>
        <w:pStyle w:val="NormalWeb"/>
        <w:spacing w:after="200" w:line="100" w:lineRule="atLeast"/>
        <w:jc w:val="both"/>
        <w:rPr>
          <w:noProof/>
        </w:rPr>
      </w:pPr>
      <w:r>
        <w:rPr>
          <w:noProof/>
        </w:rPr>
        <w:t xml:space="preserve">A melhoria da conciliação entre a vida profissional e a vida familiar dos trabalhadores é uma das formas de colmatar as disparidades de género no mercado de trabalho. Os direitos e as obrigações em matéria de responsabilidades familiares devem incumbir aos dois progenitores. A </w:t>
      </w:r>
      <w:r>
        <w:rPr>
          <w:b/>
          <w:noProof/>
        </w:rPr>
        <w:t>Diretiva Equilíbrio Trabalho-Vida</w:t>
      </w:r>
      <w:r>
        <w:rPr>
          <w:rStyle w:val="FootnoteReference"/>
          <w:noProof/>
        </w:rPr>
        <w:footnoteReference w:id="40"/>
      </w:r>
      <w:r>
        <w:rPr>
          <w:b/>
          <w:noProof/>
        </w:rPr>
        <w:t xml:space="preserve"> </w:t>
      </w:r>
      <w:r>
        <w:rPr>
          <w:noProof/>
        </w:rPr>
        <w:t xml:space="preserve">introduz normas mínimas em matéria de licença para assistência à família e regimes de trabalho flexíveis para os trabalhadores, e promove a partilha equitativa das responsabilidades de prestação de cuidados entre os progenitores. A Comissão velará por que os Estados-Membros </w:t>
      </w:r>
      <w:r>
        <w:rPr>
          <w:b/>
          <w:noProof/>
        </w:rPr>
        <w:t>transponham</w:t>
      </w:r>
      <w:r>
        <w:rPr>
          <w:rStyle w:val="FootnoteReference"/>
          <w:noProof/>
        </w:rPr>
        <w:footnoteReference w:id="41"/>
      </w:r>
      <w:r>
        <w:rPr>
          <w:noProof/>
        </w:rPr>
        <w:t xml:space="preserve"> </w:t>
      </w:r>
      <w:r>
        <w:rPr>
          <w:b/>
          <w:noProof/>
        </w:rPr>
        <w:t>e apliquem</w:t>
      </w:r>
      <w:r>
        <w:rPr>
          <w:noProof/>
        </w:rPr>
        <w:t xml:space="preserve"> corretamente a diretiva em causa, a fim de permitir que os homens e as mulheres se realizem de forma equitativa, tanto no plano pessoal como profissional, e insta os Estados-Membros a irem além destas normas mínimas na revisão das suas políticas. Os Estados-Membros devem igualmente assegurar soluções de qualidade, por exemplo, para o acolhimento de crianças, incluindo nas zonas menos povoadas da Europa. No interior da sua própria administração, a Comissão promoverá o recurso equitativo a regimes de trabalho flexíveis para todos os trabalhadores e assegurará um acompanhamento desta matéria</w:t>
      </w:r>
      <w:r>
        <w:rPr>
          <w:noProof/>
          <w:vertAlign w:val="superscript"/>
        </w:rPr>
        <w:footnoteReference w:id="42"/>
      </w:r>
      <w:r>
        <w:rPr>
          <w:noProof/>
        </w:rPr>
        <w:t>.</w:t>
      </w:r>
    </w:p>
    <w:p>
      <w:pPr>
        <w:pStyle w:val="Text1"/>
        <w:ind w:left="0"/>
        <w:rPr>
          <w:noProof/>
          <w:szCs w:val="24"/>
        </w:rPr>
      </w:pPr>
      <w:r>
        <w:rPr>
          <w:noProof/>
          <w:szCs w:val="24"/>
        </w:rPr>
        <w:t>As problemáticas inerentes à igualdade de género nos Estados-Membros, em especial as dimensões relativas ao mercado de trabalho, à inclusão social e à educação, continuarão a ser objeto de acompanhamento através do</w:t>
      </w:r>
      <w:r>
        <w:rPr>
          <w:b/>
          <w:noProof/>
          <w:szCs w:val="24"/>
        </w:rPr>
        <w:t xml:space="preserve"> Semestre Europeu</w:t>
      </w:r>
      <w:r>
        <w:rPr>
          <w:rStyle w:val="FootnoteReference"/>
          <w:noProof/>
          <w:szCs w:val="24"/>
        </w:rPr>
        <w:footnoteReference w:id="43"/>
      </w:r>
      <w:r>
        <w:rPr>
          <w:noProof/>
          <w:szCs w:val="24"/>
        </w:rPr>
        <w:t>. Por intermédio do painel de indicadores sociais, o Semestre Europeu monitoriza essas dimensões também com referência ao Pilar Europeu dos Direitos Sociais</w:t>
      </w:r>
      <w:r>
        <w:rPr>
          <w:rStyle w:val="FootnoteReference"/>
          <w:noProof/>
          <w:szCs w:val="24"/>
        </w:rPr>
        <w:footnoteReference w:id="44"/>
      </w:r>
      <w:r>
        <w:rPr>
          <w:noProof/>
          <w:szCs w:val="24"/>
        </w:rPr>
        <w:t xml:space="preserve">. A partir do ciclo do Semestre Europeu de 2019–2020, os relatórios por país do Semestre Europeu contribuem para o acompanhamento dos ODS, nomeadamente em matéria de igualdade de género (ODS 5), e da forma como as políticas económicas e de emprego podem contribuir para a sua consecução.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O </w:t>
      </w:r>
      <w:r>
        <w:rPr>
          <w:rFonts w:ascii="Times New Roman" w:hAnsi="Times New Roman"/>
          <w:b/>
          <w:noProof/>
          <w:sz w:val="24"/>
          <w:szCs w:val="24"/>
        </w:rPr>
        <w:t>Programa de Apoio às Reformas Estruturais</w:t>
      </w:r>
      <w:r>
        <w:rPr>
          <w:rFonts w:ascii="Times New Roman" w:hAnsi="Times New Roman"/>
          <w:noProof/>
          <w:sz w:val="24"/>
          <w:szCs w:val="24"/>
        </w:rPr>
        <w:t xml:space="preserve"> pode ajudar os Estados-Membros a integrarem a perspetiva de género na administração pública, nos orçamentos do Estado e na gestão financeira. Além disso, contribuirá para as reformas estruturais nacionais nos Estados-Membros a fim de </w:t>
      </w:r>
      <w:r>
        <w:rPr>
          <w:rFonts w:ascii="Times New Roman" w:hAnsi="Times New Roman"/>
          <w:b/>
          <w:noProof/>
          <w:sz w:val="24"/>
          <w:szCs w:val="24"/>
        </w:rPr>
        <w:t xml:space="preserve">colmatar as disparidades de género no emprego </w:t>
      </w:r>
      <w:r>
        <w:rPr>
          <w:rFonts w:ascii="Times New Roman" w:hAnsi="Times New Roman"/>
          <w:noProof/>
          <w:sz w:val="24"/>
          <w:szCs w:val="24"/>
        </w:rPr>
        <w:t xml:space="preserve">e reduzir a proporção mais elevada de mulheres que vivem em situação de pobreza, em especial na velhice.  </w:t>
      </w:r>
    </w:p>
    <w:p>
      <w:pPr>
        <w:spacing w:before="120" w:line="240" w:lineRule="auto"/>
        <w:jc w:val="both"/>
        <w:rPr>
          <w:rFonts w:ascii="Times New Roman" w:hAnsi="Times New Roman" w:cs="Times New Roman"/>
          <w:noProof/>
          <w:sz w:val="24"/>
          <w:szCs w:val="24"/>
        </w:rPr>
      </w:pPr>
      <w:r>
        <w:rPr>
          <w:rFonts w:ascii="Times New Roman" w:hAnsi="Times New Roman"/>
          <w:b/>
          <w:noProof/>
          <w:sz w:val="24"/>
          <w:szCs w:val="24"/>
        </w:rPr>
        <w:t>As políticas económicas e sociais e os sistemas fiscais e de proteção social</w:t>
      </w:r>
      <w:r>
        <w:rPr>
          <w:rFonts w:ascii="Times New Roman" w:hAnsi="Times New Roman"/>
          <w:noProof/>
          <w:sz w:val="24"/>
          <w:szCs w:val="24"/>
        </w:rPr>
        <w:t xml:space="preserve"> não devem perpetuar as desigualdades estruturais de género baseadas nos papéis tradicionalmente atribuídos às mulheres e aos homens nos domínios do trabalho e da vida privada. A Comissão elaborará</w:t>
      </w:r>
      <w:r>
        <w:rPr>
          <w:rFonts w:ascii="Times New Roman" w:hAnsi="Times New Roman"/>
          <w:b/>
          <w:noProof/>
          <w:sz w:val="24"/>
          <w:szCs w:val="24"/>
        </w:rPr>
        <w:t xml:space="preserve"> </w:t>
      </w:r>
      <w:r>
        <w:rPr>
          <w:rFonts w:ascii="Times New Roman" w:hAnsi="Times New Roman"/>
          <w:noProof/>
          <w:sz w:val="24"/>
          <w:szCs w:val="24"/>
        </w:rPr>
        <w:t xml:space="preserve">orientações para os Estados-Membros sobre a forma como os sistemas fiscais e de prestações sociais nacionais podem ter impacto nos </w:t>
      </w:r>
      <w:r>
        <w:rPr>
          <w:rFonts w:ascii="Times New Roman" w:hAnsi="Times New Roman"/>
          <w:b/>
          <w:noProof/>
          <w:sz w:val="24"/>
          <w:szCs w:val="24"/>
        </w:rPr>
        <w:t>incentivos ou desincentivos financeiros para as pessoas que são a segunda fonte de rendimento da família</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8795" cy="1476375"/>
            <wp:effectExtent l="0" t="0" r="0" b="0"/>
            <wp:docPr id="4" name="Picture 4" descr="C:\Users\britoan\AppData\Local\Temp\1\7zO8D806DA9\PT_decision-makers-priv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toan\AppData\Local\Temp\1\7zO8D806DA9\PT_decision-makers-priva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9916" cy="1479226"/>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Capacitar as mulheres no mercado de trabalho significa igualmente dar-lhes a possibilidade de</w:t>
      </w:r>
      <w:r>
        <w:rPr>
          <w:rFonts w:ascii="Times New Roman" w:hAnsi="Times New Roman"/>
          <w:b/>
          <w:noProof/>
          <w:sz w:val="24"/>
          <w:szCs w:val="24"/>
        </w:rPr>
        <w:t xml:space="preserve"> se afirmarem enquanto investidoras e empresárias</w:t>
      </w:r>
      <w:r>
        <w:rPr>
          <w:rStyle w:val="FootnoteReference"/>
          <w:rFonts w:ascii="Times New Roman" w:hAnsi="Times New Roman" w:cs="Times New Roman"/>
          <w:noProof/>
          <w:sz w:val="24"/>
          <w:szCs w:val="24"/>
        </w:rPr>
        <w:footnoteReference w:id="45"/>
      </w:r>
      <w:r>
        <w:rPr>
          <w:rFonts w:ascii="Times New Roman" w:hAnsi="Times New Roman"/>
          <w:b/>
          <w:noProof/>
          <w:sz w:val="24"/>
          <w:szCs w:val="24"/>
        </w:rPr>
        <w:t xml:space="preserve">. </w:t>
      </w:r>
      <w:r>
        <w:rPr>
          <w:rFonts w:ascii="Times New Roman" w:hAnsi="Times New Roman"/>
          <w:noProof/>
          <w:sz w:val="24"/>
          <w:szCs w:val="24"/>
        </w:rPr>
        <w:t xml:space="preserve">A política de coesão da UE apoia o empreendedorismo feminino, a sua (re)integração no mercado de trabalho e a igualdade de género em setores específicos, tradicionalmente masculinos. No âmbito do </w:t>
      </w:r>
      <w:r>
        <w:rPr>
          <w:rFonts w:ascii="Times New Roman" w:hAnsi="Times New Roman"/>
          <w:b/>
          <w:noProof/>
          <w:sz w:val="24"/>
          <w:szCs w:val="24"/>
        </w:rPr>
        <w:t>Conselho Europeu da Inovação</w:t>
      </w:r>
      <w:r>
        <w:rPr>
          <w:rFonts w:ascii="Times New Roman" w:hAnsi="Times New Roman"/>
          <w:noProof/>
          <w:sz w:val="24"/>
          <w:szCs w:val="24"/>
        </w:rPr>
        <w:t xml:space="preserve"> (CEI) do programa Horizonte Europa, serão elaboradas medidas específicas para promover a participação das mulheres na inovação, incluindo um projeto-piloto para promover empresas em fase de arranque e PME inovadoras lideradas por mulheres em 2020</w:t>
      </w:r>
      <w:r>
        <w:rPr>
          <w:rStyle w:val="FootnoteReference"/>
          <w:rFonts w:ascii="Times New Roman" w:hAnsi="Times New Roman" w:cs="Times New Roman"/>
          <w:noProof/>
          <w:sz w:val="24"/>
          <w:szCs w:val="24"/>
        </w:rPr>
        <w:footnoteReference w:id="46"/>
      </w:r>
      <w:r>
        <w:rPr>
          <w:rFonts w:ascii="Times New Roman" w:hAnsi="Times New Roman"/>
          <w:noProof/>
          <w:sz w:val="24"/>
          <w:szCs w:val="24"/>
        </w:rPr>
        <w:t xml:space="preserve">. A Comissão promoverá igualmente a presença de mulheres em cargos de decisão em fundos de capitais próprios privados e de capital de risco e apoiará os fundos que invistam em carteiras diversificadas em função do género no quadro </w:t>
      </w:r>
      <w:r>
        <w:rPr>
          <w:rFonts w:ascii="Times New Roman" w:hAnsi="Times New Roman"/>
          <w:b/>
          <w:noProof/>
          <w:sz w:val="24"/>
          <w:szCs w:val="24"/>
        </w:rPr>
        <w:t>programa InvestEU</w:t>
      </w:r>
      <w:r>
        <w:rPr>
          <w:rFonts w:ascii="Times New Roman" w:hAnsi="Times New Roman"/>
          <w:noProof/>
          <w:sz w:val="24"/>
          <w:szCs w:val="24"/>
        </w:rPr>
        <w:t xml:space="preserve"> a fim de mobilizar o investimento público e privado na Europa em prol de um crescimento mais sustentável, inclusivo e inovador. </w:t>
      </w:r>
    </w:p>
    <w:p>
      <w:pPr>
        <w:spacing w:before="240" w:line="100" w:lineRule="atLeast"/>
        <w:jc w:val="both"/>
        <w:rPr>
          <w:rFonts w:ascii="Times New Roman" w:hAnsi="Times New Roman" w:cs="Times New Roman"/>
          <w:noProof/>
          <w:sz w:val="24"/>
          <w:szCs w:val="24"/>
        </w:rPr>
      </w:pPr>
      <w:r>
        <w:rPr>
          <w:rFonts w:ascii="Times New Roman" w:hAnsi="Times New Roman"/>
          <w:b/>
          <w:i/>
          <w:noProof/>
          <w:sz w:val="24"/>
          <w:szCs w:val="24"/>
        </w:rPr>
        <w:t xml:space="preserve">Assegurar uma participação equitativa em diferentes setores da economia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Embora haja </w:t>
      </w:r>
      <w:r>
        <w:rPr>
          <w:rFonts w:ascii="Times New Roman" w:hAnsi="Times New Roman"/>
          <w:b/>
          <w:noProof/>
          <w:sz w:val="24"/>
          <w:szCs w:val="24"/>
        </w:rPr>
        <w:t>mais mulheres licenciadas na Europa do que homens</w:t>
      </w:r>
      <w:r>
        <w:rPr>
          <w:rFonts w:ascii="Times New Roman" w:hAnsi="Times New Roman"/>
          <w:noProof/>
          <w:sz w:val="24"/>
          <w:szCs w:val="24"/>
        </w:rPr>
        <w:t>, as mulheres continuam a estar sub-representadas nas profissões mais bem remuneradas</w:t>
      </w:r>
      <w:r>
        <w:rPr>
          <w:rStyle w:val="FootnoteReference"/>
          <w:rFonts w:ascii="Times New Roman" w:eastAsia="Times New Roman" w:hAnsi="Times New Roman" w:cs="Times New Roman"/>
          <w:noProof/>
          <w:sz w:val="24"/>
          <w:szCs w:val="24"/>
        </w:rPr>
        <w:footnoteReference w:id="47"/>
      </w:r>
      <w:r>
        <w:rPr>
          <w:rFonts w:ascii="Times New Roman" w:hAnsi="Times New Roman"/>
          <w:noProof/>
          <w:sz w:val="24"/>
          <w:szCs w:val="24"/>
        </w:rPr>
        <w:t>. Nos empregos e setores mal remunerados e nos cargos menos importantes</w:t>
      </w:r>
      <w:r>
        <w:rPr>
          <w:rFonts w:ascii="Times New Roman" w:eastAsia="Times New Roman" w:hAnsi="Times New Roman" w:cs="Times New Roman"/>
          <w:noProof/>
          <w:sz w:val="24"/>
          <w:szCs w:val="24"/>
          <w:vertAlign w:val="superscript"/>
        </w:rPr>
        <w:footnoteReference w:id="48"/>
      </w:r>
      <w:r>
        <w:rPr>
          <w:rFonts w:ascii="Times New Roman" w:hAnsi="Times New Roman"/>
          <w:noProof/>
          <w:sz w:val="24"/>
          <w:szCs w:val="24"/>
        </w:rPr>
        <w:t>, a presença das mulheres é superior à dos homens. Normas sociais discriminatórias e estereótipos sobre as competências das mulheres e dos homens, bem como a subvalorização do trabalho das mulheres, são alguns dos fatores que contribuem para esta realidade.</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6910" cy="1504950"/>
            <wp:effectExtent l="0" t="0" r="0" b="0"/>
            <wp:docPr id="17" name="Picture 17" descr="C:\Users\britoan\AppData\Local\Temp\1\7zO8D8AB30F\PT_sectors-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toan\AppData\Local\Temp\1\7zO8D8AB30F\PT_sectors-econom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3589" cy="1506696"/>
                    </a:xfrm>
                    <a:prstGeom prst="rect">
                      <a:avLst/>
                    </a:prstGeom>
                    <a:noFill/>
                    <a:ln>
                      <a:noFill/>
                    </a:ln>
                  </pic:spPr>
                </pic:pic>
              </a:graphicData>
            </a:graphic>
          </wp:inline>
        </w:drawing>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spacing w:before="240" w:line="100" w:lineRule="atLeast"/>
        <w:jc w:val="both"/>
        <w:rPr>
          <w:rFonts w:ascii="Times New Roman" w:hAnsi="Times New Roman" w:cs="Times New Roman"/>
          <w:noProof/>
          <w:sz w:val="24"/>
          <w:szCs w:val="24"/>
        </w:rPr>
      </w:pPr>
      <w:r>
        <w:rPr>
          <w:rFonts w:ascii="Times New Roman" w:hAnsi="Times New Roman"/>
          <w:b/>
          <w:noProof/>
          <w:sz w:val="24"/>
          <w:szCs w:val="24"/>
        </w:rPr>
        <w:t xml:space="preserve">A transição digital </w:t>
      </w:r>
      <w:r>
        <w:rPr>
          <w:rFonts w:ascii="Times New Roman" w:hAnsi="Times New Roman"/>
          <w:noProof/>
          <w:sz w:val="24"/>
          <w:szCs w:val="24"/>
        </w:rPr>
        <w:t>é da máxima importância neste contexto. Com a rápida transformação e digitalização da economia e do mercado de trabalho, atualmente 90 % dos empregos exigem competências digitais básicas</w:t>
      </w:r>
      <w:r>
        <w:rPr>
          <w:rFonts w:ascii="Times New Roman" w:hAnsi="Times New Roman" w:cs="Times New Roman"/>
          <w:noProof/>
          <w:sz w:val="24"/>
          <w:szCs w:val="24"/>
          <w:vertAlign w:val="superscript"/>
        </w:rPr>
        <w:footnoteReference w:id="49"/>
      </w:r>
      <w:r>
        <w:rPr>
          <w:rFonts w:ascii="Times New Roman" w:hAnsi="Times New Roman"/>
          <w:noProof/>
          <w:sz w:val="24"/>
          <w:szCs w:val="24"/>
        </w:rPr>
        <w:t>. As mulheres representam apenas 17 % das pessoas que optam por estudos e carreiras na área das TIC</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 xml:space="preserve"> na UE</w:t>
      </w:r>
      <w:r>
        <w:rPr>
          <w:rStyle w:val="FootnoteReference"/>
          <w:rFonts w:ascii="Times New Roman" w:hAnsi="Times New Roman" w:cs="Times New Roman"/>
          <w:noProof/>
          <w:sz w:val="24"/>
          <w:szCs w:val="24"/>
        </w:rPr>
        <w:footnoteReference w:id="51"/>
      </w:r>
      <w:r>
        <w:rPr>
          <w:rFonts w:ascii="Times New Roman" w:hAnsi="Times New Roman"/>
          <w:noProof/>
          <w:sz w:val="24"/>
          <w:szCs w:val="24"/>
        </w:rPr>
        <w:t xml:space="preserve"> e apenas 36 % dos licenciados</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xml:space="preserve"> nas áreas das CTEM</w:t>
      </w:r>
      <w:r>
        <w:rPr>
          <w:rStyle w:val="FootnoteReference"/>
          <w:rFonts w:ascii="Times New Roman" w:hAnsi="Times New Roman" w:cs="Times New Roman"/>
          <w:noProof/>
          <w:sz w:val="24"/>
          <w:szCs w:val="24"/>
        </w:rPr>
        <w:footnoteReference w:id="53"/>
      </w:r>
      <w:r>
        <w:rPr>
          <w:rFonts w:ascii="Times New Roman" w:hAnsi="Times New Roman"/>
          <w:noProof/>
          <w:sz w:val="24"/>
          <w:szCs w:val="24"/>
        </w:rPr>
        <w:t>, apesar de as raparigas apresentarem um melhor desempenho do que os rapazes no domínio da literacia digital</w:t>
      </w:r>
      <w:r>
        <w:rPr>
          <w:rFonts w:ascii="Times New Roman" w:hAnsi="Times New Roman" w:cs="Times New Roman"/>
          <w:noProof/>
          <w:sz w:val="24"/>
          <w:szCs w:val="24"/>
          <w:vertAlign w:val="superscript"/>
        </w:rPr>
        <w:footnoteReference w:id="54"/>
      </w:r>
      <w:r>
        <w:rPr>
          <w:rFonts w:ascii="Times New Roman" w:hAnsi="Times New Roman"/>
          <w:noProof/>
          <w:sz w:val="24"/>
          <w:szCs w:val="24"/>
        </w:rPr>
        <w:t xml:space="preserve">. Esta disparidade e este paradoxo serão abordados no </w:t>
      </w:r>
      <w:r>
        <w:rPr>
          <w:rFonts w:ascii="Times New Roman" w:hAnsi="Times New Roman"/>
          <w:b/>
          <w:noProof/>
          <w:sz w:val="24"/>
          <w:szCs w:val="24"/>
        </w:rPr>
        <w:t>Plano de Ação para a Educação Digital</w:t>
      </w:r>
      <w:r>
        <w:rPr>
          <w:rFonts w:ascii="Times New Roman" w:hAnsi="Times New Roman"/>
          <w:noProof/>
          <w:sz w:val="24"/>
          <w:szCs w:val="24"/>
        </w:rPr>
        <w:t xml:space="preserve"> atualizado e através da aplicação da </w:t>
      </w:r>
      <w:r>
        <w:rPr>
          <w:rFonts w:ascii="Times New Roman" w:hAnsi="Times New Roman"/>
          <w:b/>
          <w:noProof/>
          <w:sz w:val="24"/>
          <w:szCs w:val="24"/>
        </w:rPr>
        <w:t>Declaração Ministerial de Compromisso sobre as mulheres no domínio digital</w:t>
      </w:r>
      <w:r>
        <w:rPr>
          <w:rStyle w:val="FootnoteReference"/>
          <w:rFonts w:ascii="Times New Roman" w:hAnsi="Times New Roman" w:cs="Times New Roman"/>
          <w:noProof/>
          <w:sz w:val="24"/>
          <w:szCs w:val="24"/>
        </w:rPr>
        <w:footnoteReference w:id="55"/>
      </w:r>
      <w:r>
        <w:rPr>
          <w:rFonts w:ascii="Times New Roman" w:hAnsi="Times New Roman"/>
          <w:noProof/>
          <w:sz w:val="24"/>
          <w:szCs w:val="24"/>
        </w:rPr>
        <w:t xml:space="preserve">. O </w:t>
      </w:r>
      <w:r>
        <w:rPr>
          <w:rFonts w:ascii="Times New Roman" w:hAnsi="Times New Roman"/>
          <w:b/>
          <w:noProof/>
          <w:sz w:val="24"/>
          <w:szCs w:val="24"/>
        </w:rPr>
        <w:t>painel de avaliação relativo às Mulheres no Domínio Digital</w:t>
      </w:r>
      <w:r>
        <w:rPr>
          <w:rFonts w:ascii="Times New Roman" w:hAnsi="Times New Roman"/>
          <w:noProof/>
          <w:sz w:val="24"/>
          <w:szCs w:val="24"/>
        </w:rPr>
        <w:t xml:space="preserve"> será utilizado de forma mais sistemática.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 </w:t>
      </w:r>
      <w:r>
        <w:rPr>
          <w:rFonts w:ascii="Times New Roman" w:hAnsi="Times New Roman"/>
          <w:b/>
          <w:noProof/>
          <w:sz w:val="24"/>
          <w:szCs w:val="24"/>
        </w:rPr>
        <w:t>Agenda Atualizada de Competências para a Europa</w:t>
      </w:r>
      <w:r>
        <w:rPr>
          <w:rFonts w:ascii="Times New Roman" w:hAnsi="Times New Roman"/>
          <w:noProof/>
          <w:sz w:val="24"/>
          <w:szCs w:val="24"/>
        </w:rPr>
        <w:t xml:space="preserve"> abordará a segregação horizontal, a estereotipagem e as disparidades de género na educação e formação.</w:t>
      </w:r>
      <w:r>
        <w:rPr>
          <w:noProof/>
          <w:sz w:val="24"/>
          <w:szCs w:val="24"/>
        </w:rPr>
        <w:t xml:space="preserve"> </w:t>
      </w:r>
      <w:r>
        <w:rPr>
          <w:rFonts w:ascii="Times New Roman" w:hAnsi="Times New Roman"/>
          <w:noProof/>
          <w:sz w:val="24"/>
          <w:szCs w:val="24"/>
        </w:rPr>
        <w:t xml:space="preserve">A proposta da Comissão de uma </w:t>
      </w:r>
      <w:r>
        <w:rPr>
          <w:rFonts w:ascii="Times New Roman" w:hAnsi="Times New Roman"/>
          <w:b/>
          <w:noProof/>
          <w:sz w:val="24"/>
          <w:szCs w:val="24"/>
        </w:rPr>
        <w:t xml:space="preserve">recomendação do Conselho sobre o ensino e a formação profissionais </w:t>
      </w:r>
      <w:r>
        <w:rPr>
          <w:rFonts w:ascii="Times New Roman" w:hAnsi="Times New Roman"/>
          <w:noProof/>
          <w:sz w:val="24"/>
          <w:szCs w:val="24"/>
        </w:rPr>
        <w:t xml:space="preserve">apoiará a melhoria do equilíbrio entre homens e mulheres em profissões tradicionalmente dominadas por homens ou por mulheres e abordará os estereótipos de género. A </w:t>
      </w:r>
      <w:r>
        <w:rPr>
          <w:rFonts w:ascii="Times New Roman" w:hAnsi="Times New Roman"/>
          <w:b/>
          <w:noProof/>
          <w:sz w:val="24"/>
          <w:szCs w:val="24"/>
        </w:rPr>
        <w:t>Garantia para a Juventude reforçada</w:t>
      </w:r>
      <w:r>
        <w:rPr>
          <w:rFonts w:ascii="Times New Roman" w:hAnsi="Times New Roman"/>
          <w:noProof/>
          <w:sz w:val="24"/>
          <w:szCs w:val="24"/>
        </w:rPr>
        <w:t xml:space="preserve"> abordará especificamente as mulheres que não trabalham, não estudam nem seguem qualquer formação, a fim de assegurar a igualdade de oportunidades.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Na próxima </w:t>
      </w:r>
      <w:r>
        <w:rPr>
          <w:rFonts w:ascii="Times New Roman" w:hAnsi="Times New Roman"/>
          <w:b/>
          <w:noProof/>
          <w:sz w:val="24"/>
          <w:szCs w:val="24"/>
        </w:rPr>
        <w:t>comunicação da Comissão sobre o Espaço Europeu da Educação</w:t>
      </w:r>
      <w:r>
        <w:rPr>
          <w:rFonts w:ascii="Times New Roman" w:hAnsi="Times New Roman"/>
          <w:noProof/>
          <w:sz w:val="24"/>
          <w:szCs w:val="24"/>
        </w:rPr>
        <w:t xml:space="preserve">, a igualdade de género será apresentada como um dos principais elementos. O renovado </w:t>
      </w:r>
      <w:r>
        <w:rPr>
          <w:rFonts w:ascii="Times New Roman" w:hAnsi="Times New Roman"/>
          <w:b/>
          <w:noProof/>
          <w:sz w:val="24"/>
          <w:szCs w:val="24"/>
        </w:rPr>
        <w:t>quadro estratégico para a igualdade de género no desporto</w:t>
      </w:r>
      <w:r>
        <w:rPr>
          <w:rFonts w:ascii="Times New Roman" w:hAnsi="Times New Roman"/>
          <w:noProof/>
          <w:sz w:val="24"/>
          <w:szCs w:val="24"/>
        </w:rPr>
        <w:t xml:space="preserve"> promoverá a participação das mulheres e das raparigas no desporto e na atividade física, bem como o equilíbrio entre homens e mulheres em cargos de liderança no seio de organizações desportivas.</w:t>
      </w:r>
    </w:p>
    <w:p>
      <w:pPr>
        <w:spacing w:before="240"/>
        <w:rPr>
          <w:rFonts w:ascii="Times New Roman" w:hAnsi="Times New Roman" w:cs="Times New Roman"/>
          <w:b/>
          <w:i/>
          <w:noProof/>
          <w:sz w:val="24"/>
          <w:szCs w:val="24"/>
        </w:rPr>
      </w:pPr>
      <w:r>
        <w:rPr>
          <w:rFonts w:ascii="Times New Roman" w:hAnsi="Times New Roman"/>
          <w:b/>
          <w:i/>
          <w:noProof/>
          <w:sz w:val="24"/>
          <w:szCs w:val="24"/>
        </w:rPr>
        <w:t>Colmatar as disparidades salariais e de pensões entre homens e mulheres</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O princípio da igualdade de remuneração por trabalho igual ou de valor igual está consagrado nos Tratados desde 1957, tendo sido transposto para o direito da UE.</w:t>
      </w:r>
      <w:r>
        <w:rPr>
          <w:rFonts w:ascii="Times New Roman" w:hAnsi="Times New Roman"/>
          <w:noProof/>
          <w:sz w:val="24"/>
          <w:szCs w:val="24"/>
        </w:rPr>
        <w:t xml:space="preserve"> Garante vias de recurso em caso de discriminação.</w:t>
      </w:r>
      <w:r>
        <w:rPr>
          <w:noProof/>
          <w:sz w:val="24"/>
          <w:szCs w:val="24"/>
        </w:rPr>
        <w:t xml:space="preserve"> </w:t>
      </w:r>
      <w:r>
        <w:rPr>
          <w:rFonts w:ascii="Times New Roman" w:hAnsi="Times New Roman"/>
          <w:noProof/>
          <w:sz w:val="24"/>
          <w:szCs w:val="24"/>
        </w:rPr>
        <w:t>No entanto, as mulheres continuam a ganhar, em média, menos do que os homens</w:t>
      </w:r>
      <w:r>
        <w:rPr>
          <w:rStyle w:val="FootnoteReference"/>
          <w:rFonts w:ascii="Times New Roman" w:hAnsi="Times New Roman" w:cs="Times New Roman"/>
          <w:noProof/>
          <w:sz w:val="24"/>
          <w:szCs w:val="24"/>
        </w:rPr>
        <w:footnoteReference w:id="56"/>
      </w:r>
      <w:r>
        <w:rPr>
          <w:rFonts w:ascii="Times New Roman" w:hAnsi="Times New Roman"/>
          <w:noProof/>
          <w:sz w:val="24"/>
          <w:szCs w:val="24"/>
        </w:rPr>
        <w:t xml:space="preserve">. As disparidades de género no emprego e as disparidades salariais entre homens e mulheres acumuladas ao longo da vida resultam numa disparidade ainda maior nas pensões de reforma, estando, por conseguinte, as mulheres mais idosas mais expostas ao risco de pobreza do que os homens. </w:t>
      </w:r>
      <w:r>
        <w:rPr>
          <w:rFonts w:ascii="Times New Roman" w:hAnsi="Times New Roman"/>
          <w:b/>
          <w:noProof/>
          <w:sz w:val="24"/>
          <w:szCs w:val="24"/>
        </w:rPr>
        <w:t xml:space="preserve">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8180" cy="1257300"/>
            <wp:effectExtent l="0" t="0" r="0" b="0"/>
            <wp:docPr id="16" name="Picture 16" descr="C:\Users\britoan\AppData\Local\Temp\1\7zO8D875BCC\PT_pension-gender-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toan\AppData\Local\Temp\1\7zO8D875BCC\PT_pension-gender-g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279" cy="1258195"/>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A eliminação das disparidades salariais entre homens e mulheres</w:t>
      </w:r>
      <w:r>
        <w:rPr>
          <w:rFonts w:ascii="Times New Roman" w:hAnsi="Times New Roman"/>
          <w:noProof/>
          <w:sz w:val="24"/>
          <w:szCs w:val="24"/>
        </w:rPr>
        <w:t xml:space="preserve"> exige o combate a todas as suas causas profundas, incluindo a menor participação das mulheres no mercado de trabalho, o trabalho invisível e não remunerado, o maior recurso das mulheres ao trabalho a tempo parcial</w:t>
      </w:r>
      <w:r>
        <w:rPr>
          <w:rStyle w:val="FootnoteReference"/>
          <w:rFonts w:ascii="Times New Roman" w:hAnsi="Times New Roman" w:cs="Times New Roman"/>
          <w:noProof/>
          <w:sz w:val="24"/>
          <w:szCs w:val="24"/>
        </w:rPr>
        <w:footnoteReference w:id="57"/>
      </w:r>
      <w:r>
        <w:rPr>
          <w:rFonts w:ascii="Times New Roman" w:hAnsi="Times New Roman"/>
          <w:noProof/>
          <w:sz w:val="24"/>
          <w:szCs w:val="24"/>
        </w:rPr>
        <w:t xml:space="preserve"> e às interrupções de carreira, bem como a segregação vertical e horizontal baseada em estereótipos de género e na discriminação.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Se houver informações disponíveis sobre os níveis salariais é mais fácil detetar disparidades e discriminação, mas por falta de transparência, muitas mulheres não sabem ou não conseguem provar que estão a auferir uma remuneração inferior. A Comissão apresentará, </w:t>
      </w:r>
      <w:r>
        <w:rPr>
          <w:rFonts w:ascii="Times New Roman" w:hAnsi="Times New Roman"/>
          <w:b/>
          <w:noProof/>
          <w:sz w:val="24"/>
          <w:szCs w:val="24"/>
        </w:rPr>
        <w:t>até ao final de 2020, medidas vinculativas em matéria de transparência salarial</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Tal iniciativa reforçará os direitos dos trabalhadores de obter mais informações sobre os níveis salariais, podendo simultaneamente impor um encargo administrativo aos empregadores. Para encontrar o equilíbrio certo para esta ação da UE, é da máxima importância consultar e ouvir os parceiros sociais e as administrações nacionais. A Comissão procedeu a uma avaliação exaustiva do quadro existente em matéria de igualdade de remuneração por trabalho igual ou de valor igual</w:t>
      </w:r>
      <w:r>
        <w:rPr>
          <w:rStyle w:val="FootnoteReference"/>
          <w:rFonts w:ascii="Times New Roman" w:hAnsi="Times New Roman" w:cs="Times New Roman"/>
          <w:noProof/>
          <w:sz w:val="24"/>
          <w:szCs w:val="24"/>
        </w:rPr>
        <w:footnoteReference w:id="58"/>
      </w:r>
      <w:r>
        <w:rPr>
          <w:rFonts w:ascii="Times New Roman" w:hAnsi="Times New Roman"/>
          <w:noProof/>
          <w:sz w:val="24"/>
          <w:szCs w:val="24"/>
        </w:rPr>
        <w:t xml:space="preserve">. Juntamente com a adoção da presente estratégia, a Comissão está a lançar um </w:t>
      </w:r>
      <w:r>
        <w:rPr>
          <w:rFonts w:ascii="Times New Roman" w:hAnsi="Times New Roman"/>
          <w:b/>
          <w:noProof/>
          <w:sz w:val="24"/>
          <w:szCs w:val="24"/>
        </w:rPr>
        <w:t>processo de consulta amplo e inclusivo</w:t>
      </w:r>
      <w:r>
        <w:rPr>
          <w:rStyle w:val="FootnoteReference"/>
          <w:rFonts w:ascii="Times New Roman" w:hAnsi="Times New Roman" w:cs="Times New Roman"/>
          <w:noProof/>
          <w:sz w:val="24"/>
          <w:szCs w:val="24"/>
        </w:rPr>
        <w:footnoteReference w:id="59"/>
      </w:r>
      <w:r>
        <w:rPr>
          <w:rFonts w:ascii="Times New Roman" w:hAnsi="Times New Roman"/>
          <w:b/>
          <w:noProof/>
          <w:sz w:val="24"/>
          <w:szCs w:val="24"/>
        </w:rPr>
        <w:t xml:space="preserve"> </w:t>
      </w:r>
      <w:r>
        <w:rPr>
          <w:rFonts w:ascii="Times New Roman" w:hAnsi="Times New Roman"/>
          <w:noProof/>
          <w:sz w:val="24"/>
          <w:szCs w:val="24"/>
        </w:rPr>
        <w:t>junto do público, dos Estados-Membros e dos parceiros sociais. Em termos mais gerais</w:t>
      </w:r>
      <w:r>
        <w:rPr>
          <w:noProof/>
          <w:sz w:val="24"/>
          <w:szCs w:val="24"/>
        </w:rPr>
        <w:t xml:space="preserve">, </w:t>
      </w:r>
      <w:r>
        <w:rPr>
          <w:rFonts w:ascii="Times New Roman" w:hAnsi="Times New Roman"/>
          <w:noProof/>
          <w:sz w:val="24"/>
          <w:szCs w:val="24"/>
        </w:rPr>
        <w:t xml:space="preserve">a Comissão relançará o debate com os </w:t>
      </w:r>
      <w:r>
        <w:rPr>
          <w:rFonts w:ascii="Times New Roman" w:hAnsi="Times New Roman"/>
          <w:b/>
          <w:noProof/>
          <w:sz w:val="24"/>
          <w:szCs w:val="24"/>
        </w:rPr>
        <w:t>parceiros sociais</w:t>
      </w:r>
      <w:r>
        <w:rPr>
          <w:rFonts w:ascii="Times New Roman" w:hAnsi="Times New Roman"/>
          <w:noProof/>
          <w:sz w:val="24"/>
          <w:szCs w:val="24"/>
        </w:rPr>
        <w:t xml:space="preserve"> sobre a forma de melhorar a igualdade de género no mundo do trabalho, incluindo nas suas estruturas, e incentivá-los-á a intensificar os esforços para colmatar as disparidades de género no emprego e as disparidades salariais entre homens e mulheres.</w:t>
      </w:r>
    </w:p>
    <w:p>
      <w:pPr>
        <w:pStyle w:val="NormalWeb"/>
        <w:jc w:val="both"/>
        <w:rPr>
          <w:noProof/>
        </w:rPr>
      </w:pPr>
      <w:r>
        <w:rPr>
          <w:noProof/>
        </w:rPr>
        <w:t xml:space="preserve">Os salários mais baixos, uma maior concentração do trabalho a tempo parcial e as interrupções de carreira devido às responsabilidades familiares das mulheres contribuem significativamente para a </w:t>
      </w:r>
      <w:r>
        <w:rPr>
          <w:b/>
          <w:noProof/>
        </w:rPr>
        <w:t>disparidade nas pensões entre homens e mulheres</w:t>
      </w:r>
      <w:r>
        <w:rPr>
          <w:noProof/>
        </w:rPr>
        <w:t xml:space="preserve">. Na edição de 2021 do </w:t>
      </w:r>
      <w:r>
        <w:rPr>
          <w:b/>
          <w:noProof/>
        </w:rPr>
        <w:t>Relatório sobre a Adequação das Pensões</w:t>
      </w:r>
      <w:r>
        <w:rPr>
          <w:noProof/>
        </w:rPr>
        <w:t xml:space="preserve">, a Comissão, juntamente com o Comité da Proteção Social do Conselho, avaliará a forma como os riscos e os recursos são partilhados nos regimes de pensões entre mulheres e homens. Para proteger os direitos às pensões e incentivar a partilha equitativa das responsabilidades familiares entre as mulheres e os homens, a Comissão estudará com os Estados-Membros e as partes interessadas a concessão de créditos de pensão para interrupções de carreira associadas à prestação de cuidados em </w:t>
      </w:r>
      <w:r>
        <w:rPr>
          <w:b/>
          <w:noProof/>
        </w:rPr>
        <w:t>regimes de pensões profissionais</w:t>
      </w:r>
      <w:r>
        <w:rPr>
          <w:noProof/>
        </w:rPr>
        <w:t>, tal como recomendado pelo Grupo de Alto Nível sobre Pensões</w:t>
      </w:r>
      <w:r>
        <w:rPr>
          <w:rStyle w:val="FootnoteReference"/>
          <w:noProof/>
        </w:rPr>
        <w:footnoteReference w:id="60"/>
      </w:r>
      <w:r>
        <w:rPr>
          <w:noProof/>
        </w:rPr>
        <w:t>.</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Colmatar a disparidade de género no plano da prestação de cuidados</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 xml:space="preserve">Realizar-se no trabalho e gerir, simultaneamente, as responsabilidades familiares é um desafio, em especial para as mulheres. </w:t>
      </w:r>
      <w:r>
        <w:rPr>
          <w:rFonts w:ascii="Times New Roman" w:hAnsi="Times New Roman"/>
          <w:noProof/>
          <w:sz w:val="24"/>
          <w:szCs w:val="24"/>
        </w:rPr>
        <w:t>Frequentemente, as mulheres alinham a sua decisão de trabalhar, e a forma como o fazem, com as suas responsabilidades familiares e com o modo como as partilham, se tal for o caso, com um parceiro. Trata-se de um desafio particularmente difícil para os progenitores isolados, que na maioria dos casos são mulheres</w:t>
      </w:r>
      <w:r>
        <w:rPr>
          <w:rStyle w:val="FootnoteReference"/>
          <w:rFonts w:ascii="Times New Roman" w:hAnsi="Times New Roman" w:cs="Times New Roman"/>
          <w:noProof/>
          <w:sz w:val="24"/>
          <w:szCs w:val="24"/>
        </w:rPr>
        <w:footnoteReference w:id="61"/>
      </w:r>
      <w:r>
        <w:rPr>
          <w:rFonts w:ascii="Times New Roman" w:hAnsi="Times New Roman"/>
          <w:noProof/>
          <w:sz w:val="24"/>
          <w:szCs w:val="24"/>
        </w:rPr>
        <w:t>, e para as pessoas que vivem em zonas rurais remotas, as quais, frequentemente, não dispõem de soluções de apoio. É igualmente sobre as mulheres que recai uma sobrecarga desproporcionada de trabalho não remunerado, que constitui uma parte significativa da atividade económica</w:t>
      </w:r>
      <w:r>
        <w:rPr>
          <w:rStyle w:val="FootnoteReference"/>
          <w:rFonts w:ascii="Times New Roman" w:hAnsi="Times New Roman" w:cs="Times New Roman"/>
          <w:noProof/>
          <w:sz w:val="24"/>
          <w:szCs w:val="24"/>
        </w:rPr>
        <w:footnoteReference w:id="62"/>
      </w:r>
      <w:r>
        <w:rPr>
          <w:rFonts w:ascii="Times New Roman" w:hAnsi="Times New Roman"/>
          <w:noProof/>
          <w:sz w:val="24"/>
          <w:szCs w:val="24"/>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Uma partilha equitativa das responsabilidades familiares é crucial, assim como a disponibilidade de serviços de acolhimento de crianças, assistência social e serviços domésticos, </w:t>
      </w:r>
      <w:r>
        <w:rPr>
          <w:rFonts w:ascii="Times New Roman" w:hAnsi="Times New Roman"/>
          <w:noProof/>
          <w:sz w:val="24"/>
          <w:szCs w:val="24"/>
        </w:rPr>
        <w:t>em particular para as famílias monoparentais</w:t>
      </w:r>
      <w:r>
        <w:rPr>
          <w:rStyle w:val="FootnoteReference"/>
          <w:rFonts w:ascii="Times New Roman" w:hAnsi="Times New Roman" w:cs="Times New Roman"/>
          <w:noProof/>
          <w:sz w:val="24"/>
          <w:szCs w:val="24"/>
        </w:rPr>
        <w:footnoteReference w:id="63"/>
      </w:r>
      <w:r>
        <w:rPr>
          <w:rFonts w:ascii="Times New Roman" w:hAnsi="Times New Roman"/>
          <w:b/>
          <w:noProof/>
          <w:sz w:val="24"/>
          <w:szCs w:val="24"/>
        </w:rPr>
        <w:t>.</w:t>
      </w:r>
      <w:r>
        <w:rPr>
          <w:rFonts w:ascii="Times New Roman" w:hAnsi="Times New Roman"/>
          <w:noProof/>
          <w:sz w:val="24"/>
          <w:szCs w:val="24"/>
        </w:rPr>
        <w:t xml:space="preserve"> O acesso insuficiente a serviços de cuidados formais de qualidade e a preços acessíveis é um dos principais motores da desigualdade de género no mercado de trabalho</w:t>
      </w:r>
      <w:r>
        <w:rPr>
          <w:rStyle w:val="FootnoteReference"/>
          <w:rFonts w:ascii="Times New Roman" w:eastAsia="Times New Roman" w:hAnsi="Times New Roman" w:cs="Times New Roman"/>
          <w:noProof/>
          <w:sz w:val="24"/>
          <w:szCs w:val="24"/>
        </w:rPr>
        <w:footnoteReference w:id="64"/>
      </w:r>
      <w:r>
        <w:rPr>
          <w:rFonts w:ascii="Times New Roman" w:hAnsi="Times New Roman"/>
          <w:noProof/>
          <w:sz w:val="24"/>
          <w:szCs w:val="24"/>
        </w:rPr>
        <w:t>. Por conseguinte, investir em serviços de cuidados é importante para apoiar a participação das mulheres no trabalho remunerado e o seu desenvolvimento profissional e pode conduzir à criação de emprego tanto para as mulheres como para os homens.</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756275" cy="1143000"/>
            <wp:effectExtent l="0" t="0" r="0" b="0"/>
            <wp:docPr id="22" name="Picture 22" descr="C:\Users\britoan\AppData\Local\Temp\1\7zO8D8F32AA\PT_gender-ca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toan\AppData\Local\Temp\1\7zO8D8F32AA\PT_gender-care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117" cy="1144160"/>
                    </a:xfrm>
                    <a:prstGeom prst="rect">
                      <a:avLst/>
                    </a:prstGeom>
                    <a:noFill/>
                    <a:ln>
                      <a:noFill/>
                    </a:ln>
                  </pic:spPr>
                </pic:pic>
              </a:graphicData>
            </a:graphic>
          </wp:inline>
        </w:drawing>
      </w:r>
    </w:p>
    <w:p>
      <w:pPr>
        <w:spacing w:line="240" w:lineRule="auto"/>
        <w:jc w:val="both"/>
        <w:rPr>
          <w:rFonts w:ascii="Times New Roman" w:hAnsi="Times New Roman" w:cs="Times New Roman"/>
          <w:b/>
          <w:noProof/>
          <w:sz w:val="24"/>
          <w:szCs w:val="24"/>
        </w:rPr>
      </w:pPr>
      <w:r>
        <w:rPr>
          <w:rFonts w:ascii="Times New Roman" w:hAnsi="Times New Roman"/>
          <w:noProof/>
          <w:sz w:val="24"/>
          <w:szCs w:val="24"/>
        </w:rPr>
        <w:t xml:space="preserve">Os </w:t>
      </w:r>
      <w:r>
        <w:rPr>
          <w:rFonts w:ascii="Times New Roman" w:hAnsi="Times New Roman"/>
          <w:b/>
          <w:noProof/>
          <w:sz w:val="24"/>
          <w:szCs w:val="24"/>
        </w:rPr>
        <w:t>objetivos de Barcelona</w:t>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xml:space="preserve"> </w:t>
      </w:r>
      <w:r>
        <w:rPr>
          <w:rFonts w:ascii="Times New Roman" w:hAnsi="Times New Roman"/>
          <w:b/>
          <w:noProof/>
          <w:sz w:val="24"/>
          <w:szCs w:val="24"/>
        </w:rPr>
        <w:t>para a prestação de serviços de educação e acolhimento na primeira infância</w:t>
      </w:r>
      <w:r>
        <w:rPr>
          <w:rFonts w:ascii="Times New Roman" w:hAnsi="Times New Roman"/>
          <w:noProof/>
          <w:sz w:val="24"/>
          <w:szCs w:val="24"/>
        </w:rPr>
        <w:t xml:space="preserve"> foram, na sua maioria, atingidos, mas alguns Estados-Membros estão significativamente atrasados.</w:t>
      </w:r>
      <w:r>
        <w:rPr>
          <w:noProof/>
          <w:sz w:val="24"/>
          <w:szCs w:val="24"/>
        </w:rPr>
        <w:t xml:space="preserve"> </w:t>
      </w:r>
      <w:r>
        <w:rPr>
          <w:rFonts w:ascii="Times New Roman" w:hAnsi="Times New Roman"/>
          <w:noProof/>
          <w:sz w:val="24"/>
          <w:szCs w:val="24"/>
        </w:rPr>
        <w:t>Por conseguinte, a Comissão irá propor a revisão dos objetivos de Barcelona</w:t>
      </w:r>
      <w:r>
        <w:rPr>
          <w:rFonts w:ascii="Times New Roman" w:hAnsi="Times New Roman"/>
          <w:b/>
          <w:noProof/>
          <w:sz w:val="24"/>
          <w:szCs w:val="24"/>
        </w:rPr>
        <w:t xml:space="preserve"> </w:t>
      </w:r>
      <w:r>
        <w:rPr>
          <w:rFonts w:ascii="Times New Roman" w:hAnsi="Times New Roman"/>
          <w:noProof/>
          <w:sz w:val="24"/>
          <w:szCs w:val="24"/>
        </w:rPr>
        <w:t>para assegurar uma maior convergência ascendente entre os Estados-Membros em matéria de educação e acolhimento na primeira infância.</w:t>
      </w:r>
      <w:r>
        <w:rPr>
          <w:noProof/>
          <w:sz w:val="24"/>
          <w:szCs w:val="24"/>
        </w:rPr>
        <w:t xml:space="preserve"> </w:t>
      </w:r>
      <w:r>
        <w:rPr>
          <w:rFonts w:ascii="Times New Roman" w:hAnsi="Times New Roman"/>
          <w:noProof/>
          <w:sz w:val="24"/>
          <w:szCs w:val="24"/>
        </w:rPr>
        <w:t xml:space="preserve">Além disso, a proposta da Comissão de criação de uma </w:t>
      </w:r>
      <w:r>
        <w:rPr>
          <w:rFonts w:ascii="Times New Roman" w:hAnsi="Times New Roman"/>
          <w:b/>
          <w:noProof/>
          <w:sz w:val="24"/>
          <w:szCs w:val="24"/>
        </w:rPr>
        <w:t>Garantia para a Infância</w:t>
      </w:r>
      <w:r>
        <w:rPr>
          <w:rFonts w:ascii="Times New Roman" w:hAnsi="Times New Roman"/>
          <w:noProof/>
          <w:sz w:val="24"/>
          <w:szCs w:val="24"/>
        </w:rPr>
        <w:t xml:space="preserve"> em 2021</w:t>
      </w:r>
      <w:r>
        <w:rPr>
          <w:rFonts w:ascii="Times New Roman" w:hAnsi="Times New Roman"/>
          <w:b/>
          <w:noProof/>
          <w:sz w:val="24"/>
          <w:szCs w:val="24"/>
        </w:rPr>
        <w:t xml:space="preserve"> </w:t>
      </w:r>
      <w:r>
        <w:rPr>
          <w:rFonts w:ascii="Times New Roman" w:hAnsi="Times New Roman"/>
          <w:noProof/>
          <w:sz w:val="24"/>
          <w:szCs w:val="24"/>
        </w:rPr>
        <w:t>centrar-se-á nos obstáculos mais significativos que impedem as crianças de aceder aos serviços necessários para o seu bem-estar e desenvolvimento pessoal, a fim de quebrar o ciclo da pobreza e reduzir as desigualdades.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A Comissão continuará a apoiar </w:t>
      </w:r>
      <w:r>
        <w:rPr>
          <w:rFonts w:ascii="Times New Roman" w:hAnsi="Times New Roman"/>
          <w:b/>
          <w:noProof/>
          <w:sz w:val="24"/>
          <w:szCs w:val="24"/>
        </w:rPr>
        <w:t>o trabalho dos Estados-Membros para melhorar a disponibilidade de serviços de acolhimento de qualidade e economicamente acessíveis</w:t>
      </w:r>
      <w:r>
        <w:rPr>
          <w:rFonts w:ascii="Times New Roman" w:hAnsi="Times New Roman"/>
          <w:noProof/>
          <w:sz w:val="24"/>
          <w:szCs w:val="24"/>
        </w:rPr>
        <w:t xml:space="preserve"> destinados a crianças e outros dependentes mediante investimentos do Fundo Social Europeu Mais, do Fundo Europeu de Desenvolvimento Regional, do programa InvestEU e do Fundo Europeu Agrícola de Desenvolvimento Rural.</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No final de 2020, a Comissão lançará o processo de consulta de um </w:t>
      </w:r>
      <w:r>
        <w:rPr>
          <w:rFonts w:ascii="Times New Roman" w:hAnsi="Times New Roman"/>
          <w:b/>
          <w:noProof/>
          <w:sz w:val="24"/>
          <w:szCs w:val="24"/>
        </w:rPr>
        <w:t>Livro Verde sobre o envelhecimento</w:t>
      </w:r>
      <w:r>
        <w:rPr>
          <w:rFonts w:ascii="Times New Roman" w:hAnsi="Times New Roman"/>
          <w:noProof/>
          <w:sz w:val="24"/>
          <w:szCs w:val="24"/>
        </w:rPr>
        <w:t>, centrado nos cuidados continuados, nas pensões e no envelhecimento ativo.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after="120" w:line="100" w:lineRule="atLeast"/>
              <w:jc w:val="both"/>
              <w:rPr>
                <w:rFonts w:ascii="Times New Roman" w:hAnsi="Times New Roman" w:cs="Times New Roman"/>
                <w:b/>
                <w:noProof/>
                <w:sz w:val="24"/>
                <w:szCs w:val="24"/>
              </w:rPr>
            </w:pPr>
            <w:r>
              <w:rPr>
                <w:rFonts w:ascii="Times New Roman" w:hAnsi="Times New Roman"/>
                <w:b/>
                <w:noProof/>
                <w:sz w:val="24"/>
                <w:szCs w:val="24"/>
              </w:rPr>
              <w:t>Para além de empreender as ações acima referidas, a Comissão convida os Estados-Membros:</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transporem a Diretiva Equilíbrio Trabalho–Vida e aplicarem corretamente a legislação laboral e em matéria de igualdade de género da UE</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a darem seguimento às conclusões do Conselho, de junho de 2019, intituladas «</w:t>
            </w:r>
            <w:r>
              <w:rPr>
                <w:rFonts w:ascii="Times New Roman" w:hAnsi="Times New Roman"/>
                <w:bCs/>
                <w:noProof/>
                <w:sz w:val="24"/>
                <w:szCs w:val="24"/>
              </w:rPr>
              <w:t>Eliminar a disparidade salarial entre homens e mulheres</w:t>
            </w:r>
            <w:r>
              <w:rPr>
                <w:rFonts w:ascii="Times New Roman" w:hAnsi="Times New Roman"/>
                <w:noProof/>
                <w:sz w:val="24"/>
                <w:szCs w:val="24"/>
              </w:rPr>
              <w:t>;</w:t>
            </w:r>
            <w:r>
              <w:rPr>
                <w:rFonts w:ascii="Times New Roman" w:hAnsi="Times New Roman"/>
                <w:bCs/>
                <w:noProof/>
                <w:sz w:val="24"/>
                <w:szCs w:val="24"/>
              </w:rPr>
              <w:t xml:space="preserve"> políticas e medidas fundamentais»</w:t>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 xml:space="preserve">a assegurarem investimentos adequados nos serviços de educação e acolhimento na primeira infância e nos serviços de cuidados continuados, incluindo a partir do financiamento disponível da UE,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aplicarem a Declaração Ministerial de Compromisso sobre as mulheres no domínio digital.</w:t>
            </w:r>
          </w:p>
          <w:p>
            <w:pPr>
              <w:pStyle w:val="ListParagraph"/>
              <w:spacing w:after="120"/>
              <w:jc w:val="both"/>
              <w:rPr>
                <w:rFonts w:ascii="Times New Roman" w:hAnsi="Times New Roman" w:cs="Times New Roman"/>
                <w:noProof/>
                <w:sz w:val="12"/>
                <w:szCs w:val="12"/>
              </w:rPr>
            </w:pPr>
          </w:p>
        </w:tc>
      </w:tr>
    </w:tbl>
    <w:p>
      <w:pPr>
        <w:spacing w:before="240" w:line="100" w:lineRule="atLeast"/>
        <w:jc w:val="both"/>
        <w:rPr>
          <w:rFonts w:ascii="Times New Roman" w:hAnsi="Times New Roman" w:cs="Times New Roman"/>
          <w:b/>
          <w:bCs/>
          <w:noProof/>
          <w:sz w:val="28"/>
          <w:szCs w:val="28"/>
        </w:rPr>
      </w:pPr>
      <w:r>
        <w:rPr>
          <w:rFonts w:ascii="Times New Roman" w:hAnsi="Times New Roman"/>
          <w:b/>
          <w:bCs/>
          <w:noProof/>
          <w:sz w:val="28"/>
          <w:szCs w:val="28"/>
        </w:rPr>
        <w:t xml:space="preserve">3. </w:t>
      </w:r>
      <w:r>
        <w:rPr>
          <w:rFonts w:ascii="Times New Roman" w:hAnsi="Times New Roman"/>
          <w:b/>
          <w:bCs/>
          <w:noProof/>
          <w:sz w:val="28"/>
          <w:szCs w:val="28"/>
        </w:rPr>
        <w:tab/>
        <w:t>Assumir cargos de direção de forma equitativa em toda a sociedade</w:t>
      </w:r>
    </w:p>
    <w:p>
      <w:pPr>
        <w:spacing w:line="100" w:lineRule="atLeast"/>
        <w:jc w:val="both"/>
        <w:rPr>
          <w:rFonts w:ascii="Times New Roman" w:hAnsi="Times New Roman" w:cs="Times New Roman"/>
          <w:noProof/>
          <w:sz w:val="24"/>
          <w:szCs w:val="24"/>
        </w:rPr>
      </w:pPr>
      <w:r>
        <w:rPr>
          <w:rFonts w:ascii="Times New Roman" w:hAnsi="Times New Roman"/>
          <w:i/>
          <w:noProof/>
          <w:sz w:val="24"/>
          <w:szCs w:val="24"/>
        </w:rPr>
        <w:t xml:space="preserve">As empresas, as comunidades e os países devem ser dirigidos tanto por mulheres como por homens, em toda a sua diversidade. O facto de ser mulher ou homem não deve influenciar a carreira que se quer seguir. </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Alcançar um equilíbrio entre homens e mulheres na tomada de decisão e na política</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São ainda muito poucas as mulheres que ocupam cargos de direção tanto na política como em agências governamentais, nos órgãos jurisdicionais supremos ou nos conselhos de administração das empresas, ainda que exista paridade de género nos cargos inferiores. Se os cargos de topo forem ocupados exclusivamente por homens durante muito tempo, tal molda o padrão de recrutamento de sucessores, por vezes apenas devido a um preconceito inconsciente.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Para uma boa liderança, a presença tanto de mulheres como de homens é fundamental. </w:t>
      </w:r>
      <w:r>
        <w:rPr>
          <w:rFonts w:ascii="Times New Roman" w:hAnsi="Times New Roman"/>
          <w:b/>
          <w:noProof/>
          <w:sz w:val="24"/>
          <w:szCs w:val="24"/>
        </w:rPr>
        <w:t>É necessária uma liderança inclusiva e diversificada para resolver os complexos desafios que os decisores enfrentam hoje em dia</w:t>
      </w:r>
      <w:r>
        <w:rPr>
          <w:rFonts w:ascii="Times New Roman" w:hAnsi="Times New Roman"/>
          <w:noProof/>
          <w:sz w:val="24"/>
          <w:szCs w:val="24"/>
        </w:rPr>
        <w:t>. É essencial uma maior inclusão e diversidade para apresentar novas ideias e abordagens inovadoras que sirvam melhor uma sociedade europeia dinâmica e próspera. Permitir que cidadãos de todas as origens participem de forma significativa na sociedade é uma condição prévia necessária para o bom funcionamento da democracia e conduz a uma elaboração de políticas mais eficaz</w:t>
      </w:r>
      <w:r>
        <w:rPr>
          <w:rStyle w:val="FootnoteReference"/>
          <w:rFonts w:ascii="Times New Roman" w:hAnsi="Times New Roman" w:cs="Times New Roman"/>
          <w:noProof/>
          <w:sz w:val="24"/>
          <w:szCs w:val="24"/>
        </w:rPr>
        <w:footnoteReference w:id="67"/>
      </w:r>
      <w:r>
        <w:rPr>
          <w:rFonts w:ascii="Times New Roman" w:hAnsi="Times New Roman"/>
          <w:noProof/>
          <w:sz w:val="24"/>
          <w:szCs w:val="24"/>
        </w:rPr>
        <w:t>.</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6275" cy="1066800"/>
            <wp:effectExtent l="0" t="0" r="0" b="0"/>
            <wp:docPr id="23" name="Picture 23" descr="C:\Users\britoan\AppData\Local\Temp\1\7zO8D84929D\PT_gender-balance-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toan\AppData\Local\Temp\1\7zO8D84929D\PT_gender-balance-politic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4385" cy="1068303"/>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Um vasto leque de talentos e competências contribui para uma melhor tomada de decisões e governação empresarial e impulsiona o crescimento económico.</w:t>
      </w:r>
      <w:r>
        <w:rPr>
          <w:rFonts w:ascii="Times New Roman" w:hAnsi="Times New Roman" w:cs="Times New Roman"/>
          <w:noProof/>
          <w:sz w:val="24"/>
          <w:szCs w:val="24"/>
          <w:vertAlign w:val="superscript"/>
        </w:rPr>
        <w:footnoteReference w:id="68"/>
      </w:r>
      <w:r>
        <w:rPr>
          <w:noProof/>
          <w:sz w:val="24"/>
          <w:szCs w:val="24"/>
        </w:rPr>
        <w:t xml:space="preserve"> </w:t>
      </w:r>
      <w:r>
        <w:rPr>
          <w:rFonts w:ascii="Times New Roman" w:hAnsi="Times New Roman"/>
          <w:noProof/>
          <w:sz w:val="24"/>
          <w:szCs w:val="24"/>
        </w:rPr>
        <w:t>Apesar de alguns progressos registados nos últimos anos, as mulheres continuam a estar sub-representadas</w:t>
      </w:r>
      <w:r>
        <w:rPr>
          <w:rStyle w:val="FootnoteReference"/>
          <w:rFonts w:ascii="Times New Roman" w:hAnsi="Times New Roman" w:cs="Times New Roman"/>
          <w:noProof/>
          <w:sz w:val="24"/>
          <w:szCs w:val="24"/>
        </w:rPr>
        <w:footnoteReference w:id="69"/>
      </w:r>
      <w:r>
        <w:rPr>
          <w:rFonts w:ascii="Times New Roman" w:hAnsi="Times New Roman"/>
          <w:noProof/>
          <w:sz w:val="24"/>
          <w:szCs w:val="24"/>
        </w:rPr>
        <w:t xml:space="preserve"> em cargos de decisão nas empresas e na indústria europeia</w:t>
      </w:r>
      <w:r>
        <w:rPr>
          <w:noProof/>
          <w:sz w:val="24"/>
          <w:szCs w:val="24"/>
        </w:rPr>
        <w:t>.</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Para ajudar a eliminar as barreiras invisíveis, a Comissão promoverá a adoção da proposta de 2012 de </w:t>
      </w:r>
      <w:r>
        <w:rPr>
          <w:rFonts w:ascii="Times New Roman" w:hAnsi="Times New Roman"/>
          <w:b/>
          <w:noProof/>
          <w:sz w:val="24"/>
          <w:szCs w:val="24"/>
        </w:rPr>
        <w:t>diretiva relativa à melhoria do equilíbrio entre homens e mulheres nos conselhos de administração das empresas</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que estabelece um objetivo mínimo de 40 % de membros não executivos do sexo sub-representado nos conselhos de administração das empresas</w:t>
      </w:r>
      <w:r>
        <w:rPr>
          <w:rStyle w:val="FootnoteReference"/>
          <w:rFonts w:ascii="Times New Roman" w:hAnsi="Times New Roman" w:cs="Times New Roman"/>
          <w:noProof/>
          <w:sz w:val="24"/>
          <w:szCs w:val="24"/>
        </w:rPr>
        <w:footnoteReference w:id="71"/>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Paralelamente, a Comissão facilitará o intercâmbio de boas práticas em matéria de equilíbrio entre homens e mulheres nos conselhos de administração e cargos de gestão, recolhendo exemplos de projetos nacionais ou regionais desenvolvidos por governos, pela sociedade civil ou pelo setor privado. A </w:t>
      </w:r>
      <w:r>
        <w:rPr>
          <w:rFonts w:ascii="Times New Roman" w:hAnsi="Times New Roman"/>
          <w:b/>
          <w:noProof/>
          <w:sz w:val="24"/>
          <w:szCs w:val="24"/>
        </w:rPr>
        <w:t>Plataforma das Cartas da Diversidade da UE</w:t>
      </w:r>
      <w:r>
        <w:rPr>
          <w:rFonts w:ascii="Times New Roman" w:hAnsi="Times New Roman" w:cs="Times New Roman"/>
          <w:noProof/>
          <w:sz w:val="24"/>
          <w:szCs w:val="24"/>
          <w:vertAlign w:val="superscript"/>
        </w:rPr>
        <w:footnoteReference w:id="72"/>
      </w:r>
      <w:r>
        <w:rPr>
          <w:rFonts w:ascii="Times New Roman" w:hAnsi="Times New Roman"/>
          <w:noProof/>
          <w:sz w:val="24"/>
          <w:szCs w:val="24"/>
        </w:rPr>
        <w:t xml:space="preserve"> servirá de plataforma para o intercâmbio. A Comissão continuará a cooperar com projetos à escala da UE, como o Índice Europeu de Diversidade de Género</w:t>
      </w:r>
      <w:r>
        <w:rPr>
          <w:rStyle w:val="FootnoteReference"/>
          <w:rFonts w:ascii="Times New Roman" w:hAnsi="Times New Roman" w:cs="Times New Roman"/>
          <w:noProof/>
          <w:sz w:val="24"/>
          <w:szCs w:val="24"/>
        </w:rPr>
        <w:footnoteReference w:id="73"/>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A igualdade de oportunidades na participação é essencial para a democracia representativa a todos os níveis — europeu, nacional, regional e local.</w:t>
      </w:r>
      <w:r>
        <w:rPr>
          <w:rFonts w:ascii="Times New Roman" w:hAnsi="Times New Roman"/>
          <w:noProof/>
          <w:sz w:val="24"/>
          <w:szCs w:val="24"/>
        </w:rPr>
        <w:t xml:space="preserve"> A Comissão promoverá a participação das mulheres, enquanto eleitoras e candidatas, nas </w:t>
      </w:r>
      <w:r>
        <w:rPr>
          <w:rFonts w:ascii="Times New Roman" w:hAnsi="Times New Roman"/>
          <w:b/>
          <w:noProof/>
          <w:sz w:val="24"/>
          <w:szCs w:val="24"/>
        </w:rPr>
        <w:t>eleições de 2024 para o Parlamento Europeu</w:t>
      </w:r>
      <w:r>
        <w:rPr>
          <w:rFonts w:ascii="Times New Roman" w:hAnsi="Times New Roman"/>
          <w:noProof/>
          <w:sz w:val="24"/>
          <w:szCs w:val="24"/>
        </w:rPr>
        <w:t>, em colaboração com o Parlamento Europeu, os parlamentos nacionais, os Estados-Membros e a sociedade civil, nomeadamente através do financiamento e da promoção de boas práticas. Os partidos políticos europeus que solicitam financiamento da UE são encorajados a ser transparentes quanto ao equilíbrio entre homens e mulheres dos seus membros</w:t>
      </w:r>
      <w:r>
        <w:rPr>
          <w:rStyle w:val="FootnoteReference"/>
          <w:rFonts w:ascii="Times New Roman" w:hAnsi="Times New Roman" w:cs="Times New Roman"/>
          <w:noProof/>
          <w:sz w:val="24"/>
          <w:szCs w:val="24"/>
        </w:rPr>
        <w:footnoteReference w:id="74"/>
      </w:r>
      <w:r>
        <w:rPr>
          <w:rFonts w:ascii="Times New Roman" w:hAnsi="Times New Roman"/>
          <w:noProof/>
          <w:sz w:val="24"/>
          <w:szCs w:val="24"/>
        </w:rPr>
        <w:t xml:space="preserve">. </w:t>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7545" cy="1000125"/>
            <wp:effectExtent l="0" t="0" r="0" b="9525"/>
            <wp:docPr id="1" name="Picture 1" descr="C:\Users\britoan\AppData\Local\Microsoft\Windows\INetCache\Content.Outlook\UA7QW64C\PT_commission-me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toan\AppData\Local\Microsoft\Windows\INetCache\Content.Outlook\UA7QW64C\PT_commission-mep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193" cy="1000932"/>
                    </a:xfrm>
                    <a:prstGeom prst="rect">
                      <a:avLst/>
                    </a:prstGeom>
                    <a:noFill/>
                    <a:ln>
                      <a:noFill/>
                    </a:ln>
                  </pic:spPr>
                </pic:pic>
              </a:graphicData>
            </a:graphic>
          </wp:inline>
        </w:drawing>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As instituições e os organismos da UE não devem subtrair-se a esta obrigação</w:t>
      </w:r>
      <w:r>
        <w:rPr>
          <w:rFonts w:ascii="Times New Roman" w:hAnsi="Times New Roman"/>
          <w:noProof/>
          <w:sz w:val="24"/>
          <w:szCs w:val="24"/>
        </w:rPr>
        <w:t xml:space="preserve"> de assegurar o equilíbrio entre homens e mulheres em cargos de direção. A Comissão dará o exemplo.</w:t>
      </w:r>
      <w:r>
        <w:rPr>
          <w:rFonts w:ascii="Times New Roman" w:hAnsi="Times New Roman"/>
          <w:b/>
          <w:noProof/>
          <w:sz w:val="24"/>
          <w:szCs w:val="24"/>
        </w:rPr>
        <w:t xml:space="preserve"> </w:t>
      </w:r>
      <w:r>
        <w:rPr>
          <w:rFonts w:ascii="Times New Roman" w:hAnsi="Times New Roman"/>
          <w:noProof/>
          <w:sz w:val="24"/>
          <w:szCs w:val="24"/>
        </w:rPr>
        <w:t xml:space="preserve">Graças ao forte apelo da Presidente Ursula von der Leyen no sentido de se alcançar a </w:t>
      </w:r>
      <w:r>
        <w:rPr>
          <w:rFonts w:ascii="Times New Roman" w:hAnsi="Times New Roman"/>
          <w:b/>
          <w:noProof/>
          <w:sz w:val="24"/>
          <w:szCs w:val="24"/>
        </w:rPr>
        <w:t>paridade de género no Colégio de Comissários</w:t>
      </w:r>
      <w:r>
        <w:rPr>
          <w:rFonts w:ascii="Times New Roman" w:hAnsi="Times New Roman"/>
          <w:noProof/>
          <w:sz w:val="24"/>
          <w:szCs w:val="24"/>
        </w:rPr>
        <w:t xml:space="preserve">, este último conta atualmente com o mais elevado número de comissárias de sempre. A Comissão visa alcançar um </w:t>
      </w:r>
      <w:r>
        <w:rPr>
          <w:rFonts w:ascii="Times New Roman" w:hAnsi="Times New Roman"/>
          <w:b/>
          <w:bCs/>
          <w:noProof/>
          <w:sz w:val="24"/>
          <w:szCs w:val="24"/>
        </w:rPr>
        <w:t>equilíbrio entre homens e mulheres de 50 %</w:t>
      </w:r>
      <w:r>
        <w:rPr>
          <w:rFonts w:ascii="Times New Roman" w:hAnsi="Times New Roman"/>
          <w:noProof/>
          <w:sz w:val="24"/>
          <w:szCs w:val="24"/>
        </w:rPr>
        <w:t xml:space="preserve"> a todos os níveis da sua gestão até ao final de 2024</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As medidas de apoio incluirão objetivos quantitativos para as nomeações de mulheres e programas de desenvolvimento da liderança</w:t>
      </w:r>
      <w:r>
        <w:rPr>
          <w:rStyle w:val="FootnoteReference"/>
          <w:rFonts w:ascii="Times New Roman" w:hAnsi="Times New Roman" w:cs="Times New Roman"/>
          <w:noProof/>
          <w:sz w:val="24"/>
          <w:szCs w:val="24"/>
        </w:rPr>
        <w:footnoteReference w:id="76"/>
      </w:r>
      <w:r>
        <w:rPr>
          <w:rFonts w:ascii="Times New Roman" w:hAnsi="Times New Roman"/>
          <w:noProof/>
          <w:sz w:val="24"/>
          <w:szCs w:val="24"/>
        </w:rPr>
        <w:t xml:space="preserve">. A Comissão intensificará também os esforços no sentido de aumentar o número de </w:t>
      </w:r>
      <w:r>
        <w:rPr>
          <w:rFonts w:ascii="Times New Roman" w:hAnsi="Times New Roman"/>
          <w:b/>
          <w:noProof/>
          <w:sz w:val="24"/>
          <w:szCs w:val="24"/>
        </w:rPr>
        <w:t>gestores do sexo feminino nas agências da UE</w:t>
      </w:r>
      <w:r>
        <w:rPr>
          <w:rStyle w:val="FootnoteReference"/>
          <w:rFonts w:ascii="Times New Roman" w:hAnsi="Times New Roman" w:cs="Times New Roman"/>
          <w:noProof/>
          <w:sz w:val="24"/>
          <w:szCs w:val="24"/>
        </w:rPr>
        <w:footnoteReference w:id="77"/>
      </w:r>
      <w:r>
        <w:rPr>
          <w:rFonts w:ascii="Times New Roman" w:hAnsi="Times New Roman"/>
          <w:noProof/>
          <w:sz w:val="24"/>
          <w:szCs w:val="24"/>
        </w:rPr>
        <w:t xml:space="preserve"> e assegurará uma representação equilibrada de mulheres e homens entre os oradores e os membros dos painéis nas conferências por si organizadas. </w:t>
      </w:r>
    </w:p>
    <w:p>
      <w:pPr>
        <w:spacing w:after="0" w:line="240" w:lineRule="auto"/>
        <w:jc w:val="both"/>
        <w:rPr>
          <w:rFonts w:ascii="Times New Roman" w:hAnsi="Times New Roman" w:cs="Times New Roman"/>
          <w:noProof/>
          <w:sz w:val="24"/>
          <w:szCs w:val="24"/>
        </w:rPr>
      </w:pPr>
    </w:p>
    <w:p>
      <w:pPr>
        <w:spacing w:after="120" w:line="100" w:lineRule="atLeast"/>
        <w:jc w:val="both"/>
        <w:rPr>
          <w:rFonts w:ascii="Times New Roman" w:hAnsi="Times New Roman" w:cs="Times New Roman"/>
          <w:noProof/>
          <w:sz w:val="24"/>
          <w:szCs w:val="24"/>
        </w:rPr>
      </w:pPr>
      <w:r>
        <w:rPr>
          <w:rFonts w:ascii="Times New Roman" w:hAnsi="Times New Roman"/>
          <w:noProof/>
          <w:sz w:val="24"/>
          <w:szCs w:val="24"/>
        </w:rPr>
        <w:t xml:space="preserve">A Comissão ajudará os Estados-Membros a elaborar e aplicar </w:t>
      </w:r>
      <w:r>
        <w:rPr>
          <w:rFonts w:ascii="Times New Roman" w:hAnsi="Times New Roman"/>
          <w:b/>
          <w:noProof/>
          <w:sz w:val="24"/>
          <w:szCs w:val="24"/>
        </w:rPr>
        <w:t>estratégias mais eficazes para aumentar o número de mulheres em cargos de tomada de decisão</w:t>
      </w:r>
      <w:r>
        <w:rPr>
          <w:rFonts w:ascii="Times New Roman" w:hAnsi="Times New Roman"/>
          <w:noProof/>
          <w:sz w:val="24"/>
          <w:szCs w:val="24"/>
        </w:rPr>
        <w:t>, nomeadamente através do Programa de Aprendizagem Mútua em matéria de Igualdade de Género</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Além disso, </w:t>
      </w:r>
      <w:r>
        <w:rPr>
          <w:rFonts w:ascii="Times New Roman" w:hAnsi="Times New Roman"/>
          <w:b/>
          <w:noProof/>
          <w:sz w:val="24"/>
          <w:szCs w:val="24"/>
        </w:rPr>
        <w:t>divulgará dados e análises sobre as tendências da representação de mulheres e homens em cargos de tomada de decisão</w:t>
      </w:r>
      <w:r>
        <w:rPr>
          <w:rFonts w:ascii="Times New Roman" w:hAnsi="Times New Roman"/>
          <w:noProof/>
          <w:sz w:val="24"/>
          <w:szCs w:val="24"/>
        </w:rPr>
        <w:t>, em cooperação com o Instituto Europeu para a Igualdade de Género (EIGE).</w:t>
      </w:r>
    </w:p>
    <w:p>
      <w:pPr>
        <w:rPr>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pStyle w:val="ListParagraph"/>
              <w:spacing w:after="120"/>
              <w:ind w:left="0"/>
              <w:jc w:val="both"/>
              <w:rPr>
                <w:rFonts w:ascii="Times New Roman" w:hAnsi="Times New Roman" w:cs="Times New Roman"/>
                <w:b/>
                <w:noProof/>
                <w:sz w:val="24"/>
                <w:szCs w:val="24"/>
              </w:rPr>
            </w:pPr>
            <w:r>
              <w:rPr>
                <w:rFonts w:ascii="Times New Roman" w:hAnsi="Times New Roman"/>
                <w:b/>
                <w:noProof/>
                <w:sz w:val="24"/>
                <w:szCs w:val="24"/>
              </w:rPr>
              <w:t xml:space="preserve">Para além de empreender as ações acima referidas, a Comissão convida: </w:t>
            </w:r>
          </w:p>
          <w:p>
            <w:pPr>
              <w:pStyle w:val="ListParagraph"/>
              <w:spacing w:after="120"/>
              <w:ind w:left="0"/>
              <w:jc w:val="both"/>
              <w:rPr>
                <w:rFonts w:ascii="Times New Roman" w:hAnsi="Times New Roman" w:cs="Times New Roman"/>
                <w:b/>
                <w:noProof/>
                <w:sz w:val="24"/>
                <w:szCs w:val="24"/>
              </w:rPr>
            </w:pPr>
          </w:p>
          <w:p>
            <w:pPr>
              <w:pStyle w:val="ListParagraph"/>
              <w:numPr>
                <w:ilvl w:val="0"/>
                <w:numId w:val="91"/>
              </w:num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 xml:space="preserve">o Parlamento Europeu e o Conselho: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adotarem a proposta de diretiva relativa à melhoria do equilíbrio entre homens e mulheres nos conselhos de administração das empresas,</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adotarem medidas destinadas a melhorar o equilíbrio entre homens e mulheres a todos os níveis da sua gestão e em cargos de direção.</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os Estados-Membros:</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a transporem e aplicarem a diretiva relativa à melhoria do equilíbrio entre homens e mulheres nos conselhos de administração das empresas, assim que for adotada,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desenvolverem e aplicarem estratégias destinadas a aumentar o número de mulheres em cargos de tomada de decisão</w:t>
            </w:r>
            <w:r>
              <w:rPr>
                <w:rFonts w:ascii="Times New Roman" w:hAnsi="Times New Roman"/>
                <w:b/>
                <w:noProof/>
                <w:sz w:val="24"/>
                <w:szCs w:val="24"/>
              </w:rPr>
              <w:t xml:space="preserve"> </w:t>
            </w:r>
            <w:r>
              <w:rPr>
                <w:rFonts w:ascii="Times New Roman" w:hAnsi="Times New Roman"/>
                <w:noProof/>
                <w:sz w:val="24"/>
                <w:szCs w:val="24"/>
              </w:rPr>
              <w:t>na política e na elaboração de políticas.</w:t>
            </w:r>
          </w:p>
          <w:p>
            <w:pPr>
              <w:pStyle w:val="ListParagraph"/>
              <w:spacing w:after="120"/>
              <w:jc w:val="both"/>
              <w:rPr>
                <w:noProof/>
                <w:sz w:val="24"/>
                <w:szCs w:val="24"/>
              </w:rPr>
            </w:pPr>
          </w:p>
        </w:tc>
      </w:tr>
    </w:tbl>
    <w:p>
      <w:pPr>
        <w:spacing w:before="240"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4. </w:t>
      </w:r>
      <w:r>
        <w:rPr>
          <w:rFonts w:ascii="Times New Roman" w:hAnsi="Times New Roman"/>
          <w:b/>
          <w:noProof/>
          <w:sz w:val="28"/>
          <w:szCs w:val="28"/>
        </w:rPr>
        <w:tab/>
        <w:t>Integração da perspetiva de género e promoção de uma perspetiva interseccional nas políticas da UE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Todos os principais desafios com que a UE se confronta atualmente — incluindo as transições ecológica e digital e as alterações demográficas — têm uma dimensão de género. A inclusão de uma perspetiva de género em todas as políticas e processos da UE é essencial para atingir o objetivo da igualdade de género.</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A integração do género assegura que as políticas e os programas maximizem o potencial de todas as pessoas — mulheres e homens, raparigas e rapazes, em toda a sua diversidade. O objetivo é redistribuir poder, influência e recursos de forma justa e equitativa em termos de género, combatendo a desigualdade, promovendo a equidade e criando oportunidades.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 Comissão </w:t>
      </w:r>
      <w:r>
        <w:rPr>
          <w:rFonts w:ascii="Times New Roman" w:hAnsi="Times New Roman"/>
          <w:b/>
          <w:noProof/>
          <w:sz w:val="24"/>
          <w:szCs w:val="24"/>
        </w:rPr>
        <w:t xml:space="preserve">integrará uma perspetiva de género em todas as suas principais iniciativas durante o atual mandato, </w:t>
      </w:r>
      <w:r>
        <w:rPr>
          <w:rFonts w:ascii="Times New Roman" w:hAnsi="Times New Roman"/>
          <w:noProof/>
          <w:sz w:val="24"/>
          <w:szCs w:val="24"/>
        </w:rPr>
        <w:t xml:space="preserve">o que será facilitado pela nomeação da primeira Comissária para a Igualdade, como pasta autónoma, e, graças à criação de um </w:t>
      </w:r>
      <w:r>
        <w:rPr>
          <w:rFonts w:ascii="Times New Roman" w:hAnsi="Times New Roman"/>
          <w:b/>
          <w:noProof/>
          <w:sz w:val="24"/>
          <w:szCs w:val="24"/>
        </w:rPr>
        <w:t>Grupo de Trabalho para a Igualdade</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xml:space="preserve"> composto por representantes de todos os seus serviços e do Serviço Europeu para a Ação Externa, assegurará a implementação, ao nível operacional e técnico, da integração da igualdade, incluindo a igualdade de género.</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A título de exemplo, as futuras políticas previstas no quadro do</w:t>
      </w:r>
      <w:r>
        <w:rPr>
          <w:rFonts w:ascii="Times New Roman" w:hAnsi="Times New Roman"/>
          <w:b/>
          <w:noProof/>
          <w:sz w:val="24"/>
          <w:szCs w:val="24"/>
        </w:rPr>
        <w:t xml:space="preserve"> Pacto Ecológico Europeu</w:t>
      </w:r>
      <w:r>
        <w:rPr>
          <w:rFonts w:ascii="Times New Roman" w:hAnsi="Times New Roman"/>
          <w:noProof/>
          <w:sz w:val="24"/>
          <w:szCs w:val="24"/>
        </w:rPr>
        <w:t xml:space="preserve">, como a </w:t>
      </w:r>
      <w:r>
        <w:rPr>
          <w:rFonts w:ascii="Times New Roman" w:hAnsi="Times New Roman"/>
          <w:b/>
          <w:noProof/>
          <w:sz w:val="24"/>
          <w:szCs w:val="24"/>
        </w:rPr>
        <w:t>vaga de renovação de edifícios</w:t>
      </w:r>
      <w:r>
        <w:rPr>
          <w:rFonts w:ascii="Times New Roman" w:hAnsi="Times New Roman"/>
          <w:noProof/>
          <w:sz w:val="24"/>
          <w:szCs w:val="24"/>
        </w:rPr>
        <w:t xml:space="preserve"> ou a </w:t>
      </w:r>
      <w:r>
        <w:rPr>
          <w:rFonts w:ascii="Times New Roman" w:hAnsi="Times New Roman"/>
          <w:b/>
          <w:noProof/>
          <w:sz w:val="24"/>
          <w:szCs w:val="24"/>
        </w:rPr>
        <w:t>estratégia da UE de adaptação às alterações climáticas</w:t>
      </w:r>
      <w:r>
        <w:rPr>
          <w:rFonts w:ascii="Times New Roman" w:hAnsi="Times New Roman"/>
          <w:noProof/>
          <w:sz w:val="24"/>
          <w:szCs w:val="24"/>
        </w:rPr>
        <w:t>, podem ter um impacto diferente nas mulheres e nos homens</w:t>
      </w:r>
      <w:r>
        <w:rPr>
          <w:rStyle w:val="FootnoteReference"/>
          <w:rFonts w:ascii="Times New Roman" w:hAnsi="Times New Roman" w:cs="Times New Roman"/>
          <w:noProof/>
          <w:sz w:val="24"/>
          <w:szCs w:val="24"/>
        </w:rPr>
        <w:footnoteReference w:id="80"/>
      </w:r>
      <w:r>
        <w:rPr>
          <w:rFonts w:ascii="Times New Roman" w:hAnsi="Times New Roman"/>
          <w:noProof/>
          <w:sz w:val="24"/>
          <w:szCs w:val="24"/>
        </w:rPr>
        <w:t xml:space="preserve">. No respeitante às </w:t>
      </w:r>
      <w:r>
        <w:rPr>
          <w:rFonts w:ascii="Times New Roman" w:hAnsi="Times New Roman"/>
          <w:b/>
          <w:noProof/>
          <w:sz w:val="24"/>
          <w:szCs w:val="24"/>
        </w:rPr>
        <w:t>alterações climáticas</w:t>
      </w:r>
      <w:r>
        <w:rPr>
          <w:rFonts w:ascii="Times New Roman" w:hAnsi="Times New Roman"/>
          <w:noProof/>
          <w:sz w:val="24"/>
          <w:szCs w:val="24"/>
        </w:rPr>
        <w:t>, tem sido muito importante o papel das jovens mulheres, em especial, à frente do movimento para uma mudança. As mulheres e os homens não são afetados da mesma forma pelas políticas ecológicas de luta contra as alterações climáticas (as mulheres têm menos possibilidades enquanto migrantes climáticos), de transição para uma economia limpa (há mais mulheres vítimas de pobreza energética) e de transportes sem emissões (mais mulheres utilizam os transportes públicos). A tomada em consideração da dimensão de género pode, por conseguinte, desempenhar um papel fundamental para explorar plenamente o potencial destas políticas.</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Outro exemplo é o da </w:t>
      </w:r>
      <w:r>
        <w:rPr>
          <w:rFonts w:ascii="Times New Roman" w:hAnsi="Times New Roman"/>
          <w:b/>
          <w:noProof/>
          <w:sz w:val="24"/>
          <w:szCs w:val="24"/>
        </w:rPr>
        <w:t>digitalização</w:t>
      </w:r>
      <w:r>
        <w:rPr>
          <w:rFonts w:ascii="Times New Roman" w:hAnsi="Times New Roman"/>
          <w:noProof/>
          <w:sz w:val="24"/>
          <w:szCs w:val="24"/>
        </w:rPr>
        <w:t>, que mudará fundamentalmente a nossa vida e a dos nossos filhos. Durante esta transição, é crucial que as mulheres ajudem a construir este futuro e que, em comparação com o presente, sejam muitas mais as raparigas que adquirem competências informáticas para poderem desempenhar um papel na construção do mundo digital de amanhã.</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No domínio da saúde</w:t>
      </w:r>
      <w:r>
        <w:rPr>
          <w:rFonts w:ascii="Times New Roman" w:hAnsi="Times New Roman"/>
          <w:bCs/>
          <w:noProof/>
          <w:sz w:val="24"/>
          <w:szCs w:val="24"/>
        </w:rPr>
        <w:t xml:space="preserve">, as mulheres e os homens são confrontados com ameaças para a saúde específicas a cada sexo. Uma dimensão de género será integrada no plano europeu de luta contra o cancro, a lançar em 2020. </w:t>
      </w:r>
      <w:r>
        <w:rPr>
          <w:rFonts w:ascii="Times New Roman" w:hAnsi="Times New Roman"/>
          <w:noProof/>
          <w:sz w:val="24"/>
          <w:szCs w:val="24"/>
        </w:rPr>
        <w:t xml:space="preserve">Facilitar-se-á o intercâmbio regular de boas práticas entre os Estados-Membros e as partes interessadas sobre os aspetos de género associados à saúde, incluindo a saúde sexual e reprodutiva e direitos conexos. </w:t>
      </w:r>
    </w:p>
    <w:p>
      <w:pPr>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w:t>
      </w:r>
      <w:r>
        <w:rPr>
          <w:rFonts w:ascii="Times New Roman" w:hAnsi="Times New Roman"/>
          <w:b/>
          <w:noProof/>
          <w:sz w:val="24"/>
          <w:szCs w:val="24"/>
        </w:rPr>
        <w:t>Agenda da UE de Luta contra a Droga</w:t>
      </w:r>
      <w:r>
        <w:rPr>
          <w:rFonts w:ascii="Times New Roman" w:hAnsi="Times New Roman"/>
          <w:noProof/>
          <w:sz w:val="24"/>
          <w:szCs w:val="24"/>
        </w:rPr>
        <w:t xml:space="preserve"> para 2021–2025 será adotada em 2020 e abordará igualmente as problemáticas específicas enfrentadas pelas mulheres e raparigas em caso de abuso de estupefacientes.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A </w:t>
      </w:r>
      <w:r>
        <w:rPr>
          <w:rFonts w:ascii="Times New Roman" w:hAnsi="Times New Roman"/>
          <w:b/>
          <w:noProof/>
          <w:sz w:val="24"/>
          <w:szCs w:val="24"/>
        </w:rPr>
        <w:t>interseccionalidade do género com outros motivos de discriminação será abordada em todas as políticas da UE</w:t>
      </w:r>
      <w:r>
        <w:rPr>
          <w:rFonts w:ascii="Times New Roman" w:hAnsi="Times New Roman"/>
          <w:noProof/>
          <w:sz w:val="24"/>
          <w:szCs w:val="24"/>
        </w:rPr>
        <w:t>. As mulheres são um grupo heterogéneo e podem enfrentar discriminação interseccional com base em várias características pessoais. Por exemplo, uma mulher migrante com uma deficiência pode ser discriminada por três ou mais motivos. A legislação e as políticas da UE, bem como a sua aplicação, devem, por conseguinte, responder às necessidades e circunstâncias específicas das mulheres e raparigas pertencentes a diferentes grupos. O próximo plano de ação para a integração e a inclusão e os</w:t>
      </w:r>
      <w:r>
        <w:rPr>
          <w:noProof/>
          <w:sz w:val="24"/>
          <w:szCs w:val="24"/>
        </w:rPr>
        <w:t xml:space="preserve"> </w:t>
      </w:r>
      <w:r>
        <w:rPr>
          <w:rFonts w:ascii="Times New Roman" w:hAnsi="Times New Roman"/>
          <w:noProof/>
          <w:sz w:val="24"/>
          <w:szCs w:val="24"/>
        </w:rPr>
        <w:t xml:space="preserve">quadros estratégicos da UE em matéria de deficiência, LGBTI+, inclusão dos ciganos e direitos das crianças serão associados a esta estratégia e interligados. Além disso, a perspetiva interseccional será sempre tida em conta nas </w:t>
      </w:r>
      <w:r>
        <w:rPr>
          <w:rFonts w:ascii="Times New Roman" w:hAnsi="Times New Roman"/>
          <w:bCs/>
          <w:noProof/>
          <w:sz w:val="24"/>
          <w:szCs w:val="24"/>
        </w:rPr>
        <w:t>políticas em matéria de igualdade de género</w:t>
      </w:r>
      <w:r>
        <w:rPr>
          <w:b/>
          <w:noProof/>
          <w:sz w:val="24"/>
          <w:szCs w:val="24"/>
        </w:rPr>
        <w:t>.</w:t>
      </w:r>
    </w:p>
    <w:p>
      <w:pPr>
        <w:spacing w:before="360" w:line="100" w:lineRule="atLeast"/>
        <w:ind w:left="567" w:hanging="567"/>
        <w:jc w:val="both"/>
        <w:rPr>
          <w:rFonts w:ascii="Times New Roman" w:hAnsi="Times New Roman" w:cs="Times New Roman"/>
          <w:b/>
          <w:noProof/>
          <w:sz w:val="28"/>
          <w:szCs w:val="28"/>
        </w:rPr>
      </w:pPr>
      <w:r>
        <w:rPr>
          <w:rFonts w:ascii="Times New Roman" w:hAnsi="Times New Roman"/>
          <w:b/>
          <w:noProof/>
          <w:sz w:val="28"/>
          <w:szCs w:val="28"/>
        </w:rPr>
        <w:t xml:space="preserve">5. </w:t>
      </w:r>
      <w:r>
        <w:rPr>
          <w:rFonts w:ascii="Times New Roman" w:hAnsi="Times New Roman"/>
          <w:b/>
          <w:noProof/>
          <w:sz w:val="28"/>
          <w:szCs w:val="28"/>
        </w:rPr>
        <w:tab/>
        <w:t>Financiar medidas para realizar progressos em matéria de igualdade de género na UE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As propostas da Comissão para o Quadro Financeiro Plurianual (QFP) asseguram a integração de uma dimensão de género em todo o quadro financeiro e, mais especificamente, em vários instrumentos de financiamento e garantia orçamental da UE, em especial o </w:t>
      </w:r>
      <w:r>
        <w:rPr>
          <w:rFonts w:ascii="Times New Roman" w:hAnsi="Times New Roman"/>
          <w:b/>
          <w:noProof/>
          <w:sz w:val="24"/>
          <w:szCs w:val="24"/>
        </w:rPr>
        <w:t>Fundo Social Europeu Mais</w:t>
      </w:r>
      <w:r>
        <w:rPr>
          <w:rFonts w:ascii="Times New Roman" w:hAnsi="Times New Roman"/>
          <w:noProof/>
          <w:sz w:val="24"/>
          <w:szCs w:val="24"/>
        </w:rPr>
        <w:t xml:space="preserve">, o </w:t>
      </w:r>
      <w:r>
        <w:rPr>
          <w:rFonts w:ascii="Times New Roman" w:hAnsi="Times New Roman"/>
          <w:b/>
          <w:noProof/>
          <w:sz w:val="24"/>
          <w:szCs w:val="24"/>
        </w:rPr>
        <w:t>Fundo Europeu de Desenvolvimento Regional, o programa Europa Criativa</w:t>
      </w:r>
      <w:r>
        <w:rPr>
          <w:rFonts w:ascii="Times New Roman" w:hAnsi="Times New Roman"/>
          <w:noProof/>
          <w:sz w:val="24"/>
          <w:szCs w:val="24"/>
        </w:rPr>
        <w:t xml:space="preserve">, o </w:t>
      </w:r>
      <w:r>
        <w:rPr>
          <w:rFonts w:ascii="Times New Roman" w:hAnsi="Times New Roman"/>
          <w:b/>
          <w:noProof/>
          <w:sz w:val="24"/>
          <w:szCs w:val="24"/>
        </w:rPr>
        <w:t>Fundo Europeu dos Assuntos Marítimos e das Pescas</w:t>
      </w:r>
      <w:r>
        <w:rPr>
          <w:rFonts w:ascii="Times New Roman" w:hAnsi="Times New Roman"/>
          <w:noProof/>
          <w:sz w:val="24"/>
          <w:szCs w:val="24"/>
        </w:rPr>
        <w:t xml:space="preserve">, o </w:t>
      </w:r>
      <w:r>
        <w:rPr>
          <w:rFonts w:ascii="Times New Roman" w:hAnsi="Times New Roman"/>
          <w:b/>
          <w:noProof/>
          <w:sz w:val="24"/>
          <w:szCs w:val="24"/>
        </w:rPr>
        <w:t>Fundo de Coesão</w:t>
      </w:r>
      <w:r>
        <w:rPr>
          <w:rFonts w:ascii="Times New Roman" w:hAnsi="Times New Roman"/>
          <w:noProof/>
          <w:sz w:val="24"/>
          <w:szCs w:val="24"/>
        </w:rPr>
        <w:t xml:space="preserve"> e o </w:t>
      </w:r>
      <w:r>
        <w:rPr>
          <w:rFonts w:ascii="Times New Roman" w:hAnsi="Times New Roman"/>
          <w:b/>
          <w:noProof/>
          <w:sz w:val="24"/>
          <w:szCs w:val="24"/>
        </w:rPr>
        <w:t>programa</w:t>
      </w:r>
      <w:r>
        <w:rPr>
          <w:rFonts w:ascii="Times New Roman" w:hAnsi="Times New Roman"/>
          <w:noProof/>
          <w:sz w:val="24"/>
          <w:szCs w:val="24"/>
        </w:rPr>
        <w:t xml:space="preserve"> </w:t>
      </w:r>
      <w:r>
        <w:rPr>
          <w:rFonts w:ascii="Times New Roman" w:hAnsi="Times New Roman"/>
          <w:b/>
          <w:noProof/>
          <w:sz w:val="24"/>
          <w:szCs w:val="24"/>
        </w:rPr>
        <w:t>InvestEU</w:t>
      </w:r>
      <w:r>
        <w:rPr>
          <w:rFonts w:ascii="Times New Roman" w:hAnsi="Times New Roman"/>
          <w:noProof/>
          <w:sz w:val="24"/>
          <w:szCs w:val="24"/>
        </w:rPr>
        <w:t>. O financiamento apoiará medidas destinadas a promover a participação das mulheres no mercado de trabalho e a conciliação entre a vida profissional e a vida privada, a investir em estruturas de acolhimento, a apoiar o empreendedorismo feminino, a combater a segregação de género em determinadas profissões e a abordar a representação desequilibrada de raparigas e rapazes em alguns setores da educação e da formação.</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O Regulamento Disposições Comuns</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xml:space="preserve"> proposto inclui </w:t>
      </w:r>
      <w:r>
        <w:rPr>
          <w:rFonts w:ascii="Times New Roman" w:hAnsi="Times New Roman"/>
          <w:b/>
          <w:noProof/>
          <w:sz w:val="24"/>
          <w:szCs w:val="24"/>
        </w:rPr>
        <w:t>«condições favoráveis» específicas</w:t>
      </w:r>
      <w:r>
        <w:rPr>
          <w:rFonts w:ascii="Times New Roman" w:hAnsi="Times New Roman"/>
          <w:noProof/>
          <w:sz w:val="24"/>
          <w:szCs w:val="24"/>
        </w:rPr>
        <w:t xml:space="preserve">, exigindo que um Estado-Membro disponha de um </w:t>
      </w:r>
      <w:r>
        <w:rPr>
          <w:rFonts w:ascii="Times New Roman" w:hAnsi="Times New Roman"/>
          <w:b/>
          <w:noProof/>
          <w:sz w:val="24"/>
          <w:szCs w:val="24"/>
        </w:rPr>
        <w:t>quadro estratégico nacional em matéria de igualdade de género</w:t>
      </w:r>
      <w:r>
        <w:rPr>
          <w:rFonts w:ascii="Times New Roman" w:hAnsi="Times New Roman"/>
          <w:noProof/>
          <w:sz w:val="24"/>
          <w:szCs w:val="24"/>
        </w:rPr>
        <w:t xml:space="preserve"> como condição prévia para utilizar os fundos ao investir na melhoria do equilíbrio entre homens e mulheres no mercado de trabalho, na conciliação entre a vida profissional e a vida privada ou nas infraestruturas de acolhimento de crianças. Outra </w:t>
      </w:r>
      <w:r>
        <w:rPr>
          <w:rFonts w:ascii="Times New Roman" w:hAnsi="Times New Roman"/>
          <w:b/>
          <w:noProof/>
          <w:sz w:val="24"/>
          <w:szCs w:val="24"/>
        </w:rPr>
        <w:t>condição favorável horizontal</w:t>
      </w:r>
      <w:r>
        <w:rPr>
          <w:rFonts w:ascii="Times New Roman" w:hAnsi="Times New Roman"/>
          <w:noProof/>
          <w:sz w:val="24"/>
          <w:szCs w:val="24"/>
        </w:rPr>
        <w:t xml:space="preserve"> para a aplicação efetiva da </w:t>
      </w:r>
      <w:r>
        <w:rPr>
          <w:rFonts w:ascii="Times New Roman" w:hAnsi="Times New Roman"/>
          <w:b/>
          <w:noProof/>
          <w:sz w:val="24"/>
          <w:szCs w:val="24"/>
        </w:rPr>
        <w:t>Carta dos Direitos Fundamentais</w:t>
      </w:r>
      <w:r>
        <w:rPr>
          <w:rFonts w:ascii="Times New Roman" w:hAnsi="Times New Roman"/>
          <w:noProof/>
          <w:sz w:val="24"/>
          <w:szCs w:val="24"/>
        </w:rPr>
        <w:t xml:space="preserve"> inclui a igualdade de género como um dos seus princípios fundamentais e aplica-se a todos os investimentos ao abrigo do regulamento em causa.</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O financiamento específico de projetos a favor de organizações da sociedade civil e instituições públicas que executem ações específicas, incluindo a prevenção e o combate à violência de género, estará disponível através do </w:t>
      </w:r>
      <w:r>
        <w:rPr>
          <w:rFonts w:ascii="Times New Roman" w:hAnsi="Times New Roman"/>
          <w:b/>
          <w:noProof/>
          <w:sz w:val="24"/>
          <w:szCs w:val="24"/>
        </w:rPr>
        <w:t>programa Cidadãos, Igualdade, Direitos e Valores</w:t>
      </w:r>
      <w:r>
        <w:rPr>
          <w:rFonts w:ascii="Times New Roman" w:hAnsi="Times New Roman"/>
          <w:noProof/>
          <w:sz w:val="24"/>
          <w:szCs w:val="24"/>
        </w:rPr>
        <w:t xml:space="preserve">. Deve ser prestada especial atenção às mulheres e às raparigas que se encontrem em situação de asilo e migração. Através do </w:t>
      </w:r>
      <w:r>
        <w:rPr>
          <w:rFonts w:ascii="Times New Roman" w:hAnsi="Times New Roman"/>
          <w:b/>
          <w:noProof/>
          <w:sz w:val="24"/>
          <w:szCs w:val="24"/>
        </w:rPr>
        <w:t>Fundo para o Asilo e a Migração</w:t>
      </w:r>
      <w:r>
        <w:rPr>
          <w:rFonts w:ascii="Times New Roman" w:hAnsi="Times New Roman"/>
          <w:noProof/>
          <w:sz w:val="24"/>
          <w:szCs w:val="24"/>
        </w:rPr>
        <w:t>, a Comissão incentivará os Estados-Membros a orientarem-se para ações destinadas a apoiar as necessidades específicas das mulheres no quadro do procedimento de asilo, bem como ações que favoreçam a integração das mulheres na nova sociedade. Além disso, o fundo permitirá reforçar a proteção dos grupos vulneráveis, incluindo as mulheres vítimas de violência baseada no género em situações de asilo e migração.</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No domínio da investigação e inovação, a Comissão introduzirá novas medidas destinadas a reforçar a igualdade de género no programa </w:t>
      </w:r>
      <w:r>
        <w:rPr>
          <w:rFonts w:ascii="Times New Roman" w:hAnsi="Times New Roman"/>
          <w:b/>
          <w:noProof/>
          <w:sz w:val="24"/>
          <w:szCs w:val="24"/>
        </w:rPr>
        <w:t>Horizonte Europa</w:t>
      </w:r>
      <w:r>
        <w:rPr>
          <w:rFonts w:ascii="Times New Roman" w:hAnsi="Times New Roman"/>
          <w:noProof/>
          <w:sz w:val="24"/>
          <w:szCs w:val="24"/>
        </w:rPr>
        <w:t xml:space="preserve">, como a possibilidade de exigir que os </w:t>
      </w:r>
      <w:r>
        <w:rPr>
          <w:rFonts w:ascii="Times New Roman" w:hAnsi="Times New Roman"/>
          <w:b/>
          <w:noProof/>
          <w:sz w:val="24"/>
          <w:szCs w:val="24"/>
        </w:rPr>
        <w:t>candidatos apresentem um plano sobre a igualdade de género</w:t>
      </w:r>
      <w:r>
        <w:rPr>
          <w:rFonts w:ascii="Times New Roman" w:hAnsi="Times New Roman"/>
          <w:noProof/>
          <w:sz w:val="24"/>
          <w:szCs w:val="24"/>
        </w:rPr>
        <w:t xml:space="preserve">, e uma iniciativa para aumentar o número de empresas tecnológicas em fase de arranque lideradas por mulheres. Serão igualmente disponibilizados fundos para a investigação interseccional e em matéria de género.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Serão igualmente proporcionadas oportunidades de financiamento para aumentar os conhecimentos empresariais das mulheres e a sua participação no processo de tomada de decisões e para investir no desenvolvimento dos serviços de base nas zonas rurais no âmbito da </w:t>
      </w:r>
      <w:r>
        <w:rPr>
          <w:rFonts w:ascii="Times New Roman" w:hAnsi="Times New Roman"/>
          <w:b/>
          <w:noProof/>
          <w:sz w:val="24"/>
          <w:szCs w:val="24"/>
        </w:rPr>
        <w:t>política agrícola comum</w:t>
      </w:r>
      <w:r>
        <w:rPr>
          <w:rFonts w:ascii="Times New Roman" w:hAnsi="Times New Roman"/>
          <w:noProof/>
          <w:sz w:val="24"/>
          <w:szCs w:val="24"/>
        </w:rPr>
        <w:t>. A fim de capacitar as mulheres, está previsto um novo convite à apresentação de propostas destinado exclusivamente a mulheres na «economia azul»</w:t>
      </w:r>
      <w:r>
        <w:rPr>
          <w:rStyle w:val="FootnoteReference"/>
          <w:rFonts w:ascii="Times New Roman" w:hAnsi="Times New Roman" w:cs="Times New Roman"/>
          <w:noProof/>
          <w:sz w:val="24"/>
          <w:szCs w:val="24"/>
        </w:rPr>
        <w:footnoteReference w:id="82"/>
      </w:r>
      <w:r>
        <w:rPr>
          <w:rFonts w:ascii="Times New Roman" w:hAnsi="Times New Roman"/>
          <w:noProof/>
          <w:sz w:val="24"/>
          <w:szCs w:val="24"/>
        </w:rPr>
        <w:t xml:space="preserve"> como parte do próximo </w:t>
      </w:r>
      <w:r>
        <w:rPr>
          <w:rFonts w:ascii="Times New Roman" w:hAnsi="Times New Roman"/>
          <w:b/>
          <w:noProof/>
          <w:sz w:val="24"/>
          <w:szCs w:val="24"/>
        </w:rPr>
        <w:t>Fundo Europeu dos Assuntos Marítimos e das Pescas</w:t>
      </w:r>
      <w:r>
        <w:rPr>
          <w:rFonts w:ascii="Times New Roman" w:hAnsi="Times New Roman"/>
          <w:noProof/>
          <w:sz w:val="24"/>
          <w:szCs w:val="24"/>
        </w:rPr>
        <w:t xml:space="preserve"> para 2021–2027.</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Uma Estratégia para a Inclusão e a Diversidade para o futuro </w:t>
      </w:r>
      <w:r>
        <w:rPr>
          <w:rFonts w:ascii="Times New Roman" w:hAnsi="Times New Roman"/>
          <w:b/>
          <w:noProof/>
          <w:sz w:val="24"/>
          <w:szCs w:val="24"/>
        </w:rPr>
        <w:t xml:space="preserve">programa Erasmus+ </w:t>
      </w:r>
      <w:r>
        <w:rPr>
          <w:rFonts w:ascii="Times New Roman" w:hAnsi="Times New Roman"/>
          <w:noProof/>
          <w:sz w:val="24"/>
          <w:szCs w:val="24"/>
        </w:rPr>
        <w:t>fornecerá orientações sobre a forma como o programa pode ajudar a combater as desigualdades de género em todos os setores da educação e formação, juventude e desporto.</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As orientações da Comissão sobre </w:t>
      </w:r>
      <w:r>
        <w:rPr>
          <w:rFonts w:ascii="Times New Roman" w:hAnsi="Times New Roman"/>
          <w:b/>
          <w:noProof/>
          <w:sz w:val="24"/>
          <w:szCs w:val="24"/>
        </w:rPr>
        <w:t>contratos públicos socialmente responsáveis</w:t>
      </w:r>
      <w:r>
        <w:rPr>
          <w:rFonts w:ascii="Times New Roman" w:hAnsi="Times New Roman"/>
          <w:noProof/>
          <w:sz w:val="24"/>
          <w:szCs w:val="24"/>
        </w:rPr>
        <w:t xml:space="preserve"> irão combater a discriminação e promover a igualdade de género nos concursos públicos.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Em consonância com os reiterados apelos de vários Estados-Membros e do Parlamento Europeu</w:t>
      </w:r>
      <w:r>
        <w:rPr>
          <w:rStyle w:val="FootnoteReference"/>
          <w:rFonts w:ascii="Times New Roman" w:hAnsi="Times New Roman" w:cs="Times New Roman"/>
          <w:noProof/>
          <w:sz w:val="24"/>
          <w:szCs w:val="24"/>
        </w:rPr>
        <w:footnoteReference w:id="83"/>
      </w:r>
      <w:r>
        <w:rPr>
          <w:rFonts w:ascii="Times New Roman" w:hAnsi="Times New Roman"/>
          <w:noProof/>
          <w:sz w:val="24"/>
          <w:szCs w:val="24"/>
        </w:rPr>
        <w:t xml:space="preserve">, </w:t>
      </w:r>
      <w:r>
        <w:rPr>
          <w:rFonts w:ascii="Times New Roman" w:hAnsi="Times New Roman"/>
          <w:b/>
          <w:noProof/>
          <w:sz w:val="24"/>
          <w:szCs w:val="24"/>
        </w:rPr>
        <w:t>a Comissão analisará o impacto das suas atividades no género e a forma de medir as despesas relacionadas com a igualdade de género ao nível dos programas</w:t>
      </w:r>
      <w:r>
        <w:rPr>
          <w:rFonts w:ascii="Times New Roman" w:hAnsi="Times New Roman"/>
          <w:noProof/>
          <w:sz w:val="24"/>
          <w:szCs w:val="24"/>
        </w:rPr>
        <w:t xml:space="preserve"> no QFP 2021–2027. Para este exame contribuirá também o resultado da auditoria recentemente lançada pelo Tribunal de Contas Europeu sobre a </w:t>
      </w:r>
      <w:r>
        <w:rPr>
          <w:rFonts w:ascii="Times New Roman" w:hAnsi="Times New Roman"/>
          <w:b/>
          <w:noProof/>
          <w:sz w:val="24"/>
          <w:szCs w:val="24"/>
        </w:rPr>
        <w:t>integração da perspetiva de género no orçamento da UE</w:t>
      </w:r>
      <w:r>
        <w:rPr>
          <w:rFonts w:ascii="Times New Roman" w:hAnsi="Times New Roman"/>
          <w:noProof/>
          <w:sz w:val="24"/>
          <w:szCs w:val="24"/>
        </w:rPr>
        <w:t xml:space="preserve"> para promover a igualdade. Daqui resultará o melhoramento da integração da perspetiva de género no processo orçamental da Comissão, reforçando a contribuição da elaboração de políticas e da afetação de recursos para os objetivos da igualdade de género.</w:t>
      </w:r>
    </w:p>
    <w:p>
      <w:pPr>
        <w:spacing w:before="360"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6.</w:t>
      </w:r>
      <w:r>
        <w:rPr>
          <w:rFonts w:ascii="Times New Roman" w:hAnsi="Times New Roman"/>
          <w:b/>
          <w:noProof/>
          <w:sz w:val="28"/>
          <w:szCs w:val="28"/>
        </w:rPr>
        <w:tab/>
        <w:t>Abordar a igualdade de género e a capacitação das mulheres em todo o mundo</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A desigualdade de género é um problema mundial.</w:t>
      </w:r>
      <w:r>
        <w:rPr>
          <w:rFonts w:ascii="Times New Roman" w:hAnsi="Times New Roman"/>
          <w:noProof/>
          <w:sz w:val="24"/>
          <w:szCs w:val="24"/>
        </w:rPr>
        <w:t xml:space="preserve"> </w:t>
      </w:r>
      <w:r>
        <w:rPr>
          <w:rFonts w:ascii="Times New Roman" w:hAnsi="Times New Roman"/>
          <w:b/>
          <w:noProof/>
          <w:sz w:val="24"/>
          <w:szCs w:val="24"/>
        </w:rPr>
        <w:t xml:space="preserve">A igualdade de género e a capacitação das mulheres é um objetivo central da ação externa da UE. </w:t>
      </w:r>
      <w:r>
        <w:rPr>
          <w:rFonts w:ascii="Times New Roman" w:hAnsi="Times New Roman"/>
          <w:noProof/>
          <w:sz w:val="24"/>
          <w:szCs w:val="24"/>
        </w:rPr>
        <w:t>É importante que as ações internas e externas da UE neste domínio sejam coerentes e se reforcem mutuamente.</w:t>
      </w:r>
      <w:r>
        <w:rPr>
          <w:rFonts w:ascii="Times New Roman" w:hAnsi="Times New Roman"/>
          <w:b/>
          <w:noProof/>
          <w:sz w:val="24"/>
          <w:szCs w:val="24"/>
        </w:rPr>
        <w:t xml:space="preserve"> </w:t>
      </w:r>
      <w:r>
        <w:rPr>
          <w:rFonts w:ascii="Times New Roman" w:hAnsi="Times New Roman"/>
          <w:noProof/>
          <w:sz w:val="24"/>
          <w:szCs w:val="24"/>
        </w:rPr>
        <w:t xml:space="preserve">A UE promove a igualdade de género e a capacitação das mulheres no âmbito das suas parcerias internacionais, dos diálogos políticos e dos diálogos sobre direitos humanos com países terceiros, da política comercial da UE, bem como das políticas de alargamento e de vizinhança da UE, nomeadamente no contexto das negociações de adesão e do processo de estabilização e de associação. </w:t>
      </w:r>
      <w:r>
        <w:rPr>
          <w:rFonts w:ascii="Times New Roman" w:hAnsi="Times New Roman"/>
          <w:bCs/>
          <w:noProof/>
          <w:sz w:val="24"/>
          <w:szCs w:val="24"/>
        </w:rPr>
        <w:t>Além disso, as ações em matéria de género são incluídas nas atividades realizadas pela UE em situações de fragilidade, de conflito e de emergência.</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O </w:t>
      </w:r>
      <w:r>
        <w:rPr>
          <w:rFonts w:ascii="Times New Roman" w:hAnsi="Times New Roman"/>
          <w:b/>
          <w:noProof/>
          <w:sz w:val="24"/>
          <w:szCs w:val="24"/>
        </w:rPr>
        <w:t>plano de ação para a igualdade de género e o empoderamento das mulheres nas relações externas</w:t>
      </w:r>
      <w:r>
        <w:rPr>
          <w:rFonts w:ascii="Times New Roman" w:hAnsi="Times New Roman"/>
          <w:noProof/>
          <w:sz w:val="24"/>
          <w:szCs w:val="24"/>
        </w:rPr>
        <w:t xml:space="preserve"> (2016–2020) (GAP II)</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xml:space="preserve"> centra-se no fim da violência contra mulheres e raparigas, na promoção da capacitação económica e social das mulheres e na garantia do cumprimento dos seus direitos humanos, políticos e civis. Com base nas realizações e nos ensinamentos retirados, o </w:t>
      </w:r>
      <w:r>
        <w:rPr>
          <w:rFonts w:ascii="Times New Roman" w:hAnsi="Times New Roman"/>
          <w:b/>
          <w:noProof/>
          <w:sz w:val="24"/>
          <w:szCs w:val="24"/>
        </w:rPr>
        <w:t>GAP III será lançado em 2020</w:t>
      </w:r>
      <w:r>
        <w:rPr>
          <w:rFonts w:ascii="Times New Roman" w:hAnsi="Times New Roman"/>
          <w:noProof/>
          <w:sz w:val="24"/>
          <w:szCs w:val="24"/>
        </w:rPr>
        <w:t>, com uma abordagem abrangente, e será coerente com as prioridades da presente estratégia através da integração de todos os seus elementos pertinentes na ação externa da UE.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 UE continuará a apoiar os direitos das mulheres, os seus defensores, a saúde sexual e reprodutiva e direitos conexos e os esforços para reprimir a violência sexual e de género em todo o mundo, incluindo em situações de fragilidade, de conflito e de emergência. A UE deu início à </w:t>
      </w:r>
      <w:r>
        <w:rPr>
          <w:rFonts w:ascii="Times New Roman" w:hAnsi="Times New Roman"/>
          <w:b/>
          <w:noProof/>
          <w:sz w:val="24"/>
          <w:szCs w:val="24"/>
        </w:rPr>
        <w:t>iniciativa «Spotlight»</w:t>
      </w:r>
      <w:r>
        <w:rPr>
          <w:rFonts w:ascii="Times New Roman" w:hAnsi="Times New Roman"/>
          <w:noProof/>
          <w:sz w:val="24"/>
          <w:szCs w:val="24"/>
        </w:rPr>
        <w:t xml:space="preserve">, um programa global conjunto da UE e das Nações Unidas com uma dotação global da UE de 500 milhões de euros para erradicar todas as formas de violência contra as mulheres e as raparigas. Em 2020, a UE lançará uma </w:t>
      </w:r>
      <w:r>
        <w:rPr>
          <w:rFonts w:ascii="Times New Roman" w:hAnsi="Times New Roman"/>
          <w:b/>
          <w:noProof/>
          <w:sz w:val="24"/>
          <w:szCs w:val="24"/>
        </w:rPr>
        <w:t>campanha #WithHer</w:t>
      </w:r>
      <w:r>
        <w:rPr>
          <w:rFonts w:ascii="Times New Roman" w:hAnsi="Times New Roman"/>
          <w:noProof/>
          <w:sz w:val="24"/>
          <w:szCs w:val="24"/>
        </w:rPr>
        <w:t xml:space="preserve">, concebida para desafiar normas e estereótipos de género nocivos, que perpetuam a violência contra as mulheres em todo o mundo. Neste mesmo ano, a UE adotará o </w:t>
      </w:r>
      <w:r>
        <w:rPr>
          <w:rFonts w:ascii="Times New Roman" w:hAnsi="Times New Roman"/>
          <w:b/>
          <w:noProof/>
          <w:sz w:val="24"/>
          <w:szCs w:val="24"/>
        </w:rPr>
        <w:t>Plano de Ação da UE para os Direitos Humanos e a Democracia (2020–2024)</w:t>
      </w:r>
      <w:r>
        <w:rPr>
          <w:rFonts w:ascii="Times New Roman" w:hAnsi="Times New Roman"/>
          <w:noProof/>
          <w:sz w:val="24"/>
          <w:szCs w:val="24"/>
        </w:rPr>
        <w:t xml:space="preserve">. Continuará igualmente a aplicar a </w:t>
      </w:r>
      <w:r>
        <w:rPr>
          <w:rFonts w:ascii="Times New Roman" w:hAnsi="Times New Roman"/>
          <w:b/>
          <w:noProof/>
          <w:sz w:val="24"/>
          <w:szCs w:val="24"/>
        </w:rPr>
        <w:t>abordagem estratégica e o plano de ação da UE para as mulheres, a paz e a segurança</w:t>
      </w:r>
      <w:r>
        <w:rPr>
          <w:rFonts w:ascii="Times New Roman" w:hAnsi="Times New Roman"/>
          <w:noProof/>
          <w:sz w:val="24"/>
          <w:szCs w:val="24"/>
        </w:rPr>
        <w:t xml:space="preserve"> para 2019–2024</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 xml:space="preserve">. </w:t>
      </w:r>
    </w:p>
    <w:p>
      <w:pPr>
        <w:tabs>
          <w:tab w:val="left" w:pos="7655"/>
        </w:tabs>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 Comissão continuará a promover ativamente a igualdade de género no quadro da sua </w:t>
      </w:r>
      <w:r>
        <w:rPr>
          <w:rFonts w:ascii="Times New Roman" w:hAnsi="Times New Roman"/>
          <w:b/>
          <w:noProof/>
          <w:sz w:val="24"/>
          <w:szCs w:val="24"/>
        </w:rPr>
        <w:t>política comercial</w:t>
      </w:r>
      <w:r>
        <w:rPr>
          <w:rFonts w:ascii="Times New Roman" w:hAnsi="Times New Roman"/>
          <w:noProof/>
          <w:sz w:val="24"/>
          <w:szCs w:val="24"/>
        </w:rPr>
        <w:t xml:space="preserve">, incluindo mediante o seu empenhamento ativo neste sentido na Organização Mundial do Comércio. Continuará a recolher dados discriminados por género, para garantir que os aspetos da dimensão do género relativos às trocas comerciais são devidamente tratados nos acordos comerciais e para ter em conta o impacto do género nas iniciativas comerciais.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Nos países parceiros, a UE utilizará o </w:t>
      </w:r>
      <w:r>
        <w:rPr>
          <w:rFonts w:ascii="Times New Roman" w:hAnsi="Times New Roman"/>
          <w:b/>
          <w:noProof/>
          <w:sz w:val="24"/>
          <w:szCs w:val="24"/>
        </w:rPr>
        <w:t>Plano de Investimento Externo</w:t>
      </w:r>
      <w:r>
        <w:rPr>
          <w:rFonts w:ascii="Times New Roman" w:hAnsi="Times New Roman"/>
          <w:noProof/>
          <w:sz w:val="24"/>
          <w:szCs w:val="24"/>
        </w:rPr>
        <w:t xml:space="preserve"> para promover o empreendedorismo feminino e a participação das mulheres no mercado de trabalho. Por exemplo, o Mecanismo para a Inclusão Financeira das Mulheres visa, por si só, alavancar 100 milhões de euros para o acesso das mulheres ao financiamento. Em 2020, a </w:t>
      </w:r>
      <w:r>
        <w:rPr>
          <w:rFonts w:ascii="Times New Roman" w:hAnsi="Times New Roman"/>
          <w:b/>
          <w:noProof/>
          <w:sz w:val="24"/>
          <w:szCs w:val="24"/>
        </w:rPr>
        <w:t>Estratégia da UE para a África</w:t>
      </w:r>
      <w:r>
        <w:rPr>
          <w:rFonts w:ascii="Times New Roman" w:hAnsi="Times New Roman"/>
          <w:noProof/>
          <w:sz w:val="24"/>
          <w:szCs w:val="24"/>
        </w:rPr>
        <w:t xml:space="preserve"> centrar-se-á igualmente na igualdade de género e na capacitação das mulheres.</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Nas políticas externas da UE, a integração da perspetiva de género é utilizada no processo orçamental </w:t>
      </w:r>
      <w:r>
        <w:rPr>
          <w:rFonts w:ascii="Times New Roman" w:hAnsi="Times New Roman"/>
          <w:noProof/>
          <w:sz w:val="24"/>
          <w:szCs w:val="24"/>
        </w:rPr>
        <w:t>através do compromisso de assegurar que 85 % de todos os novos programas contribuam para a igualdade de género e a capacitação das mulheres</w:t>
      </w:r>
      <w:r>
        <w:rPr>
          <w:rStyle w:val="FootnoteReference"/>
          <w:rFonts w:ascii="Times New Roman" w:hAnsi="Times New Roman" w:cs="Times New Roman"/>
          <w:noProof/>
          <w:sz w:val="24"/>
          <w:szCs w:val="24"/>
        </w:rPr>
        <w:footnoteReference w:id="86"/>
      </w:r>
      <w:r>
        <w:rPr>
          <w:rFonts w:ascii="Times New Roman" w:hAnsi="Times New Roman"/>
          <w:noProof/>
          <w:sz w:val="24"/>
          <w:szCs w:val="24"/>
        </w:rPr>
        <w:t>.</w:t>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TRABALHAR EM CONJUNTO PARA UMA EUROPA QUE GARANTA A IGUALDADE DE GÉNERO</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Alcançar a igualdade de género na União Europeia é uma responsabilidade conjunta, </w:t>
      </w:r>
      <w:r>
        <w:rPr>
          <w:rFonts w:ascii="Times New Roman" w:hAnsi="Times New Roman"/>
          <w:noProof/>
          <w:sz w:val="24"/>
          <w:szCs w:val="24"/>
        </w:rPr>
        <w:t xml:space="preserve">que requer a colaboração e a realização de ações por parte de todas as instituições, Estados-Membros e agências da UE, em parceria com a sociedade civil e as organizações de mulheres, os parceiros sociais e o setor privado.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O </w:t>
      </w:r>
      <w:r>
        <w:rPr>
          <w:rFonts w:ascii="Times New Roman" w:hAnsi="Times New Roman"/>
          <w:b/>
          <w:noProof/>
          <w:sz w:val="24"/>
          <w:szCs w:val="24"/>
        </w:rPr>
        <w:t>Parlamento Europeu</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xml:space="preserve"> e o </w:t>
      </w:r>
      <w:r>
        <w:rPr>
          <w:rFonts w:ascii="Times New Roman" w:hAnsi="Times New Roman"/>
          <w:b/>
          <w:noProof/>
          <w:sz w:val="24"/>
          <w:szCs w:val="24"/>
        </w:rPr>
        <w:t>Conselho</w:t>
      </w:r>
      <w:r>
        <w:rPr>
          <w:rStyle w:val="FootnoteReference"/>
          <w:rFonts w:ascii="Times New Roman" w:hAnsi="Times New Roman" w:cs="Times New Roman"/>
          <w:noProof/>
          <w:sz w:val="24"/>
          <w:szCs w:val="24"/>
        </w:rPr>
        <w:footnoteReference w:id="88"/>
      </w:r>
      <w:r>
        <w:rPr>
          <w:rFonts w:ascii="Times New Roman" w:hAnsi="Times New Roman"/>
          <w:noProof/>
          <w:sz w:val="24"/>
          <w:szCs w:val="24"/>
        </w:rPr>
        <w:t xml:space="preserve"> demonstraram o seu empenho em prol da igualdade de género em diversas resoluções e conclusões que instam a Comissão a adotar uma estratégia europeia para as questões de género e a reforçar a integração da perspetiva de género em todos os domínios de intervenção.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Ao trabalharem em conjunto, as instituições da UE e os Estados-Membros devem aprofundar o diálogo com a sociedade civil, incluindo com os movimentos e organizações de mulheres, organizações internacionais e governos, para realizarem progressos em matéria de igualdade de género e continuarem a ser líderes mundiais nesta área.</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 Comissão convida o Parlamento Europeu e o Conselho a concluírem rapidamente os trabalhos sobre as propostas atuais e futuras da Comissão. Os Estados-Membros devem utilizar todos os instrumentos à sua disposição, em especial as possibilidades oferecidas de apoio financeiro da UE, e assegurar a melhoria da igualdade de género.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As principais ações apresentadas nesta estratégia serão regularmente atualizadas e complementadas. A sua aplicação será objeto de acompanhamento e os progressos serão comunicados anualmente em relatórios que permitirão fazer o </w:t>
      </w:r>
      <w:r>
        <w:rPr>
          <w:rFonts w:ascii="Times New Roman" w:hAnsi="Times New Roman"/>
          <w:b/>
          <w:noProof/>
          <w:sz w:val="24"/>
          <w:szCs w:val="24"/>
        </w:rPr>
        <w:t>balanço anual, no plano político, dos progressos realizados</w:t>
      </w:r>
      <w:r>
        <w:rPr>
          <w:rFonts w:ascii="Times New Roman" w:hAnsi="Times New Roman"/>
          <w:noProof/>
          <w:sz w:val="24"/>
          <w:szCs w:val="24"/>
        </w:rPr>
        <w:t>. Além de darem exemplos de boas práticas nos Estados-Membros, os relatórios anuais incluirão também dados relevantes, provenientes nomeadamente do Eurostat e do Eurofound, bem como indicadores para a medição dos progressos, com base no Índice anual de Igualdade de Género do EIGE. O EIGE também proporcionará dados e investigação que contribuirão para a elaboração de políticas baseadas em dados concretos por parte das instituições da UE e dos Estados-Membros.</w:t>
      </w:r>
    </w:p>
    <w:p>
      <w:pPr>
        <w:spacing w:after="0" w:line="100" w:lineRule="atLeast"/>
        <w:jc w:val="both"/>
        <w:rPr>
          <w:rFonts w:ascii="Times New Roman" w:hAnsi="Times New Roman" w:cs="Times New Roman"/>
          <w:b/>
          <w:noProof/>
          <w:sz w:val="24"/>
          <w:szCs w:val="24"/>
        </w:rPr>
      </w:pPr>
      <w:r>
        <w:rPr>
          <w:rFonts w:ascii="Times New Roman" w:hAnsi="Times New Roman"/>
          <w:b/>
          <w:noProof/>
          <w:sz w:val="24"/>
          <w:szCs w:val="24"/>
        </w:rPr>
        <w:t>Trabalhando em conjunto podemos realizar verdadeiros progressos até 2025, construindo uma Europa onde mulheres e homens, raparigas e rapazes, em toda a sua diversidade, sejam iguais — onde sejam livres de seguir o caminho de vida que escolherem, onde tenham as mesmas oportunidades de exprimir plenamente todo o seu potencial e onde possam participar na nossa sociedade europeia e dirigi-la em igualdade de circunstâncias.</w:t>
      </w:r>
    </w:p>
    <w:p>
      <w:pPr>
        <w:spacing w:after="0" w:line="100" w:lineRule="atLeast"/>
        <w:jc w:val="both"/>
        <w:rPr>
          <w:rFonts w:ascii="Times New Roman" w:hAnsi="Times New Roman" w:cs="Times New Roman"/>
          <w:b/>
          <w:noProof/>
          <w:sz w:val="24"/>
          <w:szCs w:val="24"/>
        </w:rPr>
      </w:pPr>
    </w:p>
    <w:sectPr>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4757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Ver o artigo 2.º e o artigo 3.º, n.º 3, do TUE, os artigos 8.º, 10.º, 19.º e 157.º do TFUE e os artigos 21.º e 23.º da Carta dos Direitos Fundamentais da União Europeia.</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w:t>
      </w:r>
      <w:hyperlink r:id="rId1" w:history="1">
        <w:r>
          <w:rPr>
            <w:rStyle w:val="Hyperlink"/>
            <w:rFonts w:ascii="Times New Roman" w:hAnsi="Times New Roman"/>
            <w:u w:val="none"/>
          </w:rPr>
          <w:t>https://ec.europa.eu/commission/sites/beta-political/files/social-summit-european-pillar-social-rights-booklet_pt.pdf</w:t>
        </w:r>
      </w:hyperlink>
      <w:r>
        <w:rPr>
          <w:rFonts w:ascii="Times New Roman" w:hAnsi="Times New Roman"/>
        </w:rPr>
        <w:t>.</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Até 2050, uma maior igualdade de género conduziria a um aumento do PIB </w:t>
      </w:r>
      <w:r>
        <w:rPr>
          <w:rFonts w:ascii="Times New Roman" w:hAnsi="Times New Roman"/>
          <w:i/>
        </w:rPr>
        <w:t>per capita</w:t>
      </w:r>
      <w:r>
        <w:rPr>
          <w:rFonts w:ascii="Times New Roman" w:hAnsi="Times New Roman"/>
        </w:rPr>
        <w:t xml:space="preserve"> da UE de 6,1 % para 9,6 %, o que corresponde a um aumento de 1,95 para 3,15 biliões de euros: </w:t>
      </w:r>
      <w:hyperlink r:id="rId2" w:history="1">
        <w:r>
          <w:rPr>
            <w:rStyle w:val="Hyperlink"/>
            <w:rFonts w:ascii="Times New Roman" w:hAnsi="Times New Roman"/>
            <w:u w:val="none"/>
          </w:rPr>
          <w:t>https://eige.europa.eu/gender-mainstreaming/policy-areas/economic-and-financial-affairs/economic-benefits-gender-equality</w:t>
        </w:r>
      </w:hyperlink>
      <w:r>
        <w:rPr>
          <w:rFonts w:ascii="Times New Roman" w:hAnsi="Times New Roman"/>
        </w:rPr>
        <w:t>.</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No respeitante à realização do objetivo 5 de desenvolvimento sustentável, relativo à igualdade de género, de acordo com o Índice 2019 de </w:t>
      </w:r>
      <w:r>
        <w:rPr>
          <w:rFonts w:ascii="Times New Roman" w:hAnsi="Times New Roman"/>
          <w:i/>
          <w:iCs/>
        </w:rPr>
        <w:t>Equal Measures 2030</w:t>
      </w:r>
      <w:r>
        <w:rPr>
          <w:rFonts w:ascii="Times New Roman" w:hAnsi="Times New Roman"/>
        </w:rPr>
        <w:t xml:space="preserve"> sobre o ODS relativo à igualdade de género:</w:t>
      </w:r>
      <w:r>
        <w:rPr>
          <w:rFonts w:ascii="Times New Roman" w:hAnsi="Times New Roman"/>
          <w:sz w:val="16"/>
        </w:rPr>
        <w:t xml:space="preserve"> </w:t>
      </w:r>
      <w:hyperlink r:id="rId3" w:history="1">
        <w:r>
          <w:rPr>
            <w:rStyle w:val="Hyperlink"/>
            <w:rFonts w:ascii="Times New Roman" w:hAnsi="Times New Roman"/>
            <w:u w:val="none"/>
          </w:rPr>
          <w:t>https://data.em2030.org/em2030-sdg-gender-index/</w:t>
        </w:r>
      </w:hyperlink>
      <w:r>
        <w:rPr>
          <w:rFonts w:ascii="Times New Roman" w:hAnsi="Times New Roman"/>
        </w:rPr>
        <w:t>.</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UE adotou seis diretivas relativas à igualdade entre mulheres e homens nos seguintes domínios: local de trabalho, trabalho independente, acesso a bens e serviços, segurança social, gravidez e maternidade, bem como licenças relacionadas com a família e regimes de trabalho flexíveis para progenitores e cuidadores. Em conjunto, estas diretivas estabeleceram progressivamente uma norma jurídica em toda a Europa, assegurando uma ampla proteção contra a discriminação. Numerosos processos instaurados perante o Tribunal de Justiça da União Europeia reforçaram ainda mais o princípio da igualdade e obtiveram justiça para as vítimas de discriminação.</w:t>
      </w:r>
    </w:p>
  </w:footnote>
  <w:footnote w:id="7">
    <w:p>
      <w:pPr>
        <w:pStyle w:val="FootnoteText"/>
        <w:jc w:val="both"/>
      </w:pPr>
      <w:r>
        <w:rPr>
          <w:rStyle w:val="FootnoteReference"/>
          <w:rFonts w:ascii="Times New Roman" w:hAnsi="Times New Roman" w:cs="Times New Roman"/>
        </w:rPr>
        <w:footnoteRef/>
      </w:r>
      <w:r>
        <w:t xml:space="preserve"> </w:t>
      </w:r>
      <w:r>
        <w:rPr>
          <w:rFonts w:ascii="Times New Roman" w:hAnsi="Times New Roman"/>
        </w:rPr>
        <w:t>Por «género» entendem-se os papéis, comportamentos, atividades e atributos socialmente construídos que uma determinada sociedade considera serem adequados para mulheres e homens; ver artigo 3.º, alínea d), da Convenção do Conselho da Europa para a Prevenção e o Combate à Violência Contra as Mulheres e a Violência Doméstica</w:t>
      </w:r>
      <w:r>
        <w:t>.</w:t>
      </w:r>
      <w:r>
        <w:rPr>
          <w:rFonts w:ascii="Times New Roman" w:hAnsi="Times New Roman"/>
        </w:rPr>
        <w:t xml:space="preserve">  </w:t>
      </w:r>
    </w:p>
  </w:footnote>
  <w:footnote w:id="8">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Ver Instituto Europeu para a Igualdade de Género (EIGE): </w:t>
      </w:r>
      <w:hyperlink r:id="rId4" w:history="1">
        <w:r>
          <w:rPr>
            <w:rStyle w:val="Hyperlink"/>
            <w:rFonts w:ascii="Times New Roman" w:hAnsi="Times New Roman"/>
            <w:u w:val="none"/>
          </w:rPr>
          <w:t>https://eige.europa.eu/gender-equality-index/2019</w:t>
        </w:r>
      </w:hyperlink>
      <w:r>
        <w:rPr>
          <w:rStyle w:val="Hyperlink"/>
          <w:rFonts w:ascii="Times New Roman" w:hAnsi="Times New Roman"/>
          <w:u w:val="none"/>
        </w:rPr>
        <w:t>.</w:t>
      </w:r>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 sequência do Compromisso Estratégico para a Igualdade de Género 2016-2019 da Comissão.</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expressão «em toda a sua diversidade» é utilizada ao longo da presente estratégia para expressar que, sempre que se faça referência a mulheres ou a homens, estas são categorias heterogéneas, nomeadamente em relação ao seu sexo, características sexuais, identidade de género ou expressão de género. Afirma o compromisso de não deixar ninguém para trás e de alcançar uma Europa equitativa para todos, independentemente do sexo, origem racial ou étnica, religião ou crença, deficiência, idade ou orientação sexual.</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 EIGE define «interseccionalidade» como um «instrumento analítico para o estudo, compreensão e resposta ao modo como o sexo e o género interagem com outras características/identidades pessoais e ao modo como essas interações contribuem para experiências de discriminação únicas» (ver: </w:t>
      </w:r>
      <w:hyperlink r:id="rId5" w:history="1">
        <w:r>
          <w:rPr>
            <w:rStyle w:val="Hyperlink"/>
            <w:rFonts w:ascii="Times New Roman" w:hAnsi="Times New Roman"/>
            <w:u w:val="none"/>
          </w:rPr>
          <w:t>https://eige.europa.eu/thesaurus/terms/1263</w:t>
        </w:r>
      </w:hyperlink>
      <w:r>
        <w:rPr>
          <w:rFonts w:ascii="Times New Roman" w:hAnsi="Times New Roman"/>
        </w:rPr>
        <w:t>). Nos termos do artigo 10.º do TFUE, aquando da «definição e execução das suas políticas e ações, a União tem por objetivo combater a discriminação em razão do sexo, raça ou origem étnica, religião ou crença, deficiência, idade ou orientação sexual».</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6" w:history="1">
        <w:r>
          <w:rPr>
            <w:rStyle w:val="Hyperlink"/>
            <w:rFonts w:ascii="Times New Roman" w:hAnsi="Times New Roman"/>
            <w:u w:val="none"/>
          </w:rPr>
          <w:t>https://beijing20.unwomen.org/en/about</w:t>
        </w:r>
      </w:hyperlink>
      <w:r>
        <w:rPr>
          <w:rFonts w:ascii="Times New Roman" w:hAnsi="Times New Roman"/>
        </w:rPr>
        <w:t>.</w:t>
      </w:r>
    </w:p>
  </w:footnote>
  <w:footnote w:id="13">
    <w:p>
      <w:pPr>
        <w:pStyle w:val="End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u w:val="none"/>
          </w:rPr>
          <w:t>https://ec.europa.eu/europeaid/policies/sustainable-development-goals_pt</w:t>
        </w:r>
      </w:hyperlink>
      <w:r>
        <w:rPr>
          <w:rFonts w:ascii="Times New Roman" w:hAnsi="Times New Roman"/>
        </w:rPr>
        <w:t>.</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Artigo 3.º, alínea d), da Convenção de Istambul.</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Agência dos Direitos Fundamentais da União Europeia (FRA), «Violência de género contra as mulheres — um inquérito à escala da UE», 2014 — ver infografia.</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Pedido de parecer apresentado pelo Parlamento Europeu em conformidade com o artigo 218.º, n.º 11, do TFUE (parecer 1/19).</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Os dados da infografia provêm de estudos recentes da rede europeia </w:t>
      </w:r>
      <w:r>
        <w:rPr>
          <w:rFonts w:ascii="Times New Roman" w:hAnsi="Times New Roman" w:cs="Times New Roman"/>
          <w:i/>
          <w:iCs/>
        </w:rPr>
        <w:t>End FGM</w:t>
      </w:r>
      <w:r>
        <w:rPr>
          <w:rFonts w:ascii="Times New Roman" w:hAnsi="Times New Roman" w:cs="Times New Roman"/>
        </w:rPr>
        <w:t>, ver:</w:t>
      </w:r>
      <w:r>
        <w:rPr>
          <w:rFonts w:ascii="Times New Roman" w:hAnsi="Times New Roman"/>
        </w:rPr>
        <w:t xml:space="preserve"> </w:t>
      </w:r>
      <w:hyperlink r:id="rId8" w:history="1">
        <w:r>
          <w:rPr>
            <w:rStyle w:val="Hyperlink"/>
            <w:rFonts w:ascii="Times New Roman" w:hAnsi="Times New Roman"/>
            <w:u w:val="none"/>
          </w:rPr>
          <w:t>https://www.endfgm.eu/female-genital-mutilation/fgm-in-europe</w:t>
        </w:r>
      </w:hyperlink>
      <w:r>
        <w:rPr>
          <w:rFonts w:ascii="Times New Roman" w:hAnsi="Times New Roman"/>
        </w:rPr>
        <w:t>.</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Diretiva 2012/29/UE que estabelece normas mínimas relativas aos direitos, ao apoio e à proteção das vítimas da criminalidade.</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Por exemplo, 34 % das mulheres com um problema de saúde ou uma deficiência foram vítimas de violência física ou sexual por parte do parceiro, contra 19 % das mulheres que não têm problemas análogos. FRA, «Violência contra as mulheres — um inquérito à escala da UE», 2014.</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 aplicar as recomendações dirigidas à UE pela Comissão das Nações Unidas para os Direitos das Pessoas com Deficiência, em particular no que diz respeito aos artigos 6.º (Mulheres com deficiência) e 16.º (Proteção contra a exploração, violência e abuso).</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O EIGE define «masculinidade» como as «diferentes noções do que significa ser homem, incluindo padrões de conduta associados ao lugar do homem num determinado conjunto de relações e papéis atribuídos em função do género». </w:t>
      </w:r>
      <w:hyperlink r:id="rId9" w:history="1">
        <w:r>
          <w:rPr>
            <w:rStyle w:val="Hyperlink"/>
            <w:rFonts w:ascii="Times New Roman" w:hAnsi="Times New Roman"/>
            <w:u w:val="none"/>
          </w:rPr>
          <w:t>https://eige.europa.eu/thesaurus/terms/1285?lang=pt</w:t>
        </w:r>
      </w:hyperlink>
      <w:r>
        <w:rPr>
          <w:rFonts w:ascii="Times New Roman" w:hAnsi="Times New Roman"/>
        </w:rPr>
        <w:t>.</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OIT, Convenção n.º 190 e Recomendação n.º 206 sobre a violência e o assédio.</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Diretiva 2006/54/CE relativa à aplicação do princípio da igualdade de oportunidades e igualdade de tratamento entre homens e mulheres em domínios ligados ao emprego e à atividade profissional (reformulação).</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u w:val="none"/>
          </w:rPr>
          <w:t>https://ec.europa.eu/digital-single-market/en/new-eu-rules-e-commerce</w:t>
        </w:r>
      </w:hyperlink>
      <w:r>
        <w:rPr>
          <w:rStyle w:val="Hyperlink"/>
          <w:rFonts w:ascii="Times New Roman" w:hAnsi="Times New Roman"/>
          <w:u w:val="none"/>
        </w:rPr>
        <w:t>.</w:t>
      </w:r>
    </w:p>
  </w:footnote>
  <w:footnote w:id="25">
    <w:p>
      <w:pPr>
        <w:pStyle w:val="FootnoteText"/>
        <w:keepLines/>
        <w:widowControl w:val="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 base na cooperação no âmbito do Fórum Internet da UE, que conduziu à adoção do código de conduta da UE sobre discursos ilegais de incitação ao ódio em linha.</w:t>
      </w:r>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O tráfico de seres humanos é reconhecido como violência contra mulheres e raparigas, em consonância com o artigo 6.º da Convenção das Nações Unidas sobre a Eliminação de Todas as Formas de Discriminação contra as Mulheres (CEDAW).</w:t>
      </w:r>
    </w:p>
  </w:footnote>
  <w:footnote w:id="27">
    <w:p>
      <w:pPr>
        <w:pStyle w:val="FootnoteText"/>
      </w:pPr>
      <w:r>
        <w:rPr>
          <w:rStyle w:val="FootnoteReference"/>
          <w:rFonts w:ascii="Times New Roman" w:hAnsi="Times New Roman" w:cs="Times New Roman"/>
        </w:rPr>
        <w:footnoteRef/>
      </w:r>
      <w:r>
        <w:t xml:space="preserve"> </w:t>
      </w:r>
      <w:r>
        <w:rPr>
          <w:rFonts w:ascii="Times New Roman" w:hAnsi="Times New Roman"/>
        </w:rPr>
        <w:t>Decorrente da Diretiva 2011/36/UE relativa à prevenção e luta contra o tráfico de seres humanos e à proteção das vítimas.</w:t>
      </w:r>
    </w:p>
  </w:footnote>
  <w:footnote w:id="28">
    <w:p>
      <w:pPr>
        <w:pStyle w:val="FootnoteText"/>
        <w:jc w:val="both"/>
      </w:pPr>
      <w:r>
        <w:rPr>
          <w:rStyle w:val="FootnoteReference"/>
          <w:rFonts w:ascii="Times New Roman" w:hAnsi="Times New Roman" w:cs="Times New Roman"/>
        </w:rPr>
        <w:footnoteRef/>
      </w:r>
      <w:r>
        <w:t xml:space="preserve"> </w:t>
      </w:r>
      <w:r>
        <w:rPr>
          <w:rFonts w:ascii="Times New Roman" w:hAnsi="Times New Roman"/>
        </w:rPr>
        <w:t>Eurobarómetro especial n.º 465, junho de 2017 — ver infografia.</w:t>
      </w:r>
      <w:r>
        <w:t xml:space="preserve">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Comissão Europeia, Livro Branco sobre a inteligência artificial — Uma abordagem europeia virada para a excelência e a confiança, COM(2020) 65 final: </w:t>
      </w:r>
      <w:hyperlink r:id="rId11" w:history="1">
        <w:r>
          <w:rPr>
            <w:rStyle w:val="Hyperlink"/>
            <w:rFonts w:ascii="Times New Roman" w:hAnsi="Times New Roman"/>
            <w:u w:val="none"/>
          </w:rPr>
          <w:t>https://ec.europa.eu/info/sites/info/files/commission-white-paper-artificial-intelligence-feb2020_en.pdf</w:t>
        </w:r>
      </w:hyperlink>
      <w:r>
        <w:rPr>
          <w:rFonts w:ascii="Times New Roman" w:hAnsi="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u w:val="none"/>
          </w:rPr>
          <w:t xml:space="preserve"> https://ec.europa.eu/info/horizon-europe-next-research-and-innovation-framework-programme_en</w:t>
        </w:r>
      </w:hyperlink>
      <w:r>
        <w:rPr>
          <w:rFonts w:ascii="Times New Roman" w:hAnsi="Times New Roman"/>
        </w:rPr>
        <w:t>.</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Ver, por exemplo, «Igualdade de género no setor dos meios de comunicação social», um estudo realizado para a Comissão dos Direitos das Mulheres e da Igualdade dos Géneros (FEMM), Parlamento Europeu, 2018.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u w:val="none"/>
          </w:rPr>
          <w:t xml:space="preserve"> https://ec.europa.eu/programmes/creative-europe/node_en</w:t>
        </w:r>
      </w:hyperlink>
      <w:r>
        <w:rPr>
          <w:rFonts w:ascii="Times New Roman" w:hAnsi="Times New Roman"/>
        </w:rPr>
        <w:t>.</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 </w:t>
      </w:r>
      <w:hyperlink r:id="rId14" w:history="1">
        <w:r>
          <w:rPr>
            <w:rStyle w:val="Hyperlink"/>
            <w:rFonts w:ascii="Times New Roman" w:hAnsi="Times New Roman"/>
            <w:u w:val="none"/>
          </w:rPr>
          <w:t>https://ec.europa.eu/digital-single-market/en/media-sub-programme-creative-europe</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Diretiva 2011/93/UE relativa à luta contra o abuso sexual e a exploração sexual de crianças e a pornografia infantil.</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Em especial, a Diretiva 2011/36/UE relativa à prevenção e luta contra o tráfico de seres humanos e à proteção das vítimas, a Diretiva 2011/99/UE relativa à decisão europeia de proteção, o Regulamento (UE) n.º 606/2013 relativo ao reconhecimento mútuo de medidas de proteção em matéria civil e a Diretiva 2004/80/CE do Conselho relativa à indemnização das vítimas da criminalidade.</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2019, </w:t>
      </w:r>
      <w:hyperlink r:id="rId15" w:history="1">
        <w:r>
          <w:rPr>
            <w:rStyle w:val="Hyperlink"/>
            <w:rFonts w:ascii="Times New Roman" w:hAnsi="Times New Roman"/>
            <w:u w:val="none"/>
          </w:rPr>
          <w:t>https://ec.europa.eu/eurostat/web/products-datasets/product?code=sdg_05_30</w:t>
        </w:r>
      </w:hyperlink>
      <w:r>
        <w:rPr>
          <w:rFonts w:ascii="Times New Roman" w:hAnsi="Times New Roman"/>
        </w:rPr>
        <w:t xml:space="preserve"> e </w:t>
      </w:r>
      <w:hyperlink r:id="rId16" w:history="1">
        <w:r>
          <w:rPr>
            <w:rStyle w:val="Hyperlink"/>
            <w:rFonts w:ascii="Times New Roman" w:hAnsi="Times New Roman"/>
            <w:u w:val="none"/>
          </w:rPr>
          <w:t>https://appsso.eurostat.ec.europa.eu/nui/show.do?dataset=lfsi_emp_a&amp;lang=en</w:t>
        </w:r>
      </w:hyperlink>
      <w:r>
        <w:t xml:space="preserve"> </w:t>
      </w:r>
      <w:r>
        <w:rPr>
          <w:rFonts w:ascii="Times New Roman" w:hAnsi="Times New Roman"/>
        </w:rPr>
        <w:t>— ver infografia.</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u w:val="none"/>
          </w:rPr>
          <w:t>https://ec.europa.eu/eurostat/statistics-explained/pdfscache/35409.pdf</w:t>
        </w:r>
      </w:hyperlink>
      <w:r>
        <w:t xml:space="preserve"> </w:t>
      </w:r>
      <w:r>
        <w:rPr>
          <w:rFonts w:ascii="Times New Roman" w:hAnsi="Times New Roman"/>
        </w:rPr>
        <w:t>e (FRA), «Roma Women in nine EU Member States» [As mulheres ciganas em nove Estados-Membros da UE], 2019 — ver infografia.</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Eurostat, «Labour Forced Survey» [Inquérito às forças de trabalho], cálculos feitos com base no identificador </w:t>
      </w:r>
      <w:r>
        <w:rPr>
          <w:rFonts w:ascii="Times New Roman" w:hAnsi="Times New Roman"/>
          <w:i/>
          <w:iCs/>
        </w:rPr>
        <w:t>lfsa_eegan2</w:t>
      </w:r>
      <w:r>
        <w:rPr>
          <w:rFonts w:ascii="Times New Roman" w:hAnsi="Times New Roman"/>
          <w:iCs/>
        </w:rPr>
        <w:t xml:space="preserve"> — ver infografia.</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Ver, por exemplo, Rede Europeia Contra o Racismo (ENAR), «Racism and discrimination in Employment in Europe 2013-2017» [Racismo e discriminação no emprego na Europa no período 2013-2017], 2017. </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Diretiva (UE) 2019/1158 relativa à conciliação entre a vida profissional e a vida familiar dos progenitores e cuidadores.</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Diretiva Equilíbrio Trabalho–Vida será transposta pelos Estados-Membros até 2 de agosto de 2022 (até 2 de agosto de 2024 no que diz respeito ao pagamento das duas últimas semanas do período mínimo de dois meses de licença parental).</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 as medidas existentes, ver Comissão Europeia, «Diversity and Gender Equality Report 2019» (documento interno).</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u w:val="none"/>
          </w:rPr>
          <w:t>https://ec.europa.eu/info/business-economy-euro/economic-and-fiscal-policy-coordination/eu-economic-governance-monitoring-prevention-correction/european-semester_pt</w:t>
        </w:r>
      </w:hyperlink>
      <w:r>
        <w:rPr>
          <w:rFonts w:ascii="Times New Roman" w:hAnsi="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Cs/>
        </w:rPr>
        <w:t>O princípio 2 do pilar diz respeito à igualdade de género, mas os desafios ligados ao género são abordados por vários outros princípios, entre os quais os relativos à igualdade de oportunidades (princípio 3), ao equilíbrio entre a vida profissional e a vida privada (princípio 9), ao acolhimento e apoio a crianças (princípio 11), às prestações e pensões de velhice (princípio 15) e aos cuidados de longa duração (princípio 18).</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International Finance Corporation, «Moving toward gender balance in private equity and venture capital», 2019; Biegel, S., Hunt, S. M., Kuhlman, S., «Project Sage 2.0 Tracking venture capital with a gender lens», 2019; e Atomico, «State of European Tech 2019 Report» [Relatório sobre o estado da tecnologia europeia em 2019] (</w:t>
      </w:r>
      <w:hyperlink r:id="rId19" w:history="1">
        <w:r>
          <w:rPr>
            <w:rStyle w:val="Hyperlink"/>
            <w:rFonts w:ascii="Times New Roman" w:hAnsi="Times New Roman"/>
            <w:u w:val="none"/>
          </w:rPr>
          <w:t>https://2019.stateofeuropeantech.com/chapter/state-european-tech-2019/article/executive-summary</w:t>
        </w:r>
      </w:hyperlink>
      <w:r>
        <w:rPr>
          <w:rFonts w:ascii="Times New Roman" w:hAnsi="Times New Roman"/>
        </w:rPr>
        <w:t>) — ver infografia.</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https://ec.europa.eu/research/eic/index.cfm</w:t>
        </w:r>
      </w:hyperlink>
      <w:r>
        <w:rPr>
          <w:rStyle w:val="Hyperlink"/>
          <w:rFonts w:ascii="Times New Roman" w:hAnsi="Times New Roman"/>
          <w:u w:val="none"/>
        </w:rPr>
        <w:t>.</w:t>
      </w:r>
      <w:r>
        <w:rPr>
          <w:rFonts w:ascii="Times New Roman" w:hAnsi="Times New Roman"/>
        </w:rPr>
        <w:t xml:space="preserve"> </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Relatório PISA de 2019,</w:t>
      </w:r>
      <w:r>
        <w:t xml:space="preserve"> </w:t>
      </w:r>
      <w:hyperlink r:id="rId21" w:history="1">
        <w:r>
          <w:rPr>
            <w:rStyle w:val="Hyperlink"/>
            <w:rFonts w:ascii="Times New Roman" w:hAnsi="Times New Roman"/>
            <w:u w:val="none"/>
          </w:rPr>
          <w:t>http://www.oecd.org/pisa/PISA%202018%20Insights%20and%20Interpretations%20FINAL%20PDF.pdf</w:t>
        </w:r>
      </w:hyperlink>
      <w:r>
        <w:rPr>
          <w:rFonts w:ascii="Times New Roman" w:hAnsi="Times New Roman"/>
        </w:rPr>
        <w:t>; Comissão Europeia, «Women in the Digital Age — Final Report» [As mulheres na era digital — Relatório final], 2018; e Fórum Económico Mundial, Relatório Mundial sobre as Desigualdades de Género de 2020 — ver infografia.</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«A decomposition of the unadjusted gender pay gap using Structure of Earnings Survey data» [Uma decomposição das disparidades salariais não ajustadas entre homens e mulheres utilizando dados do Inquérito à Estrutura dos Ganhos], documento de trabalho estatístico, 2018.</w:t>
      </w:r>
    </w:p>
  </w:footnote>
  <w:footnote w:id="49">
    <w:p>
      <w:pPr>
        <w:pStyle w:val="NoSpacing"/>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Comissão Europeia, «ICT for work: Digital skills in the workplace» [TIC para o trabalho: as competências digitais no local de trabalho], 2017.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Tecnologias da informação e comunicação.</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u w:val="none"/>
          </w:rPr>
          <w:t>https://ec.europa.eu/eurostat/web/products-eurostat-news/-/EDN-20180425-1</w:t>
        </w:r>
      </w:hyperlink>
      <w:r>
        <w:rPr>
          <w:rFonts w:ascii="Times New Roman" w:hAnsi="Times New Roman"/>
        </w:rPr>
        <w:t>.</w:t>
      </w:r>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 </w:t>
      </w:r>
      <w:hyperlink r:id="rId23" w:history="1">
        <w:r>
          <w:rPr>
            <w:rStyle w:val="Hyperlink"/>
            <w:rFonts w:ascii="Times New Roman" w:hAnsi="Times New Roman"/>
            <w:u w:val="none"/>
          </w:rPr>
          <w:t>https://op.europa.eu/pt/publication-detail/-/publication/9540ffa1-4478-11e9-a8ed-01aa75ed71a1/language-pt</w:t>
        </w:r>
      </w:hyperlink>
      <w:r>
        <w:rPr>
          <w:rFonts w:ascii="Times New Roman" w:hAnsi="Times New Roman"/>
        </w:rPr>
        <w:t>.</w:t>
      </w:r>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Ciência, tecnologia, engenharia e matemática.</w:t>
      </w:r>
    </w:p>
  </w:footnote>
  <w:footnote w:id="54">
    <w:p>
      <w:pPr>
        <w:pStyle w:val="FootnoteText"/>
        <w:rPr>
          <w:rFonts w:ascii="Times New Roman" w:hAnsi="Times New Roman" w:cs="Times New Roman"/>
          <w:lang w:val="en-US"/>
        </w:rPr>
      </w:pPr>
      <w:r>
        <w:rPr>
          <w:rStyle w:val="FootnoteReference"/>
          <w:rFonts w:ascii="Times New Roman" w:hAnsi="Times New Roman" w:cs="Times New Roman"/>
        </w:rPr>
        <w:footnoteRef/>
      </w:r>
      <w:r>
        <w:rPr>
          <w:lang w:val="en-US"/>
        </w:rPr>
        <w:t xml:space="preserve"> </w:t>
      </w:r>
      <w:r>
        <w:rPr>
          <w:rFonts w:ascii="Times New Roman" w:hAnsi="Times New Roman"/>
          <w:lang w:val="en-US"/>
        </w:rPr>
        <w:t>«2018 International Computer and Information Literacy Study» (ICILS).</w:t>
      </w:r>
    </w:p>
  </w:footnote>
  <w:footnote w:id="55">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lang w:val="en-US"/>
        </w:rPr>
        <w:t xml:space="preserve"> </w:t>
      </w:r>
      <w:hyperlink r:id="rId24" w:history="1">
        <w:r>
          <w:rPr>
            <w:rStyle w:val="Hyperlink"/>
            <w:rFonts w:ascii="Times New Roman" w:hAnsi="Times New Roman"/>
            <w:u w:val="none"/>
            <w:lang w:val="en-US"/>
          </w:rPr>
          <w:t>https://ec.europa.eu/digital-single-market/en/news/eu-countries-commit-boost-participation-women-digital</w:t>
        </w:r>
      </w:hyperlink>
      <w:r>
        <w:rPr>
          <w:rFonts w:ascii="Times New Roman" w:hAnsi="Times New Roman"/>
          <w:lang w:val="en-US"/>
        </w:rPr>
        <w:t>.</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2018, em </w:t>
      </w:r>
      <w:hyperlink r:id="rId25" w:history="1">
        <w:r>
          <w:rPr>
            <w:rFonts w:ascii="Times New Roman" w:hAnsi="Times New Roman"/>
            <w:color w:val="0000FF"/>
          </w:rPr>
          <w:t>https://ec.europa.eu/eurostat/databrowser/product/view/SDG_05_20?lang=en</w:t>
        </w:r>
      </w:hyperlink>
      <w:r>
        <w:rPr>
          <w:rFonts w:ascii="Times New Roman" w:hAnsi="Times New Roman"/>
        </w:rPr>
        <w:t xml:space="preserve">; </w:t>
      </w:r>
      <w:hyperlink r:id="rId26" w:history="1">
        <w:r>
          <w:rPr>
            <w:rFonts w:ascii="Times New Roman" w:hAnsi="Times New Roman"/>
            <w:color w:val="0000FF"/>
          </w:rPr>
          <w:t>https://appsso.eurostat.ec.europa.eu/nui/show.do?dataset=ilc_pnp13&amp;lang=en</w:t>
        </w:r>
      </w:hyperlink>
      <w:r>
        <w:rPr>
          <w:rFonts w:ascii="Times New Roman" w:hAnsi="Times New Roman"/>
        </w:rPr>
        <w:t xml:space="preserve"> e </w:t>
      </w:r>
      <w:hyperlink r:id="rId27" w:history="1">
        <w:r>
          <w:rPr>
            <w:rFonts w:ascii="Times New Roman" w:hAnsi="Times New Roman"/>
            <w:color w:val="0000FF"/>
          </w:rPr>
          <w:t>https://appsso.eurostat.ec.europa.eu/nui/show.do?dataset=ilc_pnp14&amp;lang=en</w:t>
        </w:r>
      </w:hyperlink>
      <w:r>
        <w:rPr>
          <w:rFonts w:ascii="Times New Roman" w:hAnsi="Times New Roman"/>
        </w:rPr>
        <w:t xml:space="preserve"> — ver infografia.</w:t>
      </w:r>
    </w:p>
  </w:footnote>
  <w:footnote w:id="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Uma das razões deve-se ao facto de, em média, as mulheres prestarem menos horas de trabalho remunerado do que os homens: na UE apenas 8 % dos homens trabalham a tempo parcial, contra quase um terço das mulheres (31 %) – ver Eurostat, 2018, </w:t>
      </w:r>
      <w:hyperlink r:id="rId28" w:history="1">
        <w:r>
          <w:rPr>
            <w:rStyle w:val="Hyperlink"/>
            <w:rFonts w:ascii="Times New Roman" w:hAnsi="Times New Roman"/>
            <w:u w:val="none"/>
          </w:rPr>
          <w:t>https://ec.europa.eu/eurostat/web/products-eurostat-news/-/DDN-20190621-1</w:t>
        </w:r>
      </w:hyperlink>
      <w:r>
        <w:rPr>
          <w:rFonts w:ascii="Times New Roman" w:hAnsi="Times New Roman"/>
        </w:rPr>
        <w:t>.</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«Evaluation of the relevant provision in the Directive 2006/54/EC implementing the Treaty principle on ‘equal pay for equal work or work of equal value» [Avaliação da disposição pertinente da Diretiva 2006/54/CE que aplica o princípio da igualdade de remuneração por trabalho igual ou de valor igual consagrado no Tratado], SWD(2020) 50; «Report on the implementation of the EU Action Plan 2017-2019 on tackling the gender pay gap» [Relatório sobre a aplicação do Plano de Ação da UE 2017-2019 para colmatar as disparidades salariais entre homens e mulheres], COM(2020) 101.</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lançar juntamente com a presente estratégia.</w:t>
      </w:r>
    </w:p>
  </w:footnote>
  <w:footnote w:id="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«Final report of the High-level group of experts on pensions» [Relatório final do Grupo de Alto Nível de Peritos sobre Pensões], dezembro de 2019, </w:t>
      </w:r>
      <w:r>
        <w:rPr>
          <w:rFonts w:ascii="Times New Roman" w:hAnsi="Times New Roman"/>
        </w:rPr>
        <w:br/>
      </w:r>
      <w:hyperlink r:id="rId29" w:history="1">
        <w:r>
          <w:rPr>
            <w:rStyle w:val="Hyperlink"/>
            <w:rFonts w:ascii="Times New Roman" w:hAnsi="Times New Roman"/>
            <w:sz w:val="18"/>
            <w:szCs w:val="18"/>
            <w:u w:val="none"/>
          </w:rPr>
          <w:t>https://ec.europa.eu/transparency/regexpert/index.cfm?do=groupDetail.groupDetail&amp;groupID=3589&amp;Lang=PT</w:t>
        </w:r>
      </w:hyperlink>
      <w:r>
        <w:rPr>
          <w:rFonts w:ascii="Times New Roman" w:hAnsi="Times New Roman"/>
        </w:rPr>
        <w:t>.</w:t>
      </w:r>
    </w:p>
  </w:footnote>
  <w:footnote w:id="61">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rPr>
        <w:t xml:space="preserve">  Maldonado, L. C., e Nieuwenhuis, R., «Family policies and single parent poverty in 18 OECD countries, 1978-2008» [Políticas familiares e pobreza das famílias monoparentais em 18 países da OCDE, 1978-2008]. </w:t>
      </w:r>
      <w:r>
        <w:rPr>
          <w:rFonts w:ascii="Times New Roman" w:hAnsi="Times New Roman"/>
          <w:lang w:val="en-US"/>
        </w:rPr>
        <w:t>Community, Work &amp; Family, volume 18, n.º 4, pp. 395-415.</w:t>
      </w:r>
    </w:p>
  </w:footnote>
  <w:footnote w:id="6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30" w:history="1">
        <w:r>
          <w:rPr>
            <w:rStyle w:val="Hyperlink"/>
            <w:rFonts w:ascii="Times New Roman" w:hAnsi="Times New Roman"/>
            <w:u w:val="none"/>
            <w:lang w:val="en-US"/>
          </w:rPr>
          <w:t xml:space="preserve"> https://www.ilo.org/wcmsp5/groups/public/---dgreports/---cabinet/documents/publication/wcms_713376.pdf</w:t>
        </w:r>
      </w:hyperlink>
      <w:r>
        <w:rPr>
          <w:lang w:val="en-US"/>
        </w:rPr>
        <w:t>.</w:t>
      </w:r>
      <w:r>
        <w:rPr>
          <w:rFonts w:ascii="Times New Roman" w:hAnsi="Times New Roman"/>
          <w:lang w:val="en-US"/>
        </w:rPr>
        <w:t xml:space="preserve"> </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Eurofound, «Striking a balance: Reconciling work and life in the EU» [Encontrar um equilíbrio: Conciliar a vida profissional e a vida familiar na UE], 2018 — ver infografia.</w:t>
      </w:r>
    </w:p>
  </w:footnote>
  <w:footnote w:id="64">
    <w:p>
      <w:pPr>
        <w:pStyle w:val="FootnoteText"/>
        <w:jc w:val="both"/>
        <w:rPr>
          <w:rFonts w:ascii="Times New Roman" w:hAnsi="Times New Roman" w:cs="Times New Roman"/>
        </w:rPr>
      </w:pPr>
      <w:r>
        <w:rPr>
          <w:rStyle w:val="FootnoteReference"/>
          <w:rFonts w:ascii="Times New Roman" w:hAnsi="Times New Roman" w:cs="Times New Roman"/>
        </w:rPr>
        <w:footnoteRef/>
      </w:r>
      <w:r>
        <w:rPr>
          <w:lang w:val="en-US"/>
        </w:rPr>
        <w:t xml:space="preserve"> </w:t>
      </w:r>
      <w:r>
        <w:rPr>
          <w:rFonts w:ascii="Times New Roman" w:hAnsi="Times New Roman"/>
          <w:lang w:val="en-US"/>
        </w:rPr>
        <w:t xml:space="preserve">Hoffmann, F., e Rodrigues, R., 2010, «Informal carers: who takes care of them?» </w:t>
      </w:r>
      <w:r>
        <w:rPr>
          <w:rFonts w:ascii="Times New Roman" w:hAnsi="Times New Roman"/>
        </w:rPr>
        <w:t>[Cuidadores informais: quem cuida deles?], documento estratégico, abril de 2010, European Centre for Social Welfare Policy and Research, Viena — ver infografia.</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1" w:history="1">
        <w:r>
          <w:rPr>
            <w:rStyle w:val="Hyperlink"/>
            <w:rFonts w:ascii="Times New Roman" w:hAnsi="Times New Roman"/>
            <w:u w:val="none"/>
          </w:rPr>
          <w:t>https://ec.europa.eu/info/sites/info/files/bcn_objectives-report2018_web_en.pdf</w:t>
        </w:r>
      </w:hyperlink>
      <w:r>
        <w:rPr>
          <w:rFonts w:ascii="Times New Roman" w:hAnsi="Times New Roman"/>
        </w:rPr>
        <w:t>.</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Tal inclui a diretiva relativa à igualdade de género em domínios ligados ao emprego e à atividade profissional (reformulação), as diretivas relativas à igualdade de género no trabalho independente, no acesso a bens e serviços, na segurança social, na gravidez e na maternidade, a diretiva relativa ao trabalho a tempo parcial, a diretiva relativa a condições de trabalho transparentes e previsíveis, a recomendação relativa ao acesso à proteção social e a recomendação relativa aos organismos para a igualdade de tratamento.</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Base de dados relativa a estatísticas de género do EIGE, «National parliaments: Single/lower house» [Parlamentos nacionais: Câmara única/baixa], 2019 — ver infografia.</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OIT, «The business case for change», 2019; McKinsey, relatório Women Matter, 2017; Catalyst, «Why Diversity and Inclusion Matter» [Por que a diversidade e a inclusão são importantes], 2018; Rohini Anand, «Gender-Balanced Teams Linked to Better Business Performance: A Sodexo Study» [Equipas equilibradas em termos de género associadas a um melhor desempenho empresarial: Um estudo da Sodexo], 2016.</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EIGE, Base de dados relativa a estatísticas de género, «Women and men in decision-making» [As mulheres e os homens no processo de tomada de decisões], 2019 — ver infografia.</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COM/2012/614 final.</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Vários países que introduziram medidas legislativas pertinentes, entre os quais a França, a Itália, a Bélgica, a Alemanha e, mais recentemente, a Áustria e Portugal, tiveram resultados positivos. Ver </w:t>
      </w:r>
      <w:hyperlink r:id="rId32" w:history="1">
        <w:r>
          <w:rPr>
            <w:rStyle w:val="Hyperlink"/>
            <w:rFonts w:ascii="Times New Roman" w:hAnsi="Times New Roman"/>
            <w:u w:val="none"/>
          </w:rPr>
          <w:t>https://eige.europa.eu/publications/gender-equality-index-2019-report/more-gender-equality-corporate-boards-only-few-member-states</w:t>
        </w:r>
      </w:hyperlink>
      <w:r>
        <w:rPr>
          <w:rFonts w:ascii="Times New Roman" w:hAnsi="Times New Roman"/>
        </w:rPr>
        <w:t>.</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3" w:history="1">
        <w:r>
          <w:rPr>
            <w:rStyle w:val="Hyperlink"/>
            <w:rFonts w:ascii="Times New Roman" w:hAnsi="Times New Roman"/>
            <w:u w:val="none"/>
          </w:rPr>
          <w:t>https://ec.europa.eu/info/policies/justice-and-fundamental-rights/combatting-discrimination/tackling-discrimination/diversity-management/eu-platform-diversity-charters_en</w:t>
        </w:r>
      </w:hyperlink>
      <w:r>
        <w:rPr>
          <w:rStyle w:val="Hyperlink"/>
          <w:rFonts w:ascii="Times New Roman" w:hAnsi="Times New Roman"/>
          <w:u w:val="none"/>
        </w:rPr>
        <w:t>.</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Entre os projetos pertinentes inclui-se a European Women on Boards: </w:t>
      </w:r>
      <w:hyperlink r:id="rId34" w:history="1">
        <w:r>
          <w:rPr>
            <w:rStyle w:val="Hyperlink"/>
            <w:rFonts w:ascii="Times New Roman" w:hAnsi="Times New Roman"/>
            <w:u w:val="none"/>
          </w:rPr>
          <w:t>https://europeanwomenonboards.eu/</w:t>
        </w:r>
      </w:hyperlink>
      <w:r>
        <w:rPr>
          <w:rFonts w:ascii="Times New Roman" w:hAnsi="Times New Roman"/>
        </w:rPr>
        <w:t>.</w:t>
      </w:r>
    </w:p>
  </w:footnote>
  <w:footnote w:id="74">
    <w:p>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Regulamento (UE, Euratom) 2018/673 que altera o Regulamento (UE, Euratom) n.º 1141/2014 relativo ao estatuto e ao financiamento dos partidos políticos europeus e das fundações políticas europeias, considerando 6.</w:t>
      </w:r>
    </w:p>
  </w:footnote>
  <w:footnote w:id="75">
    <w:p>
      <w:pPr>
        <w:pStyle w:val="FootnoteText"/>
        <w:jc w:val="both"/>
        <w:rPr>
          <w:rFonts w:ascii="Times New Roman" w:hAnsi="Times New Roman" w:cs="Times New Roman"/>
          <w:sz w:val="22"/>
        </w:rPr>
      </w:pPr>
      <w:r>
        <w:rPr>
          <w:rStyle w:val="FootnoteReference"/>
          <w:rFonts w:ascii="Times New Roman" w:hAnsi="Times New Roman" w:cs="Times New Roman"/>
        </w:rPr>
        <w:footnoteRef/>
      </w:r>
      <w:r>
        <w:rPr>
          <w:rFonts w:ascii="Times New Roman" w:hAnsi="Times New Roman"/>
        </w:rPr>
        <w:t xml:space="preserve"> Em 2019, 41 % dos cargos de direção da Comissão eram ocupados por mulheres (contra 30 % em 2014). Destes, 37 % eram quadros superiores (contra 27 %) e 42 % quadros intermédios (contra 31 %).</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 as medidas em vigor: Comissão Europeia, «Diversity and Gender Equality Report 2019», [relatório sobre a diversidade e a igualdade de género 2019], Bruxelas, 6 de novembro de 2019.</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Atualmente, mais de três em cada quatro agências da UE são chefiadas por homens.</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5" w:history="1">
        <w:r>
          <w:rPr>
            <w:rStyle w:val="Hyperlink"/>
            <w:rFonts w:ascii="Times New Roman" w:hAnsi="Times New Roman"/>
            <w:u w:val="none"/>
          </w:rPr>
          <w:t>https://ec.europa.eu/info/policies/justice-and-fundamental-rights/gender-equality/who-we-work-gender-equality/mutual-learning-programme-gender-equality_en</w:t>
        </w:r>
      </w:hyperlink>
      <w:r>
        <w:rPr>
          <w:rFonts w:ascii="Times New Roman" w:hAnsi="Times New Roman"/>
        </w:rPr>
        <w:t>.</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 Grupo de Trabalho facilitará a integração da igualdade no respeitante a seis motivos de discriminação: o sexo, a origem racial ou étnica, a religião ou crenças, a deficiência, a idade e a orientação sexual.</w:t>
      </w:r>
    </w:p>
  </w:footnote>
  <w:footnote w:id="80">
    <w:p>
      <w:pPr>
        <w:pStyle w:val="FootnoteText"/>
        <w:jc w:val="both"/>
      </w:pPr>
      <w:r>
        <w:rPr>
          <w:rStyle w:val="FootnoteReference"/>
          <w:rFonts w:ascii="Times New Roman" w:hAnsi="Times New Roman" w:cs="Times New Roman"/>
        </w:rPr>
        <w:footnoteRef/>
      </w:r>
      <w:r>
        <w:rPr>
          <w:rFonts w:ascii="Times New Roman" w:hAnsi="Times New Roman"/>
        </w:rPr>
        <w:t xml:space="preserve"> Em ambos os casos, a atenção especial dada às pessoas idosas (renovações que têm em vista o futuro ou, no caso das políticas de adaptação às alterações climáticas, medidas adotadas durante as vagas de calor para melhorar a hidratação) terá, por exemplo, um impacto positivo nas mulheres, que constituem a maioria da população idosa.</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COM(2018) 375 final.</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 </w:t>
      </w:r>
      <w:hyperlink r:id="rId36" w:history="1">
        <w:r>
          <w:rPr>
            <w:rStyle w:val="Hyperlink"/>
            <w:rFonts w:ascii="Times New Roman" w:hAnsi="Times New Roman"/>
            <w:u w:val="none"/>
          </w:rPr>
          <w:t>https://ec.europa.eu/jrc/en/news/how-big-eus-blue-economy-eu-report-potential-coasts-and-oceans-provide-sustainable-economic-growth</w:t>
        </w:r>
      </w:hyperlink>
      <w:r>
        <w:rPr>
          <w:rFonts w:ascii="Times New Roman" w:hAnsi="Times New Roman"/>
        </w:rPr>
        <w:t>.</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 </w:t>
      </w:r>
      <w:hyperlink r:id="rId37" w:history="1">
        <w:r>
          <w:rPr>
            <w:rStyle w:val="Hyperlink"/>
            <w:rFonts w:ascii="Times New Roman" w:hAnsi="Times New Roman"/>
            <w:u w:val="none"/>
          </w:rPr>
          <w:t>http://www.europarl.europa.eu/meetdocs/2014_2019/plmrep/COMMITTEES/FEMM/DV/2018/09-03/20180828DraftResolutionGenderBudgetingintheEUBudget-thewayforward_EN.pdf</w:t>
        </w:r>
      </w:hyperlink>
      <w:r>
        <w:rPr>
          <w:rFonts w:ascii="Times New Roman" w:hAnsi="Times New Roman"/>
        </w:rPr>
        <w:t>.</w:t>
      </w:r>
    </w:p>
  </w:footnote>
  <w:footnote w:id="8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8" w:history="1">
        <w:r>
          <w:rPr>
            <w:rStyle w:val="Hyperlink"/>
            <w:rFonts w:ascii="Times New Roman" w:hAnsi="Times New Roman"/>
            <w:u w:val="none"/>
          </w:rPr>
          <w:t xml:space="preserve"> https://europa.eu/capacity4dev/articles/eu-gender-action-plan-ii-how-eu-delegations-contribute-gender-equality-worldwide</w:t>
        </w:r>
      </w:hyperlink>
      <w:r>
        <w:rPr>
          <w:rFonts w:ascii="Times New Roman" w:hAnsi="Times New Roman"/>
        </w:rPr>
        <w:t>.</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 abordagem estratégica da UE para as mulheres, a paz e a segurança consta do anexo das conclusões do Conselho dos Negócios Estrangeiros sobre este tema, adotadas em 10 de dezembro de 2018 (documento 15086/18 do Conselho), </w:t>
      </w:r>
      <w:hyperlink r:id="rId39" w:history="1">
        <w:r>
          <w:rPr>
            <w:rStyle w:val="Hyperlink"/>
            <w:rFonts w:ascii="Times New Roman" w:hAnsi="Times New Roman"/>
            <w:u w:val="none"/>
          </w:rPr>
          <w:t>https://www.consilium.europa.eu/media/37412/st15086-en18.pdf</w:t>
        </w:r>
      </w:hyperlink>
      <w:r>
        <w:rPr>
          <w:rFonts w:ascii="Times New Roman" w:hAnsi="Times New Roman"/>
        </w:rPr>
        <w:t>, e o Plano de Ação da UE sobre mulheres, paz e segurança 2019-2024, de 4 de julho de 2019 EEAS(2019) 747,</w:t>
      </w:r>
      <w:hyperlink r:id="rId40" w:history="1">
        <w:r>
          <w:rPr>
            <w:rStyle w:val="Hyperlink"/>
            <w:rFonts w:ascii="Times New Roman" w:hAnsi="Times New Roman"/>
            <w:u w:val="none"/>
          </w:rPr>
          <w:t>https://www.consilium.europa.eu/register/en/content/out?&amp;typ=ENTRY&amp;i=ADV&amp;DOC_ID=ST-11031-2019-INIT</w:t>
        </w:r>
      </w:hyperlink>
      <w:r>
        <w:rPr>
          <w:rFonts w:ascii="Times New Roman" w:hAnsi="Times New Roman"/>
        </w:rPr>
        <w:t>.</w:t>
      </w:r>
    </w:p>
  </w:footnote>
  <w:footnote w:id="86">
    <w:p>
      <w:pPr>
        <w:pStyle w:val="FootnoteText"/>
        <w:jc w:val="both"/>
        <w:rPr>
          <w:rFonts w:ascii="Times New Roman" w:hAnsi="Times New Roman" w:cs="Times New Roman"/>
          <w:sz w:val="19"/>
          <w:szCs w:val="19"/>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19"/>
          <w:szCs w:val="19"/>
        </w:rPr>
        <w:t>A medição é feita de acordo com o marcador da política de igualdade de género da OCDE. Especificamente para a ajuda humanitária, a Comissão aplica o seu próprio marcador humanitário género-idade.</w:t>
      </w:r>
    </w:p>
  </w:footnote>
  <w:footnote w:id="87">
    <w:p>
      <w:pPr>
        <w:pStyle w:val="NoSpacing"/>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 xml:space="preserve">Entre as recentes resoluções do Parlamento Europeu sobre a igualdade de género incluem-se: </w:t>
      </w:r>
      <w:r>
        <w:rPr>
          <w:rFonts w:ascii="Times New Roman" w:hAnsi="Times New Roman"/>
          <w:sz w:val="20"/>
        </w:rPr>
        <w:t xml:space="preserve">a Resolução do Parlamento Europeu </w:t>
      </w:r>
      <w:hyperlink r:id="rId41" w:history="1">
        <w:r>
          <w:rPr>
            <w:rStyle w:val="Hyperlink"/>
            <w:rFonts w:ascii="Times New Roman" w:hAnsi="Times New Roman"/>
            <w:sz w:val="20"/>
            <w:szCs w:val="20"/>
            <w:u w:val="none"/>
          </w:rPr>
          <w:t>2019/2870(RSP)</w:t>
        </w:r>
      </w:hyperlink>
      <w:r>
        <w:rPr>
          <w:rFonts w:ascii="Times New Roman" w:hAnsi="Times New Roman"/>
          <w:sz w:val="20"/>
          <w:szCs w:val="20"/>
        </w:rPr>
        <w:t xml:space="preserve">, de 30 de janeiro de 2020, sobre a disparidade salarial entre homens e mulheres; a Resolução do Parlamento Europeu </w:t>
      </w:r>
      <w:hyperlink r:id="rId42" w:history="1">
        <w:r>
          <w:rPr>
            <w:rStyle w:val="Hyperlink"/>
            <w:rFonts w:ascii="Times New Roman" w:hAnsi="Times New Roman"/>
            <w:sz w:val="20"/>
            <w:szCs w:val="20"/>
            <w:u w:val="none"/>
          </w:rPr>
          <w:t>2019/2855(RSP)</w:t>
        </w:r>
      </w:hyperlink>
      <w:r>
        <w:rPr>
          <w:rFonts w:ascii="Times New Roman" w:hAnsi="Times New Roman"/>
          <w:sz w:val="20"/>
          <w:szCs w:val="20"/>
        </w:rPr>
        <w:t xml:space="preserve">, de 28 de novembro de 2019, sobre a adesão da UE à Convenção de Istambul e outras medidas para combater a violência baseada no género; e a Resolução do Parlamento Europeu </w:t>
      </w:r>
      <w:hyperlink r:id="rId43" w:history="1">
        <w:r>
          <w:rPr>
            <w:rStyle w:val="Hyperlink"/>
            <w:rFonts w:ascii="Times New Roman" w:hAnsi="Times New Roman"/>
            <w:sz w:val="20"/>
            <w:szCs w:val="20"/>
            <w:u w:val="none"/>
          </w:rPr>
          <w:t>2016/2249(INI)</w:t>
        </w:r>
      </w:hyperlink>
      <w:r>
        <w:rPr>
          <w:rFonts w:ascii="Times New Roman" w:hAnsi="Times New Roman"/>
          <w:sz w:val="20"/>
          <w:szCs w:val="20"/>
        </w:rPr>
        <w:t xml:space="preserve">, de 14 de março de 2017, sobre a igualdade entre mulheres e homens na União Europeia em 2014-2015. </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Entre as recentes conclusões do Conselho sobre a igualdade de género incluem-se: as conclusões do Conselho, de 10 de dezembro de 2019, intituladas «Economias baseadas na igualdade de género na UE: caminho a seguir — balanço de 25 anos de implementação da Plataforma de Ação de Pequim»; as conclusões do Conselho, de 24 de outubro de 2019, intituladas </w:t>
      </w:r>
      <w:r>
        <w:rPr>
          <w:rFonts w:ascii="Times New Roman" w:hAnsi="Times New Roman"/>
          <w:bCs/>
        </w:rPr>
        <w:t>«A economia do bem-estar»</w:t>
      </w:r>
      <w:r>
        <w:rPr>
          <w:rFonts w:ascii="Times New Roman" w:hAnsi="Times New Roman"/>
        </w:rPr>
        <w:t xml:space="preserve">; </w:t>
      </w:r>
      <w:r>
        <w:rPr>
          <w:rFonts w:ascii="Times New Roman" w:hAnsi="Times New Roman"/>
          <w:bCs/>
        </w:rPr>
        <w:t>as conclusões do Conselho, de 13 de junho de 2019, intituladas «Eliminar a disparidade salarial entre homens e mulheres: políticas e medidas fundamentais»</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6A53B99-1E58-4DC2-B5AC-180CD61822CE"/>
    <w:docVar w:name="LW_COVERPAGE_TYPE" w:val="1"/>
    <w:docVar w:name="LW_CROSSREFERENCE" w:val="&lt;UNUSED&gt;"/>
    <w:docVar w:name="LW_DocType" w:val="NORMAL"/>
    <w:docVar w:name="LW_EMISSION" w:val="5.3.2020"/>
    <w:docVar w:name="LW_EMISSION_ISODATE" w:val="2020-03-05"/>
    <w:docVar w:name="LW_EMISSION_LOCATION" w:val="BRX"/>
    <w:docVar w:name="LW_EMISSION_PREFIX" w:val="Bruxelas, "/>
    <w:docVar w:name="LW_EMISSION_SUFFIX" w:val=" "/>
    <w:docVar w:name="LW_ID_DOCTYPE_NONLW" w:val="CP-014"/>
    <w:docVar w:name="LW_LANGUE" w:val="PT"/>
    <w:docVar w:name="LW_LEVEL_OF_SENSITIVITY" w:val="Standard treatment"/>
    <w:docVar w:name="LW_NOM.INST" w:val="COMISSÃO EUROPEIA"/>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ma União da Igualdade: Estratégia para a Igualdade de Género 2020-2025_x000d__x000d__x000d__x000d__x000d__x000b__x000d__x000d__x000d__x000d__x000d__x000d__x000d__x000b_"/>
    <w:docVar w:name="LW_TYPE.DOC.CP" w:val="COMUNICAÇÃO DA COMISSÃO AO PARLAMENTO EUROPEU, AO CONSELHO, AO COMITÉ ECONÓMICO E SOCIAL EUROPEU E AO COMITÉ DAS REGIÕES"/>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pt-PT"/>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pt-PT"/>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pt-PT"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pt-P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pt-P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pt-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pt-PT"/>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pt-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pt-PT"/>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pt-PT"/>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pt-PT"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pt-P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pt-P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pt-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pt-PT"/>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pt-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en" TargetMode="External"/><Relationship Id="rId18" Type="http://schemas.openxmlformats.org/officeDocument/2006/relationships/hyperlink" Target="https://ec.europa.eu/info/business-economy-euro/economic-and-fiscal-policy-coordination/eu-economic-governance-monitoring-prevention-correction/european-semester_pt" TargetMode="External"/><Relationship Id="rId26" Type="http://schemas.openxmlformats.org/officeDocument/2006/relationships/hyperlink" Target="https://appsso.eurostat.ec.europa.eu/nui/show.do?dataset=ilc_pnp13&amp;lang=en" TargetMode="External"/><Relationship Id="rId39" Type="http://schemas.openxmlformats.org/officeDocument/2006/relationships/hyperlink" Target="https://www.consilium.europa.eu/media/37412/st15086-en18.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pt" TargetMode="External"/><Relationship Id="rId12" Type="http://schemas.openxmlformats.org/officeDocument/2006/relationships/hyperlink" Target="https://ec.europa.eu/info/horizon-europe-next-research-and-innovation-framework-programme_en"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product/view/SDG_05_20?lang=en"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amp;Lang=PT"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pt.pdf" TargetMode="External"/><Relationship Id="rId6" Type="http://schemas.openxmlformats.org/officeDocument/2006/relationships/hyperlink" Target="https://beijing20.unwomen.org/en/about" TargetMode="External"/><Relationship Id="rId11" Type="http://schemas.openxmlformats.org/officeDocument/2006/relationships/hyperlink" Target="https://ec.europa.eu/info/sites/info/files/commission-white-paper-artificial-intelligence-feb2020_en.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 TargetMode="External"/><Relationship Id="rId15" Type="http://schemas.openxmlformats.org/officeDocument/2006/relationships/hyperlink" Target="https://ec.europa.eu/eurostat/web/products-datasets/product?code=sdg_05_30" TargetMode="External"/><Relationship Id="rId23" Type="http://schemas.openxmlformats.org/officeDocument/2006/relationships/hyperlink" Target="https://op.europa.eu/pt/publication-detail/-/publication/9540ffa1-4478-11e9-a8ed-01aa75ed71a1/language-pt"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en.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lang=pt"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en"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2.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B49A3-B364-427A-AC8C-027C0721EE78}">
  <ds:schemaRefs>
    <ds:schemaRef ds:uri="http://purl.org/dc/terms/"/>
    <ds:schemaRef ds:uri="http://schemas.openxmlformats.org/package/2006/metadata/core-properties"/>
    <ds:schemaRef ds:uri="http://purl.org/dc/dcmitype/"/>
    <ds:schemaRef ds:uri="http://schemas.microsoft.com/office/infopath/2007/PartnerControls"/>
    <ds:schemaRef ds:uri="724151e2-140d-4670-8684-77a651b4f52a"/>
    <ds:schemaRef ds:uri="http://schemas.microsoft.com/office/2006/documentManagement/types"/>
    <ds:schemaRef ds:uri="http://schemas.microsoft.com/office/2006/metadata/properties"/>
    <ds:schemaRef ds:uri="http://schemas.microsoft.com/sharepoint/v3/fields"/>
    <ds:schemaRef ds:uri="http://www.w3.org/XML/1998/namespace"/>
    <ds:schemaRef ds:uri="http://purl.org/dc/elements/1.1/"/>
  </ds:schemaRefs>
</ds:datastoreItem>
</file>

<file path=customXml/itemProps4.xml><?xml version="1.0" encoding="utf-8"?>
<ds:datastoreItem xmlns:ds="http://schemas.openxmlformats.org/officeDocument/2006/customXml" ds:itemID="{8BC1FE87-0B95-4810-A37F-BA06B914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7839</Words>
  <Characters>42415</Characters>
  <Application>Microsoft Office Word</Application>
  <DocSecurity>0</DocSecurity>
  <Lines>673</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2020-03-03T10:03:00Z</dcterms:created>
  <dcterms:modified xsi:type="dcterms:W3CDTF">2020-03-06T13:47:00Z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ContentTypeId">
    <vt:lpwstr>0x010100258AA79CEB83498886A3A086811232500017A1C524D8DBC041BAC361A7FA0BC3BA</vt:lpwstr>
  </property>
</Properties>
</file>