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F29B6FD-7999-47C2-B1E4-C5CB6201ACDB" style="width:450.8pt;height:334.35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Pagedecouverture"/>
        <w:rPr>
          <w:noProof/>
        </w:rPr>
      </w:pPr>
      <w:bookmarkStart w:id="1" w:name="_GoBack"/>
      <w:bookmarkEnd w:id="1"/>
    </w:p>
    <w:p>
      <w:pPr>
        <w:pStyle w:val="Heading1"/>
        <w:rPr>
          <w:i/>
          <w:noProof/>
          <w:sz w:val="28"/>
          <w:szCs w:val="28"/>
        </w:rPr>
      </w:pPr>
      <w:r>
        <w:rPr>
          <w:noProof/>
          <w:sz w:val="28"/>
          <w:szCs w:val="28"/>
        </w:rPr>
        <w:t>SMEROM K EURÓPE UPLATŇUJÚCEJ RODOVÚ ROVNOSŤ</w:t>
      </w:r>
    </w:p>
    <w:p>
      <w:pPr>
        <w:spacing w:line="100" w:lineRule="atLeast"/>
        <w:jc w:val="both"/>
        <w:rPr>
          <w:rFonts w:ascii="Times New Roman" w:hAnsi="Times New Roman"/>
          <w:b/>
          <w:i/>
          <w:noProof/>
          <w:sz w:val="24"/>
          <w:szCs w:val="24"/>
        </w:rPr>
      </w:pPr>
      <w:r>
        <w:rPr>
          <w:rFonts w:ascii="Times New Roman" w:hAnsi="Times New Roman"/>
          <w:b/>
          <w:i/>
          <w:noProof/>
          <w:sz w:val="24"/>
          <w:szCs w:val="24"/>
        </w:rPr>
        <w:t>„Vo všetkých svojich činnostiach sa Únia zameriava na odstránenie nerovností a podporu rovnoprávnosti medzi mužmi a ženami.“</w:t>
      </w:r>
    </w:p>
    <w:p>
      <w:pPr>
        <w:pStyle w:val="ListParagraph"/>
        <w:spacing w:line="100" w:lineRule="atLeast"/>
        <w:jc w:val="right"/>
        <w:rPr>
          <w:rFonts w:ascii="Times New Roman" w:hAnsi="Times New Roman" w:cs="Times New Roman"/>
          <w:noProof/>
          <w:sz w:val="24"/>
          <w:szCs w:val="24"/>
        </w:rPr>
      </w:pPr>
      <w:r>
        <w:rPr>
          <w:rFonts w:ascii="Times New Roman" w:hAnsi="Times New Roman"/>
          <w:noProof/>
          <w:sz w:val="24"/>
          <w:szCs w:val="24"/>
        </w:rPr>
        <w:t>Článok 8 Zmluvy o fungovaní Európskej únie</w:t>
      </w:r>
    </w:p>
    <w:p>
      <w:pPr>
        <w:spacing w:line="100" w:lineRule="atLeast"/>
        <w:jc w:val="both"/>
        <w:rPr>
          <w:rFonts w:ascii="Times New Roman" w:hAnsi="Times New Roman" w:cs="Times New Roman"/>
          <w:b/>
          <w:i/>
          <w:noProof/>
          <w:sz w:val="24"/>
          <w:szCs w:val="24"/>
        </w:rPr>
      </w:pP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„Nemali by sme sa ostýchať byť hrdí na to, čo sme dosiahli, ani byť ambiciózni v oblastiach, v ktorých chceme napredovať.“</w:t>
      </w:r>
    </w:p>
    <w:p>
      <w:pPr>
        <w:spacing w:line="100" w:lineRule="atLeast"/>
        <w:jc w:val="right"/>
        <w:rPr>
          <w:rFonts w:ascii="Times New Roman" w:hAnsi="Times New Roman" w:cs="Times New Roman"/>
          <w:noProof/>
          <w:sz w:val="24"/>
          <w:szCs w:val="24"/>
        </w:rPr>
      </w:pPr>
      <w:r>
        <w:rPr>
          <w:rFonts w:ascii="Times New Roman" w:hAnsi="Times New Roman"/>
          <w:noProof/>
          <w:sz w:val="24"/>
          <w:szCs w:val="24"/>
        </w:rPr>
        <w:t>– Ursula von der Leyenová, predsedníčka Európskej komisie</w:t>
      </w:r>
      <w:r>
        <w:rPr>
          <w:rFonts w:ascii="Times New Roman" w:hAnsi="Times New Roman"/>
          <w:noProof/>
          <w:sz w:val="24"/>
          <w:szCs w:val="24"/>
        </w:rPr>
        <w:br/>
        <w:t>Politické usmernenia</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Podpora rovnosti medzi ženami a mužmi je úlohou Únie vo všetkých jej činnostiach požadovaných v zmluvách.</w:t>
      </w:r>
      <w:r>
        <w:rPr>
          <w:rFonts w:ascii="Times New Roman" w:hAnsi="Times New Roman"/>
          <w:noProof/>
          <w:sz w:val="24"/>
          <w:szCs w:val="24"/>
        </w:rPr>
        <w:t xml:space="preserve"> Rodová rovnosť je základnou hodnotou EÚ, základným právom</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a kľúčovou zásadou Európskeho piliera sociálnych práv</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Je odrazom toho, kto sme. Je aj zásadnou podmienkou inovačného, konkurencieschopného a prosperujúceho európskeho hospodárstva. V </w:t>
      </w:r>
      <w:r>
        <w:rPr>
          <w:rFonts w:ascii="Times New Roman" w:hAnsi="Times New Roman"/>
          <w:b/>
          <w:noProof/>
          <w:sz w:val="24"/>
          <w:szCs w:val="24"/>
        </w:rPr>
        <w:t xml:space="preserve">podnikaní, politike a spoločnosti ako celku môžeme dosiahnuť svoj plný potenciál len vtedy, ak v plnej miere využijeme svoj talent a rozmanitosť. </w:t>
      </w:r>
      <w:r>
        <w:rPr>
          <w:rFonts w:ascii="Times New Roman" w:hAnsi="Times New Roman"/>
          <w:noProof/>
          <w:sz w:val="24"/>
          <w:szCs w:val="24"/>
        </w:rPr>
        <w:t>Rodová rovnosť prináša viac pracovných miest a vyššiu produktivitu</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xml:space="preserve">, čo je potenciál, ktorý musíme využiť, keďže prechádzame </w:t>
      </w:r>
      <w:r>
        <w:rPr>
          <w:rFonts w:ascii="Times New Roman" w:hAnsi="Times New Roman"/>
          <w:b/>
          <w:noProof/>
          <w:sz w:val="24"/>
          <w:szCs w:val="24"/>
        </w:rPr>
        <w:t>ekologickou transformáciou a digitalizáciou</w:t>
      </w:r>
      <w:r>
        <w:rPr>
          <w:rFonts w:ascii="Times New Roman" w:hAnsi="Times New Roman"/>
          <w:noProof/>
          <w:sz w:val="24"/>
          <w:szCs w:val="24"/>
        </w:rPr>
        <w:t xml:space="preserve"> a čelíme demografickým výzvam.</w:t>
      </w:r>
    </w:p>
    <w:p>
      <w:pPr>
        <w:spacing w:line="100" w:lineRule="atLeast"/>
        <w:jc w:val="both"/>
        <w:rPr>
          <w:rFonts w:ascii="Times New Roman" w:hAnsi="Times New Roman" w:cs="Times New Roman"/>
          <w:i/>
          <w:noProof/>
          <w:sz w:val="24"/>
          <w:szCs w:val="24"/>
        </w:rPr>
      </w:pPr>
      <w:r>
        <w:rPr>
          <w:rFonts w:ascii="Times New Roman" w:hAnsi="Times New Roman"/>
          <w:b/>
          <w:noProof/>
          <w:sz w:val="24"/>
          <w:szCs w:val="24"/>
        </w:rPr>
        <w:t xml:space="preserve">Európska únia je v oblasti rodovej rovnosti svetovým lídrom: </w:t>
      </w:r>
      <w:r>
        <w:rPr>
          <w:rFonts w:ascii="Times New Roman" w:hAnsi="Times New Roman"/>
          <w:noProof/>
          <w:sz w:val="24"/>
          <w:szCs w:val="24"/>
        </w:rPr>
        <w:t>medzi 20 krajinami na svete, ktoré v oblasti rodovej rovnosti dosahujú najlepšie výsledky, figuruje 14 členských štátov EÚ</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Vďaka prísnym právnym predpisom a judikatúre v oblasti rovnakého zaobchádzania</w:t>
      </w:r>
      <w:r>
        <w:rPr>
          <w:rStyle w:val="FootnoteReference"/>
          <w:rFonts w:ascii="Times New Roman" w:hAnsi="Times New Roman" w:cs="Times New Roman"/>
          <w:noProof/>
          <w:sz w:val="24"/>
          <w:szCs w:val="24"/>
        </w:rPr>
        <w:footnoteReference w:id="6"/>
      </w:r>
      <w:r>
        <w:rPr>
          <w:rFonts w:ascii="Times New Roman" w:hAnsi="Times New Roman"/>
          <w:noProof/>
          <w:sz w:val="24"/>
          <w:szCs w:val="24"/>
        </w:rPr>
        <w:t>, úsiliu o začlenenie rodovej perspektívy</w:t>
      </w:r>
      <w:r>
        <w:rPr>
          <w:rStyle w:val="FootnoteReference"/>
          <w:rFonts w:ascii="Times New Roman" w:hAnsi="Times New Roman" w:cs="Times New Roman"/>
          <w:noProof/>
          <w:sz w:val="24"/>
          <w:szCs w:val="24"/>
        </w:rPr>
        <w:footnoteReference w:id="7"/>
      </w:r>
      <w:r>
        <w:rPr>
          <w:rFonts w:ascii="Times New Roman" w:hAnsi="Times New Roman"/>
          <w:noProof/>
          <w:sz w:val="24"/>
          <w:szCs w:val="24"/>
        </w:rPr>
        <w:t xml:space="preserve"> do rôznych oblastí politiky a právnym predpisom na riešenie konkrétnych nerovností dosiahla EÚ v posledných desaťročiach v oblasti rodovej rovnosti výrazný pokrok.</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Žiadny členský štát však zatiaľ nedosiahol úplnú rodovú rovnosť a dosahovanie pokroku je v tejto oblasti pomalé.</w:t>
      </w:r>
      <w:r>
        <w:rPr>
          <w:rFonts w:ascii="Times New Roman" w:hAnsi="Times New Roman"/>
          <w:noProof/>
          <w:sz w:val="24"/>
          <w:szCs w:val="24"/>
        </w:rPr>
        <w:t xml:space="preserve"> Členské štáty dosiahli v indexe rodovej rovnosti EÚ za rok 2019</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v priemere 67,4 bodu zo 100 a toto skóre sa od roku 2005 zlepšilo len o 5,4 bodu.</w:t>
      </w:r>
    </w:p>
    <w:p>
      <w:pPr>
        <w:spacing w:line="100" w:lineRule="atLeast"/>
        <w:jc w:val="both"/>
        <w:rPr>
          <w:rFonts w:ascii="Times New Roman" w:hAnsi="Times New Roman"/>
          <w:noProof/>
          <w:sz w:val="24"/>
          <w:szCs w:val="24"/>
        </w:rPr>
      </w:pPr>
      <w:r>
        <w:rPr>
          <w:rFonts w:ascii="Times New Roman" w:hAnsi="Times New Roman"/>
          <w:b/>
          <w:noProof/>
          <w:sz w:val="24"/>
          <w:szCs w:val="24"/>
        </w:rPr>
        <w:t>Bohužiaľ pokrok v oblasti rodovej rovnosti nie je ani automaticky nevyhnutný, ani nezvratný. Do oblasti rodovej rovnosti musíme preto vniesť nový impulz.</w:t>
      </w:r>
      <w:r>
        <w:rPr>
          <w:rFonts w:ascii="Times New Roman" w:hAnsi="Times New Roman"/>
          <w:noProof/>
          <w:sz w:val="24"/>
          <w:szCs w:val="24"/>
        </w:rPr>
        <w:t xml:space="preserve"> Hoci sa rodový rozdiel vo vzdelávaní odstránil, rodové rozdiely v oblasti zamestnanosti, odmeňovania, opatrovateľských povinností, právomocí a dôchodkov pretrvávajú.</w:t>
      </w:r>
      <w:r>
        <w:rPr>
          <w:noProof/>
          <w:sz w:val="24"/>
          <w:szCs w:val="24"/>
        </w:rPr>
        <w:t xml:space="preserve"> </w:t>
      </w:r>
      <w:r>
        <w:rPr>
          <w:rFonts w:ascii="Times New Roman" w:hAnsi="Times New Roman"/>
          <w:noProof/>
          <w:sz w:val="24"/>
          <w:szCs w:val="24"/>
        </w:rPr>
        <w:t>Priveľa ľudí stále porušuje zásadu rodovej rovnosti sexistickými nenávistnými prejavmi a blokuje iniciatívy zamerané na boj proti rodovo motivovanému násiliu a rodovým stereotypom. Výskyt rodovo motivovaného násilia a obťažovania je stále znepokojivo vysoký. Hnutie #</w:t>
      </w:r>
      <w:r>
        <w:rPr>
          <w:rFonts w:ascii="Times New Roman" w:hAnsi="Times New Roman"/>
          <w:i/>
          <w:iCs/>
          <w:noProof/>
          <w:sz w:val="24"/>
          <w:szCs w:val="24"/>
        </w:rPr>
        <w:t>MeToo</w:t>
      </w:r>
      <w:r>
        <w:rPr>
          <w:rFonts w:ascii="Times New Roman" w:hAnsi="Times New Roman"/>
          <w:noProof/>
          <w:sz w:val="24"/>
          <w:szCs w:val="24"/>
        </w:rPr>
        <w:t xml:space="preserve"> poukázalo na rozsah sexizmu a zneužívania, ktorým sú ženy a dievčatá naďalej vystavené. Zároveň posilnilo postavenie žien na celom svete, aby svoje skúsenosti netajili a predkladali takéto prípady súdu.</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Táto stratégia pre rodovú rovnosť vytvára rámec pre činnosť Európskej komisie v oblasti rodovej rovnosti a stanovuje politické ciele a kľúčové opatrenia na roky 2020 – 2025</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Jej cieľom je dosiahnuť rodovo rovnoprávnu Európu, v ktorej rodovo motivované násilie, diskriminácia z dôvodu pohlavia a štrukturálna nerovnosť medzi ženami a mužmi budú už len minulosťou. Európu, v ktorej si ženy a muži, dievčatá a chlapci v celej svojej rozmanitosti</w:t>
      </w:r>
      <w:r>
        <w:rPr>
          <w:rStyle w:val="FootnoteReference"/>
          <w:rFonts w:ascii="Times New Roman" w:hAnsi="Times New Roman" w:cs="Times New Roman"/>
          <w:bCs/>
          <w:noProof/>
          <w:sz w:val="24"/>
          <w:szCs w:val="24"/>
        </w:rPr>
        <w:footnoteReference w:id="10"/>
      </w:r>
      <w:r>
        <w:rPr>
          <w:rFonts w:ascii="Times New Roman" w:hAnsi="Times New Roman"/>
          <w:noProof/>
          <w:sz w:val="24"/>
          <w:szCs w:val="24"/>
        </w:rPr>
        <w:t xml:space="preserve"> budú rovní, v ktorej budú môcť </w:t>
      </w:r>
      <w:r>
        <w:rPr>
          <w:rFonts w:ascii="Times New Roman" w:hAnsi="Times New Roman"/>
          <w:b/>
          <w:i/>
          <w:noProof/>
          <w:sz w:val="24"/>
          <w:szCs w:val="24"/>
        </w:rPr>
        <w:t>slobodne</w:t>
      </w:r>
      <w:r>
        <w:rPr>
          <w:rFonts w:ascii="Times New Roman" w:hAnsi="Times New Roman"/>
          <w:noProof/>
          <w:sz w:val="24"/>
          <w:szCs w:val="24"/>
        </w:rPr>
        <w:t xml:space="preserve"> realizovať svoj zvolený životný smer, v ktorej budú mať rovnaké príležitosti </w:t>
      </w:r>
      <w:r>
        <w:rPr>
          <w:rFonts w:ascii="Times New Roman" w:hAnsi="Times New Roman"/>
          <w:b/>
          <w:i/>
          <w:noProof/>
          <w:sz w:val="24"/>
          <w:szCs w:val="24"/>
        </w:rPr>
        <w:t>prosperovať</w:t>
      </w:r>
      <w:r>
        <w:rPr>
          <w:rFonts w:ascii="Times New Roman" w:hAnsi="Times New Roman"/>
          <w:noProof/>
          <w:sz w:val="24"/>
          <w:szCs w:val="24"/>
        </w:rPr>
        <w:t xml:space="preserve"> a v ktorej sa budú môcť rovnocenne podieľať na formovaní našej európskej spoločnosti a na jej </w:t>
      </w:r>
      <w:r>
        <w:rPr>
          <w:rFonts w:ascii="Times New Roman" w:hAnsi="Times New Roman"/>
          <w:b/>
          <w:i/>
          <w:noProof/>
          <w:sz w:val="24"/>
          <w:szCs w:val="24"/>
        </w:rPr>
        <w:t>vedení</w:t>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Vykonávanie tejto stratégie bude založené na </w:t>
      </w:r>
      <w:r>
        <w:rPr>
          <w:rFonts w:ascii="Times New Roman" w:hAnsi="Times New Roman"/>
          <w:b/>
          <w:noProof/>
          <w:sz w:val="24"/>
          <w:szCs w:val="24"/>
        </w:rPr>
        <w:t>dvojitom prístupe</w:t>
      </w:r>
      <w:r>
        <w:rPr>
          <w:rFonts w:ascii="Times New Roman" w:hAnsi="Times New Roman"/>
          <w:noProof/>
          <w:sz w:val="24"/>
          <w:szCs w:val="24"/>
        </w:rPr>
        <w:t xml:space="preserve">, pričom prvý sa zameriava na opatrenia zacielené na dosiahnutie rodovej rovnosti a druhý na intenzívnejšie uplatňovanie hľadiska rodovej rovnosti. Komisia posilní uplatňovanie hľadiska rodovej rovnosti </w:t>
      </w:r>
      <w:r>
        <w:rPr>
          <w:rFonts w:ascii="Times New Roman" w:hAnsi="Times New Roman"/>
          <w:b/>
          <w:noProof/>
          <w:sz w:val="24"/>
          <w:szCs w:val="24"/>
        </w:rPr>
        <w:t>systematickým začleňovaním rodovej perspektívy do všetkých fáz tvorby politiky vo všetkých oblastiach vnútornej aj vonkajšej politiky EÚ</w:t>
      </w:r>
      <w:r>
        <w:rPr>
          <w:rFonts w:ascii="Times New Roman" w:hAnsi="Times New Roman"/>
          <w:noProof/>
          <w:sz w:val="24"/>
          <w:szCs w:val="24"/>
        </w:rPr>
        <w:t xml:space="preserve">. </w:t>
      </w:r>
      <w:r>
        <w:rPr>
          <w:rFonts w:ascii="Times New Roman" w:hAnsi="Times New Roman"/>
          <w:b/>
          <w:noProof/>
          <w:sz w:val="24"/>
          <w:szCs w:val="24"/>
        </w:rPr>
        <w:t>Základnou zásadou</w:t>
      </w:r>
      <w:r>
        <w:rPr>
          <w:rFonts w:ascii="Times New Roman" w:hAnsi="Times New Roman"/>
          <w:noProof/>
          <w:sz w:val="24"/>
          <w:szCs w:val="24"/>
        </w:rPr>
        <w:t xml:space="preserve">, ktorá sa bude pri vykonávaní stratégie uplatňovať, bude </w:t>
      </w:r>
      <w:r>
        <w:rPr>
          <w:rFonts w:ascii="Times New Roman" w:hAnsi="Times New Roman"/>
          <w:b/>
          <w:noProof/>
          <w:sz w:val="24"/>
          <w:szCs w:val="24"/>
        </w:rPr>
        <w:t>využívanie tzv. prierezového charakteru (intersekcionality)</w:t>
      </w:r>
      <w:r>
        <w:rPr>
          <w:rStyle w:val="FootnoteReference"/>
          <w:rFonts w:ascii="Times New Roman" w:eastAsia="Times New Roman" w:hAnsi="Times New Roman" w:cs="Times New Roman"/>
          <w:noProof/>
          <w:sz w:val="24"/>
          <w:szCs w:val="24"/>
        </w:rPr>
        <w:footnoteReference w:id="11"/>
      </w:r>
      <w:r>
        <w:rPr>
          <w:rFonts w:ascii="Times New Roman" w:hAnsi="Times New Roman"/>
          <w:b/>
          <w:noProof/>
          <w:sz w:val="24"/>
          <w:szCs w:val="24"/>
        </w:rPr>
        <w:t xml:space="preserve"> </w:t>
      </w:r>
      <w:r>
        <w:rPr>
          <w:noProof/>
          <w:sz w:val="24"/>
          <w:szCs w:val="24"/>
        </w:rPr>
        <w:t>–</w:t>
      </w:r>
      <w:r>
        <w:rPr>
          <w:rFonts w:ascii="Times New Roman" w:hAnsi="Times New Roman"/>
          <w:noProof/>
          <w:sz w:val="24"/>
          <w:szCs w:val="24"/>
        </w:rPr>
        <w:t xml:space="preserve"> t. j. kombinácie rodu s inými osobnými charakteristikami alebo identitami a toho</w:t>
      </w:r>
      <w:r>
        <w:rPr>
          <w:noProof/>
          <w:sz w:val="24"/>
          <w:szCs w:val="24"/>
        </w:rPr>
        <w:t xml:space="preserve">, </w:t>
      </w:r>
      <w:r>
        <w:rPr>
          <w:rFonts w:ascii="Times New Roman" w:hAnsi="Times New Roman"/>
          <w:noProof/>
          <w:sz w:val="24"/>
          <w:szCs w:val="24"/>
        </w:rPr>
        <w:t>ako táto kombinácia prispieva ku konkrétnym skúsenostiam s diskrimináciou</w:t>
      </w:r>
      <w:r>
        <w:rPr>
          <w:noProof/>
          <w:sz w:val="24"/>
          <w:szCs w:val="24"/>
        </w:rPr>
        <w:t>.</w:t>
      </w:r>
    </w:p>
    <w:p>
      <w:pPr>
        <w:spacing w:line="100" w:lineRule="atLeast"/>
        <w:jc w:val="both"/>
        <w:rPr>
          <w:rFonts w:ascii="Times New Roman" w:hAnsi="Times New Roman" w:cs="Times New Roman"/>
          <w:b/>
          <w:noProof/>
          <w:sz w:val="24"/>
          <w:szCs w:val="24"/>
        </w:rPr>
      </w:pPr>
      <w:r>
        <w:rPr>
          <w:rFonts w:ascii="Times New Roman" w:hAnsi="Times New Roman"/>
          <w:noProof/>
          <w:sz w:val="24"/>
          <w:szCs w:val="24"/>
        </w:rPr>
        <w:t>V roku 2020, v ktorom si pripomíname 25. výročie prijatia Pekinskej deklarácie a akčnej platformy</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 prvého všeobecného záväzku a akčného plánu na dosiahnutie pokroku v oblasti rovnosti medzi ženami a mužmi –, je </w:t>
      </w:r>
      <w:r>
        <w:rPr>
          <w:rFonts w:ascii="Times New Roman" w:hAnsi="Times New Roman"/>
          <w:b/>
          <w:noProof/>
          <w:sz w:val="24"/>
          <w:szCs w:val="24"/>
        </w:rPr>
        <w:t>táto stratégia príspevkom EÚ k vytvoreniu lepšieho sveta pre ženy a mužov, dievčatá a chlapcov</w:t>
      </w:r>
      <w:r>
        <w:rPr>
          <w:rFonts w:ascii="Times New Roman" w:hAnsi="Times New Roman"/>
          <w:noProof/>
          <w:sz w:val="24"/>
          <w:szCs w:val="24"/>
        </w:rPr>
        <w:t>. Stratégia prispieva k dosahovaniu cieľa udržateľného rozvoja č. 5, ktorým je rodová rovnosť, pričom rodovú rovnosť považuje za prierezovú prioritu v rámci všetkých cieľov udržateľného rozvoja</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Stratégia zároveň prispieva k plneniu záväzku, ktorý EÚ prijala v súvislosti s Dohovorom OSN o právach osôb so zdravotným postihnutím.</w:t>
      </w:r>
    </w:p>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1. </w:t>
      </w:r>
      <w:r>
        <w:rPr>
          <w:rFonts w:ascii="Times New Roman" w:hAnsi="Times New Roman"/>
          <w:b/>
          <w:noProof/>
          <w:sz w:val="28"/>
          <w:szCs w:val="28"/>
        </w:rPr>
        <w:tab/>
        <w:t>Bez násilia a stereotypov</w:t>
      </w:r>
    </w:p>
    <w:p>
      <w:pPr>
        <w:spacing w:line="240" w:lineRule="auto"/>
        <w:jc w:val="both"/>
        <w:rPr>
          <w:rFonts w:ascii="Times New Roman" w:hAnsi="Times New Roman" w:cs="Times New Roman"/>
          <w:b/>
          <w:i/>
          <w:noProof/>
          <w:sz w:val="24"/>
          <w:szCs w:val="24"/>
        </w:rPr>
      </w:pPr>
      <w:r>
        <w:rPr>
          <w:rFonts w:ascii="Times New Roman" w:hAnsi="Times New Roman"/>
          <w:i/>
          <w:noProof/>
          <w:sz w:val="24"/>
          <w:szCs w:val="24"/>
        </w:rPr>
        <w:t>Každý by sa mal vo svojom domove, v úzkych vzťahoch, na pracovisku, na verejných priestranstvách a na internete cítiť bezpečne. Ženy a muži, dievčatá a chlapci v celej svojej rozmanitosti by mali slobodne vyjadrovať svoje názory a pocity a realizovať svoje zvolené vzdelávacie a profesionálne smery bez obmedzujúcich stereotypných rodových noriem.</w:t>
      </w:r>
    </w:p>
    <w:p>
      <w:pPr>
        <w:rPr>
          <w:rFonts w:ascii="Times New Roman" w:hAnsi="Times New Roman" w:cs="Times New Roman"/>
          <w:b/>
          <w:noProof/>
          <w:sz w:val="24"/>
          <w:szCs w:val="24"/>
        </w:rPr>
      </w:pPr>
      <w:r>
        <w:rPr>
          <w:rFonts w:ascii="Times New Roman" w:hAnsi="Times New Roman"/>
          <w:b/>
          <w:i/>
          <w:noProof/>
          <w:sz w:val="24"/>
          <w:szCs w:val="24"/>
        </w:rPr>
        <w:t>Skoncovanie s rodovo motivovaným násilím</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Rodovo motivované násilie – alebo násilie, ktoré je nasmerované proti žene, pretože je žena, alebo ktoré postihuje ženy disproporcionálne</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xml:space="preserve"> – zostáva jednou z najväčších výziev našich spoločností a je hlboko zakorenené v rodovej nerovnosti</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xml:space="preserve">. Rodovo motivované násilie vo všetkých svojich formách zostáva nedostatočne nahlasované a je prehliadané, a to v EÚ aj mimo nej. </w:t>
      </w:r>
      <w:r>
        <w:rPr>
          <w:rFonts w:ascii="Times New Roman" w:hAnsi="Times New Roman"/>
          <w:b/>
          <w:noProof/>
          <w:sz w:val="24"/>
          <w:szCs w:val="24"/>
        </w:rPr>
        <w:t>EÚ urobí všetko pre to, aby rodovo motivovanému násiliu predchádzala a bojovala proti nemu, podporovala a chránila obete takýchto trestných činov a vyvodila voči páchateľom zodpovednosť</w:t>
      </w:r>
      <w:r>
        <w:rPr>
          <w:rFonts w:ascii="Times New Roman" w:hAnsi="Times New Roman"/>
          <w:noProof/>
          <w:sz w:val="24"/>
          <w:szCs w:val="24"/>
        </w:rPr>
        <w:t xml:space="preserve"> za ich násilnícke konanie.</w:t>
      </w:r>
    </w:p>
    <w:p>
      <w:pPr>
        <w:spacing w:line="100" w:lineRule="atLeast"/>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001109"/>
            <wp:effectExtent l="0" t="0" r="0" b="8890"/>
            <wp:docPr id="3" name="Picture 3" descr="C:\Users\stmaria\AppData\Local\CATE\DGT\Dossiers\JUST\JUST-2020-80008\gender-based-violenc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maria\AppData\Local\CATE\DGT\Dossiers\JUST\JUST-2020-80008\gender-based-violence-S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1001109"/>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Referenciou pre medzinárodné normy v tejto oblasti je Dohovor Rady Európy o predchádzaní násiliu na ženách a domácemu násiliu a o boji proti nemu – </w:t>
      </w:r>
      <w:r>
        <w:rPr>
          <w:rFonts w:ascii="Times New Roman" w:hAnsi="Times New Roman"/>
          <w:b/>
          <w:noProof/>
          <w:sz w:val="24"/>
          <w:szCs w:val="24"/>
        </w:rPr>
        <w:t>Istanbulský dohovor</w:t>
      </w:r>
      <w:r>
        <w:rPr>
          <w:rFonts w:ascii="Times New Roman" w:hAnsi="Times New Roman"/>
          <w:noProof/>
          <w:sz w:val="24"/>
          <w:szCs w:val="24"/>
        </w:rPr>
        <w:t>. EÚ podpísala dohovor v roku 2017 a dokončenie pristúpenia EÚ k dohovoru je pre Komisiu kľúčovou prioritou. S cieľom urýchliť dokončenie pristúpenia EÚ k dohovoru požiadal Európsky parlament Európsky súdny dvor v roku 2019 o stanovisko k tejto veci</w:t>
      </w:r>
      <w:r>
        <w:rPr>
          <w:rFonts w:ascii="Times New Roman" w:eastAsia="Times New Roman" w:hAnsi="Times New Roman" w:cs="Times New Roman"/>
          <w:noProof/>
          <w:sz w:val="24"/>
          <w:szCs w:val="24"/>
          <w:vertAlign w:val="superscript"/>
        </w:rPr>
        <w:footnoteReference w:id="16"/>
      </w:r>
      <w:r>
        <w:rPr>
          <w:rFonts w:ascii="Times New Roman" w:hAnsi="Times New Roman"/>
          <w:noProof/>
          <w:sz w:val="24"/>
          <w:szCs w:val="24"/>
        </w:rPr>
        <w:t>.</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Ak by pristúpenie EÚ k Istanbulskému dohovoru zostalo zablokované, Komisia má v úmysle </w:t>
      </w:r>
      <w:r>
        <w:rPr>
          <w:rFonts w:ascii="Times New Roman" w:hAnsi="Times New Roman"/>
          <w:b/>
          <w:bCs/>
          <w:noProof/>
          <w:sz w:val="24"/>
          <w:szCs w:val="24"/>
        </w:rPr>
        <w:t>navrhnúť v roku 2021 opatrenia</w:t>
      </w:r>
      <w:r>
        <w:rPr>
          <w:rFonts w:ascii="Times New Roman" w:hAnsi="Times New Roman"/>
          <w:noProof/>
          <w:sz w:val="24"/>
          <w:szCs w:val="24"/>
        </w:rPr>
        <w:t xml:space="preserve">, v rámci právomocí EÚ, </w:t>
      </w:r>
      <w:r>
        <w:rPr>
          <w:rFonts w:ascii="Times New Roman" w:hAnsi="Times New Roman"/>
          <w:b/>
          <w:bCs/>
          <w:noProof/>
          <w:sz w:val="24"/>
          <w:szCs w:val="24"/>
        </w:rPr>
        <w:t>ktorých zámerom bude dosiahnuť rovnaké ciele, ako sú ciele stanovené v Istanbulskom dohovore</w:t>
      </w:r>
      <w:r>
        <w:rPr>
          <w:rFonts w:ascii="Times New Roman" w:hAnsi="Times New Roman"/>
          <w:noProof/>
          <w:sz w:val="24"/>
          <w:szCs w:val="24"/>
        </w:rPr>
        <w:t>.</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Komisia predovšetkým zamýšľa predložiť iniciatívu s cieľom </w:t>
      </w:r>
      <w:r>
        <w:rPr>
          <w:rFonts w:ascii="Times New Roman" w:hAnsi="Times New Roman"/>
          <w:b/>
          <w:noProof/>
          <w:sz w:val="24"/>
          <w:szCs w:val="24"/>
        </w:rPr>
        <w:t>rozšíriť</w:t>
      </w:r>
      <w:r>
        <w:rPr>
          <w:rFonts w:ascii="Times New Roman" w:hAnsi="Times New Roman"/>
          <w:noProof/>
          <w:sz w:val="24"/>
          <w:szCs w:val="24"/>
        </w:rPr>
        <w:t xml:space="preserve"> v</w:t>
      </w:r>
      <w:r>
        <w:rPr>
          <w:rFonts w:ascii="Times New Roman" w:hAnsi="Times New Roman"/>
          <w:b/>
          <w:noProof/>
          <w:sz w:val="24"/>
          <w:szCs w:val="24"/>
        </w:rPr>
        <w:t> </w:t>
      </w:r>
      <w:r>
        <w:rPr>
          <w:rFonts w:ascii="Times New Roman" w:hAnsi="Times New Roman"/>
          <w:noProof/>
          <w:sz w:val="24"/>
          <w:szCs w:val="24"/>
        </w:rPr>
        <w:t>súlade s článkom 83 ods. 1 ZFEÚ</w:t>
      </w:r>
      <w:r>
        <w:rPr>
          <w:rFonts w:ascii="Times New Roman" w:hAnsi="Times New Roman"/>
          <w:b/>
          <w:noProof/>
          <w:sz w:val="24"/>
          <w:szCs w:val="24"/>
        </w:rPr>
        <w:t xml:space="preserve"> oblasti trestnej činnosti</w:t>
      </w:r>
      <w:r>
        <w:rPr>
          <w:rFonts w:ascii="Times New Roman" w:hAnsi="Times New Roman"/>
          <w:noProof/>
          <w:sz w:val="24"/>
          <w:szCs w:val="24"/>
        </w:rPr>
        <w:t xml:space="preserve">, v ktorých je možná harmonizácia, o osobitné formy rodovo motivovaného násilia (ide o tzv. </w:t>
      </w:r>
      <w:r>
        <w:rPr>
          <w:rFonts w:ascii="Times New Roman" w:hAnsi="Times New Roman"/>
          <w:b/>
          <w:noProof/>
          <w:sz w:val="24"/>
          <w:szCs w:val="24"/>
        </w:rPr>
        <w:t>európske trestné činy</w:t>
      </w:r>
      <w:r>
        <w:rPr>
          <w:rFonts w:ascii="Times New Roman" w:hAnsi="Times New Roman"/>
          <w:noProof/>
          <w:sz w:val="24"/>
          <w:szCs w:val="24"/>
        </w:rPr>
        <w:t>).</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Ak sú už pokryté existujúcimi európskymi trestnými činmi v zmysle článku 83 ods. 1 ZFEÚ, Komisia navrhne </w:t>
      </w:r>
      <w:r>
        <w:rPr>
          <w:rFonts w:ascii="Times New Roman" w:hAnsi="Times New Roman"/>
          <w:b/>
          <w:noProof/>
          <w:sz w:val="24"/>
          <w:szCs w:val="24"/>
        </w:rPr>
        <w:t>ďalšie opatrenia na predchádzanie a boj proti osobitným formám rodovo motivovaného násilia</w:t>
      </w:r>
      <w:r>
        <w:rPr>
          <w:rFonts w:ascii="Times New Roman" w:hAnsi="Times New Roman"/>
          <w:noProof/>
          <w:sz w:val="24"/>
          <w:szCs w:val="24"/>
        </w:rPr>
        <w:t xml:space="preserve"> vrátane sexuálneho obťažovania, zneužívania žien a mrzačenia ženských pohlavných orgánov.</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020514"/>
            <wp:effectExtent l="0" t="0" r="0" b="8255"/>
            <wp:docPr id="4" name="Picture 4" descr="C:\Users\stmaria\AppData\Local\CATE\DGT\Dossiers\JUST\JUST-2020-80008\FG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maria\AppData\Local\CATE\DGT\Dossiers\JUST\JUST-2020-80008\FGM-S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020514"/>
                    </a:xfrm>
                    <a:prstGeom prst="rect">
                      <a:avLst/>
                    </a:prstGeom>
                    <a:noFill/>
                    <a:ln>
                      <a:noFill/>
                    </a:ln>
                  </pic:spPr>
                </pic:pic>
              </a:graphicData>
            </a:graphic>
          </wp:inline>
        </w:drawing>
      </w:r>
    </w:p>
    <w:p>
      <w:pPr>
        <w:spacing w:line="100" w:lineRule="atLeast"/>
        <w:jc w:val="both"/>
        <w:rPr>
          <w:rFonts w:ascii="Times New Roman" w:hAnsi="Times New Roman"/>
          <w:noProof/>
          <w:sz w:val="24"/>
          <w:szCs w:val="24"/>
        </w:rPr>
      </w:pPr>
      <w:r>
        <w:rPr>
          <w:rFonts w:ascii="Times New Roman" w:hAnsi="Times New Roman"/>
          <w:noProof/>
          <w:sz w:val="24"/>
          <w:szCs w:val="24"/>
        </w:rPr>
        <w:t>Mrzačenie ženských pohlavných orgánov</w:t>
      </w:r>
      <w:r>
        <w:rPr>
          <w:rStyle w:val="FootnoteReference"/>
          <w:rFonts w:ascii="Times New Roman" w:hAnsi="Times New Roman" w:cs="Times New Roman"/>
          <w:noProof/>
          <w:sz w:val="24"/>
          <w:szCs w:val="24"/>
        </w:rPr>
        <w:footnoteReference w:id="17"/>
      </w:r>
      <w:r>
        <w:rPr>
          <w:rFonts w:ascii="Times New Roman" w:hAnsi="Times New Roman"/>
          <w:noProof/>
          <w:sz w:val="24"/>
          <w:szCs w:val="24"/>
        </w:rPr>
        <w:t xml:space="preserve">, nútené potraty a nútená sterilizácia, skoré a nútené manželstvo, takzvané násilie páchané v mene „cti“ a iné </w:t>
      </w:r>
      <w:r>
        <w:rPr>
          <w:rFonts w:ascii="Times New Roman" w:hAnsi="Times New Roman"/>
          <w:b/>
          <w:noProof/>
          <w:sz w:val="24"/>
          <w:szCs w:val="24"/>
        </w:rPr>
        <w:t>škodlivé praktiky páchané na ženách a dievčatách predstavujú formy rodovo motivovaného násilia a závažného porušovania práv žien a detí</w:t>
      </w:r>
      <w:r>
        <w:rPr>
          <w:rFonts w:ascii="Times New Roman" w:hAnsi="Times New Roman"/>
          <w:noProof/>
          <w:sz w:val="24"/>
          <w:szCs w:val="24"/>
        </w:rPr>
        <w:t xml:space="preserve"> v EÚ a na celom svete. EÚ okrem prípadných právnych predpisov predloží </w:t>
      </w:r>
      <w:r>
        <w:rPr>
          <w:rFonts w:ascii="Times New Roman" w:hAnsi="Times New Roman"/>
          <w:b/>
          <w:noProof/>
          <w:sz w:val="24"/>
          <w:szCs w:val="24"/>
        </w:rPr>
        <w:t>odporúčanie týkajúce sa predchádzania škodlivým praktikám</w:t>
      </w:r>
      <w:r>
        <w:rPr>
          <w:rFonts w:ascii="Times New Roman" w:hAnsi="Times New Roman"/>
          <w:noProof/>
          <w:sz w:val="24"/>
          <w:szCs w:val="24"/>
        </w:rPr>
        <w:t>, ktoré bude okrem iného poukazovať na potrebu účinných preventívnych opatrení a uznania dôležitosti vzdelávania. Odporúčanie sa bude zaoberať aj posilnením verejných služieb, preventívnych a podporných opatrení, budovaním kapacít odborníkov a prístupom k spravodlivosti zameraným na obete.</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Komisia v roku 2020 predloží aj </w:t>
      </w:r>
      <w:r>
        <w:rPr>
          <w:rFonts w:ascii="Times New Roman" w:hAnsi="Times New Roman"/>
          <w:b/>
          <w:bCs/>
          <w:noProof/>
          <w:sz w:val="24"/>
          <w:szCs w:val="24"/>
        </w:rPr>
        <w:t>stratégiu práv obetí</w:t>
      </w:r>
      <w:r>
        <w:rPr>
          <w:rFonts w:ascii="Times New Roman" w:hAnsi="Times New Roman"/>
          <w:noProof/>
          <w:sz w:val="24"/>
          <w:szCs w:val="24"/>
        </w:rPr>
        <w:t>, ktorá bude riešiť osobitné potreby obetí rodovo motivovaného násilia vrátane domáceho násilia, pričom bude vychádzať zo smernice o právach obetí</w:t>
      </w:r>
      <w:r>
        <w:rPr>
          <w:rStyle w:val="FootnoteReference"/>
          <w:rFonts w:ascii="Times New Roman" w:eastAsia="Times New Roman" w:hAnsi="Times New Roman" w:cs="Times New Roman"/>
          <w:noProof/>
          <w:sz w:val="24"/>
          <w:szCs w:val="24"/>
        </w:rPr>
        <w:footnoteReference w:id="18"/>
      </w:r>
      <w:r>
        <w:rPr>
          <w:rFonts w:ascii="Times New Roman" w:hAnsi="Times New Roman"/>
          <w:noProof/>
          <w:sz w:val="24"/>
          <w:szCs w:val="24"/>
        </w:rPr>
        <w:t>.</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Ženy, ktoré majú </w:t>
      </w:r>
      <w:r>
        <w:rPr>
          <w:rFonts w:ascii="Times New Roman" w:hAnsi="Times New Roman"/>
          <w:b/>
          <w:noProof/>
          <w:sz w:val="24"/>
          <w:szCs w:val="24"/>
        </w:rPr>
        <w:t>zdravotný problém alebo zdravotné postihnutie</w:t>
      </w:r>
      <w:r>
        <w:rPr>
          <w:rFonts w:ascii="Times New Roman" w:hAnsi="Times New Roman"/>
          <w:noProof/>
          <w:sz w:val="24"/>
          <w:szCs w:val="24"/>
        </w:rPr>
        <w:t>, sú rôznym formám násilia vystavované častejšie</w:t>
      </w:r>
      <w:r>
        <w:rPr>
          <w:rStyle w:val="FootnoteReference"/>
          <w:rFonts w:ascii="Times New Roman" w:hAnsi="Times New Roman" w:cs="Times New Roman"/>
          <w:noProof/>
          <w:sz w:val="24"/>
          <w:szCs w:val="24"/>
        </w:rPr>
        <w:footnoteReference w:id="19"/>
      </w:r>
      <w:r>
        <w:rPr>
          <w:noProof/>
          <w:sz w:val="24"/>
          <w:szCs w:val="24"/>
        </w:rPr>
        <w:t>.</w:t>
      </w:r>
      <w:r>
        <w:rPr>
          <w:rFonts w:ascii="Times New Roman" w:hAnsi="Times New Roman"/>
          <w:noProof/>
          <w:sz w:val="24"/>
          <w:szCs w:val="24"/>
        </w:rPr>
        <w:t xml:space="preserve"> Komisia vypracuje a následne bude financovať opatrenia</w:t>
      </w:r>
      <w:r>
        <w:rPr>
          <w:rStyle w:val="FootnoteReference"/>
          <w:rFonts w:ascii="Times New Roman" w:hAnsi="Times New Roman" w:cs="Times New Roman"/>
          <w:noProof/>
          <w:sz w:val="24"/>
          <w:szCs w:val="24"/>
        </w:rPr>
        <w:footnoteReference w:id="20"/>
      </w:r>
      <w:r>
        <w:rPr>
          <w:rFonts w:ascii="Times New Roman" w:hAnsi="Times New Roman"/>
          <w:noProof/>
          <w:sz w:val="24"/>
          <w:szCs w:val="24"/>
        </w:rPr>
        <w:t xml:space="preserve"> zamerané na boj proti zneužívaniu, násiliu, nútenej sterilizácii a nútenému potratom, pričom pôjde napríklad o budovanie kapacít odborníkov a informačné kampane o právach a prístupe k spravodlivosti.</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Mimoriadny význam má účinná prevencia násilia.</w:t>
      </w:r>
      <w:r>
        <w:rPr>
          <w:rFonts w:ascii="Times New Roman" w:hAnsi="Times New Roman"/>
          <w:noProof/>
          <w:sz w:val="24"/>
          <w:szCs w:val="24"/>
        </w:rPr>
        <w:t xml:space="preserve"> To si vyžaduje vzdelávanie chlapcov a dievčat o rodovej rovnosti od útleho veku a podporu rozvoja nenásilných vzťahov. Takisto je potrebné, aby sa medzi odborníkmi a v rámci príslušných služieb – vrátane systému trestného súdnictva, služieb na podporu obetí, programov pre páchateľov a sociálnych a zdravotníckych služieb – uplatňoval multidisciplinárny prístup. Riešenie násilia páchaného na ženách a potláčanie ideológií oslabujúcich práva žien by takisto mohlo prispieť k predchádzaniu radikalizácii vedúcej k násilnému extrémizmu a terorizmu. Komisia spustí </w:t>
      </w:r>
      <w:r>
        <w:rPr>
          <w:rFonts w:ascii="Times New Roman" w:hAnsi="Times New Roman"/>
          <w:b/>
          <w:noProof/>
          <w:sz w:val="24"/>
          <w:szCs w:val="24"/>
        </w:rPr>
        <w:t>sieť EÚ na predchádzanie rodovo motivovanému násiliu a domácemu násiliu</w:t>
      </w:r>
      <w:r>
        <w:rPr>
          <w:rFonts w:ascii="Times New Roman" w:hAnsi="Times New Roman"/>
          <w:noProof/>
          <w:sz w:val="24"/>
          <w:szCs w:val="24"/>
        </w:rPr>
        <w:t>, prostredníctvom ktorej si členské štáty a zainteresované strany budú môcť vymieňať osvedčené postupy, a zároveň poskytne finančné prostriedky na odbornú prípravu, budovanie kapacít a podporné služby. Kľúčový význam bude mať predchádzanie násiliu so zameraním na mužov, chlapcov a mužskosť</w:t>
      </w:r>
      <w:r>
        <w:rPr>
          <w:rStyle w:val="FootnoteReference"/>
          <w:rFonts w:ascii="Times New Roman" w:hAnsi="Times New Roman" w:cs="Times New Roman"/>
          <w:noProof/>
          <w:sz w:val="24"/>
          <w:szCs w:val="24"/>
        </w:rPr>
        <w:footnoteReference w:id="21"/>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S cieľom riešiť problém násilia a obťažovania v pracovnom prostredí bude Komisia naďalej nabádať členské štáty, aby ratifikovali </w:t>
      </w:r>
      <w:r>
        <w:rPr>
          <w:rFonts w:ascii="Times New Roman" w:hAnsi="Times New Roman"/>
          <w:b/>
          <w:bCs/>
          <w:noProof/>
          <w:sz w:val="24"/>
          <w:szCs w:val="24"/>
        </w:rPr>
        <w:t>Dohovor Medzinárodnej organizácie práce o odstránení násilia a obťažovania vo svete práce</w:t>
      </w:r>
      <w:r>
        <w:rPr>
          <w:rStyle w:val="FootnoteReference"/>
          <w:rFonts w:ascii="Times New Roman" w:hAnsi="Times New Roman" w:cs="Times New Roman"/>
          <w:noProof/>
          <w:sz w:val="24"/>
          <w:szCs w:val="24"/>
        </w:rPr>
        <w:footnoteReference w:id="22"/>
      </w:r>
      <w:r>
        <w:rPr>
          <w:rFonts w:ascii="Times New Roman" w:hAnsi="Times New Roman"/>
          <w:noProof/>
          <w:sz w:val="24"/>
          <w:szCs w:val="24"/>
        </w:rPr>
        <w:t>, vykonávali existujúce pravidlá EÚ</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o ochrane pracovníkov pred sexuálnym obťažovaním a zvyšovali informovanosť o nich. Komisia ako zamestnávateľ prijme nový komplexný právny rámec so súborom preventívnych a reaktívnych opatrení proti obťažovaniu na pracovisku.</w:t>
      </w:r>
    </w:p>
    <w:p>
      <w:pPr>
        <w:spacing w:line="100" w:lineRule="atLeast"/>
        <w:jc w:val="both"/>
        <w:rPr>
          <w:rFonts w:ascii="Times New Roman" w:hAnsi="Times New Roman"/>
          <w:noProof/>
          <w:sz w:val="24"/>
          <w:szCs w:val="24"/>
        </w:rPr>
      </w:pPr>
      <w:r>
        <w:rPr>
          <w:rFonts w:ascii="Times New Roman" w:hAnsi="Times New Roman"/>
          <w:b/>
          <w:noProof/>
          <w:sz w:val="24"/>
          <w:szCs w:val="24"/>
        </w:rPr>
        <w:t>Násilie na internete zamerané proti ženám</w:t>
      </w:r>
      <w:r>
        <w:rPr>
          <w:rFonts w:ascii="Times New Roman" w:hAnsi="Times New Roman"/>
          <w:noProof/>
          <w:sz w:val="24"/>
          <w:szCs w:val="24"/>
        </w:rPr>
        <w:t xml:space="preserve"> sa stalo všadeprítomným a má špecifické negatívne dôsledky; </w:t>
      </w:r>
      <w:r>
        <w:rPr>
          <w:rFonts w:ascii="Times New Roman" w:hAnsi="Times New Roman"/>
          <w:b/>
          <w:noProof/>
          <w:sz w:val="24"/>
          <w:szCs w:val="24"/>
        </w:rPr>
        <w:t xml:space="preserve">to je neprijateľné. Je prekážkou účasti žien na verejnom živote. </w:t>
      </w:r>
      <w:r>
        <w:rPr>
          <w:rFonts w:ascii="Times New Roman" w:hAnsi="Times New Roman"/>
          <w:noProof/>
          <w:sz w:val="24"/>
          <w:szCs w:val="24"/>
        </w:rPr>
        <w:t xml:space="preserve">Šikanovanie, obťažovanie a zneužívanie v sociálnych médiách majú na každodenný život žien a dievčat ďalekosiahle účinky. Komisia navrhne </w:t>
      </w:r>
      <w:r>
        <w:rPr>
          <w:rFonts w:ascii="Times New Roman" w:hAnsi="Times New Roman"/>
          <w:b/>
          <w:noProof/>
          <w:sz w:val="24"/>
          <w:szCs w:val="24"/>
        </w:rPr>
        <w:t>akt o digitálnych službách</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s cieľom vyjasniť povinnosti online platforiem, pokiaľ ide o obsah šírený používateľmi. V akte o digitálnych službách sa so zreteľom na ochranu základných práv objasní, aké opatrenia na riešenie nezákonných činností online sa od platforiem očakávajú. Používatelia musia byť takisto schopní bojovať proti iným druhom škodlivého a zneužívajúceho obsahu, ktorý sa nie vždy považuje za nezákonný, ale môže mať devastačné účinky. V záujme ochrany bezpečnosti žien online Komisia uľahčí vypracovanie </w:t>
      </w:r>
      <w:r>
        <w:rPr>
          <w:rFonts w:ascii="Times New Roman" w:hAnsi="Times New Roman"/>
          <w:b/>
          <w:noProof/>
          <w:sz w:val="24"/>
          <w:szCs w:val="24"/>
        </w:rPr>
        <w:t>nového rámca spolupráce medzi online platformami</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b/>
          <w:bCs/>
          <w:noProof/>
          <w:sz w:val="24"/>
          <w:szCs w:val="24"/>
        </w:rPr>
        <w:t>Ženy a dievčatá tvoria veľkú väčšinu</w:t>
      </w:r>
      <w:r>
        <w:rPr>
          <w:rFonts w:ascii="Times New Roman" w:hAnsi="Times New Roman"/>
          <w:noProof/>
          <w:sz w:val="24"/>
          <w:szCs w:val="24"/>
        </w:rPr>
        <w:t xml:space="preserve"> </w:t>
      </w:r>
      <w:r>
        <w:rPr>
          <w:rFonts w:ascii="Times New Roman" w:hAnsi="Times New Roman"/>
          <w:b/>
          <w:bCs/>
          <w:noProof/>
          <w:sz w:val="24"/>
          <w:szCs w:val="24"/>
        </w:rPr>
        <w:t>obetí obchodovania s ľuďmi</w:t>
      </w:r>
      <w:r>
        <w:rPr>
          <w:rFonts w:ascii="Times New Roman" w:hAnsi="Times New Roman"/>
          <w:noProof/>
          <w:sz w:val="24"/>
          <w:szCs w:val="24"/>
        </w:rPr>
        <w:t xml:space="preserve"> v EÚ aj mimo nej a obchoduje sa s nimi najmä na </w:t>
      </w:r>
      <w:r>
        <w:rPr>
          <w:rFonts w:ascii="Times New Roman" w:hAnsi="Times New Roman"/>
          <w:bCs/>
          <w:noProof/>
          <w:sz w:val="24"/>
          <w:szCs w:val="24"/>
        </w:rPr>
        <w:t>účely sexuálneho vykorisťovania</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EÚ sa zaoberá obchodovaním s ľuďmi komplexne prostredníctvom koordinácie vo všetkých príslušných oblastiach</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xml:space="preserve">. Prioritou je boj proti beztrestnosti osôb, ktoré takéto ženy a dievčatá využívajú, vykorisťujú a ktoré na nich zarábajú. </w:t>
      </w:r>
      <w:r>
        <w:rPr>
          <w:rFonts w:ascii="Times New Roman" w:hAnsi="Times New Roman"/>
          <w:bCs/>
          <w:noProof/>
          <w:sz w:val="24"/>
          <w:szCs w:val="24"/>
        </w:rPr>
        <w:t>Obavy žien a dievčat postihnutých obchodovaním musia byť ústredným prvkom pri tvorbe relevantných politík. V </w:t>
      </w:r>
      <w:r>
        <w:rPr>
          <w:rFonts w:ascii="Times New Roman" w:hAnsi="Times New Roman"/>
          <w:noProof/>
          <w:sz w:val="24"/>
          <w:szCs w:val="24"/>
        </w:rPr>
        <w:t xml:space="preserve">rámci bezpečnostnej únie Komisia predloží novú </w:t>
      </w:r>
      <w:r>
        <w:rPr>
          <w:rFonts w:ascii="Times New Roman" w:hAnsi="Times New Roman"/>
          <w:b/>
          <w:bCs/>
          <w:noProof/>
          <w:sz w:val="24"/>
          <w:szCs w:val="24"/>
        </w:rPr>
        <w:t>stratégiu EÚ na odstránenie obchodovania s ľuďmi</w:t>
      </w:r>
      <w:r>
        <w:rPr>
          <w:rFonts w:ascii="Times New Roman" w:hAnsi="Times New Roman"/>
          <w:noProof/>
          <w:sz w:val="24"/>
          <w:szCs w:val="24"/>
        </w:rPr>
        <w:t xml:space="preserve"> a </w:t>
      </w:r>
      <w:r>
        <w:rPr>
          <w:rFonts w:ascii="Times New Roman" w:hAnsi="Times New Roman"/>
          <w:b/>
          <w:bCs/>
          <w:noProof/>
          <w:sz w:val="24"/>
          <w:szCs w:val="24"/>
        </w:rPr>
        <w:t>stratégiu EÚ na účinnejší boj proti sexuálnemu zneužívaniu detí</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Na to, aby politiky v oblasti boja proti rodovo motivovanému násiliu boli účinné, </w:t>
      </w:r>
      <w:r>
        <w:rPr>
          <w:rFonts w:ascii="Times New Roman" w:hAnsi="Times New Roman"/>
          <w:b/>
          <w:noProof/>
          <w:sz w:val="24"/>
          <w:szCs w:val="24"/>
        </w:rPr>
        <w:t>potrebuje EÚ komplexné, aktualizované a porovnateľné údaje</w:t>
      </w:r>
      <w:r>
        <w:rPr>
          <w:rFonts w:ascii="Times New Roman" w:hAnsi="Times New Roman"/>
          <w:noProof/>
          <w:sz w:val="24"/>
          <w:szCs w:val="24"/>
        </w:rPr>
        <w:t xml:space="preserve">. V záujme získania úplného obrazu o rodovo motivovanom násilí by údaje mali byť rozčlenené podľa príslušných prierezových aspektov a ukazovateľov, ako sú vek, zdravotné postihnutie, postavenie migranta a skutočnosť, či žijú na vidieku alebo v meste. </w:t>
      </w:r>
      <w:r>
        <w:rPr>
          <w:rFonts w:ascii="Times New Roman" w:hAnsi="Times New Roman"/>
          <w:b/>
          <w:noProof/>
          <w:sz w:val="24"/>
          <w:szCs w:val="24"/>
        </w:rPr>
        <w:t>Celoeurópsky prieskum</w:t>
      </w:r>
      <w:r>
        <w:rPr>
          <w:rFonts w:ascii="Times New Roman" w:hAnsi="Times New Roman"/>
          <w:noProof/>
          <w:sz w:val="24"/>
          <w:szCs w:val="24"/>
        </w:rPr>
        <w:t>, ktorý koordinuje Eurostat, poskytne údaje o výskyte a dynamike násilia na ženách a iných foriem medziľudského násilia, pričom výsledky budú predložené v roku 2023.</w:t>
      </w:r>
    </w:p>
    <w:p>
      <w:pPr>
        <w:spacing w:line="100" w:lineRule="atLeast"/>
        <w:jc w:val="both"/>
        <w:rPr>
          <w:rFonts w:ascii="Times New Roman" w:eastAsia="Calibri" w:hAnsi="Times New Roman" w:cs="Times New Roman"/>
          <w:b/>
          <w:noProof/>
          <w:sz w:val="24"/>
          <w:szCs w:val="24"/>
        </w:rPr>
      </w:pPr>
      <w:r>
        <w:rPr>
          <w:rFonts w:ascii="Times New Roman" w:hAnsi="Times New Roman"/>
          <w:b/>
          <w:i/>
          <w:noProof/>
          <w:sz w:val="24"/>
          <w:szCs w:val="24"/>
        </w:rPr>
        <w:t>Spochybňovanie rodových stereotypov</w:t>
      </w:r>
    </w:p>
    <w:p>
      <w:pPr>
        <w:pStyle w:val="NormalWeb"/>
        <w:spacing w:before="0" w:beforeAutospacing="0" w:after="200" w:afterAutospacing="0" w:line="100" w:lineRule="atLeast"/>
        <w:jc w:val="both"/>
        <w:rPr>
          <w:noProof/>
        </w:rPr>
      </w:pPr>
      <w:r>
        <w:rPr>
          <w:b/>
          <w:noProof/>
        </w:rPr>
        <w:t>Hlavnou príčinou rodovej nerovnosti sú rodové stereotypy, ktoré ovplyvňujú všetky oblasti spoločnosti</w:t>
      </w:r>
      <w:r>
        <w:rPr>
          <w:rStyle w:val="FootnoteReference"/>
          <w:noProof/>
        </w:rPr>
        <w:footnoteReference w:id="28"/>
      </w:r>
      <w:r>
        <w:rPr>
          <w:noProof/>
        </w:rPr>
        <w:t>. Stereotypné očakávania vychádzajúce z pevne daných noriem pre ženy a mužov, dievčatá a chlapcov obmedzujú ich ambície, výber a slobodu, a preto je potrebné ich odstraňovať. Rodové stereotypy výrazne prispievajú k rozdielom v odmeňovaní žien a mužov. Často sú skombinované s inými stereotypmi, ako sú stereotypy založené na rase alebo etnickom pôvode, náboženstve alebo viere, zdravotnom postihnutí, veku alebo sexuálnej orientácii, čo môže posilniť ich negatívne vplyvy.</w:t>
      </w:r>
    </w:p>
    <w:p>
      <w:pPr>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1001109"/>
            <wp:effectExtent l="0" t="0" r="0" b="8890"/>
            <wp:docPr id="6" name="Picture 6" descr="C:\Users\stmaria\AppData\Local\CATE\DGT\Dossiers\JUST\JUST-2020-80008\stereotypes-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maria\AppData\Local\CATE\DGT\Dossiers\JUST\JUST-2020-80008\stereotypes-S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001109"/>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Umelá inteligencia</w:t>
      </w:r>
      <w:r>
        <w:rPr>
          <w:rFonts w:ascii="Times New Roman" w:hAnsi="Times New Roman"/>
          <w:noProof/>
          <w:sz w:val="24"/>
          <w:szCs w:val="24"/>
        </w:rPr>
        <w:t xml:space="preserve"> </w:t>
      </w:r>
      <w:r>
        <w:rPr>
          <w:rFonts w:ascii="Times New Roman" w:hAnsi="Times New Roman"/>
          <w:b/>
          <w:noProof/>
          <w:sz w:val="24"/>
          <w:szCs w:val="24"/>
        </w:rPr>
        <w:t>sa stala oblasťou strategického významu</w:t>
      </w:r>
      <w:r>
        <w:rPr>
          <w:rFonts w:ascii="Times New Roman" w:hAnsi="Times New Roman"/>
          <w:noProof/>
          <w:sz w:val="24"/>
          <w:szCs w:val="24"/>
        </w:rPr>
        <w:t xml:space="preserve"> a kľúčovou hnacou silou hospodárskeho pokroku, a preto ženy musia byť súčasťou jej rozvoja ako výskumníčky, programátorky a používateľky.</w:t>
      </w:r>
      <w:r>
        <w:rPr>
          <w:rFonts w:ascii="Times New Roman" w:hAnsi="Times New Roman"/>
          <w:b/>
          <w:noProof/>
          <w:sz w:val="24"/>
          <w:szCs w:val="24"/>
        </w:rPr>
        <w:t xml:space="preserve"> </w:t>
      </w:r>
      <w:r>
        <w:rPr>
          <w:rFonts w:ascii="Times New Roman" w:hAnsi="Times New Roman"/>
          <w:noProof/>
          <w:sz w:val="24"/>
          <w:szCs w:val="24"/>
        </w:rPr>
        <w:t>Hoci umelá inteligencia môže priniesť riešenia pre mnohé spoločenské výzvy, hrozí, že zapríčiní prehĺbenie rodových rozdielov. Existuje riziko, že pokiaľ algoritmy a súvisiace strojové učenie nie sú transparentné a dostatočne prepracované, vedú k opakovaniu, zvyšovaniu alebo podporovaniu rodových predsudkov, ktorých si programátori nemusia byť vedomí alebo ktoré sú výsledkom výberu špecifických údajov. V novej bielej knihe Komisie o umelej inteligencii sa stanovuje európsky prístup založený na hodnotách EÚ a základných právach vrátane nediskriminácie a rodovej rovnosti</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xml:space="preserve">. Budúci rámcový program pre výskum a inovácie </w:t>
      </w:r>
      <w:r>
        <w:rPr>
          <w:rFonts w:ascii="Times New Roman" w:hAnsi="Times New Roman"/>
          <w:b/>
          <w:noProof/>
          <w:sz w:val="24"/>
          <w:szCs w:val="24"/>
        </w:rPr>
        <w:t>Horizont Európa</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xml:space="preserve"> takisto poskytne prehľad a riešenia týkajúce sa odbúravania potenciálnych rodových predsudkov v oblasti umelej inteligencie, ako aj odstraňovania rodových stereotypov vo všetkých sociálnych, hospodárskych a kultúrnych oblastiach, čím sa podporí tvorba nezaujatých politík založených na faktoch.</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Médiá a kultúrne sektory majú značný vplyv na formovanie presvedčenia ľudí, ich hodnôt a vnímania reality, a preto sú naďalej kľúčovými kanálmi na zmenu postojov a odstránenie stereotypov</w:t>
      </w:r>
      <w:r>
        <w:rPr>
          <w:rStyle w:val="FootnoteReference"/>
          <w:rFonts w:ascii="Times New Roman" w:hAnsi="Times New Roman" w:cs="Times New Roman"/>
          <w:noProof/>
          <w:sz w:val="24"/>
          <w:szCs w:val="24"/>
        </w:rPr>
        <w:footnoteReference w:id="31"/>
      </w:r>
      <w:r>
        <w:rPr>
          <w:rFonts w:ascii="Times New Roman" w:hAnsi="Times New Roman"/>
          <w:noProof/>
          <w:sz w:val="24"/>
          <w:szCs w:val="24"/>
        </w:rPr>
        <w:t xml:space="preserve">. Komisia bude aj naďalej podporovať projekty na podporu rodovej rovnosti v rámci programu </w:t>
      </w:r>
      <w:r>
        <w:rPr>
          <w:rFonts w:ascii="Times New Roman" w:hAnsi="Times New Roman"/>
          <w:b/>
          <w:noProof/>
          <w:sz w:val="24"/>
          <w:szCs w:val="24"/>
        </w:rPr>
        <w:t>Kreatívna Európa</w:t>
      </w:r>
      <w:r>
        <w:rPr>
          <w:rStyle w:val="FootnoteReference"/>
          <w:rFonts w:ascii="Times New Roman" w:hAnsi="Times New Roman" w:cs="Times New Roman"/>
          <w:noProof/>
          <w:sz w:val="24"/>
          <w:szCs w:val="24"/>
        </w:rPr>
        <w:footnoteReference w:id="32"/>
      </w:r>
      <w:r>
        <w:rPr>
          <w:rFonts w:ascii="Times New Roman" w:hAnsi="Times New Roman"/>
          <w:noProof/>
          <w:sz w:val="24"/>
          <w:szCs w:val="24"/>
        </w:rPr>
        <w:t xml:space="preserve">, ako aj v rámci projektu </w:t>
      </w:r>
      <w:r>
        <w:rPr>
          <w:rFonts w:ascii="Times New Roman" w:hAnsi="Times New Roman"/>
          <w:b/>
          <w:noProof/>
          <w:sz w:val="24"/>
          <w:szCs w:val="24"/>
        </w:rPr>
        <w:t>Hudba hýbe Európou</w:t>
      </w:r>
      <w:r>
        <w:rPr>
          <w:rFonts w:ascii="Times New Roman" w:hAnsi="Times New Roman"/>
          <w:noProof/>
          <w:sz w:val="24"/>
          <w:szCs w:val="24"/>
        </w:rPr>
        <w:t xml:space="preserve"> a ako súčasť nasledujúceho podprogramu </w:t>
      </w:r>
      <w:r>
        <w:rPr>
          <w:rFonts w:ascii="Times New Roman" w:hAnsi="Times New Roman"/>
          <w:b/>
          <w:noProof/>
          <w:sz w:val="24"/>
          <w:szCs w:val="24"/>
        </w:rPr>
        <w:t>MEDIA</w:t>
      </w:r>
      <w:r>
        <w:rPr>
          <w:rStyle w:val="FootnoteReference"/>
          <w:rFonts w:ascii="Times New Roman" w:hAnsi="Times New Roman" w:cs="Times New Roman"/>
          <w:noProof/>
          <w:sz w:val="24"/>
          <w:szCs w:val="24"/>
        </w:rPr>
        <w:footnoteReference w:id="33"/>
      </w:r>
      <w:r>
        <w:rPr>
          <w:rFonts w:ascii="Times New Roman" w:hAnsi="Times New Roman"/>
          <w:noProof/>
          <w:sz w:val="24"/>
          <w:szCs w:val="24"/>
        </w:rPr>
        <w:t xml:space="preserve"> predstaví </w:t>
      </w:r>
      <w:r>
        <w:rPr>
          <w:rFonts w:ascii="Times New Roman" w:hAnsi="Times New Roman"/>
          <w:b/>
          <w:noProof/>
          <w:sz w:val="24"/>
          <w:szCs w:val="24"/>
        </w:rPr>
        <w:t>stratégiu pre rodovú rovnosť v audiovizuálnom priemysle</w:t>
      </w:r>
      <w:r>
        <w:rPr>
          <w:rFonts w:ascii="Times New Roman" w:hAnsi="Times New Roman"/>
          <w:noProof/>
          <w:sz w:val="24"/>
          <w:szCs w:val="24"/>
        </w:rPr>
        <w:t xml:space="preserve"> a poskytne finančnú podporu, štruktúrovaný dialóg, mentorstvo a odbornú prípravu pre filmárky, producentky a autorky scenárov.</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Komisia začne </w:t>
      </w:r>
      <w:r>
        <w:rPr>
          <w:rFonts w:ascii="Times New Roman" w:hAnsi="Times New Roman"/>
          <w:b/>
          <w:noProof/>
          <w:sz w:val="24"/>
          <w:szCs w:val="24"/>
        </w:rPr>
        <w:t xml:space="preserve">celoeurópsku komunikačnú kampaň zameranú na boj proti rodovým stereotypom. </w:t>
      </w:r>
      <w:r>
        <w:rPr>
          <w:rFonts w:ascii="Times New Roman" w:hAnsi="Times New Roman"/>
          <w:noProof/>
          <w:sz w:val="24"/>
          <w:szCs w:val="24"/>
        </w:rPr>
        <w:t>V spolupráci s členskými štátmi sa bude zaoberať všetkými oblasťami života, pričom využije prierezový prístup a zameria sa na zapojenie mládeže.</w:t>
      </w:r>
    </w:p>
    <w:p>
      <w:pPr>
        <w:spacing w:after="0" w:line="240" w:lineRule="auto"/>
        <w:jc w:val="both"/>
        <w:rPr>
          <w:rFonts w:ascii="Times New Roman" w:hAnsi="Times New Roman" w:cs="Times New Roman"/>
          <w:noProof/>
          <w:sz w:val="8"/>
          <w:szCs w:val="8"/>
        </w:rPr>
      </w:pPr>
    </w:p>
    <w:p>
      <w:pPr>
        <w:spacing w:after="0" w:line="240" w:lineRule="auto"/>
        <w:jc w:val="both"/>
        <w:rPr>
          <w:rFonts w:ascii="Times New Roman" w:hAnsi="Times New Roman" w:cs="Times New Roman"/>
          <w:noProof/>
          <w:sz w:val="8"/>
          <w:szCs w:val="8"/>
        </w:rPr>
      </w:pPr>
    </w:p>
    <w:p>
      <w:pPr>
        <w:spacing w:after="0" w:line="240" w:lineRule="auto"/>
        <w:jc w:val="both"/>
        <w:rPr>
          <w:rFonts w:ascii="Times New Roman" w:hAnsi="Times New Roman" w:cs="Times New Roman"/>
          <w:noProof/>
          <w:sz w:val="8"/>
          <w:szCs w:val="8"/>
        </w:rPr>
      </w:pPr>
    </w:p>
    <w:p>
      <w:pPr>
        <w:spacing w:after="0" w:line="240" w:lineRule="auto"/>
        <w:jc w:val="both"/>
        <w:rPr>
          <w:rFonts w:ascii="Times New Roman" w:hAnsi="Times New Roman" w:cs="Times New Roman"/>
          <w:noProof/>
          <w:sz w:val="8"/>
          <w:szCs w:val="8"/>
        </w:rPr>
      </w:pPr>
    </w:p>
    <w:p>
      <w:pPr>
        <w:spacing w:after="0" w:line="240" w:lineRule="auto"/>
        <w:jc w:val="both"/>
        <w:rPr>
          <w:rFonts w:ascii="Times New Roman" w:hAnsi="Times New Roman" w:cs="Times New Roman"/>
          <w:noProof/>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Okrem opatrení Komisie, ktoré už boli uvedené, Komisia vyzýva:</w:t>
            </w: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Radu, aby</w:t>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dokončila proces pristúpenia EÚ k Istanbulskému dohovoru a zabezpečila rýchlu ratifikáciu zo strany EÚ.</w:t>
            </w: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noProof/>
                <w:sz w:val="24"/>
                <w:szCs w:val="24"/>
              </w:rPr>
            </w:pPr>
            <w:r>
              <w:rPr>
                <w:rFonts w:ascii="Times New Roman" w:hAnsi="Times New Roman"/>
                <w:b/>
                <w:noProof/>
                <w:sz w:val="24"/>
                <w:szCs w:val="24"/>
              </w:rPr>
              <w:t>členské štáty, aby</w:t>
            </w:r>
            <w:r>
              <w:rPr>
                <w:rFonts w:ascii="Times New Roman" w:hAnsi="Times New Roman"/>
                <w:noProof/>
                <w:sz w:val="24"/>
                <w:szCs w:val="24"/>
              </w:rPr>
              <w:t>:</w:t>
            </w:r>
          </w:p>
          <w:p>
            <w:pPr>
              <w:pStyle w:val="ListParagraph"/>
              <w:numPr>
                <w:ilvl w:val="0"/>
                <w:numId w:val="54"/>
              </w:numPr>
              <w:spacing w:after="120"/>
              <w:jc w:val="both"/>
              <w:rPr>
                <w:rFonts w:ascii="Times New Roman" w:hAnsi="Times New Roman"/>
                <w:noProof/>
                <w:sz w:val="24"/>
                <w:szCs w:val="24"/>
              </w:rPr>
            </w:pPr>
            <w:r>
              <w:rPr>
                <w:rFonts w:ascii="Times New Roman" w:hAnsi="Times New Roman"/>
                <w:noProof/>
                <w:sz w:val="24"/>
                <w:szCs w:val="24"/>
              </w:rPr>
              <w:t>ratifikovali a vykonávali Istanbulský dohovor,</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ratifikovali a vykonávali Dohovor Medzinárodnej organizácie práce o odstránení násilia a obťažovania vo svete práce,</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vykonali smernicu o právach obetí, smernicu o boji proti sexuálnemu zneužívaniu detí</w:t>
            </w:r>
            <w:r>
              <w:rPr>
                <w:rStyle w:val="FootnoteReference"/>
                <w:rFonts w:ascii="Times New Roman" w:hAnsi="Times New Roman" w:cs="Times New Roman"/>
                <w:noProof/>
                <w:sz w:val="24"/>
                <w:szCs w:val="24"/>
              </w:rPr>
              <w:footnoteReference w:id="34"/>
            </w:r>
            <w:r>
              <w:rPr>
                <w:rFonts w:ascii="Times New Roman" w:hAnsi="Times New Roman"/>
                <w:noProof/>
                <w:sz w:val="24"/>
                <w:szCs w:val="24"/>
              </w:rPr>
              <w:t xml:space="preserve"> a iné príslušné právne predpisy EÚ na ochranu obetí rodovo motivovaného násilia</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w:t>
            </w:r>
          </w:p>
          <w:p>
            <w:pPr>
              <w:pStyle w:val="ListParagraph"/>
              <w:numPr>
                <w:ilvl w:val="0"/>
                <w:numId w:val="54"/>
              </w:numPr>
              <w:spacing w:after="120"/>
              <w:jc w:val="both"/>
              <w:rPr>
                <w:rFonts w:ascii="Times New Roman" w:hAnsi="Times New Roman"/>
                <w:noProof/>
                <w:sz w:val="24"/>
                <w:szCs w:val="24"/>
              </w:rPr>
            </w:pPr>
            <w:r>
              <w:rPr>
                <w:rFonts w:ascii="Times New Roman" w:hAnsi="Times New Roman"/>
                <w:noProof/>
                <w:sz w:val="24"/>
                <w:szCs w:val="24"/>
              </w:rPr>
              <w:t>systematicky zhromažďovali a oznamovali údaje o rodovo motivovanom násilí a</w:t>
            </w:r>
          </w:p>
          <w:p>
            <w:pPr>
              <w:pStyle w:val="ListParagraph"/>
              <w:numPr>
                <w:ilvl w:val="0"/>
                <w:numId w:val="54"/>
              </w:numPr>
              <w:spacing w:after="120"/>
              <w:jc w:val="both"/>
              <w:rPr>
                <w:rFonts w:ascii="Times New Roman" w:hAnsi="Times New Roman" w:cs="Times New Roman"/>
                <w:i/>
                <w:noProof/>
                <w:sz w:val="24"/>
                <w:szCs w:val="24"/>
              </w:rPr>
            </w:pPr>
            <w:r>
              <w:rPr>
                <w:rFonts w:ascii="Times New Roman" w:hAnsi="Times New Roman"/>
                <w:noProof/>
                <w:sz w:val="24"/>
                <w:szCs w:val="24"/>
              </w:rPr>
              <w:t>podporovali občiansku spoločnosť a verejné služby pri predchádzaní rodovo motivovanému násiliu a rodovým stereotypom a boji proti nim, a to aj s pomocou finančných prostriedkov EÚ dostupných v rámci programu „Občania, rovnosť, práva a hodnoty“ (roky 2021 – 2027).</w:t>
            </w:r>
          </w:p>
        </w:tc>
      </w:tr>
    </w:tbl>
    <w:p>
      <w:pPr>
        <w:spacing w:line="100" w:lineRule="atLeast"/>
        <w:jc w:val="both"/>
        <w:rPr>
          <w:rFonts w:ascii="Times New Roman" w:hAnsi="Times New Roman" w:cs="Times New Roman"/>
          <w:noProof/>
          <w:sz w:val="24"/>
          <w:szCs w:val="24"/>
        </w:rPr>
      </w:pPr>
    </w:p>
    <w:p>
      <w:pPr>
        <w:rPr>
          <w:rFonts w:ascii="Times New Roman" w:hAnsi="Times New Roman" w:cs="Times New Roman"/>
          <w:b/>
          <w:noProof/>
          <w:sz w:val="28"/>
          <w:szCs w:val="28"/>
        </w:rPr>
      </w:pPr>
      <w:r>
        <w:rPr>
          <w:rFonts w:ascii="Times New Roman" w:hAnsi="Times New Roman"/>
          <w:b/>
          <w:noProof/>
          <w:sz w:val="28"/>
          <w:szCs w:val="28"/>
        </w:rPr>
        <w:t xml:space="preserve">2. </w:t>
      </w:r>
      <w:r>
        <w:rPr>
          <w:rFonts w:ascii="Times New Roman" w:hAnsi="Times New Roman"/>
          <w:b/>
          <w:noProof/>
          <w:sz w:val="28"/>
          <w:szCs w:val="28"/>
        </w:rPr>
        <w:tab/>
        <w:t>Prosperita v hospodárstve uplatňujúcom rodovú rovnosť</w:t>
      </w:r>
    </w:p>
    <w:p>
      <w:pPr>
        <w:spacing w:line="100" w:lineRule="atLeast"/>
        <w:jc w:val="both"/>
        <w:rPr>
          <w:rFonts w:ascii="Times New Roman" w:hAnsi="Times New Roman"/>
          <w:i/>
          <w:noProof/>
          <w:sz w:val="24"/>
          <w:szCs w:val="24"/>
        </w:rPr>
      </w:pPr>
      <w:r>
        <w:rPr>
          <w:rFonts w:ascii="Times New Roman" w:hAnsi="Times New Roman"/>
          <w:i/>
          <w:noProof/>
          <w:sz w:val="24"/>
          <w:szCs w:val="24"/>
        </w:rPr>
        <w:t>Prosperujúca a sociálna Európa závisí od nás všetkých. Ženy a muži v celej svojej rozmanitosti by mali mať rovnaké príležitosti na to, aby prosperovali a boli hospodársky nezávislí, boli odmeňovaní rovnako za svoju prácu rovnakej hodnoty, mali rovnaký prístup k financovaniu a poberali spravodlivé dôchodky. Ženy a muži by sa mali rovnako podieľať na opatrovateľských povinnostiach a finančnej zodpovednosti.</w:t>
      </w:r>
    </w:p>
    <w:p>
      <w:pPr>
        <w:spacing w:line="100" w:lineRule="atLeast"/>
        <w:jc w:val="both"/>
        <w:rPr>
          <w:rFonts w:ascii="Times New Roman" w:hAnsi="Times New Roman"/>
          <w:b/>
          <w:i/>
          <w:noProof/>
          <w:sz w:val="24"/>
          <w:szCs w:val="24"/>
        </w:rPr>
      </w:pPr>
      <w:r>
        <w:rPr>
          <w:rFonts w:ascii="Times New Roman" w:hAnsi="Times New Roman"/>
          <w:b/>
          <w:i/>
          <w:noProof/>
          <w:sz w:val="24"/>
          <w:szCs w:val="24"/>
        </w:rPr>
        <w:t>Odstránenie rodových rozdielov na trhu práce</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Rastúca účasť žien na trhu práce má výrazný, pozitívny vplyv na hospodárstvo, najmä v kontexte ubúdajúcej pracovnej sily a nedostatku zručností. </w:t>
      </w:r>
      <w:r>
        <w:rPr>
          <w:rFonts w:ascii="Times New Roman" w:hAnsi="Times New Roman"/>
          <w:noProof/>
          <w:sz w:val="24"/>
          <w:szCs w:val="24"/>
        </w:rPr>
        <w:t>Umožňuje tiež ženám formovať svoj vlastný život, zohrávať úlohu vo verejnom živote a byť ekonomicky nezávislými.</w:t>
      </w:r>
    </w:p>
    <w:p>
      <w:pPr>
        <w:spacing w:line="100" w:lineRule="atLeast"/>
        <w:jc w:val="both"/>
        <w:rPr>
          <w:rFonts w:ascii="Times New Roman" w:hAnsi="Times New Roman"/>
          <w:noProof/>
          <w:sz w:val="24"/>
          <w:szCs w:val="24"/>
        </w:rPr>
      </w:pPr>
      <w:r>
        <w:rPr>
          <w:rFonts w:ascii="Times New Roman" w:hAnsi="Times New Roman"/>
          <w:b/>
          <w:bCs/>
          <w:noProof/>
          <w:sz w:val="24"/>
          <w:szCs w:val="24"/>
        </w:rPr>
        <w:t>Miera zamestnanosti žien v EÚ je v súčasnosti vyššia ako kedykoľvek predtým</w:t>
      </w:r>
      <w:r>
        <w:rPr>
          <w:rStyle w:val="FootnoteReference"/>
          <w:rFonts w:ascii="Times New Roman" w:hAnsi="Times New Roman" w:cs="Times New Roman"/>
          <w:noProof/>
          <w:sz w:val="24"/>
          <w:szCs w:val="24"/>
        </w:rPr>
        <w:footnoteReference w:id="36"/>
      </w:r>
      <w:r>
        <w:rPr>
          <w:rFonts w:ascii="Times New Roman" w:hAnsi="Times New Roman"/>
          <w:noProof/>
          <w:sz w:val="24"/>
          <w:szCs w:val="24"/>
        </w:rPr>
        <w:t>, mnoho žien však stále čelí prekážkam pri vstupe na trh práce a udržaní sa na ňom</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Niektoré ženy sú na trhu práce štrukturálne nedostatočne zastúpené</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často v dôsledku prierezovej diskriminácie na základe pohlavia a ďalších aspektov zraniteľnosti alebo marginalizácie, ako je príslušnosť k etnickej alebo náboženskej menšine</w:t>
      </w:r>
      <w:r>
        <w:rPr>
          <w:rStyle w:val="FootnoteReference"/>
          <w:rFonts w:ascii="Times New Roman" w:hAnsi="Times New Roman" w:cs="Times New Roman"/>
          <w:noProof/>
          <w:sz w:val="24"/>
          <w:szCs w:val="24"/>
        </w:rPr>
        <w:footnoteReference w:id="39"/>
      </w:r>
      <w:r>
        <w:rPr>
          <w:rFonts w:ascii="Times New Roman" w:hAnsi="Times New Roman"/>
          <w:noProof/>
          <w:sz w:val="24"/>
          <w:szCs w:val="24"/>
        </w:rPr>
        <w:t xml:space="preserve"> alebo migrantský pôvod.</w:t>
      </w:r>
    </w:p>
    <w:p>
      <w:pPr>
        <w:pStyle w:val="NormalWeb"/>
        <w:spacing w:before="0" w:beforeAutospacing="0" w:after="200" w:afterAutospacing="0" w:line="100" w:lineRule="atLeast"/>
        <w:jc w:val="both"/>
        <w:rPr>
          <w:noProof/>
        </w:rPr>
      </w:pPr>
      <w:r>
        <w:rPr>
          <w:noProof/>
          <w:lang w:val="en-GB" w:eastAsia="en-GB"/>
        </w:rPr>
        <w:drawing>
          <wp:inline distT="0" distB="0" distL="0" distR="0">
            <wp:extent cx="5759450" cy="1987620"/>
            <wp:effectExtent l="0" t="0" r="0" b="0"/>
            <wp:docPr id="10" name="Picture 10" descr="C:\Users\stmaria\AppData\Local\CATE\DGT\Dossiers\JUST\JUST-2020-80008\gender-gap_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maria\AppData\Local\CATE\DGT\Dossiers\JUST\JUST-2020-80008\gender-gap_S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987620"/>
                    </a:xfrm>
                    <a:prstGeom prst="rect">
                      <a:avLst/>
                    </a:prstGeom>
                    <a:noFill/>
                    <a:ln>
                      <a:noFill/>
                    </a:ln>
                  </pic:spPr>
                </pic:pic>
              </a:graphicData>
            </a:graphic>
          </wp:inline>
        </w:drawing>
      </w:r>
    </w:p>
    <w:p>
      <w:pPr>
        <w:pStyle w:val="NormalWeb"/>
        <w:spacing w:after="200" w:line="100" w:lineRule="atLeast"/>
        <w:jc w:val="both"/>
        <w:rPr>
          <w:noProof/>
        </w:rPr>
      </w:pPr>
      <w:r>
        <w:rPr>
          <w:noProof/>
        </w:rPr>
        <w:t>Jedným zo spôsobov riešenia rodových rozdielov na trhu práce je zlepšenie rovnováhy medzi pracovným a súkromným životom pracovníkov. Obaja rodičia sa musia cítiť zodpovední za starostlivosť o rodinu a musia mať možnosť túto starostlivosť vykonávať. V </w:t>
      </w:r>
      <w:r>
        <w:rPr>
          <w:b/>
          <w:noProof/>
        </w:rPr>
        <w:t>smernici o rovnováhe medzi pracovným a súkromným životom</w:t>
      </w:r>
      <w:r>
        <w:rPr>
          <w:rStyle w:val="FootnoteReference"/>
          <w:noProof/>
        </w:rPr>
        <w:footnoteReference w:id="40"/>
      </w:r>
      <w:r>
        <w:rPr>
          <w:noProof/>
        </w:rPr>
        <w:t xml:space="preserve"> sa zavádzajú minimálne normy pre rodinnú dovolenku a pružné formy organizácie práce pre pracovníkov a podporuje sa rovnomerné rozdelenie opatrovateľských povinností medzi rodičmi. Komisia zabezpečí, aby členské štáty túto smernicu správne </w:t>
      </w:r>
      <w:r>
        <w:rPr>
          <w:b/>
          <w:noProof/>
        </w:rPr>
        <w:t>transponovali</w:t>
      </w:r>
      <w:r>
        <w:rPr>
          <w:rStyle w:val="FootnoteReference"/>
          <w:noProof/>
        </w:rPr>
        <w:footnoteReference w:id="41"/>
      </w:r>
      <w:r>
        <w:rPr>
          <w:noProof/>
        </w:rPr>
        <w:t xml:space="preserve"> a </w:t>
      </w:r>
      <w:r>
        <w:rPr>
          <w:b/>
          <w:noProof/>
        </w:rPr>
        <w:t>vykonávali</w:t>
      </w:r>
      <w:r>
        <w:rPr>
          <w:noProof/>
        </w:rPr>
        <w:t xml:space="preserve"> s cieľom umožniť mužom a ženám rovnako sa rozvíjať po osobnej aj odbornej stránke, a vyzýva členské štáty, aby pri prehodnocovaní svojich politík išli nad rámec týchto minimálnych noriem. Takisto by mali zabezpečiť kvalitné riešenia, napríklad pokiaľ ide o starostlivosť o deti, ktoré by boli k dispozícii aj v menej obývaných oblastiach v Európe. V rámci svojej vlastnej administratívy bude Komisia podporovať a monitorovať rovnaké využívanie pružných foriem organizácie práce všetkými zamestnancami</w:t>
      </w:r>
      <w:r>
        <w:rPr>
          <w:noProof/>
          <w:vertAlign w:val="superscript"/>
        </w:rPr>
        <w:footnoteReference w:id="42"/>
      </w:r>
      <w:r>
        <w:rPr>
          <w:noProof/>
        </w:rPr>
        <w:t>.</w:t>
      </w:r>
    </w:p>
    <w:p>
      <w:pPr>
        <w:pStyle w:val="Text1"/>
        <w:ind w:left="0"/>
        <w:rPr>
          <w:noProof/>
        </w:rPr>
      </w:pPr>
      <w:r>
        <w:rPr>
          <w:noProof/>
        </w:rPr>
        <w:t xml:space="preserve">Výzvy súvisiace s rodovou rovnosťou v členských štátoch, najmä pokiaľ ide o trh práce, sociálne začlenenie a vzdelávanie, sa budú aj naďalej monitorovať prostredníctvom </w:t>
      </w:r>
      <w:r>
        <w:rPr>
          <w:b/>
          <w:noProof/>
        </w:rPr>
        <w:t>európskeho semestra</w:t>
      </w:r>
      <w:r>
        <w:rPr>
          <w:rStyle w:val="FootnoteReference"/>
          <w:noProof/>
        </w:rPr>
        <w:footnoteReference w:id="43"/>
      </w:r>
      <w:r>
        <w:rPr>
          <w:noProof/>
        </w:rPr>
        <w:t>. Pomocou sociálneho prehľadu sleduje európsky semester aj tieto rozmery Európskeho piliera sociálnych práv</w:t>
      </w:r>
      <w:r>
        <w:rPr>
          <w:rStyle w:val="FootnoteReference"/>
          <w:noProof/>
        </w:rPr>
        <w:footnoteReference w:id="44"/>
      </w:r>
      <w:r>
        <w:rPr>
          <w:noProof/>
        </w:rPr>
        <w:t>. Pokiaľ ide o cyklus semestra v rokoch 2019 – 2020, správy o jednotlivých krajinách prispievajú k monitorovaniu cieľov udržateľného rozvoja vrátane cieľov v oblasti rodovej rovnosti (cieľ udržateľného rozvoja č. 5) a ku spôsobu, akým môžu hospodárske politiky a politiky zamestnanosti pomôcť tieto ciele dosiahnuť.</w:t>
      </w:r>
    </w:p>
    <w:p>
      <w:pPr>
        <w:spacing w:line="240" w:lineRule="auto"/>
        <w:jc w:val="both"/>
        <w:rPr>
          <w:rFonts w:ascii="Times New Roman" w:hAnsi="Times New Roman"/>
          <w:noProof/>
          <w:sz w:val="24"/>
          <w:szCs w:val="24"/>
        </w:rPr>
      </w:pPr>
      <w:r>
        <w:rPr>
          <w:rFonts w:ascii="Times New Roman" w:hAnsi="Times New Roman"/>
          <w:noProof/>
          <w:sz w:val="24"/>
          <w:szCs w:val="24"/>
        </w:rPr>
        <w:t xml:space="preserve">Program na </w:t>
      </w:r>
      <w:r>
        <w:rPr>
          <w:rFonts w:ascii="Times New Roman" w:hAnsi="Times New Roman"/>
          <w:b/>
          <w:noProof/>
          <w:sz w:val="24"/>
          <w:szCs w:val="24"/>
        </w:rPr>
        <w:t>podporu štrukturálnych reforiem</w:t>
      </w:r>
      <w:r>
        <w:rPr>
          <w:rFonts w:ascii="Times New Roman" w:hAnsi="Times New Roman"/>
          <w:noProof/>
          <w:sz w:val="24"/>
          <w:szCs w:val="24"/>
        </w:rPr>
        <w:t xml:space="preserve"> môže podporovať členské štáty pri začleňovaní rodového hľadiska do verejnej správy, štátneho rozpočtu a finančného riadenia. Okrem toho môže prispieť k vnútroštátnym štrukturálnym reformám v členských štátoch s cieľom </w:t>
      </w:r>
      <w:r>
        <w:rPr>
          <w:rFonts w:ascii="Times New Roman" w:hAnsi="Times New Roman"/>
          <w:b/>
          <w:noProof/>
          <w:sz w:val="24"/>
          <w:szCs w:val="24"/>
        </w:rPr>
        <w:t>odstrániť rodové rozdiely v zamestnanosti</w:t>
      </w:r>
      <w:r>
        <w:rPr>
          <w:rFonts w:ascii="Times New Roman" w:hAnsi="Times New Roman"/>
          <w:noProof/>
          <w:sz w:val="24"/>
          <w:szCs w:val="24"/>
        </w:rPr>
        <w:t xml:space="preserve"> a riešiť problém vyššieho podielu žien, ktoré sú postihnuté chudobou, a to najmä vo vyššom veku.</w:t>
      </w:r>
    </w:p>
    <w:p>
      <w:pPr>
        <w:spacing w:line="240" w:lineRule="auto"/>
        <w:jc w:val="both"/>
        <w:rPr>
          <w:rFonts w:ascii="Times New Roman" w:hAnsi="Times New Roman"/>
          <w:noProof/>
          <w:sz w:val="24"/>
          <w:szCs w:val="24"/>
        </w:rPr>
      </w:pPr>
      <w:r>
        <w:rPr>
          <w:rFonts w:ascii="Times New Roman" w:hAnsi="Times New Roman"/>
          <w:b/>
          <w:noProof/>
          <w:sz w:val="24"/>
          <w:szCs w:val="24"/>
        </w:rPr>
        <w:t>Sociálne a hospodárske politiky a systémy zdaňovania a sociálnej ochrany</w:t>
      </w:r>
      <w:r>
        <w:rPr>
          <w:rFonts w:ascii="Times New Roman" w:hAnsi="Times New Roman"/>
          <w:noProof/>
          <w:sz w:val="24"/>
          <w:szCs w:val="24"/>
        </w:rPr>
        <w:t xml:space="preserve"> by nemali udržiavať štrukturálne rodové nerovnosti založené a tradičných rodových úlohách v oblasti pracovného a súkromného života. Komisia vypracuje pre členské štáty usmernenia o tom, aký vplyv môžu mať vnútroštátne daňové a dávkové systémy na </w:t>
      </w:r>
      <w:r>
        <w:rPr>
          <w:rFonts w:ascii="Times New Roman" w:hAnsi="Times New Roman"/>
          <w:b/>
          <w:noProof/>
          <w:sz w:val="24"/>
          <w:szCs w:val="24"/>
        </w:rPr>
        <w:t>finančné faktory, ktoré druhú zárobkovo činnú osobu v domácnosti motivujú na nástup do zamestnania alebo ju od neho odrádzajú</w:t>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331942"/>
            <wp:effectExtent l="0" t="0" r="0" b="1905"/>
            <wp:docPr id="12" name="Picture 12" descr="C:\Users\stmaria\AppData\Local\CATE\DGT\Dossiers\JUST\JUST-2020-80008\decision-makers-privat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maria\AppData\Local\CATE\DGT\Dossiers\JUST\JUST-2020-80008\decision-makers-private-S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331942"/>
                    </a:xfrm>
                    <a:prstGeom prst="rect">
                      <a:avLst/>
                    </a:prstGeom>
                    <a:noFill/>
                    <a:ln>
                      <a:noFill/>
                    </a:ln>
                  </pic:spPr>
                </pic:pic>
              </a:graphicData>
            </a:graphic>
          </wp:inline>
        </w:drawing>
      </w:r>
    </w:p>
    <w:p>
      <w:pPr>
        <w:spacing w:line="100" w:lineRule="atLeast"/>
        <w:jc w:val="both"/>
        <w:rPr>
          <w:rFonts w:ascii="Times New Roman" w:hAnsi="Times New Roman"/>
          <w:noProof/>
          <w:sz w:val="24"/>
          <w:szCs w:val="24"/>
        </w:rPr>
      </w:pPr>
      <w:r>
        <w:rPr>
          <w:rFonts w:ascii="Times New Roman" w:hAnsi="Times New Roman"/>
          <w:noProof/>
          <w:sz w:val="24"/>
          <w:szCs w:val="24"/>
        </w:rPr>
        <w:t xml:space="preserve">Posilnenie postavenia žien na trhu práce znamená aj dať im možnosť </w:t>
      </w:r>
      <w:r>
        <w:rPr>
          <w:rFonts w:ascii="Times New Roman" w:hAnsi="Times New Roman"/>
          <w:b/>
          <w:noProof/>
          <w:sz w:val="24"/>
          <w:szCs w:val="24"/>
        </w:rPr>
        <w:t>prosperovať ako investorky a podnikateľky</w:t>
      </w:r>
      <w:r>
        <w:rPr>
          <w:rStyle w:val="FootnoteReference"/>
          <w:rFonts w:ascii="Times New Roman" w:hAnsi="Times New Roman" w:cs="Times New Roman"/>
          <w:noProof/>
          <w:sz w:val="24"/>
          <w:szCs w:val="24"/>
        </w:rPr>
        <w:footnoteReference w:id="45"/>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Politika súdržnosti EÚ podporuje podnikanie žien, ich (opätovné) začlenenie na trh práce a rodovú rovnosť v špecifických, tradične mužských odvetviach. V rámci </w:t>
      </w:r>
      <w:r>
        <w:rPr>
          <w:rFonts w:ascii="Times New Roman" w:hAnsi="Times New Roman"/>
          <w:b/>
          <w:bCs/>
          <w:noProof/>
          <w:sz w:val="24"/>
          <w:szCs w:val="24"/>
        </w:rPr>
        <w:t>Európskej rady pre inováciu</w:t>
      </w:r>
      <w:r>
        <w:rPr>
          <w:rFonts w:ascii="Times New Roman" w:hAnsi="Times New Roman"/>
          <w:noProof/>
          <w:sz w:val="24"/>
          <w:szCs w:val="24"/>
        </w:rPr>
        <w:t xml:space="preserve"> programu Horizont Európa budú roku 2020 vypracované cielené opatrenia na podporu účasti žien na inováciách, vrátane pilotného projektu na podporu začínajúcich podnikov a inovačných malých a stredných podnikov vedených ženami</w:t>
      </w:r>
      <w:r>
        <w:rPr>
          <w:rStyle w:val="FootnoteReference"/>
          <w:rFonts w:ascii="Times New Roman" w:hAnsi="Times New Roman" w:cs="Times New Roman"/>
          <w:noProof/>
          <w:sz w:val="24"/>
          <w:szCs w:val="24"/>
        </w:rPr>
        <w:footnoteReference w:id="46"/>
      </w:r>
      <w:r>
        <w:rPr>
          <w:rFonts w:ascii="Times New Roman" w:hAnsi="Times New Roman"/>
          <w:noProof/>
          <w:sz w:val="24"/>
          <w:szCs w:val="24"/>
        </w:rPr>
        <w:t xml:space="preserve">. Komisia bude takisto presadzovať zastúpenie žien v rozhodovacích funkciách vo fondoch súkromného kapitálu a rizikového kapitálu a prostredníctvom </w:t>
      </w:r>
      <w:r>
        <w:rPr>
          <w:rFonts w:ascii="Times New Roman" w:hAnsi="Times New Roman"/>
          <w:b/>
          <w:noProof/>
          <w:sz w:val="24"/>
          <w:szCs w:val="24"/>
        </w:rPr>
        <w:t>programu InvestEU</w:t>
      </w:r>
      <w:r>
        <w:rPr>
          <w:rFonts w:ascii="Times New Roman" w:hAnsi="Times New Roman"/>
          <w:noProof/>
          <w:sz w:val="24"/>
          <w:szCs w:val="24"/>
        </w:rPr>
        <w:t xml:space="preserve"> podporí fondy investujúce s rodovo diverzifikovanými portfóliami s cieľom mobilizovať súkromné a verejné investície v Európe pre udržateľnejší, inkluzívnejší a inovatívnejší rast.</w:t>
      </w:r>
    </w:p>
    <w:p>
      <w:pPr>
        <w:spacing w:line="100" w:lineRule="atLeast"/>
        <w:jc w:val="both"/>
        <w:rPr>
          <w:rFonts w:ascii="Times New Roman" w:hAnsi="Times New Roman"/>
          <w:b/>
          <w:i/>
          <w:noProof/>
          <w:sz w:val="24"/>
          <w:szCs w:val="24"/>
        </w:rPr>
      </w:pPr>
      <w:r>
        <w:rPr>
          <w:rFonts w:ascii="Times New Roman" w:hAnsi="Times New Roman"/>
          <w:b/>
          <w:i/>
          <w:noProof/>
          <w:sz w:val="24"/>
          <w:szCs w:val="24"/>
        </w:rPr>
        <w:t>Dosiahnutie rovnakej účasti v rôznych odvetviach hospodárstva</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Hoci má v </w:t>
      </w:r>
      <w:r>
        <w:rPr>
          <w:rFonts w:ascii="Times New Roman" w:hAnsi="Times New Roman"/>
          <w:b/>
          <w:noProof/>
          <w:sz w:val="24"/>
          <w:szCs w:val="24"/>
        </w:rPr>
        <w:t>Európe ukončené vysokoškolské vzdelanie viac žien než mužov</w:t>
      </w:r>
      <w:r>
        <w:rPr>
          <w:rFonts w:ascii="Times New Roman" w:hAnsi="Times New Roman"/>
          <w:noProof/>
          <w:sz w:val="24"/>
          <w:szCs w:val="24"/>
        </w:rPr>
        <w:t>, ženy sú v lepšie platených povolaniach aj naďalej nedostatočne zastúpené</w:t>
      </w:r>
      <w:r>
        <w:rPr>
          <w:rStyle w:val="FootnoteReference"/>
          <w:rFonts w:ascii="Times New Roman" w:eastAsia="Times New Roman" w:hAnsi="Times New Roman" w:cs="Times New Roman"/>
          <w:noProof/>
          <w:sz w:val="24"/>
          <w:szCs w:val="24"/>
        </w:rPr>
        <w:footnoteReference w:id="47"/>
      </w:r>
      <w:r>
        <w:rPr>
          <w:rFonts w:ascii="Times New Roman" w:hAnsi="Times New Roman"/>
          <w:noProof/>
          <w:sz w:val="24"/>
          <w:szCs w:val="24"/>
        </w:rPr>
        <w:t>. Na nízko ohodnotených pracovných miestach a v nízko ohodnotených odvetviach pracuje viac žien než mužov a ženy sú viac zastúpené aj na nižších pozíciách</w:t>
      </w:r>
      <w:r>
        <w:rPr>
          <w:rFonts w:ascii="Times New Roman" w:eastAsia="Times New Roman" w:hAnsi="Times New Roman" w:cs="Times New Roman"/>
          <w:noProof/>
          <w:sz w:val="24"/>
          <w:szCs w:val="24"/>
          <w:vertAlign w:val="superscript"/>
        </w:rPr>
        <w:footnoteReference w:id="48"/>
      </w:r>
      <w:r>
        <w:rPr>
          <w:rFonts w:ascii="Times New Roman" w:hAnsi="Times New Roman"/>
          <w:noProof/>
          <w:sz w:val="24"/>
          <w:szCs w:val="24"/>
        </w:rPr>
        <w:t>. K niektorým z faktorom, ktoré k tomu prispievajú, patria diskriminačné sociálne normy a stereotypy týkajúce sa zručností žien a mužov a podhodnocovanie práce žien.</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1314744"/>
            <wp:effectExtent l="0" t="0" r="0" b="0"/>
            <wp:docPr id="13" name="Picture 13" descr="C:\Users\stmaria\AppData\Local\CATE\DGT\Dossiers\JUST\JUST-2020-80008\sectors-economy-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maria\AppData\Local\CATE\DGT\Dossiers\JUST\JUST-2020-80008\sectors-economy-S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314744"/>
                    </a:xfrm>
                    <a:prstGeom prst="rect">
                      <a:avLst/>
                    </a:prstGeom>
                    <a:noFill/>
                    <a:ln>
                      <a:noFill/>
                    </a:ln>
                  </pic:spPr>
                </pic:pic>
              </a:graphicData>
            </a:graphic>
          </wp:inline>
        </w:drawing>
      </w:r>
    </w:p>
    <w:p>
      <w:pPr>
        <w:rPr>
          <w:rFonts w:ascii="Times New Roman" w:hAnsi="Times New Roman" w:cs="Times New Roman"/>
          <w:b/>
          <w:noProof/>
          <w:sz w:val="24"/>
          <w:szCs w:val="24"/>
        </w:rPr>
      </w:pPr>
      <w:r>
        <w:rPr>
          <w:noProof/>
        </w:rPr>
        <w:br w:type="page"/>
      </w:r>
    </w:p>
    <w:p>
      <w:pPr>
        <w:spacing w:line="100" w:lineRule="atLeast"/>
        <w:jc w:val="both"/>
        <w:rPr>
          <w:rFonts w:ascii="Times New Roman" w:hAnsi="Times New Roman"/>
          <w:noProof/>
          <w:sz w:val="24"/>
          <w:szCs w:val="24"/>
        </w:rPr>
      </w:pPr>
      <w:r>
        <w:rPr>
          <w:rFonts w:ascii="Times New Roman" w:hAnsi="Times New Roman"/>
          <w:noProof/>
          <w:sz w:val="24"/>
          <w:szCs w:val="24"/>
        </w:rPr>
        <w:t xml:space="preserve">V tejto súvislosti zohráva </w:t>
      </w:r>
      <w:r>
        <w:rPr>
          <w:rFonts w:ascii="Times New Roman" w:hAnsi="Times New Roman"/>
          <w:b/>
          <w:noProof/>
          <w:sz w:val="24"/>
          <w:szCs w:val="24"/>
        </w:rPr>
        <w:t>digitalizácia</w:t>
      </w:r>
      <w:r>
        <w:rPr>
          <w:rFonts w:ascii="Times New Roman" w:hAnsi="Times New Roman"/>
          <w:noProof/>
          <w:sz w:val="24"/>
          <w:szCs w:val="24"/>
        </w:rPr>
        <w:t xml:space="preserve"> prvoradú úlohu. Kvôli rýchlej transformácii a digitalizácii hospodárstva a trhu práce dnes 90 % pracovných miest vyžaduje základné digitálne zručnosti</w:t>
      </w:r>
      <w:r>
        <w:rPr>
          <w:rFonts w:ascii="Times New Roman" w:hAnsi="Times New Roman" w:cs="Times New Roman"/>
          <w:noProof/>
          <w:sz w:val="24"/>
          <w:szCs w:val="24"/>
          <w:vertAlign w:val="superscript"/>
        </w:rPr>
        <w:footnoteReference w:id="49"/>
      </w:r>
      <w:r>
        <w:rPr>
          <w:rFonts w:ascii="Times New Roman" w:hAnsi="Times New Roman"/>
          <w:noProof/>
          <w:sz w:val="24"/>
          <w:szCs w:val="24"/>
        </w:rPr>
        <w:t>. Ženy predstavujú iba 17 % študentov a pracovníkov v oblasti informačných a komunikačných technológií</w:t>
      </w:r>
      <w:r>
        <w:rPr>
          <w:rStyle w:val="FootnoteReference"/>
          <w:rFonts w:ascii="Times New Roman" w:hAnsi="Times New Roman" w:cs="Times New Roman"/>
          <w:noProof/>
          <w:sz w:val="24"/>
          <w:szCs w:val="24"/>
        </w:rPr>
        <w:footnoteReference w:id="50"/>
      </w:r>
      <w:r>
        <w:rPr>
          <w:rFonts w:ascii="Times New Roman" w:hAnsi="Times New Roman"/>
          <w:noProof/>
          <w:sz w:val="24"/>
          <w:szCs w:val="24"/>
        </w:rPr>
        <w:t xml:space="preserve"> v EÚ</w:t>
      </w:r>
      <w:r>
        <w:rPr>
          <w:rStyle w:val="FootnoteReference"/>
          <w:rFonts w:ascii="Times New Roman" w:hAnsi="Times New Roman" w:cs="Times New Roman"/>
          <w:noProof/>
          <w:sz w:val="24"/>
          <w:szCs w:val="24"/>
        </w:rPr>
        <w:footnoteReference w:id="51"/>
      </w:r>
      <w:r>
        <w:rPr>
          <w:rFonts w:ascii="Times New Roman" w:hAnsi="Times New Roman"/>
          <w:noProof/>
          <w:sz w:val="24"/>
          <w:szCs w:val="24"/>
        </w:rPr>
        <w:t xml:space="preserve"> a iba 36 % absolventov</w:t>
      </w:r>
      <w:r>
        <w:rPr>
          <w:rStyle w:val="FootnoteReference"/>
          <w:rFonts w:ascii="Times New Roman" w:hAnsi="Times New Roman" w:cs="Times New Roman"/>
          <w:noProof/>
          <w:sz w:val="24"/>
          <w:szCs w:val="24"/>
        </w:rPr>
        <w:footnoteReference w:id="52"/>
      </w:r>
      <w:r>
        <w:rPr>
          <w:rFonts w:ascii="Times New Roman" w:hAnsi="Times New Roman"/>
          <w:noProof/>
          <w:sz w:val="24"/>
          <w:szCs w:val="24"/>
        </w:rPr>
        <w:t xml:space="preserve"> v oblasti vedy, technológie, inžinierstva a matematiky</w:t>
      </w:r>
      <w:r>
        <w:rPr>
          <w:rStyle w:val="FootnoteReference"/>
          <w:rFonts w:ascii="Times New Roman" w:hAnsi="Times New Roman" w:cs="Times New Roman"/>
          <w:noProof/>
          <w:sz w:val="24"/>
          <w:szCs w:val="24"/>
        </w:rPr>
        <w:footnoteReference w:id="53"/>
      </w:r>
      <w:r>
        <w:rPr>
          <w:rFonts w:ascii="Times New Roman" w:hAnsi="Times New Roman"/>
          <w:noProof/>
          <w:sz w:val="24"/>
          <w:szCs w:val="24"/>
        </w:rPr>
        <w:t>, a to aj napriek tomu, že dievčatá dosahujú v digitálnej gramotnosti</w:t>
      </w:r>
      <w:r>
        <w:rPr>
          <w:rFonts w:ascii="Times New Roman" w:hAnsi="Times New Roman" w:cs="Times New Roman"/>
          <w:noProof/>
          <w:sz w:val="24"/>
          <w:szCs w:val="24"/>
          <w:vertAlign w:val="superscript"/>
        </w:rPr>
        <w:footnoteReference w:id="54"/>
      </w:r>
      <w:r>
        <w:rPr>
          <w:rFonts w:ascii="Times New Roman" w:hAnsi="Times New Roman"/>
          <w:noProof/>
          <w:sz w:val="24"/>
          <w:szCs w:val="24"/>
        </w:rPr>
        <w:t xml:space="preserve"> lepšie výsledky než chlapci. Tento rozdiel a paradox sa budú riešiť v aktualizovanom </w:t>
      </w:r>
      <w:r>
        <w:rPr>
          <w:rFonts w:ascii="Times New Roman" w:hAnsi="Times New Roman"/>
          <w:b/>
          <w:bCs/>
          <w:noProof/>
          <w:sz w:val="24"/>
          <w:szCs w:val="24"/>
        </w:rPr>
        <w:t>akčnom pláne digitálneho vzdelávania</w:t>
      </w:r>
      <w:r>
        <w:rPr>
          <w:rFonts w:ascii="Times New Roman" w:hAnsi="Times New Roman"/>
          <w:noProof/>
          <w:sz w:val="24"/>
          <w:szCs w:val="24"/>
        </w:rPr>
        <w:t xml:space="preserve"> a prostredníctvom vykonávania </w:t>
      </w:r>
      <w:r>
        <w:rPr>
          <w:rFonts w:ascii="Times New Roman" w:hAnsi="Times New Roman"/>
          <w:b/>
          <w:bCs/>
          <w:noProof/>
          <w:sz w:val="24"/>
          <w:szCs w:val="24"/>
        </w:rPr>
        <w:t>vyhlásenia ministrov k záväzku týkajúcemu sa žien v digitálnej oblasti</w:t>
      </w:r>
      <w:r>
        <w:rPr>
          <w:rStyle w:val="FootnoteReference"/>
          <w:rFonts w:ascii="Times New Roman" w:hAnsi="Times New Roman" w:cs="Times New Roman"/>
          <w:noProof/>
          <w:sz w:val="24"/>
          <w:szCs w:val="24"/>
        </w:rPr>
        <w:footnoteReference w:id="55"/>
      </w:r>
      <w:r>
        <w:rPr>
          <w:rFonts w:ascii="Times New Roman" w:hAnsi="Times New Roman"/>
          <w:noProof/>
          <w:sz w:val="24"/>
          <w:szCs w:val="24"/>
        </w:rPr>
        <w:t xml:space="preserve">. Systematickejšie sa bude využívať </w:t>
      </w:r>
      <w:r>
        <w:rPr>
          <w:rFonts w:ascii="Times New Roman" w:hAnsi="Times New Roman"/>
          <w:b/>
          <w:bCs/>
          <w:noProof/>
          <w:sz w:val="24"/>
          <w:szCs w:val="24"/>
        </w:rPr>
        <w:t>hodnotiaca tabuľka týkajúca sa zastúpenia žien v digitálnej oblasti</w:t>
      </w:r>
      <w:r>
        <w:rPr>
          <w:rFonts w:ascii="Times New Roman" w:hAnsi="Times New Roman"/>
          <w:noProof/>
          <w:sz w:val="24"/>
          <w:szCs w:val="24"/>
        </w:rPr>
        <w:t>.</w:t>
      </w:r>
    </w:p>
    <w:p>
      <w:pPr>
        <w:spacing w:line="100" w:lineRule="atLeast"/>
        <w:jc w:val="both"/>
        <w:rPr>
          <w:rFonts w:ascii="Times New Roman" w:hAnsi="Times New Roman"/>
          <w:noProof/>
          <w:sz w:val="24"/>
          <w:szCs w:val="24"/>
        </w:rPr>
      </w:pPr>
      <w:r>
        <w:rPr>
          <w:rFonts w:ascii="Times New Roman" w:hAnsi="Times New Roman"/>
          <w:noProof/>
          <w:sz w:val="24"/>
          <w:szCs w:val="24"/>
        </w:rPr>
        <w:t xml:space="preserve">K riešeniu horizontálnej segregácie, stereotypov a rodových rozdielov vo vzdelávaní a odbornej príprave prispeje aj </w:t>
      </w:r>
      <w:r>
        <w:rPr>
          <w:rFonts w:ascii="Times New Roman" w:hAnsi="Times New Roman"/>
          <w:b/>
          <w:noProof/>
          <w:sz w:val="24"/>
          <w:szCs w:val="24"/>
        </w:rPr>
        <w:t>aktualizovaný program v oblasti zručností pre Európu</w:t>
      </w:r>
      <w:r>
        <w:rPr>
          <w:rFonts w:ascii="Times New Roman" w:hAnsi="Times New Roman"/>
          <w:noProof/>
          <w:sz w:val="24"/>
          <w:szCs w:val="24"/>
        </w:rPr>
        <w:t>.</w:t>
      </w:r>
      <w:r>
        <w:rPr>
          <w:noProof/>
          <w:sz w:val="24"/>
          <w:szCs w:val="24"/>
        </w:rPr>
        <w:t xml:space="preserve"> </w:t>
      </w:r>
      <w:r>
        <w:rPr>
          <w:rFonts w:ascii="Times New Roman" w:hAnsi="Times New Roman"/>
          <w:noProof/>
          <w:sz w:val="24"/>
          <w:szCs w:val="24"/>
        </w:rPr>
        <w:t xml:space="preserve">Návrh Komisie na </w:t>
      </w:r>
      <w:r>
        <w:rPr>
          <w:rFonts w:ascii="Times New Roman" w:hAnsi="Times New Roman"/>
          <w:b/>
          <w:noProof/>
          <w:sz w:val="24"/>
          <w:szCs w:val="24"/>
        </w:rPr>
        <w:t>odporúčanie Rady týkajúce sa odborného vzdelávania a prípravy</w:t>
      </w:r>
      <w:r>
        <w:rPr>
          <w:rFonts w:ascii="Times New Roman" w:hAnsi="Times New Roman"/>
          <w:noProof/>
          <w:sz w:val="24"/>
          <w:szCs w:val="24"/>
        </w:rPr>
        <w:t xml:space="preserve"> podporí úsilie o vyváženejšie zastúpenie žien a mužov v profesiách, v ktorých tradične prevažujú muži alebo ženy, a bude riešiť rodové stereotypy. S cieľom zabezpečiť rovnaké príležitosti sa aj </w:t>
      </w:r>
      <w:r>
        <w:rPr>
          <w:rFonts w:ascii="Times New Roman" w:hAnsi="Times New Roman"/>
          <w:b/>
          <w:noProof/>
          <w:sz w:val="24"/>
          <w:szCs w:val="24"/>
        </w:rPr>
        <w:t>posilnená záruka pre mladých ľudí</w:t>
      </w:r>
      <w:r>
        <w:rPr>
          <w:rFonts w:ascii="Times New Roman" w:hAnsi="Times New Roman"/>
          <w:noProof/>
          <w:sz w:val="24"/>
          <w:szCs w:val="24"/>
        </w:rPr>
        <w:t xml:space="preserve"> bude osobitne venovať ženám, ktoré nie sú zamestnané, ani nie sú v procese vzdelávania alebo odbornej prípravy.</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V pripravovanom </w:t>
      </w:r>
      <w:r>
        <w:rPr>
          <w:rFonts w:ascii="Times New Roman" w:hAnsi="Times New Roman"/>
          <w:b/>
          <w:noProof/>
          <w:sz w:val="24"/>
          <w:szCs w:val="24"/>
        </w:rPr>
        <w:t xml:space="preserve">oznámení </w:t>
      </w:r>
      <w:r>
        <w:rPr>
          <w:rFonts w:ascii="Times New Roman" w:hAnsi="Times New Roman"/>
          <w:noProof/>
          <w:sz w:val="24"/>
          <w:szCs w:val="24"/>
        </w:rPr>
        <w:t>Komisie o </w:t>
      </w:r>
      <w:r>
        <w:rPr>
          <w:rFonts w:ascii="Times New Roman" w:hAnsi="Times New Roman"/>
          <w:b/>
          <w:noProof/>
          <w:sz w:val="24"/>
          <w:szCs w:val="24"/>
        </w:rPr>
        <w:t>európskom vzdelávacom priestore</w:t>
      </w:r>
      <w:r>
        <w:rPr>
          <w:rFonts w:ascii="Times New Roman" w:hAnsi="Times New Roman"/>
          <w:noProof/>
          <w:sz w:val="24"/>
          <w:szCs w:val="24"/>
        </w:rPr>
        <w:t xml:space="preserve"> sa rodová rovnosť bude považovať za jeden z kľúčových prvkov. Účasť žien a dievčat na športových a pohybových aktivitách a vyvážené zastúpenie mužov a žien na vedúcich pozíciách v športových organizáciách podporí obnovený </w:t>
      </w:r>
      <w:r>
        <w:rPr>
          <w:rFonts w:ascii="Times New Roman" w:hAnsi="Times New Roman"/>
          <w:b/>
          <w:noProof/>
          <w:sz w:val="24"/>
          <w:szCs w:val="24"/>
        </w:rPr>
        <w:t>strategický rámec pre rodovú rovnosť v športe</w:t>
      </w:r>
      <w:r>
        <w:rPr>
          <w:rFonts w:ascii="Times New Roman" w:hAnsi="Times New Roman"/>
          <w:noProof/>
          <w:sz w:val="24"/>
          <w:szCs w:val="24"/>
        </w:rPr>
        <w:t>.</w:t>
      </w:r>
    </w:p>
    <w:p>
      <w:pPr>
        <w:rPr>
          <w:rFonts w:ascii="Times New Roman" w:hAnsi="Times New Roman" w:cs="Times New Roman"/>
          <w:b/>
          <w:i/>
          <w:noProof/>
          <w:sz w:val="24"/>
          <w:szCs w:val="24"/>
        </w:rPr>
      </w:pPr>
      <w:r>
        <w:rPr>
          <w:rFonts w:ascii="Times New Roman" w:hAnsi="Times New Roman"/>
          <w:b/>
          <w:i/>
          <w:noProof/>
          <w:sz w:val="24"/>
          <w:szCs w:val="24"/>
        </w:rPr>
        <w:t>Riešenie rozdielov v odmeňovaní a dôchodkoch žien a mužov</w:t>
      </w:r>
    </w:p>
    <w:p>
      <w:pPr>
        <w:spacing w:line="100" w:lineRule="atLeast"/>
        <w:jc w:val="both"/>
        <w:rPr>
          <w:rFonts w:ascii="Times New Roman" w:hAnsi="Times New Roman"/>
          <w:noProof/>
          <w:sz w:val="24"/>
          <w:szCs w:val="24"/>
        </w:rPr>
      </w:pPr>
      <w:r>
        <w:rPr>
          <w:rFonts w:ascii="Times New Roman" w:hAnsi="Times New Roman"/>
          <w:b/>
          <w:noProof/>
          <w:sz w:val="24"/>
          <w:szCs w:val="24"/>
        </w:rPr>
        <w:t>Zásada rovnakej odmeny za rovnakú prácu alebo prácu rovnakej hodnoty je zakotvená v zmluvách od roku 1957 a je premietnutá do práva EÚ.</w:t>
      </w:r>
      <w:r>
        <w:rPr>
          <w:rFonts w:ascii="Times New Roman" w:hAnsi="Times New Roman"/>
          <w:noProof/>
          <w:sz w:val="24"/>
          <w:szCs w:val="24"/>
        </w:rPr>
        <w:t xml:space="preserve"> Zabezpečuje, aby v prípade diskriminácie existovali opravné prostriedky</w:t>
      </w:r>
      <w:r>
        <w:rPr>
          <w:noProof/>
          <w:sz w:val="24"/>
          <w:szCs w:val="24"/>
        </w:rPr>
        <w:t xml:space="preserve">. </w:t>
      </w:r>
      <w:r>
        <w:rPr>
          <w:rFonts w:ascii="Times New Roman" w:hAnsi="Times New Roman"/>
          <w:noProof/>
          <w:sz w:val="24"/>
          <w:szCs w:val="24"/>
        </w:rPr>
        <w:t>Ženy ešte stále zarábajú v priemere menej ako muži</w:t>
      </w:r>
      <w:r>
        <w:rPr>
          <w:rStyle w:val="FootnoteReference"/>
          <w:rFonts w:ascii="Times New Roman" w:hAnsi="Times New Roman" w:cs="Times New Roman"/>
          <w:noProof/>
          <w:sz w:val="24"/>
          <w:szCs w:val="24"/>
        </w:rPr>
        <w:footnoteReference w:id="56"/>
      </w:r>
      <w:r>
        <w:rPr>
          <w:rFonts w:ascii="Times New Roman" w:hAnsi="Times New Roman"/>
          <w:noProof/>
          <w:sz w:val="24"/>
          <w:szCs w:val="24"/>
        </w:rPr>
        <w:t>. Kumulované celoživotné rozdiely v zamestnanosti v odmeňovaní žien a mužov vedú k ešte väčšiemu rozdielu v dôchodkoch a v dôsledku toho sú staršie ženy ohrozené chudobou viac než muži.</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1216836"/>
            <wp:effectExtent l="0" t="0" r="0" b="2540"/>
            <wp:docPr id="15" name="Picture 15" descr="C:\Users\stmaria\AppData\Local\CATE\DGT\Dossiers\JUST\JUST-2020-80008\pension-gender-gap-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maria\AppData\Local\CATE\DGT\Dossiers\JUST\JUST-2020-80008\pension-gender-gap-S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216836"/>
                    </a:xfrm>
                    <a:prstGeom prst="rect">
                      <a:avLst/>
                    </a:prstGeom>
                    <a:noFill/>
                    <a:ln>
                      <a:noFill/>
                    </a:ln>
                  </pic:spPr>
                </pic:pic>
              </a:graphicData>
            </a:graphic>
          </wp:inline>
        </w:drawing>
      </w:r>
    </w:p>
    <w:p>
      <w:pPr>
        <w:spacing w:line="240" w:lineRule="auto"/>
        <w:jc w:val="both"/>
        <w:rPr>
          <w:rFonts w:ascii="Times New Roman" w:hAnsi="Times New Roman"/>
          <w:noProof/>
          <w:sz w:val="24"/>
          <w:szCs w:val="24"/>
        </w:rPr>
      </w:pPr>
      <w:r>
        <w:rPr>
          <w:rFonts w:ascii="Times New Roman" w:hAnsi="Times New Roman"/>
          <w:b/>
          <w:bCs/>
          <w:noProof/>
          <w:sz w:val="24"/>
          <w:szCs w:val="24"/>
        </w:rPr>
        <w:t>Odstránenie rozdielov v odmeňovaní žien a mužov</w:t>
      </w:r>
      <w:r>
        <w:rPr>
          <w:rFonts w:ascii="Times New Roman" w:hAnsi="Times New Roman"/>
          <w:noProof/>
          <w:sz w:val="24"/>
          <w:szCs w:val="24"/>
        </w:rPr>
        <w:t xml:space="preserve"> si vyžaduje riešenie všetkých jeho základných príčin vrátane nižšej účasti žien na trhu práce, neviditeľnej a neplatenej práce, vyššieho využívania práce na čiastočný úväzok</w:t>
      </w:r>
      <w:r>
        <w:rPr>
          <w:rStyle w:val="FootnoteReference"/>
          <w:rFonts w:ascii="Times New Roman" w:hAnsi="Times New Roman" w:cs="Times New Roman"/>
          <w:noProof/>
          <w:sz w:val="24"/>
          <w:szCs w:val="24"/>
        </w:rPr>
        <w:footnoteReference w:id="57"/>
      </w:r>
      <w:r>
        <w:rPr>
          <w:rFonts w:ascii="Times New Roman" w:hAnsi="Times New Roman"/>
          <w:noProof/>
          <w:sz w:val="24"/>
          <w:szCs w:val="24"/>
        </w:rPr>
        <w:t xml:space="preserve"> a prerušenia kariéry, ako aj vertikálnej a horizontálnej segregácie na základe rodových stereotypov a diskriminácie.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Rozdiely a diskriminácia sa odhalia jednoduchšie, ak sú k dispozícii informácie o úrovniach miezd. Mnohé ženy v dôsledku nedostatočnej transparentnosti nevedia alebo nemôžu dokázať, že sú nedostatočne odmeňované. Komisia </w:t>
      </w:r>
      <w:r>
        <w:rPr>
          <w:rFonts w:ascii="Times New Roman" w:hAnsi="Times New Roman"/>
          <w:b/>
          <w:noProof/>
          <w:sz w:val="24"/>
          <w:szCs w:val="24"/>
        </w:rPr>
        <w:t>do konca roka 2020 predloží záväzné opatrenia týkajúce sa transparentnosti odmeňovania</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Takáto iniciatíva posilní práva zamestnancov na získanie väčšieho množstva informácií o odmeňovaní, hoci môže zvýšiť administratívnu záťaž pre zamestnávateľov. V záujme nájdenia správnej rovnováhy v prípade takýchto opatrení EÚ je mimoriadne dôležité konzultovať a vypočuť si sociálnych partnerov a vnútroštátne správne orgány. Komisia vykonala dôkladné hodnotenie existujúceho rámca pre rovnakú odmenu za rovnakú prácu alebo prácu rovnakej hodnoty</w:t>
      </w:r>
      <w:r>
        <w:rPr>
          <w:rStyle w:val="FootnoteReference"/>
          <w:rFonts w:ascii="Times New Roman" w:hAnsi="Times New Roman" w:cs="Times New Roman"/>
          <w:noProof/>
          <w:sz w:val="24"/>
          <w:szCs w:val="24"/>
        </w:rPr>
        <w:footnoteReference w:id="58"/>
      </w:r>
      <w:r>
        <w:rPr>
          <w:rFonts w:ascii="Times New Roman" w:hAnsi="Times New Roman"/>
          <w:noProof/>
          <w:sz w:val="24"/>
          <w:szCs w:val="24"/>
        </w:rPr>
        <w:t xml:space="preserve">. Spolu s prijatím tejto stratégie Komisia začína </w:t>
      </w:r>
      <w:r>
        <w:rPr>
          <w:rFonts w:ascii="Times New Roman" w:hAnsi="Times New Roman"/>
          <w:b/>
          <w:noProof/>
          <w:sz w:val="24"/>
          <w:szCs w:val="24"/>
        </w:rPr>
        <w:t>rozsiahly a inkluzívny konzultačný proces</w:t>
      </w:r>
      <w:r>
        <w:rPr>
          <w:rStyle w:val="FootnoteReference"/>
          <w:rFonts w:ascii="Times New Roman" w:hAnsi="Times New Roman" w:cs="Times New Roman"/>
          <w:noProof/>
          <w:sz w:val="24"/>
          <w:szCs w:val="24"/>
        </w:rPr>
        <w:footnoteReference w:id="59"/>
      </w:r>
      <w:r>
        <w:rPr>
          <w:rFonts w:ascii="Times New Roman" w:hAnsi="Times New Roman"/>
          <w:noProof/>
          <w:sz w:val="24"/>
          <w:szCs w:val="24"/>
        </w:rPr>
        <w:t xml:space="preserve"> so zapojením verejnosti, členských štátov a sociálnych partnerov. Vo všeobecnosti to znamená, že Komisia obnoví diskusiu so </w:t>
      </w:r>
      <w:r>
        <w:rPr>
          <w:rFonts w:ascii="Times New Roman" w:hAnsi="Times New Roman"/>
          <w:b/>
          <w:noProof/>
          <w:sz w:val="24"/>
          <w:szCs w:val="24"/>
        </w:rPr>
        <w:t>sociálnymi partnermi</w:t>
      </w:r>
      <w:r>
        <w:rPr>
          <w:rFonts w:ascii="Times New Roman" w:hAnsi="Times New Roman"/>
          <w:noProof/>
          <w:sz w:val="24"/>
          <w:szCs w:val="24"/>
        </w:rPr>
        <w:t xml:space="preserve"> o spôsoboch zlepšovania rodovej rovnosti vo svete práce, a to aj v rámci ich štruktúr, a bude ich nabádať, aby zintenzívnili úsilie o riešenie rodových rozdielov v zamestnanosti a odmeňovaní.</w:t>
      </w:r>
    </w:p>
    <w:p>
      <w:pPr>
        <w:pStyle w:val="NormalWeb"/>
        <w:jc w:val="both"/>
        <w:rPr>
          <w:noProof/>
        </w:rPr>
      </w:pPr>
      <w:r>
        <w:rPr>
          <w:noProof/>
        </w:rPr>
        <w:t xml:space="preserve">K </w:t>
      </w:r>
      <w:r>
        <w:rPr>
          <w:b/>
          <w:noProof/>
        </w:rPr>
        <w:t>rozdielom v dôchodkoch žien a mužov</w:t>
      </w:r>
      <w:r>
        <w:rPr>
          <w:noProof/>
        </w:rPr>
        <w:t xml:space="preserve"> výrazne prispievajú nižšie príjmy, častejšie prijímaná práca na čiastočný úväzok a prerušovanie kariéry spojené s opatrovateľskými povinnosťami žien. Komisia vo vydaní </w:t>
      </w:r>
      <w:r>
        <w:rPr>
          <w:b/>
          <w:noProof/>
        </w:rPr>
        <w:t>správy o primeranosti dôchodkov</w:t>
      </w:r>
      <w:r>
        <w:rPr>
          <w:noProof/>
        </w:rPr>
        <w:t xml:space="preserve"> v roku 2021 spolu s Výborom pre sociálnu ochranu zriadenom Radou zhodnotí, ako sú riziká a zdroje v dôchodkových systémoch rozdelené medzi ženami a mužmi. V záujme ochrany dôchodkových práv a podpory rovnakého rozdeľovania opatrovateľských povinností medzi ženami a mužmi Komisia, na základe odporúčania skupiny expertov na vysokej úrovni v oblasti dôchodkov, spolu s členskými štátmi a zainteresovanými stranami preskúma </w:t>
      </w:r>
      <w:r>
        <w:rPr>
          <w:b/>
          <w:noProof/>
        </w:rPr>
        <w:t>poskytovanie dôchodkových kreditov v zamestnaneckých dôchodkových systémoch za prerušenia kariéry súvisiace s opatrovateľskými povinnosťami</w:t>
      </w:r>
      <w:r>
        <w:rPr>
          <w:rStyle w:val="FootnoteReference"/>
          <w:noProof/>
        </w:rPr>
        <w:footnoteReference w:id="60"/>
      </w:r>
      <w:r>
        <w:rPr>
          <w:noProof/>
        </w:rPr>
        <w:t>.</w:t>
      </w:r>
    </w:p>
    <w:p>
      <w:pPr>
        <w:spacing w:line="100" w:lineRule="atLeast"/>
        <w:jc w:val="both"/>
        <w:rPr>
          <w:rFonts w:ascii="Times New Roman" w:hAnsi="Times New Roman" w:cs="Times New Roman"/>
          <w:noProof/>
          <w:sz w:val="24"/>
          <w:szCs w:val="24"/>
        </w:rPr>
      </w:pPr>
      <w:r>
        <w:rPr>
          <w:rFonts w:ascii="Times New Roman" w:hAnsi="Times New Roman"/>
          <w:b/>
          <w:i/>
          <w:noProof/>
          <w:sz w:val="24"/>
          <w:szCs w:val="24"/>
        </w:rPr>
        <w:t>Odstránenie rodového rozdielu v oblasti starostlivosti</w:t>
      </w:r>
    </w:p>
    <w:p>
      <w:pPr>
        <w:spacing w:line="240" w:lineRule="auto"/>
        <w:jc w:val="both"/>
        <w:rPr>
          <w:rFonts w:ascii="Times New Roman" w:hAnsi="Times New Roman"/>
          <w:noProof/>
          <w:sz w:val="24"/>
          <w:szCs w:val="24"/>
        </w:rPr>
      </w:pPr>
      <w:r>
        <w:rPr>
          <w:rFonts w:ascii="Times New Roman" w:hAnsi="Times New Roman"/>
          <w:b/>
          <w:noProof/>
          <w:sz w:val="24"/>
          <w:szCs w:val="24"/>
        </w:rPr>
        <w:t xml:space="preserve">Úspešne vykonávať pracovné povinnosti a zároveň zvládať opatrovateľské povinnosti v domácnosti je výzvou najmä pre ženy. </w:t>
      </w:r>
      <w:r>
        <w:rPr>
          <w:rFonts w:ascii="Times New Roman" w:hAnsi="Times New Roman"/>
          <w:noProof/>
          <w:sz w:val="24"/>
          <w:szCs w:val="24"/>
        </w:rPr>
        <w:t>Ženy svoje rozhodovanie sa o tom, či a akým spôsobom pracovať, často prispôsobujú opatrovateľským povinnostiam a tomu, či a ako tieto povinnosti zdieľajú so svojím partnerom. Je to výzva najmä pre osamelých rodičov, z ktorých väčšinu tvoria ženy</w:t>
      </w:r>
      <w:r>
        <w:rPr>
          <w:rStyle w:val="FootnoteReference"/>
          <w:rFonts w:ascii="Times New Roman" w:hAnsi="Times New Roman" w:cs="Times New Roman"/>
          <w:noProof/>
          <w:sz w:val="24"/>
          <w:szCs w:val="24"/>
        </w:rPr>
        <w:footnoteReference w:id="61"/>
      </w:r>
      <w:r>
        <w:rPr>
          <w:rFonts w:ascii="Times New Roman" w:hAnsi="Times New Roman"/>
          <w:noProof/>
          <w:sz w:val="24"/>
          <w:szCs w:val="24"/>
        </w:rPr>
        <w:t>, a pre osoby žijúce v odľahlých vidieckych oblastiach, ktorým často chýbajú podporné riešenia. Ženy nesú aj neprimeranú záťaž spojenú s neplatenou prácou, ktorá predstavuje významný podiel na hospodárskej činnosti</w:t>
      </w:r>
      <w:r>
        <w:rPr>
          <w:rStyle w:val="FootnoteReference"/>
          <w:rFonts w:ascii="Times New Roman" w:hAnsi="Times New Roman" w:cs="Times New Roman"/>
          <w:noProof/>
          <w:sz w:val="24"/>
          <w:szCs w:val="24"/>
        </w:rPr>
        <w:footnoteReference w:id="62"/>
      </w:r>
      <w:r>
        <w:rPr>
          <w:rFonts w:ascii="Times New Roman" w:hAnsi="Times New Roman"/>
          <w:noProof/>
          <w:sz w:val="24"/>
          <w:szCs w:val="24"/>
        </w:rPr>
        <w:t>.</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Rovnaké rozdelenie opatrovateľských povinností v domácnosti má kľúčový význam, rovnako ako dostupnosť služieb v oblasti starostlivosti o deti, sociálnej starostlivosti a služieb pre domácnosť</w:t>
      </w:r>
      <w:r>
        <w:rPr>
          <w:rFonts w:ascii="Times New Roman" w:hAnsi="Times New Roman"/>
          <w:noProof/>
          <w:sz w:val="24"/>
          <w:szCs w:val="24"/>
        </w:rPr>
        <w:t>, najmä pre osamelých rodičov</w:t>
      </w:r>
      <w:r>
        <w:rPr>
          <w:rStyle w:val="FootnoteReference"/>
          <w:rFonts w:ascii="Times New Roman" w:hAnsi="Times New Roman" w:cs="Times New Roman"/>
          <w:noProof/>
          <w:sz w:val="24"/>
          <w:szCs w:val="24"/>
        </w:rPr>
        <w:footnoteReference w:id="63"/>
      </w:r>
      <w:r>
        <w:rPr>
          <w:rFonts w:ascii="Times New Roman" w:hAnsi="Times New Roman"/>
          <w:noProof/>
          <w:sz w:val="24"/>
          <w:szCs w:val="24"/>
        </w:rPr>
        <w:t>. Nedostatočný prístup ku kvalitným a cenovo dostupným službám formálnej starostlivosti je jedným z kľúčových faktorov rodovej nerovnosti na trhu práce</w:t>
      </w:r>
      <w:r>
        <w:rPr>
          <w:rStyle w:val="FootnoteReference"/>
          <w:rFonts w:ascii="Times New Roman" w:eastAsia="Times New Roman" w:hAnsi="Times New Roman" w:cs="Times New Roman"/>
          <w:noProof/>
          <w:sz w:val="24"/>
          <w:szCs w:val="24"/>
        </w:rPr>
        <w:footnoteReference w:id="64"/>
      </w:r>
      <w:r>
        <w:rPr>
          <w:rFonts w:ascii="Times New Roman" w:hAnsi="Times New Roman"/>
          <w:noProof/>
          <w:sz w:val="24"/>
          <w:szCs w:val="24"/>
        </w:rPr>
        <w:t>. Investície do služieb starostlivosti sú preto dôležité z hľadiska podpory účasti žien na platenej práci a ich profesijného rozvoja. Majú takisto potenciál na vytváranie pracovných miest tak pre ženy, ako aj pre mužov.</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rPr>
        <w:drawing>
          <wp:inline distT="0" distB="0" distL="0" distR="0">
            <wp:extent cx="5759450" cy="1065939"/>
            <wp:effectExtent l="0" t="0" r="0" b="1270"/>
            <wp:docPr id="16" name="Picture 16" descr="C:\Users\stmaria\AppData\Local\CATE\DGT\Dossiers\JUST\JUST-2020-80008\gender-care_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maria\AppData\Local\CATE\DGT\Dossiers\JUST\JUST-2020-80008\gender-care_S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065939"/>
                    </a:xfrm>
                    <a:prstGeom prst="rect">
                      <a:avLst/>
                    </a:prstGeom>
                    <a:noFill/>
                    <a:ln>
                      <a:noFill/>
                    </a:ln>
                  </pic:spPr>
                </pic:pic>
              </a:graphicData>
            </a:graphic>
          </wp:inline>
        </w:drawing>
      </w:r>
    </w:p>
    <w:p>
      <w:pPr>
        <w:spacing w:line="240" w:lineRule="auto"/>
        <w:jc w:val="both"/>
        <w:rPr>
          <w:rFonts w:ascii="Times New Roman" w:hAnsi="Times New Roman" w:cs="Times New Roman"/>
          <w:b/>
          <w:noProof/>
          <w:sz w:val="24"/>
          <w:szCs w:val="24"/>
        </w:rPr>
      </w:pPr>
      <w:r>
        <w:rPr>
          <w:rFonts w:ascii="Times New Roman" w:hAnsi="Times New Roman"/>
          <w:b/>
          <w:noProof/>
          <w:sz w:val="24"/>
          <w:szCs w:val="24"/>
        </w:rPr>
        <w:t>Barcelonské ciele</w:t>
      </w:r>
      <w:r>
        <w:rPr>
          <w:rStyle w:val="FootnoteReference"/>
          <w:rFonts w:ascii="Times New Roman" w:hAnsi="Times New Roman" w:cs="Times New Roman"/>
          <w:noProof/>
          <w:sz w:val="24"/>
          <w:szCs w:val="24"/>
        </w:rPr>
        <w:footnoteReference w:id="65"/>
      </w:r>
      <w:r>
        <w:rPr>
          <w:rFonts w:ascii="Times New Roman" w:hAnsi="Times New Roman"/>
          <w:b/>
          <w:noProof/>
          <w:sz w:val="24"/>
          <w:szCs w:val="24"/>
        </w:rPr>
        <w:t xml:space="preserve"> týkajúce sa poskytovania vzdelávania a starostlivosti pre deti v rannom detstve</w:t>
      </w:r>
      <w:r>
        <w:rPr>
          <w:rFonts w:ascii="Times New Roman" w:hAnsi="Times New Roman"/>
          <w:noProof/>
          <w:sz w:val="24"/>
          <w:szCs w:val="24"/>
        </w:rPr>
        <w:t xml:space="preserve"> sú väčšinou splnené, niektoré členské štáty však výrazne zaostávajú.</w:t>
      </w:r>
      <w:r>
        <w:rPr>
          <w:noProof/>
          <w:sz w:val="24"/>
          <w:szCs w:val="24"/>
        </w:rPr>
        <w:t xml:space="preserve"> </w:t>
      </w:r>
      <w:r>
        <w:rPr>
          <w:rFonts w:ascii="Times New Roman" w:hAnsi="Times New Roman"/>
          <w:noProof/>
          <w:sz w:val="24"/>
          <w:szCs w:val="24"/>
        </w:rPr>
        <w:t>Komisia preto navrhne revíziu barcelonských cieľov, aby posilnila konvergenciu medzi členskými štátmi v oblasti vzdelávania a starostlivosti v ranom detstve.</w:t>
      </w:r>
      <w:r>
        <w:rPr>
          <w:noProof/>
          <w:sz w:val="24"/>
          <w:szCs w:val="24"/>
        </w:rPr>
        <w:t xml:space="preserve"> </w:t>
      </w:r>
      <w:r>
        <w:rPr>
          <w:rFonts w:ascii="Times New Roman" w:hAnsi="Times New Roman"/>
          <w:noProof/>
          <w:sz w:val="24"/>
          <w:szCs w:val="24"/>
        </w:rPr>
        <w:t xml:space="preserve">Okrem toho sa návrh Komisie na zavedenie </w:t>
      </w:r>
      <w:r>
        <w:rPr>
          <w:rFonts w:ascii="Times New Roman" w:hAnsi="Times New Roman"/>
          <w:b/>
          <w:noProof/>
          <w:sz w:val="24"/>
          <w:szCs w:val="24"/>
        </w:rPr>
        <w:t>záruky pre deti</w:t>
      </w:r>
      <w:r>
        <w:rPr>
          <w:rFonts w:ascii="Times New Roman" w:hAnsi="Times New Roman"/>
          <w:noProof/>
          <w:sz w:val="24"/>
          <w:szCs w:val="24"/>
        </w:rPr>
        <w:t xml:space="preserve"> v roku 2021 zameria na najvýznamnejšie prekážky, ktoré deťom bránia v prístupe k službám potrebným pre ich blaho a osobný rozvoj, s cieľom prerušiť pretrvávajúci cyklus chudoby a znížiť nerovnosť.</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Komisia bude naďalej podporovať </w:t>
      </w:r>
      <w:r>
        <w:rPr>
          <w:rFonts w:ascii="Times New Roman" w:hAnsi="Times New Roman"/>
          <w:b/>
          <w:noProof/>
          <w:sz w:val="24"/>
          <w:szCs w:val="24"/>
        </w:rPr>
        <w:t>prácu členských štátov zameranú na zlepšenie dostupnosti a cenovej prijateľnosti kvalitných služieb starostlivosti</w:t>
      </w:r>
      <w:r>
        <w:rPr>
          <w:rFonts w:ascii="Times New Roman" w:hAnsi="Times New Roman"/>
          <w:noProof/>
          <w:sz w:val="24"/>
          <w:szCs w:val="24"/>
        </w:rPr>
        <w:t xml:space="preserve"> o deti a iné závislé osoby, a to prostredníctvom investícií z Európskeho sociálneho fondu plus, Európskeho fondu regionálneho rozvoja, Programu InvestEU a Európskeho poľnohospodárskeho fondu pre rozvoj vidieka.</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Koncom roka 2020 Komisia začne konzultačný proces v súvislosti so </w:t>
      </w:r>
      <w:r>
        <w:rPr>
          <w:rFonts w:ascii="Times New Roman" w:hAnsi="Times New Roman"/>
          <w:b/>
          <w:noProof/>
          <w:sz w:val="24"/>
          <w:szCs w:val="24"/>
        </w:rPr>
        <w:t>zelenou knihou o starnutí</w:t>
      </w:r>
      <w:r>
        <w:rPr>
          <w:rFonts w:ascii="Times New Roman" w:hAnsi="Times New Roman"/>
          <w:noProof/>
          <w:sz w:val="24"/>
          <w:szCs w:val="24"/>
        </w:rPr>
        <w:t xml:space="preserve"> s dôrazom na dlhodobú starostlivosť, dôchodky a aktívne starnutie.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Okrem opatrení Komisie, ktoré už boli uvedené, Komisia vyzýva členské štáty, aby:</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transponovali smernicu o rovnováhe medzi pracovným a súkromným životom a riadne vykonávali právo EÚ v oblasti rodovej rovnosti a pracovné právo</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w:t>
            </w:r>
          </w:p>
          <w:p>
            <w:pPr>
              <w:pStyle w:val="ListParagraph"/>
              <w:numPr>
                <w:ilvl w:val="0"/>
                <w:numId w:val="54"/>
              </w:numPr>
              <w:spacing w:after="120"/>
              <w:jc w:val="both"/>
              <w:rPr>
                <w:i/>
                <w:noProof/>
                <w:sz w:val="24"/>
                <w:szCs w:val="24"/>
              </w:rPr>
            </w:pPr>
            <w:r>
              <w:rPr>
                <w:rFonts w:ascii="Times New Roman" w:hAnsi="Times New Roman"/>
                <w:noProof/>
                <w:sz w:val="24"/>
                <w:szCs w:val="24"/>
              </w:rPr>
              <w:t xml:space="preserve">nadviazali na závery Rady z júna 2019 </w:t>
            </w:r>
            <w:r>
              <w:rPr>
                <w:rFonts w:ascii="Times New Roman" w:hAnsi="Times New Roman"/>
                <w:bCs/>
                <w:noProof/>
                <w:sz w:val="24"/>
                <w:szCs w:val="24"/>
              </w:rPr>
              <w:t>„Odstraňovanie rozdielov v odmeňovaní žien a mužov</w:t>
            </w:r>
            <w:r>
              <w:rPr>
                <w:rFonts w:ascii="Times New Roman" w:hAnsi="Times New Roman"/>
                <w:noProof/>
                <w:sz w:val="24"/>
                <w:szCs w:val="24"/>
              </w:rPr>
              <w:t>:</w:t>
            </w:r>
            <w:r>
              <w:rPr>
                <w:rFonts w:ascii="Times New Roman" w:hAnsi="Times New Roman"/>
                <w:bCs/>
                <w:noProof/>
                <w:sz w:val="24"/>
                <w:szCs w:val="24"/>
              </w:rPr>
              <w:t xml:space="preserve"> kľúčové politiky a opatrenia“</w:t>
            </w:r>
            <w:r>
              <w:rPr>
                <w:rFonts w:ascii="Times New Roman" w:hAnsi="Times New Roman"/>
                <w:noProof/>
                <w:sz w:val="24"/>
                <w:szCs w:val="24"/>
              </w:rPr>
              <w:t>,</w:t>
            </w:r>
          </w:p>
          <w:p>
            <w:pPr>
              <w:pStyle w:val="ListParagraph"/>
              <w:numPr>
                <w:ilvl w:val="0"/>
                <w:numId w:val="54"/>
              </w:numPr>
              <w:spacing w:after="120"/>
              <w:jc w:val="both"/>
              <w:rPr>
                <w:rFonts w:ascii="Times New Roman" w:hAnsi="Times New Roman"/>
                <w:noProof/>
                <w:sz w:val="24"/>
                <w:szCs w:val="24"/>
              </w:rPr>
            </w:pPr>
            <w:r>
              <w:rPr>
                <w:rFonts w:ascii="Times New Roman" w:hAnsi="Times New Roman"/>
                <w:noProof/>
                <w:sz w:val="24"/>
                <w:szCs w:val="24"/>
              </w:rPr>
              <w:t>zabezpečili primerané investície do služieb vzdelávania a starostlivosti v ranom detstve a služieb dlhodobej starostlivosti, a to aj z dostupných finančných prostriedkov EÚ, a</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vykonali vyhlásenie ministrov k záväzku týkajúcemu sa žien v digitálnej oblasti.</w:t>
            </w:r>
          </w:p>
          <w:p>
            <w:pPr>
              <w:pStyle w:val="ListParagraph"/>
              <w:spacing w:after="120"/>
              <w:jc w:val="both"/>
              <w:rPr>
                <w:rFonts w:ascii="Times New Roman" w:hAnsi="Times New Roman" w:cs="Times New Roman"/>
                <w:noProof/>
                <w:sz w:val="24"/>
                <w:szCs w:val="24"/>
              </w:rPr>
            </w:pPr>
          </w:p>
        </w:tc>
      </w:tr>
    </w:tbl>
    <w:p>
      <w:pPr>
        <w:spacing w:line="100" w:lineRule="atLeast"/>
        <w:jc w:val="both"/>
        <w:rPr>
          <w:rFonts w:ascii="Times New Roman" w:hAnsi="Times New Roman" w:cs="Times New Roman"/>
          <w:b/>
          <w:bCs/>
          <w:noProof/>
          <w:sz w:val="28"/>
          <w:szCs w:val="28"/>
        </w:rPr>
      </w:pPr>
      <w:r>
        <w:rPr>
          <w:rFonts w:ascii="Times New Roman" w:hAnsi="Times New Roman"/>
          <w:b/>
          <w:bCs/>
          <w:noProof/>
          <w:sz w:val="28"/>
          <w:szCs w:val="28"/>
        </w:rPr>
        <w:t xml:space="preserve">3. </w:t>
      </w:r>
      <w:r>
        <w:rPr>
          <w:rFonts w:ascii="Times New Roman" w:hAnsi="Times New Roman"/>
          <w:b/>
          <w:bCs/>
          <w:noProof/>
          <w:sz w:val="28"/>
          <w:szCs w:val="28"/>
        </w:rPr>
        <w:tab/>
        <w:t>Rovnocenné vedenie v celej spoločnosti</w:t>
      </w:r>
    </w:p>
    <w:p>
      <w:pPr>
        <w:spacing w:line="100" w:lineRule="atLeast"/>
        <w:jc w:val="both"/>
        <w:rPr>
          <w:rFonts w:ascii="Times New Roman" w:hAnsi="Times New Roman"/>
          <w:i/>
          <w:noProof/>
          <w:sz w:val="24"/>
          <w:szCs w:val="24"/>
        </w:rPr>
      </w:pPr>
      <w:r>
        <w:rPr>
          <w:rFonts w:ascii="Times New Roman" w:hAnsi="Times New Roman"/>
          <w:i/>
          <w:noProof/>
          <w:sz w:val="24"/>
          <w:szCs w:val="24"/>
        </w:rPr>
        <w:t>Spoločnosti, spoločenstvá a krajiny by mali byť vedené ženami aj mužmi v celej ich rozmanitosti. Skutočnosť, či ste žena alebo muž, by nemala ovplyvňovať kariéru, ktorú vykonávate.</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Dosiahnutie vyváženého zastúpenia mužov a žien v rozhodovacom procese a politike</w:t>
      </w:r>
    </w:p>
    <w:p>
      <w:pPr>
        <w:spacing w:line="100" w:lineRule="atLeast"/>
        <w:jc w:val="both"/>
        <w:rPr>
          <w:rFonts w:ascii="Times New Roman" w:hAnsi="Times New Roman" w:cs="Times New Roman"/>
          <w:b/>
          <w:noProof/>
          <w:sz w:val="24"/>
          <w:szCs w:val="24"/>
        </w:rPr>
      </w:pPr>
      <w:r>
        <w:rPr>
          <w:rFonts w:ascii="Times New Roman" w:hAnsi="Times New Roman"/>
          <w:noProof/>
          <w:sz w:val="24"/>
          <w:szCs w:val="24"/>
        </w:rPr>
        <w:t>Vo vedúcich pozíciách je stále primálo žien. Je to tak či už v politike alebo v orgánoch štátnej správy, na najvyšších súdoch alebo vo vrcholových orgánoch spoločností. A to aj vtedy, keď rodová parita existuje na nižších úrovniach. Ak najvyššie pozície dlhodobo zastávajú výlučne muži, formuje sa tým vzorec prijímania nástupcov, k čomu niekedy dochádza iba v dôsledku nevedomých predsudkov.</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Ak má byť vedenie úspešné, je nevyhnutné, aby sa na ňom podieľali ženy aj muži. </w:t>
      </w:r>
      <w:r>
        <w:rPr>
          <w:rFonts w:ascii="Times New Roman" w:hAnsi="Times New Roman"/>
          <w:b/>
          <w:noProof/>
          <w:sz w:val="24"/>
          <w:szCs w:val="24"/>
        </w:rPr>
        <w:t>Na vyriešenie zložitých výziev, ktorým dnes subjekty s rozhodovacou právomocou čelia, je potrebné inkluzívne a rôznorodé líderstvo.</w:t>
      </w:r>
      <w:r>
        <w:rPr>
          <w:rFonts w:ascii="Times New Roman" w:hAnsi="Times New Roman"/>
          <w:noProof/>
          <w:sz w:val="24"/>
          <w:szCs w:val="24"/>
        </w:rPr>
        <w:t xml:space="preserve"> Väčšia inklúzia a väčšia rozmanitosť majú zásadný význam z hľadiska nastolenia nových myšlienok a inovačných prístupov, ktoré lepšie slúžia dynamickej a prosperujúcej spoločnosti EÚ. Umožnenie zmysluplného zapojenia občanov zo všetkých prostredí do spoločnosti je nevyhnutným predpokladom dobre fungujúcej demokracie a vedie k efektívnejšej tvorbe politík</w:t>
      </w:r>
      <w:r>
        <w:rPr>
          <w:rStyle w:val="FootnoteReference"/>
          <w:rFonts w:ascii="Times New Roman" w:hAnsi="Times New Roman" w:cs="Times New Roman"/>
          <w:noProof/>
          <w:sz w:val="24"/>
          <w:szCs w:val="24"/>
        </w:rPr>
        <w:footnoteReference w:id="67"/>
      </w:r>
      <w:r>
        <w:rPr>
          <w:rFonts w:ascii="Times New Roman" w:hAnsi="Times New Roman"/>
          <w:noProof/>
          <w:sz w:val="24"/>
          <w:szCs w:val="24"/>
        </w:rPr>
        <w:t>.</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862134"/>
            <wp:effectExtent l="0" t="0" r="0" b="0"/>
            <wp:docPr id="17" name="Picture 17" descr="C:\Users\stmaria\AppData\Local\CATE\DGT\Dossiers\JUST\JUST-2020-80008\gender-balance-politics-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maria\AppData\Local\CATE\DGT\Dossiers\JUST\JUST-2020-80008\gender-balance-politics-S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62134"/>
                    </a:xfrm>
                    <a:prstGeom prst="rect">
                      <a:avLst/>
                    </a:prstGeom>
                    <a:noFill/>
                    <a:ln>
                      <a:noFill/>
                    </a:ln>
                  </pic:spPr>
                </pic:pic>
              </a:graphicData>
            </a:graphic>
          </wp:inline>
        </w:drawing>
      </w:r>
    </w:p>
    <w:p>
      <w:pPr>
        <w:spacing w:line="100" w:lineRule="atLeast"/>
        <w:jc w:val="both"/>
        <w:rPr>
          <w:noProof/>
          <w:sz w:val="24"/>
          <w:szCs w:val="24"/>
        </w:rPr>
      </w:pPr>
      <w:r>
        <w:rPr>
          <w:rFonts w:ascii="Times New Roman" w:hAnsi="Times New Roman"/>
          <w:b/>
          <w:noProof/>
          <w:sz w:val="24"/>
          <w:szCs w:val="24"/>
        </w:rPr>
        <w:t>Široká škála talentov a zručností prispieva k lepšiemu rozhodovaniu a lepšej správe a riadeniu spoločností a podporuje hospodársky rast</w:t>
      </w:r>
      <w:r>
        <w:rPr>
          <w:rFonts w:ascii="Times New Roman" w:hAnsi="Times New Roman" w:cs="Times New Roman"/>
          <w:noProof/>
          <w:sz w:val="24"/>
          <w:szCs w:val="24"/>
          <w:vertAlign w:val="superscript"/>
        </w:rPr>
        <w:footnoteReference w:id="68"/>
      </w:r>
      <w:r>
        <w:rPr>
          <w:rFonts w:ascii="Times New Roman" w:hAnsi="Times New Roman"/>
          <w:noProof/>
          <w:sz w:val="24"/>
          <w:szCs w:val="24"/>
        </w:rPr>
        <w:t>.</w:t>
      </w:r>
      <w:r>
        <w:rPr>
          <w:noProof/>
          <w:sz w:val="24"/>
          <w:szCs w:val="24"/>
        </w:rPr>
        <w:t xml:space="preserve"> </w:t>
      </w:r>
      <w:r>
        <w:rPr>
          <w:rFonts w:ascii="Times New Roman" w:hAnsi="Times New Roman"/>
          <w:noProof/>
          <w:sz w:val="24"/>
          <w:szCs w:val="24"/>
        </w:rPr>
        <w:t>Napriek určitému pokroku v posledných rokoch pretrváva nedostatočné zastúpenie žien na rozhodovacích pozíciách v európskych podnikoch a priemysle</w:t>
      </w:r>
      <w:r>
        <w:rPr>
          <w:rStyle w:val="FootnoteReference"/>
          <w:rFonts w:ascii="Times New Roman" w:hAnsi="Times New Roman" w:cs="Times New Roman"/>
          <w:noProof/>
          <w:sz w:val="24"/>
          <w:szCs w:val="24"/>
        </w:rPr>
        <w:footnoteReference w:id="69"/>
      </w:r>
      <w:r>
        <w:rPr>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S cieľom pomôcť odstrániť neviditeľné prekážky bude Komisia presadzovať prijatie návrhu </w:t>
      </w:r>
      <w:r>
        <w:rPr>
          <w:rFonts w:ascii="Times New Roman" w:hAnsi="Times New Roman"/>
          <w:b/>
          <w:noProof/>
          <w:sz w:val="24"/>
          <w:szCs w:val="24"/>
        </w:rPr>
        <w:t>smernice o zlepšení rodovej vyváženosti vo vrcholových orgánoch spoločností</w:t>
      </w:r>
      <w:r>
        <w:rPr>
          <w:rFonts w:ascii="Times New Roman" w:hAnsi="Times New Roman"/>
          <w:noProof/>
          <w:sz w:val="24"/>
          <w:szCs w:val="24"/>
        </w:rPr>
        <w:t xml:space="preserve"> z roku 2012</w:t>
      </w:r>
      <w:r>
        <w:rPr>
          <w:rStyle w:val="FootnoteReference"/>
          <w:rFonts w:ascii="Times New Roman" w:hAnsi="Times New Roman" w:cs="Times New Roman"/>
          <w:noProof/>
          <w:sz w:val="24"/>
          <w:szCs w:val="24"/>
        </w:rPr>
        <w:footnoteReference w:id="70"/>
      </w:r>
      <w:r>
        <w:rPr>
          <w:rFonts w:ascii="Times New Roman" w:hAnsi="Times New Roman"/>
          <w:noProof/>
          <w:sz w:val="24"/>
          <w:szCs w:val="24"/>
        </w:rPr>
        <w:t>, v ktorom sa stanovuje cieľ najmenej 40 % nevýkonných členov nedostatočne zastúpeného pohlavia vo vrcholových orgánoch spoločností</w:t>
      </w:r>
      <w:r>
        <w:rPr>
          <w:rStyle w:val="FootnoteReference"/>
          <w:rFonts w:ascii="Times New Roman" w:hAnsi="Times New Roman" w:cs="Times New Roman"/>
          <w:noProof/>
          <w:sz w:val="24"/>
          <w:szCs w:val="24"/>
        </w:rPr>
        <w:footnoteReference w:id="71"/>
      </w:r>
      <w:r>
        <w:rPr>
          <w:rFonts w:ascii="Times New Roman" w:hAnsi="Times New Roman"/>
          <w:noProof/>
          <w:sz w:val="24"/>
          <w:szCs w:val="24"/>
        </w:rPr>
        <w:t>.</w:t>
      </w:r>
    </w:p>
    <w:p>
      <w:pPr>
        <w:spacing w:line="100" w:lineRule="atLeast"/>
        <w:jc w:val="both"/>
        <w:rPr>
          <w:rFonts w:ascii="Times New Roman" w:hAnsi="Times New Roman"/>
          <w:noProof/>
          <w:sz w:val="24"/>
          <w:szCs w:val="24"/>
        </w:rPr>
      </w:pPr>
      <w:r>
        <w:rPr>
          <w:rFonts w:ascii="Times New Roman" w:hAnsi="Times New Roman"/>
          <w:noProof/>
          <w:sz w:val="24"/>
          <w:szCs w:val="24"/>
        </w:rPr>
        <w:t xml:space="preserve">Komisia zároveň uľahčí výmenu osvedčených postupov pri riešení rozdielov v oblasti vyváženého zastúpenia mužov a žien vo výkonných vrcholových orgánoch a v riadiacich funkciách, pričom sa uvedú príklady národných alebo regionálnych projektov vlád, občianskej spoločnosti alebo súkromného sektora. Na výmenu týchto postupov bude slúžiť </w:t>
      </w:r>
      <w:r>
        <w:rPr>
          <w:rFonts w:ascii="Times New Roman" w:hAnsi="Times New Roman"/>
          <w:b/>
          <w:bCs/>
          <w:noProof/>
          <w:sz w:val="24"/>
          <w:szCs w:val="24"/>
        </w:rPr>
        <w:t>platforma EÚ pre charty rozmanitosti</w:t>
      </w:r>
      <w:r>
        <w:rPr>
          <w:rFonts w:ascii="Times New Roman" w:hAnsi="Times New Roman" w:cs="Times New Roman"/>
          <w:noProof/>
          <w:sz w:val="24"/>
          <w:szCs w:val="24"/>
          <w:vertAlign w:val="superscript"/>
        </w:rPr>
        <w:footnoteReference w:id="72"/>
      </w:r>
      <w:r>
        <w:rPr>
          <w:rFonts w:ascii="Times New Roman" w:hAnsi="Times New Roman"/>
          <w:noProof/>
          <w:sz w:val="24"/>
          <w:szCs w:val="24"/>
        </w:rPr>
        <w:t>. Komisia bude naďalej spolupracovať s projektmi na úrovni EÚ, ako je napríklad európsky index rodovej rozmanitosti</w:t>
      </w:r>
      <w:r>
        <w:rPr>
          <w:rStyle w:val="FootnoteReference"/>
          <w:rFonts w:ascii="Times New Roman" w:hAnsi="Times New Roman" w:cs="Times New Roman"/>
          <w:noProof/>
          <w:sz w:val="24"/>
          <w:szCs w:val="24"/>
        </w:rPr>
        <w:footnoteReference w:id="73"/>
      </w:r>
      <w:r>
        <w:rPr>
          <w:rFonts w:ascii="Times New Roman" w:hAnsi="Times New Roman"/>
          <w:noProof/>
          <w:sz w:val="24"/>
          <w:szCs w:val="24"/>
        </w:rPr>
        <w:t>.</w:t>
      </w:r>
    </w:p>
    <w:p>
      <w:pPr>
        <w:spacing w:line="100" w:lineRule="atLeast"/>
        <w:jc w:val="both"/>
        <w:rPr>
          <w:rFonts w:ascii="Times New Roman" w:hAnsi="Times New Roman"/>
          <w:noProof/>
          <w:sz w:val="24"/>
          <w:szCs w:val="24"/>
        </w:rPr>
      </w:pPr>
      <w:r>
        <w:rPr>
          <w:rFonts w:ascii="Times New Roman" w:hAnsi="Times New Roman"/>
          <w:b/>
          <w:noProof/>
          <w:sz w:val="24"/>
          <w:szCs w:val="24"/>
        </w:rPr>
        <w:t>Vytvorenie rovnakých príležitostí na zabezpečenie účasti žien a mužov má zásadný význam pre zastupiteľskú demokraciu na všetkých úrovniach – európskej, národnej, regionálnej aj miestnej.</w:t>
      </w:r>
      <w:r>
        <w:rPr>
          <w:rFonts w:ascii="Times New Roman" w:hAnsi="Times New Roman"/>
          <w:noProof/>
          <w:sz w:val="24"/>
          <w:szCs w:val="24"/>
        </w:rPr>
        <w:t xml:space="preserve"> Komisia bude podporovať účasť žien ako voličiek a kandidátok počas </w:t>
      </w:r>
      <w:r>
        <w:rPr>
          <w:rFonts w:ascii="Times New Roman" w:hAnsi="Times New Roman"/>
          <w:b/>
          <w:noProof/>
          <w:sz w:val="24"/>
          <w:szCs w:val="24"/>
        </w:rPr>
        <w:t>volieb do Európskeho parlamentu v roku 2024</w:t>
      </w:r>
      <w:r>
        <w:rPr>
          <w:rFonts w:ascii="Times New Roman" w:hAnsi="Times New Roman"/>
          <w:noProof/>
          <w:sz w:val="24"/>
          <w:szCs w:val="24"/>
        </w:rPr>
        <w:t xml:space="preserve"> v spolupráci s Európskym parlamentom, národnými parlamentmi, členskými štátmi a občianskou spoločnosťou, a to aj prostredníctvom financovania a presadzovania osvedčených postupov. Európske politické strany, ktoré žiadajú o financovanie z prostriedkov EÚ, sa vyzývajú, aby boli transparentné, pokiaľ ide o vyvážené zastúpenie mužov a žien v rámci svojich členov</w:t>
      </w:r>
      <w:r>
        <w:rPr>
          <w:rStyle w:val="FootnoteReference"/>
          <w:rFonts w:ascii="Times New Roman" w:hAnsi="Times New Roman" w:cs="Times New Roman"/>
          <w:noProof/>
          <w:sz w:val="24"/>
          <w:szCs w:val="24"/>
        </w:rPr>
        <w:footnoteReference w:id="74"/>
      </w:r>
      <w:r>
        <w:rPr>
          <w:rFonts w:ascii="Times New Roman" w:hAnsi="Times New Roman"/>
          <w:noProof/>
          <w:sz w:val="24"/>
          <w:szCs w:val="24"/>
        </w:rPr>
        <w:t>.</w:t>
      </w: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952464"/>
            <wp:effectExtent l="0" t="0" r="0" b="635"/>
            <wp:docPr id="18" name="Picture 18" descr="C:\Users\stmaria\AppData\Local\CATE\DGT\Dossiers\JUST\JUST-2020-80008\commission-mep-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maria\AppData\Local\CATE\DGT\Dossiers\JUST\JUST-2020-80008\commission-mep-S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952464"/>
                    </a:xfrm>
                    <a:prstGeom prst="rect">
                      <a:avLst/>
                    </a:prstGeom>
                    <a:noFill/>
                    <a:ln>
                      <a:noFill/>
                    </a:ln>
                  </pic:spPr>
                </pic:pic>
              </a:graphicData>
            </a:graphic>
          </wp:inline>
        </w:drawing>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 xml:space="preserve">Výnimkou zo zabezpečenia vyváženého zastúpenia mužov a žien vo vedúcich pozíciách by nemali byť ani </w:t>
      </w:r>
      <w:r>
        <w:rPr>
          <w:rFonts w:ascii="Times New Roman" w:hAnsi="Times New Roman"/>
          <w:b/>
          <w:noProof/>
          <w:sz w:val="24"/>
          <w:szCs w:val="24"/>
        </w:rPr>
        <w:t>inštitúcie a orgány EÚ</w:t>
      </w:r>
      <w:r>
        <w:rPr>
          <w:rFonts w:ascii="Times New Roman" w:hAnsi="Times New Roman"/>
          <w:noProof/>
          <w:sz w:val="24"/>
          <w:szCs w:val="24"/>
        </w:rPr>
        <w:t>. Komisia pôjde príkladom.</w:t>
      </w:r>
      <w:r>
        <w:rPr>
          <w:rFonts w:ascii="Times New Roman" w:hAnsi="Times New Roman"/>
          <w:b/>
          <w:noProof/>
          <w:sz w:val="24"/>
          <w:szCs w:val="24"/>
        </w:rPr>
        <w:t xml:space="preserve"> </w:t>
      </w:r>
      <w:r>
        <w:rPr>
          <w:rFonts w:ascii="Times New Roman" w:hAnsi="Times New Roman"/>
          <w:noProof/>
          <w:sz w:val="24"/>
          <w:szCs w:val="24"/>
        </w:rPr>
        <w:t>Vďaka dôraznej výzve predsedníčky von der Leyenovej, aby sa v </w:t>
      </w:r>
      <w:r>
        <w:rPr>
          <w:rFonts w:ascii="Times New Roman" w:hAnsi="Times New Roman"/>
          <w:b/>
          <w:noProof/>
          <w:sz w:val="24"/>
          <w:szCs w:val="24"/>
        </w:rPr>
        <w:t>kolégiu komisárov dosiahla rodová parita</w:t>
      </w:r>
      <w:r>
        <w:rPr>
          <w:rFonts w:ascii="Times New Roman" w:hAnsi="Times New Roman"/>
          <w:noProof/>
          <w:sz w:val="24"/>
          <w:szCs w:val="24"/>
        </w:rPr>
        <w:t xml:space="preserve">, má súčasné kolégium </w:t>
      </w:r>
      <w:r>
        <w:rPr>
          <w:rFonts w:ascii="Times New Roman" w:hAnsi="Times New Roman"/>
          <w:bCs/>
          <w:noProof/>
          <w:sz w:val="24"/>
          <w:szCs w:val="24"/>
        </w:rPr>
        <w:t>doposiaľ najvyšší počet</w:t>
      </w:r>
      <w:r>
        <w:rPr>
          <w:rFonts w:ascii="Times New Roman" w:hAnsi="Times New Roman"/>
          <w:noProof/>
          <w:sz w:val="24"/>
          <w:szCs w:val="24"/>
        </w:rPr>
        <w:t xml:space="preserve"> žien. Zámerom Komisie je dosiahnuť do konca roka 2024 </w:t>
      </w:r>
      <w:r>
        <w:rPr>
          <w:rFonts w:ascii="Times New Roman" w:hAnsi="Times New Roman"/>
          <w:b/>
          <w:bCs/>
          <w:noProof/>
          <w:sz w:val="24"/>
          <w:szCs w:val="24"/>
        </w:rPr>
        <w:t>vyvážené päťdesiatpercentné zastúpenie mužov a žien</w:t>
      </w:r>
      <w:r>
        <w:rPr>
          <w:rFonts w:ascii="Times New Roman" w:hAnsi="Times New Roman"/>
          <w:noProof/>
          <w:sz w:val="24"/>
          <w:szCs w:val="24"/>
        </w:rPr>
        <w:t xml:space="preserve"> na všetkých úrovniach svojho vedenia</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Podporné opatrenia budú zahŕňať kvantitatívne ciele pre vymenúvanie žien a programy rozvoja vodcovských schopností</w:t>
      </w:r>
      <w:r>
        <w:rPr>
          <w:rStyle w:val="FootnoteReference"/>
          <w:rFonts w:ascii="Times New Roman" w:hAnsi="Times New Roman" w:cs="Times New Roman"/>
          <w:noProof/>
          <w:sz w:val="24"/>
          <w:szCs w:val="24"/>
        </w:rPr>
        <w:footnoteReference w:id="76"/>
      </w:r>
      <w:r>
        <w:rPr>
          <w:rFonts w:ascii="Times New Roman" w:hAnsi="Times New Roman"/>
          <w:noProof/>
          <w:sz w:val="24"/>
          <w:szCs w:val="24"/>
        </w:rPr>
        <w:t xml:space="preserve">. Komisia takisto zintenzívni úsilie o dosiahnutie väčšieho podielu </w:t>
      </w:r>
      <w:r>
        <w:rPr>
          <w:rFonts w:ascii="Times New Roman" w:hAnsi="Times New Roman"/>
          <w:b/>
          <w:noProof/>
          <w:sz w:val="24"/>
          <w:szCs w:val="24"/>
        </w:rPr>
        <w:t>žien na riadiacich pozíciách v agentúrach EÚ</w:t>
      </w:r>
      <w:r>
        <w:rPr>
          <w:rStyle w:val="FootnoteReference"/>
          <w:rFonts w:ascii="Times New Roman" w:hAnsi="Times New Roman" w:cs="Times New Roman"/>
          <w:noProof/>
          <w:sz w:val="24"/>
          <w:szCs w:val="24"/>
        </w:rPr>
        <w:footnoteReference w:id="77"/>
      </w:r>
      <w:r>
        <w:rPr>
          <w:rFonts w:ascii="Times New Roman" w:hAnsi="Times New Roman"/>
          <w:noProof/>
          <w:sz w:val="24"/>
          <w:szCs w:val="24"/>
        </w:rPr>
        <w:t xml:space="preserve"> a zabezpečí vyvážené zastúpenie mužov a žien medzi rečníkmi a členmi panela na konferenciách, ktoré organizuje.</w:t>
      </w:r>
    </w:p>
    <w:p>
      <w:pPr>
        <w:spacing w:after="0" w:line="240" w:lineRule="auto"/>
        <w:jc w:val="both"/>
        <w:rPr>
          <w:rFonts w:ascii="Times New Roman" w:hAnsi="Times New Roman" w:cs="Times New Roman"/>
          <w:noProof/>
          <w:sz w:val="24"/>
          <w:szCs w:val="24"/>
        </w:rPr>
      </w:pP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Komisia bude podporovať členské štáty pri vypracúvaní a vykonávaní účinnejších </w:t>
      </w:r>
      <w:r>
        <w:rPr>
          <w:rFonts w:ascii="Times New Roman" w:hAnsi="Times New Roman"/>
          <w:b/>
          <w:noProof/>
          <w:sz w:val="24"/>
          <w:szCs w:val="24"/>
        </w:rPr>
        <w:t>stratégií na zvýšenie počtu žien na rozhodovacích pozíciách</w:t>
      </w:r>
      <w:r>
        <w:rPr>
          <w:rFonts w:ascii="Times New Roman" w:hAnsi="Times New Roman"/>
          <w:noProof/>
          <w:sz w:val="24"/>
          <w:szCs w:val="24"/>
        </w:rPr>
        <w:t>, a to aj prostredníctvom programu vzájomného učenia v oblasti rodovej rovnosti</w:t>
      </w:r>
      <w:r>
        <w:rPr>
          <w:rStyle w:val="FootnoteReference"/>
          <w:rFonts w:ascii="Times New Roman" w:hAnsi="Times New Roman" w:cs="Times New Roman"/>
          <w:noProof/>
          <w:sz w:val="24"/>
          <w:szCs w:val="24"/>
        </w:rPr>
        <w:footnoteReference w:id="78"/>
      </w:r>
      <w:r>
        <w:rPr>
          <w:rFonts w:ascii="Times New Roman" w:hAnsi="Times New Roman"/>
          <w:noProof/>
          <w:sz w:val="24"/>
          <w:szCs w:val="24"/>
        </w:rPr>
        <w:t>. V</w:t>
      </w:r>
      <w:r>
        <w:rPr>
          <w:rFonts w:ascii="Times New Roman" w:hAnsi="Times New Roman"/>
          <w:b/>
          <w:noProof/>
          <w:sz w:val="24"/>
          <w:szCs w:val="24"/>
        </w:rPr>
        <w:t> </w:t>
      </w:r>
      <w:r>
        <w:rPr>
          <w:rFonts w:ascii="Times New Roman" w:hAnsi="Times New Roman"/>
          <w:noProof/>
          <w:sz w:val="24"/>
          <w:szCs w:val="24"/>
        </w:rPr>
        <w:t xml:space="preserve">spolupráci s Európskym inštitútom pre rodovú rovnosť (ďalej len „inštitút EIGE“) bude </w:t>
      </w:r>
      <w:r>
        <w:rPr>
          <w:rFonts w:ascii="Times New Roman" w:hAnsi="Times New Roman"/>
          <w:b/>
          <w:noProof/>
          <w:sz w:val="24"/>
          <w:szCs w:val="24"/>
        </w:rPr>
        <w:t>šíriť údaje a analyzovať trendy týkajúce sa zastúpenia žien a mužov na rozhodovacích pozíciách</w:t>
      </w:r>
      <w:r>
        <w:rPr>
          <w:rFonts w:ascii="Times New Roman" w:hAnsi="Times New Roman"/>
          <w:noProof/>
          <w:sz w:val="24"/>
          <w:szCs w:val="24"/>
        </w:rPr>
        <w:t>.</w:t>
      </w:r>
    </w:p>
    <w:p>
      <w:pPr>
        <w:spacing w:after="0"/>
        <w:rPr>
          <w:noProof/>
          <w:sz w:val="8"/>
          <w:szCs w:val="8"/>
        </w:rPr>
      </w:pPr>
    </w:p>
    <w:p>
      <w:pPr>
        <w:spacing w:after="0"/>
        <w:rPr>
          <w:noProof/>
          <w:sz w:val="8"/>
          <w:szCs w:val="8"/>
        </w:rPr>
      </w:pPr>
    </w:p>
    <w:p>
      <w:pPr>
        <w:spacing w:after="0"/>
        <w:rPr>
          <w:noProof/>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pStyle w:val="ListParagraph"/>
              <w:spacing w:after="120"/>
              <w:ind w:left="0"/>
              <w:jc w:val="both"/>
              <w:rPr>
                <w:rFonts w:ascii="Times New Roman" w:hAnsi="Times New Roman"/>
                <w:b/>
                <w:noProof/>
                <w:sz w:val="24"/>
                <w:szCs w:val="24"/>
              </w:rPr>
            </w:pPr>
            <w:r>
              <w:rPr>
                <w:rFonts w:ascii="Times New Roman" w:hAnsi="Times New Roman"/>
                <w:b/>
                <w:noProof/>
                <w:sz w:val="24"/>
                <w:szCs w:val="24"/>
              </w:rPr>
              <w:t>Okrem opatrení Komisie, ktoré už boli uvedené, Komisia vyzýva:</w:t>
            </w:r>
          </w:p>
          <w:p>
            <w:pPr>
              <w:pStyle w:val="ListParagraph"/>
              <w:spacing w:after="120"/>
              <w:ind w:left="0"/>
              <w:jc w:val="both"/>
              <w:rPr>
                <w:rFonts w:ascii="Times New Roman" w:hAnsi="Times New Roman" w:cs="Times New Roman"/>
                <w:b/>
                <w:noProof/>
                <w:sz w:val="24"/>
                <w:szCs w:val="24"/>
              </w:rPr>
            </w:pPr>
          </w:p>
          <w:p>
            <w:pPr>
              <w:pStyle w:val="ListParagraph"/>
              <w:numPr>
                <w:ilvl w:val="0"/>
                <w:numId w:val="91"/>
              </w:numPr>
              <w:spacing w:before="120" w:line="100" w:lineRule="atLeast"/>
              <w:jc w:val="both"/>
              <w:rPr>
                <w:rFonts w:ascii="Times New Roman" w:hAnsi="Times New Roman"/>
                <w:b/>
                <w:noProof/>
                <w:sz w:val="24"/>
                <w:szCs w:val="24"/>
              </w:rPr>
            </w:pPr>
            <w:r>
              <w:rPr>
                <w:rFonts w:ascii="Times New Roman" w:hAnsi="Times New Roman"/>
                <w:b/>
                <w:noProof/>
                <w:sz w:val="24"/>
                <w:szCs w:val="24"/>
              </w:rPr>
              <w:t>Európsky parlament a Radu, aby:</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prijali návrh smernice o zlepšení rodovej vyváženosti vo vrcholových orgánoch spoločností a</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prijali opatrenia na zlepšenie vyváženého zastúpenia mužov a žien na všetkých úrovniach svojho riadenia a na vedúcich pozíciách.</w:t>
            </w: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členské štáty, aby:</w:t>
            </w:r>
          </w:p>
          <w:p>
            <w:pPr>
              <w:pStyle w:val="ListParagraph"/>
              <w:numPr>
                <w:ilvl w:val="0"/>
                <w:numId w:val="54"/>
              </w:numPr>
              <w:spacing w:after="120"/>
              <w:jc w:val="both"/>
              <w:rPr>
                <w:rFonts w:ascii="Times New Roman" w:hAnsi="Times New Roman"/>
                <w:noProof/>
                <w:sz w:val="24"/>
                <w:szCs w:val="24"/>
              </w:rPr>
            </w:pPr>
            <w:r>
              <w:rPr>
                <w:rFonts w:ascii="Times New Roman" w:hAnsi="Times New Roman"/>
                <w:noProof/>
                <w:sz w:val="24"/>
                <w:szCs w:val="24"/>
              </w:rPr>
              <w:t>po prijatí smernice o zlepšení rodovej vyváženosti vo vrcholových orgánoch spoločností túto smernicu transponovali a vykonali a</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vypracovali a implementovali stratégie na zvýšenie počtu žien na rozhodovacích pozíciách v politike a v procese tvorby politiky.</w:t>
            </w:r>
          </w:p>
          <w:p>
            <w:pPr>
              <w:pStyle w:val="ListParagraph"/>
              <w:spacing w:after="120"/>
              <w:jc w:val="both"/>
              <w:rPr>
                <w:noProof/>
                <w:sz w:val="24"/>
                <w:szCs w:val="24"/>
              </w:rPr>
            </w:pPr>
          </w:p>
        </w:tc>
      </w:tr>
    </w:tbl>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4. </w:t>
      </w:r>
      <w:r>
        <w:rPr>
          <w:rFonts w:ascii="Times New Roman" w:hAnsi="Times New Roman"/>
          <w:b/>
          <w:noProof/>
          <w:sz w:val="28"/>
          <w:szCs w:val="28"/>
        </w:rPr>
        <w:tab/>
        <w:t>Uplatňovanie hľadiska rodovej rovnosti a prierezová perspektíva v politikách EÚ</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Všetky najdôležitejšie výzvy, ktoré EÚ v súčasnosti ovplyvňujú – vrátane ekologickej transformácie, digitalizácie a demografických zmien – majú rodový rozmer</w:t>
      </w:r>
      <w:r>
        <w:rPr>
          <w:rFonts w:ascii="Times New Roman" w:hAnsi="Times New Roman"/>
          <w:noProof/>
          <w:sz w:val="24"/>
          <w:szCs w:val="24"/>
        </w:rPr>
        <w:t>. Na dosiahnutie cieľa rodovej rovnosti je nevyhnutné začleniť rodovú perspektívu do všetkých politík a procesov EÚ.</w:t>
      </w:r>
    </w:p>
    <w:p>
      <w:pPr>
        <w:spacing w:line="240" w:lineRule="auto"/>
        <w:jc w:val="both"/>
        <w:rPr>
          <w:rFonts w:ascii="Times New Roman" w:hAnsi="Times New Roman"/>
          <w:noProof/>
          <w:sz w:val="24"/>
          <w:szCs w:val="24"/>
        </w:rPr>
      </w:pPr>
      <w:r>
        <w:rPr>
          <w:rFonts w:ascii="Times New Roman" w:hAnsi="Times New Roman"/>
          <w:noProof/>
          <w:sz w:val="24"/>
          <w:szCs w:val="24"/>
        </w:rPr>
        <w:t>Uplatňovaním hľadiska rodovej rovnosti sa zabezpečuje, aby sa v politikách a programoch maximalizoval potenciál všetkých – žien a mužov, dievčat a chlapcov, a to v celej ich rozmanitosti. Cieľom je prerozdeľovať moc, vplyv a zdroje spravodlivým a rodovo rovnocenným spôsobom, bojovať proti nerovnosti, presadzovať spravodlivosť, a vytvárať príležitosti.</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Komisia </w:t>
      </w:r>
      <w:r>
        <w:rPr>
          <w:rFonts w:ascii="Times New Roman" w:hAnsi="Times New Roman"/>
          <w:b/>
          <w:bCs/>
          <w:noProof/>
          <w:sz w:val="24"/>
          <w:szCs w:val="24"/>
        </w:rPr>
        <w:t>počas svojho súčasného mandátu začlení rodovú perspektívu do všetkých svojich hlavných iniciatív</w:t>
      </w:r>
      <w:r>
        <w:rPr>
          <w:rFonts w:ascii="Times New Roman" w:hAnsi="Times New Roman"/>
          <w:noProof/>
          <w:sz w:val="24"/>
          <w:szCs w:val="24"/>
        </w:rPr>
        <w:t xml:space="preserve">, k čomu prispeje aj vymenovanie prvej komisárky pre rovnosť so samostatným portfóliom, ako aj vytvorenie </w:t>
      </w:r>
      <w:r>
        <w:rPr>
          <w:rFonts w:ascii="Times New Roman" w:hAnsi="Times New Roman"/>
          <w:b/>
          <w:bCs/>
          <w:noProof/>
          <w:sz w:val="24"/>
          <w:szCs w:val="24"/>
        </w:rPr>
        <w:t>Pracovnej skupiny pre rovnosť</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xml:space="preserve"> pozostávajúcej zo zástupcov všetkých útvarov Komisie a Európskej služby pre vonkajšiu činnosť. Pracovná skupina bude zabezpečovať uplatňovanie hľadiska e rovnosti, a to aj rodovej rovnosti, na operačnej a technickej úrovni.</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Ako príklad možno uviesť nadchádzajúce politiky v rámci </w:t>
      </w:r>
      <w:r>
        <w:rPr>
          <w:rFonts w:ascii="Times New Roman" w:hAnsi="Times New Roman"/>
          <w:b/>
          <w:noProof/>
          <w:sz w:val="24"/>
          <w:szCs w:val="24"/>
        </w:rPr>
        <w:t>európskej zelenej dohody</w:t>
      </w:r>
      <w:r>
        <w:rPr>
          <w:rFonts w:ascii="Times New Roman" w:hAnsi="Times New Roman"/>
          <w:noProof/>
          <w:sz w:val="24"/>
          <w:szCs w:val="24"/>
        </w:rPr>
        <w:t xml:space="preserve">, ako je </w:t>
      </w:r>
      <w:r>
        <w:rPr>
          <w:rFonts w:ascii="Times New Roman" w:hAnsi="Times New Roman"/>
          <w:b/>
          <w:noProof/>
          <w:sz w:val="24"/>
          <w:szCs w:val="24"/>
        </w:rPr>
        <w:t>vlna obnovy budov</w:t>
      </w:r>
      <w:r>
        <w:rPr>
          <w:rFonts w:ascii="Times New Roman" w:hAnsi="Times New Roman"/>
          <w:noProof/>
          <w:sz w:val="24"/>
          <w:szCs w:val="24"/>
        </w:rPr>
        <w:t xml:space="preserve"> alebo </w:t>
      </w:r>
      <w:r>
        <w:rPr>
          <w:rFonts w:ascii="Times New Roman" w:hAnsi="Times New Roman"/>
          <w:b/>
          <w:noProof/>
          <w:sz w:val="24"/>
          <w:szCs w:val="24"/>
        </w:rPr>
        <w:t>stratégia EÚ pre adaptáciu na zmenu klímy</w:t>
      </w:r>
      <w:r>
        <w:rPr>
          <w:rFonts w:ascii="Times New Roman" w:hAnsi="Times New Roman"/>
          <w:noProof/>
          <w:sz w:val="24"/>
          <w:szCs w:val="24"/>
        </w:rPr>
        <w:t>, ktoré môžu mať rozdielny vplyv na ženy a mužov</w:t>
      </w:r>
      <w:r>
        <w:rPr>
          <w:rStyle w:val="FootnoteReference"/>
          <w:rFonts w:ascii="Times New Roman" w:hAnsi="Times New Roman" w:cs="Times New Roman"/>
          <w:noProof/>
          <w:sz w:val="24"/>
          <w:szCs w:val="24"/>
        </w:rPr>
        <w:footnoteReference w:id="80"/>
      </w:r>
      <w:r>
        <w:rPr>
          <w:rFonts w:ascii="Times New Roman" w:hAnsi="Times New Roman"/>
          <w:noProof/>
          <w:sz w:val="24"/>
          <w:szCs w:val="24"/>
        </w:rPr>
        <w:t>. Pokiaľ ide o </w:t>
      </w:r>
      <w:r>
        <w:rPr>
          <w:rFonts w:ascii="Times New Roman" w:hAnsi="Times New Roman"/>
          <w:b/>
          <w:noProof/>
          <w:sz w:val="24"/>
          <w:szCs w:val="24"/>
        </w:rPr>
        <w:t>zmenu klímy</w:t>
      </w:r>
      <w:r>
        <w:rPr>
          <w:rFonts w:ascii="Times New Roman" w:hAnsi="Times New Roman"/>
          <w:noProof/>
          <w:sz w:val="24"/>
          <w:szCs w:val="24"/>
        </w:rPr>
        <w:t>, je pozoruhodné, že pri presadzovaní zmeny zohrávali vedúcu úlohu najmä mladé ženy. Na ženy a mužov nemajú rovnaký vplyv ekologické politiky zamerané na boj proti zmene klímy (ženy majú menej možností ako klimatickí utečenci), prechod na čistú energiu (viac žien žije v energetickej chudobe) alebo dopravu bez emisií (viac žien využíva verejnú dopravu). Riešenie rodového rozmeru preto môže zohrávať kľúčovú úlohu pri využívaní plného potenciálu týchto politík.</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Ďalším príkladom je </w:t>
      </w:r>
      <w:r>
        <w:rPr>
          <w:rFonts w:ascii="Times New Roman" w:hAnsi="Times New Roman"/>
          <w:b/>
          <w:noProof/>
          <w:sz w:val="24"/>
          <w:szCs w:val="24"/>
        </w:rPr>
        <w:t>digitalizácia</w:t>
      </w:r>
      <w:r>
        <w:rPr>
          <w:rFonts w:ascii="Times New Roman" w:hAnsi="Times New Roman"/>
          <w:noProof/>
          <w:sz w:val="24"/>
          <w:szCs w:val="24"/>
        </w:rPr>
        <w:t>, ktorá zásadným spôsobom zmení náš život a život našich detí. Pri tomto prechode je nevyhnutné, aby ženy pomáhali budovať túto budúcnosť a aby omnoho viac dievčat než v súčasnosti získavalo zručnosti v oblasti IT a mohlo zohrávať úlohu pri formovaní digitálneho sveta budúcnosti.</w:t>
      </w:r>
    </w:p>
    <w:p>
      <w:pPr>
        <w:spacing w:line="240" w:lineRule="auto"/>
        <w:jc w:val="both"/>
        <w:rPr>
          <w:rFonts w:ascii="Times New Roman" w:hAnsi="Times New Roman"/>
          <w:noProof/>
          <w:sz w:val="24"/>
          <w:szCs w:val="24"/>
        </w:rPr>
      </w:pPr>
      <w:r>
        <w:rPr>
          <w:rFonts w:ascii="Times New Roman" w:hAnsi="Times New Roman"/>
          <w:b/>
          <w:bCs/>
          <w:noProof/>
          <w:sz w:val="24"/>
          <w:szCs w:val="24"/>
        </w:rPr>
        <w:t>V oblasti zdravia</w:t>
      </w:r>
      <w:r>
        <w:rPr>
          <w:rFonts w:ascii="Times New Roman" w:hAnsi="Times New Roman"/>
          <w:bCs/>
          <w:noProof/>
          <w:sz w:val="24"/>
          <w:szCs w:val="24"/>
        </w:rPr>
        <w:t xml:space="preserve"> čelia ženy a muži zdravotným rizikám špecifickým pre svoje pohlavie. Rodový rozmer sa začlení do plánu EÚ na boj proti rakovine, ktorého realizácia sa má začať v roku 2020. </w:t>
      </w:r>
      <w:r>
        <w:rPr>
          <w:rFonts w:ascii="Times New Roman" w:hAnsi="Times New Roman"/>
          <w:noProof/>
          <w:sz w:val="24"/>
          <w:szCs w:val="24"/>
        </w:rPr>
        <w:t xml:space="preserve">Uľahčia sa </w:t>
      </w:r>
      <w:r>
        <w:rPr>
          <w:rFonts w:ascii="Times New Roman" w:hAnsi="Times New Roman"/>
          <w:bCs/>
          <w:noProof/>
          <w:sz w:val="24"/>
          <w:szCs w:val="24"/>
        </w:rPr>
        <w:t>pravidelné</w:t>
      </w:r>
      <w:r>
        <w:rPr>
          <w:rFonts w:ascii="Times New Roman" w:hAnsi="Times New Roman"/>
          <w:noProof/>
          <w:sz w:val="24"/>
          <w:szCs w:val="24"/>
        </w:rPr>
        <w:t xml:space="preserve"> výmeny osvedčených postupov medzi členskými štátmi a zainteresovanými stranami týkajúcich sa rodových aspektov zdravia vrátane sexuálneho a reprodukčného zdravia a práv.</w:t>
      </w:r>
    </w:p>
    <w:p>
      <w:pPr>
        <w:spacing w:line="240" w:lineRule="auto"/>
        <w:jc w:val="both"/>
        <w:rPr>
          <w:rFonts w:ascii="Times New Roman" w:hAnsi="Times New Roman"/>
          <w:noProof/>
          <w:sz w:val="24"/>
          <w:szCs w:val="24"/>
        </w:rPr>
      </w:pPr>
      <w:r>
        <w:rPr>
          <w:rFonts w:ascii="Times New Roman" w:hAnsi="Times New Roman"/>
          <w:noProof/>
          <w:sz w:val="24"/>
          <w:szCs w:val="24"/>
        </w:rPr>
        <w:t xml:space="preserve">V roku 2020 sa prijme </w:t>
      </w:r>
      <w:r>
        <w:rPr>
          <w:rFonts w:ascii="Times New Roman" w:hAnsi="Times New Roman"/>
          <w:b/>
          <w:noProof/>
          <w:sz w:val="24"/>
          <w:szCs w:val="24"/>
        </w:rPr>
        <w:t>protidrogová agenda EÚ</w:t>
      </w:r>
      <w:r>
        <w:rPr>
          <w:rFonts w:ascii="Times New Roman" w:hAnsi="Times New Roman"/>
          <w:noProof/>
          <w:sz w:val="24"/>
          <w:szCs w:val="24"/>
        </w:rPr>
        <w:t xml:space="preserve"> na roky 2021 – 2025, v rámci ktorej sa budú riešiť rodovo špecifické výzvy, ktorým čelia ženy a dievčatá pri zneužívaní návykových látok.</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Prierezový charakter rodového hľadiska, t. j. kombinácia s inými dôvodmi diskriminácie, sa bude riešiť v rámci politík EÚ.</w:t>
      </w:r>
      <w:r>
        <w:rPr>
          <w:rFonts w:ascii="Times New Roman" w:hAnsi="Times New Roman"/>
          <w:noProof/>
          <w:sz w:val="24"/>
          <w:szCs w:val="24"/>
        </w:rPr>
        <w:t xml:space="preserve"> Ženy predstavujú heterogénnu skupinu a na základe dvoch alebo viacerých osobných charakteristík môžu čeliť prierezovej diskriminácii. Napríklad migrantka so zdravotným postihnutím môže čeliť diskriminácii z troch alebo viacerých dôvodov. Osobitné potreby a okolnosti rôznych skupín žien a dievčat by sa preto mali zohľadňovať v práve a politikách EÚ a ich vykonávaní. Nadchádzajúci akčný plán pre integráciu a začlenenie a strategické rámce EÚ týkajúce sa zdravotného postihnutia, LGBTI+, začleňovania Rómov a práv detí budú prepojené s touto stratégiou a navzájom medzi sebou. Okrem toho prierezová perspektíva bude vždy zdrojom informácií pre politiky v oblasti rodovej rovnosti</w:t>
      </w:r>
      <w:r>
        <w:rPr>
          <w:noProof/>
          <w:sz w:val="24"/>
          <w:szCs w:val="24"/>
        </w:rPr>
        <w:t>.</w:t>
      </w:r>
    </w:p>
    <w:p>
      <w:pPr>
        <w:spacing w:line="100" w:lineRule="atLeast"/>
        <w:jc w:val="both"/>
        <w:rPr>
          <w:rFonts w:ascii="Times New Roman" w:hAnsi="Times New Roman" w:cs="Times New Roman"/>
          <w:b/>
          <w:noProof/>
          <w:sz w:val="28"/>
          <w:szCs w:val="28"/>
        </w:rPr>
      </w:pPr>
      <w:r>
        <w:rPr>
          <w:rFonts w:ascii="Times New Roman" w:hAnsi="Times New Roman"/>
          <w:b/>
          <w:noProof/>
          <w:sz w:val="28"/>
          <w:szCs w:val="28"/>
        </w:rPr>
        <w:t xml:space="preserve">5. </w:t>
      </w:r>
      <w:r>
        <w:rPr>
          <w:rFonts w:ascii="Times New Roman" w:hAnsi="Times New Roman"/>
          <w:b/>
          <w:noProof/>
          <w:sz w:val="28"/>
          <w:szCs w:val="28"/>
        </w:rPr>
        <w:tab/>
        <w:t>Financovanie opatrení na dosiahnutie pokroku v oblasti rodovej rovnosti v EÚ</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Návrhy Komisie týkajúce sa viacročného finančného rámca (VFR) zabezpečujú začlenenie rodovej dimenzie do celého finančného rámca a konkrétnejšie do rozličných nástrojov financovania a rozpočtovej záruky EÚ, a to najmä do </w:t>
      </w:r>
      <w:r>
        <w:rPr>
          <w:rFonts w:ascii="Times New Roman" w:hAnsi="Times New Roman"/>
          <w:b/>
          <w:noProof/>
          <w:sz w:val="24"/>
          <w:szCs w:val="24"/>
        </w:rPr>
        <w:t>Európskeho sociálneho fondu plus</w:t>
      </w:r>
      <w:r>
        <w:rPr>
          <w:rFonts w:ascii="Times New Roman" w:hAnsi="Times New Roman"/>
          <w:noProof/>
          <w:sz w:val="24"/>
          <w:szCs w:val="24"/>
        </w:rPr>
        <w:t xml:space="preserve">, </w:t>
      </w:r>
      <w:r>
        <w:rPr>
          <w:rFonts w:ascii="Times New Roman" w:hAnsi="Times New Roman"/>
          <w:b/>
          <w:noProof/>
          <w:sz w:val="24"/>
          <w:szCs w:val="24"/>
        </w:rPr>
        <w:t>Európskeho fondu regionálneho rozvoja</w:t>
      </w:r>
      <w:r>
        <w:rPr>
          <w:rFonts w:ascii="Times New Roman" w:hAnsi="Times New Roman"/>
          <w:noProof/>
          <w:sz w:val="24"/>
          <w:szCs w:val="24"/>
        </w:rPr>
        <w:t xml:space="preserve">, </w:t>
      </w:r>
      <w:r>
        <w:rPr>
          <w:rFonts w:ascii="Times New Roman" w:hAnsi="Times New Roman"/>
          <w:b/>
          <w:noProof/>
          <w:sz w:val="24"/>
          <w:szCs w:val="24"/>
        </w:rPr>
        <w:t>programu Kreatívna Európa</w:t>
      </w:r>
      <w:r>
        <w:rPr>
          <w:rFonts w:ascii="Times New Roman" w:hAnsi="Times New Roman"/>
          <w:noProof/>
          <w:sz w:val="24"/>
          <w:szCs w:val="24"/>
        </w:rPr>
        <w:t xml:space="preserve">, </w:t>
      </w:r>
      <w:r>
        <w:rPr>
          <w:rFonts w:ascii="Times New Roman" w:hAnsi="Times New Roman"/>
          <w:b/>
          <w:noProof/>
          <w:sz w:val="24"/>
          <w:szCs w:val="24"/>
        </w:rPr>
        <w:t>Európskeho námorného a rybárskeho fondu</w:t>
      </w:r>
      <w:r>
        <w:rPr>
          <w:rFonts w:ascii="Times New Roman" w:hAnsi="Times New Roman"/>
          <w:noProof/>
          <w:sz w:val="24"/>
          <w:szCs w:val="24"/>
        </w:rPr>
        <w:t xml:space="preserve">, </w:t>
      </w:r>
      <w:r>
        <w:rPr>
          <w:rFonts w:ascii="Times New Roman" w:hAnsi="Times New Roman"/>
          <w:b/>
          <w:noProof/>
          <w:sz w:val="24"/>
          <w:szCs w:val="24"/>
        </w:rPr>
        <w:t>Kohézneho fondu</w:t>
      </w:r>
      <w:r>
        <w:rPr>
          <w:rFonts w:ascii="Times New Roman" w:hAnsi="Times New Roman"/>
          <w:noProof/>
          <w:sz w:val="24"/>
          <w:szCs w:val="24"/>
        </w:rPr>
        <w:t xml:space="preserve"> a </w:t>
      </w:r>
      <w:r>
        <w:rPr>
          <w:rFonts w:ascii="Times New Roman" w:hAnsi="Times New Roman"/>
          <w:b/>
          <w:noProof/>
          <w:sz w:val="24"/>
          <w:szCs w:val="24"/>
        </w:rPr>
        <w:t>programu InvestEU</w:t>
      </w:r>
      <w:r>
        <w:rPr>
          <w:rFonts w:ascii="Times New Roman" w:hAnsi="Times New Roman"/>
          <w:noProof/>
          <w:sz w:val="24"/>
          <w:szCs w:val="24"/>
        </w:rPr>
        <w:t>. Finančné prostriedky budú vyčlenené na opatrenia zamerané na podporu účasti žien na trhu práce a rovnováhu medzi pracovným a súkromným životom, investície do zariadení starostlivosti, podporu podnikania žien a boj proti rodovej segregácii v určitých povolaniach a riešenie nevyváženého zastúpenia dievčat a chlapcov v určitých oblastiach vzdelávania a v odbornej prípravy.</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Navrhované nariadenie o spoločných ustanoveniach</w:t>
      </w:r>
      <w:r>
        <w:rPr>
          <w:rStyle w:val="FootnoteReference"/>
          <w:rFonts w:ascii="Times New Roman" w:hAnsi="Times New Roman" w:cs="Times New Roman"/>
          <w:noProof/>
          <w:sz w:val="24"/>
          <w:szCs w:val="24"/>
        </w:rPr>
        <w:footnoteReference w:id="81"/>
      </w:r>
      <w:r>
        <w:rPr>
          <w:rFonts w:ascii="Times New Roman" w:hAnsi="Times New Roman"/>
          <w:noProof/>
          <w:sz w:val="24"/>
          <w:szCs w:val="24"/>
        </w:rPr>
        <w:t xml:space="preserve"> obsahuje </w:t>
      </w:r>
      <w:r>
        <w:rPr>
          <w:rFonts w:ascii="Times New Roman" w:hAnsi="Times New Roman"/>
          <w:b/>
          <w:noProof/>
          <w:sz w:val="24"/>
          <w:szCs w:val="24"/>
        </w:rPr>
        <w:t>osobitné „základné podmienky“</w:t>
      </w:r>
      <w:r>
        <w:rPr>
          <w:rFonts w:ascii="Times New Roman" w:hAnsi="Times New Roman"/>
          <w:noProof/>
          <w:sz w:val="24"/>
          <w:szCs w:val="24"/>
        </w:rPr>
        <w:t xml:space="preserve">, podľa ktorých sa od členského štátu vyžaduje, aby mal zavedený </w:t>
      </w:r>
      <w:r>
        <w:rPr>
          <w:rFonts w:ascii="Times New Roman" w:hAnsi="Times New Roman"/>
          <w:b/>
          <w:bCs/>
          <w:noProof/>
          <w:sz w:val="24"/>
          <w:szCs w:val="24"/>
        </w:rPr>
        <w:t>národný strategický rámec pre rodovú rovnosť</w:t>
      </w:r>
      <w:r>
        <w:rPr>
          <w:rFonts w:ascii="Times New Roman" w:hAnsi="Times New Roman"/>
          <w:noProof/>
          <w:sz w:val="24"/>
          <w:szCs w:val="24"/>
        </w:rPr>
        <w:t xml:space="preserve">, ako podmienku na využívanie finančných prostriedkov pri investovaní do zlepšenia vyváženého zastúpenia mužov a žien na trhu práce, rovnováhy medzi pracovným a súkromným životom alebo infraštruktúry starostlivosti o deti. V ďalšej </w:t>
      </w:r>
      <w:r>
        <w:rPr>
          <w:rFonts w:ascii="Times New Roman" w:hAnsi="Times New Roman"/>
          <w:b/>
          <w:bCs/>
          <w:noProof/>
          <w:sz w:val="24"/>
          <w:szCs w:val="24"/>
        </w:rPr>
        <w:t>horizontálnej „základnej podmienke“</w:t>
      </w:r>
      <w:r>
        <w:rPr>
          <w:rFonts w:ascii="Times New Roman" w:hAnsi="Times New Roman"/>
          <w:noProof/>
          <w:sz w:val="24"/>
          <w:szCs w:val="24"/>
        </w:rPr>
        <w:t xml:space="preserve"> týkajúcej sa účinného uplatňovania </w:t>
      </w:r>
      <w:r>
        <w:rPr>
          <w:rFonts w:ascii="Times New Roman" w:hAnsi="Times New Roman"/>
          <w:b/>
          <w:bCs/>
          <w:noProof/>
          <w:sz w:val="24"/>
          <w:szCs w:val="24"/>
        </w:rPr>
        <w:t>Charty základných práv</w:t>
      </w:r>
      <w:r>
        <w:rPr>
          <w:rFonts w:ascii="Times New Roman" w:hAnsi="Times New Roman"/>
          <w:noProof/>
          <w:sz w:val="24"/>
          <w:szCs w:val="24"/>
        </w:rPr>
        <w:t xml:space="preserve"> je rodová rovnosť zahrnutá ako jedna z jej kľúčových zásad a vzťahuje sa na všetky investície podľa tohto nariadenia.</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Osobitné finančné prostriedky určené na projekty pre organizácie občianskej spoločnosti a verejné inštitúcie, ktoré vykonávajú osobitné opatrenia vrátane predchádzania rodovo motivovanému násiliu a boja proti nemu, bude možné čerpať prostredníctvom </w:t>
      </w:r>
      <w:r>
        <w:rPr>
          <w:rFonts w:ascii="Times New Roman" w:hAnsi="Times New Roman"/>
          <w:b/>
          <w:noProof/>
          <w:sz w:val="24"/>
          <w:szCs w:val="24"/>
        </w:rPr>
        <w:t>programu „Občania, rovnosť, práva a hodnoty“</w:t>
      </w:r>
      <w:r>
        <w:rPr>
          <w:rFonts w:ascii="Times New Roman" w:hAnsi="Times New Roman"/>
          <w:noProof/>
          <w:sz w:val="24"/>
          <w:szCs w:val="24"/>
        </w:rPr>
        <w:t xml:space="preserve">. Osobitnú pozornosť treba venovať ženám a dievčatám v súvislosti s azylom a migráciou. Prostredníctvom </w:t>
      </w:r>
      <w:r>
        <w:rPr>
          <w:rFonts w:ascii="Times New Roman" w:hAnsi="Times New Roman"/>
          <w:b/>
          <w:noProof/>
          <w:sz w:val="24"/>
          <w:szCs w:val="24"/>
        </w:rPr>
        <w:t>Fondu pre azyl a migráciu</w:t>
      </w:r>
      <w:r>
        <w:rPr>
          <w:rFonts w:ascii="Times New Roman" w:hAnsi="Times New Roman"/>
          <w:noProof/>
          <w:sz w:val="24"/>
          <w:szCs w:val="24"/>
        </w:rPr>
        <w:t xml:space="preserve"> bude Komisia nabádať členské štáty, aby sa zamerali na opatrenia, ktoré podporujú osobitné potreby žien v konaní o azyle, ako aj na opatrenia, ktoré podporujú začleňovanie žien do novej spoločnosti. Tento fond okrem toho umožní zintenzívniť ochranu zraniteľných skupín vrátane žien, ktoré sa stali obeťami rodovo motivovaného násilia v kontexte azylu a migrácie.</w:t>
      </w:r>
    </w:p>
    <w:p>
      <w:pPr>
        <w:spacing w:line="100" w:lineRule="atLeast"/>
        <w:jc w:val="both"/>
        <w:rPr>
          <w:rFonts w:ascii="Times New Roman" w:hAnsi="Times New Roman"/>
          <w:noProof/>
          <w:sz w:val="24"/>
          <w:szCs w:val="24"/>
        </w:rPr>
      </w:pPr>
      <w:r>
        <w:rPr>
          <w:rFonts w:ascii="Times New Roman" w:hAnsi="Times New Roman"/>
          <w:noProof/>
          <w:sz w:val="24"/>
          <w:szCs w:val="24"/>
        </w:rPr>
        <w:t xml:space="preserve">V oblasti výskumu a inovácií Komisia zavedie nové opatrenia na posilnenie rodovej rovnosti v rámci programu </w:t>
      </w:r>
      <w:r>
        <w:rPr>
          <w:rFonts w:ascii="Times New Roman" w:hAnsi="Times New Roman"/>
          <w:b/>
          <w:noProof/>
          <w:sz w:val="24"/>
          <w:szCs w:val="24"/>
        </w:rPr>
        <w:t>Horizont Európa</w:t>
      </w:r>
      <w:r>
        <w:rPr>
          <w:rFonts w:ascii="Times New Roman" w:hAnsi="Times New Roman"/>
          <w:noProof/>
          <w:sz w:val="24"/>
          <w:szCs w:val="24"/>
        </w:rPr>
        <w:t xml:space="preserve">, ako je možnosť požadovať </w:t>
      </w:r>
      <w:r>
        <w:rPr>
          <w:rFonts w:ascii="Times New Roman" w:hAnsi="Times New Roman"/>
          <w:b/>
          <w:noProof/>
          <w:sz w:val="24"/>
          <w:szCs w:val="24"/>
        </w:rPr>
        <w:t>od žiadateľov plán rodovej rovnosti</w:t>
      </w:r>
      <w:r>
        <w:rPr>
          <w:rFonts w:ascii="Times New Roman" w:hAnsi="Times New Roman"/>
          <w:noProof/>
          <w:sz w:val="24"/>
          <w:szCs w:val="24"/>
        </w:rPr>
        <w:t>, a začne iniciatívu na zvýšenie počtu začínajúcich technologických podnikov vedených ženami. Sprístupnia sa aj finančné prostriedky na výskum v oblasti rodovej rovnosti a prierezový výskum.</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Finančné prostriedky sa budú môcť využiť aj na zvýšenie znalostí žien o podnikaní a ich účasti na rozhodovaní, ako aj na investovanie do rozvoja základných služieb vo vidieckych oblastiach v rámci </w:t>
      </w:r>
      <w:r>
        <w:rPr>
          <w:rFonts w:ascii="Times New Roman" w:hAnsi="Times New Roman"/>
          <w:b/>
          <w:noProof/>
          <w:sz w:val="24"/>
          <w:szCs w:val="24"/>
        </w:rPr>
        <w:t>spoločnej poľnohospodárskej politiky</w:t>
      </w:r>
      <w:r>
        <w:rPr>
          <w:rFonts w:ascii="Times New Roman" w:hAnsi="Times New Roman"/>
          <w:noProof/>
          <w:sz w:val="24"/>
          <w:szCs w:val="24"/>
        </w:rPr>
        <w:t>. S cieľom posilniť postavenie žien sa ako súčasť budúceho</w:t>
      </w:r>
      <w:r>
        <w:rPr>
          <w:rFonts w:ascii="Times New Roman" w:hAnsi="Times New Roman"/>
          <w:b/>
          <w:noProof/>
          <w:sz w:val="24"/>
          <w:szCs w:val="24"/>
        </w:rPr>
        <w:t xml:space="preserve"> Európskeho námorného a rybárskeho fondu</w:t>
      </w:r>
      <w:r>
        <w:rPr>
          <w:rFonts w:ascii="Times New Roman" w:hAnsi="Times New Roman"/>
          <w:noProof/>
          <w:sz w:val="24"/>
          <w:szCs w:val="24"/>
        </w:rPr>
        <w:t xml:space="preserve"> na roky 2021 – 2027 plánuje nová výzva určená ženám v „modrom hospodárstve“</w:t>
      </w:r>
      <w:r>
        <w:rPr>
          <w:rStyle w:val="FootnoteReference"/>
          <w:rFonts w:ascii="Times New Roman" w:hAnsi="Times New Roman" w:cs="Times New Roman"/>
          <w:noProof/>
          <w:sz w:val="24"/>
          <w:szCs w:val="24"/>
        </w:rPr>
        <w:footnoteReference w:id="82"/>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Stratégia začlenenia a rozmanitosti v rámci budúceho </w:t>
      </w:r>
      <w:r>
        <w:rPr>
          <w:rFonts w:ascii="Times New Roman" w:hAnsi="Times New Roman"/>
          <w:b/>
          <w:noProof/>
          <w:sz w:val="24"/>
          <w:szCs w:val="24"/>
        </w:rPr>
        <w:t>programu Erasmus+</w:t>
      </w:r>
      <w:r>
        <w:rPr>
          <w:rFonts w:ascii="Times New Roman" w:hAnsi="Times New Roman"/>
          <w:noProof/>
          <w:sz w:val="24"/>
          <w:szCs w:val="24"/>
        </w:rPr>
        <w:t xml:space="preserve"> poskytne usmernenia o tom, ako môže program pomôcť riešiť rodovú nerovnosť vo všetkých oblastiach vzdelávania a odbornej prípravy, mládeže a športu.</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Usmernenia Komisie o </w:t>
      </w:r>
      <w:r>
        <w:rPr>
          <w:rFonts w:ascii="Times New Roman" w:hAnsi="Times New Roman"/>
          <w:b/>
          <w:noProof/>
          <w:sz w:val="24"/>
          <w:szCs w:val="24"/>
        </w:rPr>
        <w:t>sociálne zodpovednom verejnom obstarávaní</w:t>
      </w:r>
      <w:r>
        <w:rPr>
          <w:rFonts w:ascii="Times New Roman" w:hAnsi="Times New Roman"/>
          <w:noProof/>
          <w:sz w:val="24"/>
          <w:szCs w:val="24"/>
        </w:rPr>
        <w:t xml:space="preserve"> budú zamerané na boj proti diskriminácii a podporovanie rodovej rovnosti v postupoch verejného obstarávania.</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V súlade s opakovanými výzvami viacerých členských štátov a Európskeho parlamentu</w:t>
      </w:r>
      <w:r>
        <w:rPr>
          <w:rStyle w:val="FootnoteReference"/>
          <w:rFonts w:ascii="Times New Roman" w:hAnsi="Times New Roman" w:cs="Times New Roman"/>
          <w:noProof/>
          <w:sz w:val="24"/>
          <w:szCs w:val="24"/>
        </w:rPr>
        <w:footnoteReference w:id="83"/>
      </w:r>
      <w:r>
        <w:rPr>
          <w:rFonts w:ascii="Times New Roman" w:hAnsi="Times New Roman"/>
          <w:noProof/>
          <w:sz w:val="24"/>
          <w:szCs w:val="24"/>
        </w:rPr>
        <w:t xml:space="preserve"> sa </w:t>
      </w:r>
      <w:r>
        <w:rPr>
          <w:rFonts w:ascii="Times New Roman" w:hAnsi="Times New Roman"/>
          <w:b/>
          <w:noProof/>
          <w:sz w:val="24"/>
          <w:szCs w:val="24"/>
        </w:rPr>
        <w:t xml:space="preserve">Komisia </w:t>
      </w:r>
      <w:r>
        <w:rPr>
          <w:rFonts w:ascii="Times New Roman" w:hAnsi="Times New Roman"/>
          <w:noProof/>
          <w:sz w:val="24"/>
          <w:szCs w:val="24"/>
        </w:rPr>
        <w:t>vo VFR na roky 2021 – 2027</w:t>
      </w:r>
      <w:r>
        <w:rPr>
          <w:rFonts w:ascii="Times New Roman" w:hAnsi="Times New Roman"/>
          <w:b/>
          <w:noProof/>
          <w:sz w:val="24"/>
          <w:szCs w:val="24"/>
        </w:rPr>
        <w:t xml:space="preserve"> zameria na rodový vplyv svojich činností a na to, ako merať výdavky súvisiace s rodovou rovnosťou na úrovni programu</w:t>
      </w:r>
      <w:r>
        <w:rPr>
          <w:rFonts w:ascii="Times New Roman" w:hAnsi="Times New Roman"/>
          <w:noProof/>
          <w:sz w:val="24"/>
          <w:szCs w:val="24"/>
        </w:rPr>
        <w:t xml:space="preserve">. K tomuto procesu prispeje výsledok nedávno začatého auditu Európskeho dvora audítorov týkajúceho sa </w:t>
      </w:r>
      <w:r>
        <w:rPr>
          <w:rFonts w:ascii="Times New Roman" w:hAnsi="Times New Roman"/>
          <w:b/>
          <w:noProof/>
          <w:sz w:val="24"/>
          <w:szCs w:val="24"/>
        </w:rPr>
        <w:t>uplatňovania hľadiska rodovej rovnosti v rozpočte EÚ</w:t>
      </w:r>
      <w:r>
        <w:rPr>
          <w:rFonts w:ascii="Times New Roman" w:hAnsi="Times New Roman"/>
          <w:noProof/>
          <w:sz w:val="24"/>
          <w:szCs w:val="24"/>
        </w:rPr>
        <w:t xml:space="preserve"> na podporu rovnosti. Tým sa zlepší uplatňovanie hľadiska rodovej rovnosti v rozpočtovom procese Komisie, čím sa ešte viac zvýši prínos tvorby politík a prideľovania zdrojov na ciele v oblasti rodovej rovnosti.</w:t>
      </w:r>
    </w:p>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6.</w:t>
      </w:r>
      <w:r>
        <w:rPr>
          <w:rFonts w:ascii="Times New Roman" w:hAnsi="Times New Roman"/>
          <w:b/>
          <w:noProof/>
          <w:sz w:val="28"/>
          <w:szCs w:val="28"/>
        </w:rPr>
        <w:tab/>
        <w:t>Riešenie otázky rodovej rovnosti a posilnenia postavenia žien na celom svete</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Rodová nerovnosť je celosvetovým problémom.</w:t>
      </w:r>
      <w:r>
        <w:rPr>
          <w:rFonts w:ascii="Times New Roman" w:hAnsi="Times New Roman"/>
          <w:noProof/>
          <w:sz w:val="24"/>
          <w:szCs w:val="24"/>
        </w:rPr>
        <w:t xml:space="preserve"> </w:t>
      </w:r>
      <w:r>
        <w:rPr>
          <w:rFonts w:ascii="Times New Roman" w:hAnsi="Times New Roman"/>
          <w:b/>
          <w:noProof/>
          <w:sz w:val="24"/>
          <w:szCs w:val="24"/>
        </w:rPr>
        <w:t xml:space="preserve">Rodová rovnosť a posilnenie postavenia žien sú hlavným cieľom vonkajšej činnosti EÚ. </w:t>
      </w:r>
      <w:r>
        <w:rPr>
          <w:rFonts w:ascii="Times New Roman" w:hAnsi="Times New Roman"/>
          <w:noProof/>
          <w:sz w:val="24"/>
          <w:szCs w:val="24"/>
        </w:rPr>
        <w:t>Je dôležité, aby vnútorné opatrenia a vonkajšia činnosť EÚ v tejto oblasti boli koherentné a vzájomne sa posilňovali.</w:t>
      </w:r>
      <w:r>
        <w:rPr>
          <w:rFonts w:ascii="Times New Roman" w:hAnsi="Times New Roman"/>
          <w:b/>
          <w:noProof/>
          <w:sz w:val="24"/>
          <w:szCs w:val="24"/>
        </w:rPr>
        <w:t xml:space="preserve"> </w:t>
      </w:r>
      <w:r>
        <w:rPr>
          <w:rFonts w:ascii="Times New Roman" w:hAnsi="Times New Roman"/>
          <w:noProof/>
          <w:sz w:val="24"/>
          <w:szCs w:val="24"/>
        </w:rPr>
        <w:t xml:space="preserve">EÚ podporuje rodovú rovnosť a posilnenie postavenia žien v rámci svojich medzinárodných partnerstiev, politických dialógov a dialógov o ľudských právach s tretími krajinami, obchodnej politiky EÚ, ako aj politík susedstva a rozširovania EÚ, a to aj v kontexte prístupových rokovaní a procesu stabilizácie a pridruženia. </w:t>
      </w:r>
      <w:r>
        <w:rPr>
          <w:rFonts w:ascii="Times New Roman" w:hAnsi="Times New Roman"/>
          <w:bCs/>
          <w:noProof/>
          <w:sz w:val="24"/>
          <w:szCs w:val="24"/>
        </w:rPr>
        <w:t>Opatrenia EÚ týkajúce sa rodovej rovnosti sú okrem toho zahrnuté do opatrení EÚ pre nestabilné, konfliktné a núdzové situácie.</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Akčný plán pre rodovú rovnosť a posilnenie postavenia žien vo vonkajších vzťahoch</w:t>
      </w:r>
      <w:r>
        <w:rPr>
          <w:rFonts w:ascii="Times New Roman" w:hAnsi="Times New Roman"/>
          <w:noProof/>
          <w:sz w:val="24"/>
          <w:szCs w:val="24"/>
        </w:rPr>
        <w:t xml:space="preserve"> na roky 2016 – 2020 (GAPII)</w:t>
      </w:r>
      <w:r>
        <w:rPr>
          <w:rStyle w:val="FootnoteReference"/>
          <w:rFonts w:ascii="Times New Roman" w:hAnsi="Times New Roman" w:cs="Times New Roman"/>
          <w:noProof/>
          <w:sz w:val="24"/>
          <w:szCs w:val="24"/>
        </w:rPr>
        <w:footnoteReference w:id="84"/>
      </w:r>
      <w:r>
        <w:rPr>
          <w:rFonts w:ascii="Times New Roman" w:hAnsi="Times New Roman"/>
          <w:noProof/>
          <w:sz w:val="24"/>
          <w:szCs w:val="24"/>
        </w:rPr>
        <w:t xml:space="preserve"> sa zameriava na ukončenie násilia páchaného na ženách a dievčatách, na podporu posilnenia hospodárskeho a sociálneho postavenia žien a na zabezpečenie dodržiavania ich ľudských, politických a občianskych práv. V nadväznosti na dosiahnuté výsledky a získané poznatky sa v </w:t>
      </w:r>
      <w:r>
        <w:rPr>
          <w:rFonts w:ascii="Times New Roman" w:hAnsi="Times New Roman"/>
          <w:b/>
          <w:noProof/>
          <w:sz w:val="24"/>
          <w:szCs w:val="24"/>
        </w:rPr>
        <w:t>roku 2020 začne s GAP III</w:t>
      </w:r>
      <w:r>
        <w:rPr>
          <w:rFonts w:ascii="Times New Roman" w:hAnsi="Times New Roman"/>
          <w:noProof/>
          <w:sz w:val="24"/>
          <w:szCs w:val="24"/>
        </w:rPr>
        <w:t>, ktorý bude vychádzať z komplexného prístupu a bude v súlade s prioritami tejto stratégie vďaka integrácii všetkých príslušných prvkov do vonkajšej činnosti EÚ.</w:t>
      </w:r>
    </w:p>
    <w:p>
      <w:pPr>
        <w:spacing w:line="100" w:lineRule="atLeast"/>
        <w:jc w:val="both"/>
        <w:rPr>
          <w:rFonts w:ascii="Times New Roman" w:hAnsi="Times New Roman"/>
          <w:noProof/>
          <w:sz w:val="24"/>
          <w:szCs w:val="24"/>
        </w:rPr>
      </w:pPr>
      <w:r>
        <w:rPr>
          <w:rFonts w:ascii="Times New Roman" w:hAnsi="Times New Roman"/>
          <w:noProof/>
          <w:sz w:val="24"/>
          <w:szCs w:val="24"/>
        </w:rPr>
        <w:t xml:space="preserve">EÚ bude naďalej podporovať ľudské práva žien, ich obhajcov, sexuálne a reprodukčné zdravie a práva a úsilie o obmedzenie sexuálneho a rodovo motivovaného násilia na celom svete, a to aj v nestabilných, konfliktných a núdzových situáciách. EÚ začala </w:t>
      </w:r>
      <w:r>
        <w:rPr>
          <w:rFonts w:ascii="Times New Roman" w:hAnsi="Times New Roman"/>
          <w:b/>
          <w:noProof/>
          <w:sz w:val="24"/>
          <w:szCs w:val="24"/>
        </w:rPr>
        <w:t>iniciatívu Spotlight</w:t>
      </w:r>
      <w:r>
        <w:rPr>
          <w:rFonts w:ascii="Times New Roman" w:hAnsi="Times New Roman"/>
          <w:noProof/>
          <w:sz w:val="24"/>
          <w:szCs w:val="24"/>
        </w:rPr>
        <w:t xml:space="preserve"> – spoločný globálny program EÚ a OSN s celkovými finančnými prostriedkami EÚ vo výške 500 miliónov EUR – s cieľom pomôcť odstrániť všetky formy násilia páchaného na ženách a dievčatách. EÚ začína v roku 2020 </w:t>
      </w:r>
      <w:r>
        <w:rPr>
          <w:rFonts w:ascii="Times New Roman" w:hAnsi="Times New Roman"/>
          <w:b/>
          <w:noProof/>
          <w:sz w:val="24"/>
          <w:szCs w:val="24"/>
        </w:rPr>
        <w:t>kampaň #WithHer</w:t>
      </w:r>
      <w:r>
        <w:rPr>
          <w:rFonts w:ascii="Times New Roman" w:hAnsi="Times New Roman"/>
          <w:noProof/>
          <w:sz w:val="24"/>
          <w:szCs w:val="24"/>
        </w:rPr>
        <w:t xml:space="preserve">, ktorej cieľom je spochybniť škodlivé rodové normy a stereotypy, ktoré vedú k pretrvávaniu násilia na ženách na celom svete. EÚ v roku 2020 prijme </w:t>
      </w:r>
      <w:r>
        <w:rPr>
          <w:rFonts w:ascii="Times New Roman" w:hAnsi="Times New Roman"/>
          <w:b/>
          <w:bCs/>
          <w:noProof/>
          <w:sz w:val="24"/>
          <w:szCs w:val="24"/>
        </w:rPr>
        <w:t>akčný plán EÚ pre ľudské práva a demokraciu (na roky 2020 – 2024)</w:t>
      </w:r>
      <w:r>
        <w:rPr>
          <w:rFonts w:ascii="Times New Roman" w:hAnsi="Times New Roman"/>
          <w:noProof/>
          <w:sz w:val="24"/>
          <w:szCs w:val="24"/>
        </w:rPr>
        <w:t>. Takisto bude pokračovať vo vykonávaní</w:t>
      </w:r>
      <w:r>
        <w:rPr>
          <w:rFonts w:ascii="Times New Roman" w:hAnsi="Times New Roman"/>
          <w:b/>
          <w:noProof/>
          <w:sz w:val="24"/>
          <w:szCs w:val="24"/>
        </w:rPr>
        <w:t xml:space="preserve"> strategického prístupu a akčného plánu EÚ pre ženy, mier a bezpečnosť</w:t>
      </w:r>
      <w:r>
        <w:rPr>
          <w:rFonts w:ascii="Times New Roman" w:hAnsi="Times New Roman"/>
          <w:noProof/>
          <w:sz w:val="24"/>
          <w:szCs w:val="24"/>
        </w:rPr>
        <w:t xml:space="preserve"> na roky 2019 – 2024</w:t>
      </w:r>
      <w:r>
        <w:rPr>
          <w:rStyle w:val="FootnoteReference"/>
          <w:rFonts w:ascii="Times New Roman" w:hAnsi="Times New Roman" w:cs="Times New Roman"/>
          <w:noProof/>
          <w:sz w:val="24"/>
          <w:szCs w:val="24"/>
        </w:rPr>
        <w:footnoteReference w:id="85"/>
      </w:r>
      <w:r>
        <w:rPr>
          <w:rFonts w:ascii="Times New Roman" w:hAnsi="Times New Roman"/>
          <w:noProof/>
          <w:sz w:val="24"/>
          <w:szCs w:val="24"/>
        </w:rPr>
        <w:t>.</w:t>
      </w:r>
    </w:p>
    <w:p>
      <w:pPr>
        <w:tabs>
          <w:tab w:val="left" w:pos="7655"/>
        </w:tabs>
        <w:spacing w:line="100" w:lineRule="atLeast"/>
        <w:jc w:val="both"/>
        <w:rPr>
          <w:rFonts w:ascii="Times New Roman" w:hAnsi="Times New Roman"/>
          <w:noProof/>
          <w:sz w:val="24"/>
          <w:szCs w:val="24"/>
        </w:rPr>
      </w:pPr>
      <w:r>
        <w:rPr>
          <w:rFonts w:ascii="Times New Roman" w:hAnsi="Times New Roman"/>
          <w:noProof/>
          <w:sz w:val="24"/>
          <w:szCs w:val="24"/>
        </w:rPr>
        <w:t xml:space="preserve">Komisia bude naďalej aktívne podporovať rodovú rovnosť prostredníctvom svojej </w:t>
      </w:r>
      <w:r>
        <w:rPr>
          <w:rFonts w:ascii="Times New Roman" w:hAnsi="Times New Roman"/>
          <w:b/>
          <w:noProof/>
          <w:sz w:val="24"/>
          <w:szCs w:val="24"/>
        </w:rPr>
        <w:t>obchodnej politiky</w:t>
      </w:r>
      <w:r>
        <w:rPr>
          <w:rFonts w:ascii="Times New Roman" w:hAnsi="Times New Roman"/>
          <w:noProof/>
          <w:sz w:val="24"/>
          <w:szCs w:val="24"/>
        </w:rPr>
        <w:t>, a to aj aktívnym angažovaním sa v tejto otázke v rámci Svetovej obchodnej organizácie. Bude pokračovať v zhromažďovaní údajov rozčlenených podľa rodu s cieľom zabezpečiť, aby sa v obchodných dohodách primerane riešili aspekty rodovej rovnosti súvisiace s obchodom a aby sa v obchodných iniciatívach zohľadňoval rodový vplyv.</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Na podporu podnikania žien a ich účasti na trhu práce v partnerských krajinách EÚ využije </w:t>
      </w:r>
      <w:r>
        <w:rPr>
          <w:rFonts w:ascii="Times New Roman" w:hAnsi="Times New Roman"/>
          <w:b/>
          <w:noProof/>
          <w:sz w:val="24"/>
          <w:szCs w:val="24"/>
        </w:rPr>
        <w:t>vonkajší investičný plán</w:t>
      </w:r>
      <w:r>
        <w:rPr>
          <w:rFonts w:ascii="Times New Roman" w:hAnsi="Times New Roman"/>
          <w:noProof/>
          <w:sz w:val="24"/>
          <w:szCs w:val="24"/>
        </w:rPr>
        <w:t xml:space="preserve">. Napríklad samotný nástroj na finančné začlenenie žien má za cieľ mobilizovať 100 miliónov EUR na to, aby ženy mali prístup k finančným prostriedkom. Na rodovú rovnosť a posilnenie postavenia žien sa v roku 2020 zameriava aj </w:t>
      </w:r>
      <w:r>
        <w:rPr>
          <w:rFonts w:ascii="Times New Roman" w:hAnsi="Times New Roman"/>
          <w:b/>
          <w:noProof/>
          <w:sz w:val="24"/>
          <w:szCs w:val="24"/>
        </w:rPr>
        <w:t>stratégia EÚ pre Afriku</w:t>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V rámci vonkajších politík EÚ je uplatňovanie hľadiska rodovej rovnosti v rozpočtovom procese</w:t>
      </w:r>
      <w:r>
        <w:rPr>
          <w:rFonts w:ascii="Times New Roman" w:hAnsi="Times New Roman"/>
          <w:noProof/>
          <w:sz w:val="24"/>
          <w:szCs w:val="24"/>
        </w:rPr>
        <w:t xml:space="preserve"> zaistené prostredníctvom záväzku, ktorým je zabezpečiť, aby 85 % všetkých nových programov prispievalo k rodovej rovnosti a posilneniu postavenia žien</w:t>
      </w:r>
      <w:r>
        <w:rPr>
          <w:rStyle w:val="FootnoteReference"/>
          <w:rFonts w:ascii="Times New Roman" w:hAnsi="Times New Roman" w:cs="Times New Roman"/>
          <w:noProof/>
          <w:sz w:val="24"/>
          <w:szCs w:val="24"/>
        </w:rPr>
        <w:footnoteReference w:id="86"/>
      </w:r>
      <w:r>
        <w:rPr>
          <w:rFonts w:ascii="Times New Roman" w:hAnsi="Times New Roman"/>
          <w:noProof/>
          <w:sz w:val="24"/>
          <w:szCs w:val="24"/>
        </w:rPr>
        <w:t>.</w:t>
      </w:r>
    </w:p>
    <w:p>
      <w:pPr>
        <w:rPr>
          <w:rFonts w:ascii="Times New Roman" w:hAnsi="Times New Roman" w:cs="Times New Roman"/>
          <w:b/>
          <w:noProof/>
          <w:sz w:val="28"/>
          <w:szCs w:val="28"/>
        </w:rPr>
      </w:pPr>
      <w:r>
        <w:rPr>
          <w:noProof/>
        </w:rPr>
        <w:br w:type="page"/>
      </w:r>
    </w:p>
    <w:p>
      <w:pPr>
        <w:spacing w:line="100" w:lineRule="atLeast"/>
        <w:jc w:val="both"/>
        <w:rPr>
          <w:rFonts w:ascii="Times New Roman" w:hAnsi="Times New Roman" w:cs="Times New Roman"/>
          <w:b/>
          <w:noProof/>
          <w:sz w:val="28"/>
          <w:szCs w:val="28"/>
        </w:rPr>
      </w:pPr>
      <w:r>
        <w:rPr>
          <w:rFonts w:ascii="Times New Roman" w:hAnsi="Times New Roman"/>
          <w:b/>
          <w:noProof/>
          <w:sz w:val="28"/>
          <w:szCs w:val="28"/>
        </w:rPr>
        <w:t>SPOLOČNÉ ÚSILIE O EURÓPU UPLATŇUJÚCU RODOVÚ ROVNOSŤ</w:t>
      </w:r>
    </w:p>
    <w:p>
      <w:pPr>
        <w:spacing w:line="100" w:lineRule="atLeast"/>
        <w:jc w:val="both"/>
        <w:rPr>
          <w:rFonts w:ascii="Times New Roman" w:hAnsi="Times New Roman"/>
          <w:noProof/>
          <w:sz w:val="24"/>
          <w:szCs w:val="24"/>
        </w:rPr>
      </w:pPr>
      <w:r>
        <w:rPr>
          <w:rFonts w:ascii="Times New Roman" w:hAnsi="Times New Roman"/>
          <w:b/>
          <w:noProof/>
          <w:sz w:val="24"/>
          <w:szCs w:val="24"/>
        </w:rPr>
        <w:t xml:space="preserve">Dosiahnutie rodovej rovnosti v Európskej únii je spoločnou zodpovednosťou. </w:t>
      </w:r>
      <w:r>
        <w:rPr>
          <w:rFonts w:ascii="Times New Roman" w:hAnsi="Times New Roman"/>
          <w:noProof/>
          <w:sz w:val="24"/>
          <w:szCs w:val="24"/>
        </w:rPr>
        <w:t>Vyžaduje si vzájomnú spoluprácu a činnosť všetkých inštitúcií EÚ, členských štátov a agentúr EÚ v partnerstve s občianskou spoločnosťou a organizáciami žien, sociálnymi partnermi a súkromným sektorom.</w:t>
      </w:r>
    </w:p>
    <w:p>
      <w:pPr>
        <w:spacing w:line="100" w:lineRule="atLeast"/>
        <w:jc w:val="both"/>
        <w:rPr>
          <w:rFonts w:ascii="Times New Roman" w:hAnsi="Times New Roman"/>
          <w:noProof/>
          <w:sz w:val="24"/>
          <w:szCs w:val="24"/>
        </w:rPr>
      </w:pPr>
      <w:r>
        <w:rPr>
          <w:rFonts w:ascii="Times New Roman" w:hAnsi="Times New Roman"/>
          <w:b/>
          <w:bCs/>
          <w:noProof/>
          <w:sz w:val="24"/>
          <w:szCs w:val="24"/>
        </w:rPr>
        <w:t>Európsky parlament</w:t>
      </w:r>
      <w:r>
        <w:rPr>
          <w:rStyle w:val="FootnoteReference"/>
          <w:rFonts w:ascii="Times New Roman" w:hAnsi="Times New Roman" w:cs="Times New Roman"/>
          <w:noProof/>
          <w:sz w:val="24"/>
          <w:szCs w:val="24"/>
        </w:rPr>
        <w:footnoteReference w:id="87"/>
      </w:r>
      <w:r>
        <w:rPr>
          <w:rFonts w:ascii="Times New Roman" w:hAnsi="Times New Roman"/>
          <w:noProof/>
          <w:sz w:val="24"/>
          <w:szCs w:val="24"/>
        </w:rPr>
        <w:t xml:space="preserve"> a </w:t>
      </w:r>
      <w:r>
        <w:rPr>
          <w:rFonts w:ascii="Times New Roman" w:hAnsi="Times New Roman"/>
          <w:b/>
          <w:bCs/>
          <w:noProof/>
          <w:sz w:val="24"/>
          <w:szCs w:val="24"/>
        </w:rPr>
        <w:t>Rada</w:t>
      </w:r>
      <w:r>
        <w:rPr>
          <w:rStyle w:val="FootnoteReference"/>
          <w:rFonts w:ascii="Times New Roman" w:hAnsi="Times New Roman" w:cs="Times New Roman"/>
          <w:noProof/>
          <w:sz w:val="24"/>
          <w:szCs w:val="24"/>
        </w:rPr>
        <w:footnoteReference w:id="88"/>
      </w:r>
      <w:r>
        <w:rPr>
          <w:rFonts w:ascii="Times New Roman" w:hAnsi="Times New Roman"/>
          <w:noProof/>
          <w:sz w:val="24"/>
          <w:szCs w:val="24"/>
        </w:rPr>
        <w:t xml:space="preserve"> preukázali svoje odhodlanie dosiahnuť rodovú rovnosť vo viacerých uzneseniach a záveroch, v ktorých vyzývajú Komisiu, aby prijala európsku stratégiu pre rodovú rovnosť a posilnila uplatňovanie hľadiska rodovej rovnosti vo všetkých oblastiach politiky.</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V záujme dosiahnutia pokroku a udržania si svetového líderstva v oblasti rodovej rovnosti musia inštitúcie EÚ a členské štáty spoločným úsilím prehĺbiť svoju spoluprácu s občianskou spoločnosťou vrátane hnutí a organizácií žien, medzinárodných organizácií a vlád.</w:t>
      </w:r>
    </w:p>
    <w:p>
      <w:pPr>
        <w:spacing w:line="100" w:lineRule="atLeast"/>
        <w:jc w:val="both"/>
        <w:rPr>
          <w:rFonts w:ascii="Times New Roman" w:hAnsi="Times New Roman"/>
          <w:noProof/>
          <w:sz w:val="24"/>
          <w:szCs w:val="24"/>
        </w:rPr>
      </w:pPr>
      <w:r>
        <w:rPr>
          <w:rFonts w:ascii="Times New Roman" w:hAnsi="Times New Roman"/>
          <w:noProof/>
          <w:sz w:val="24"/>
          <w:szCs w:val="24"/>
        </w:rPr>
        <w:t>Komisia vyzýva Európsky parlament a Radu, aby včas pokročili v práci na existujúcich a budúcich návrhoch Komisie. Členské štáty by mali využívať všetky nástroje, ktoré majú k dispozícii, a najmä ponúkané možnosti finančnej podpory EÚ a zabezpečiť, aby sa v oblasti rodovej rovnosti dosiahlo zlepšenie.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Kľúčové činnosti uvedené v tejto stratégii sa budú pravidelne aktualizovať a dopĺňať. Ich vykonávanie sa bude monitorovať a každoročne sa budú podávať správy o pokroku. Tieto správy budú slúžiť ako </w:t>
      </w:r>
      <w:r>
        <w:rPr>
          <w:rFonts w:ascii="Times New Roman" w:hAnsi="Times New Roman"/>
          <w:b/>
          <w:noProof/>
          <w:sz w:val="24"/>
          <w:szCs w:val="24"/>
        </w:rPr>
        <w:t>ročné politické hodnotenie dosiahnutého pokroku</w:t>
      </w:r>
      <w:r>
        <w:rPr>
          <w:rFonts w:ascii="Times New Roman" w:hAnsi="Times New Roman"/>
          <w:noProof/>
          <w:sz w:val="24"/>
          <w:szCs w:val="24"/>
        </w:rPr>
        <w:t>. Okrem príkladov osvedčených postupov v členských štátoch budú výročné správy obsahovať aj príslušné údaje vrátane údajov Eurostatu a nadácie Eurofound, ako aj ukazovatele na meranie pokroku, pričom sa bude vychádzať z ročného indexu rodovej rovnosti EÚ inštitútu EIGE. Inštitút EIGE bude takisto poskytovať údaje a zabezpečovať výskum s cieľom prispievať k tvorbe politiky inštitúcií EÚ a členských štátov založenej na faktoch.</w:t>
      </w:r>
    </w:p>
    <w:p>
      <w:pPr>
        <w:spacing w:line="100" w:lineRule="atLeast"/>
        <w:jc w:val="both"/>
        <w:rPr>
          <w:rFonts w:ascii="Times New Roman" w:hAnsi="Times New Roman" w:cs="Times New Roman"/>
          <w:b/>
          <w:noProof/>
          <w:sz w:val="24"/>
          <w:szCs w:val="24"/>
        </w:rPr>
      </w:pPr>
      <w:r>
        <w:rPr>
          <w:rFonts w:ascii="Times New Roman" w:hAnsi="Times New Roman"/>
          <w:b/>
          <w:noProof/>
          <w:sz w:val="24"/>
          <w:szCs w:val="24"/>
        </w:rPr>
        <w:t>Spoločným úsilím môžeme do roku 2025 dosiahnuť skutočný pokrok pri vytváraní Európy, v ktorej si ženy a muži, dievčatá a chlapci v celej svojej rozmanitosti budú rovní – v ktorej budú môcť slobodne realizovať svoj zvolený životný smer a plne využiť svoj potenciál, v ktorej budú mať rovnaké príležitosti prosperovať a v ktorej sa budú môcť rovnocenne podieľať na formovaní našej európskej spoločnosti a na jej vedení.</w:t>
      </w:r>
    </w:p>
    <w:p>
      <w:pPr>
        <w:spacing w:line="100" w:lineRule="atLeast"/>
        <w:jc w:val="both"/>
        <w:rPr>
          <w:rFonts w:ascii="Times New Roman" w:hAnsi="Times New Roman" w:cs="Times New Roman"/>
          <w:b/>
          <w:noProof/>
          <w:sz w:val="24"/>
          <w:szCs w:val="24"/>
        </w:rPr>
      </w:pPr>
    </w:p>
    <w:sectPr>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14757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Pozri článok 2 a článok 3 ods. 3 ZEÚ, články 8, 10, 19 a 157 ZFEÚ a články 21 a 23 Charty základných práv EÚ.</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w:t>
      </w:r>
      <w:hyperlink r:id="rId1" w:history="1">
        <w:r>
          <w:rPr>
            <w:rStyle w:val="Hyperlink"/>
            <w:rFonts w:ascii="Times New Roman" w:hAnsi="Times New Roman"/>
            <w:u w:val="none"/>
          </w:rPr>
          <w:t>https://ec.europa.eu/commission/sites/beta-political/files/social-summit-european-pillar-social-rights-booklet_sk.pdf</w:t>
        </w:r>
      </w:hyperlink>
      <w:r>
        <w:rPr>
          <w:rFonts w:ascii="Times New Roman" w:hAnsi="Times New Roman"/>
        </w:rPr>
        <w:t>.</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Zlepšovanie rodovej rovnosti by do roku 2050 viedlo k zvýšeniu HDP na obyvateľa EÚ o 6,1 % až 9,6 %, čo predstavuje sumu 1,95 až 3,15 bilióna EUR: </w:t>
      </w:r>
      <w:hyperlink r:id="rId2" w:history="1">
        <w:r>
          <w:rPr>
            <w:rStyle w:val="Hyperlink"/>
            <w:rFonts w:ascii="Times New Roman" w:hAnsi="Times New Roman"/>
            <w:u w:val="none"/>
          </w:rPr>
          <w:t>https://eige.europa.eu/gender-mainstreaming/policy-areas/economic-and-financial-affairs/economic-benefits-gender-equality</w:t>
        </w:r>
      </w:hyperlink>
      <w:r>
        <w:rPr>
          <w:rFonts w:ascii="Times New Roman" w:hAnsi="Times New Roman"/>
        </w:rPr>
        <w:t>.</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Pokiaľ ide o vykonávanie cieľa udržateľného rozvoja č. 5 týkajúceho sa rodovej rovnosti, pozri 2019 EM2030 SDG Gender Index (Index rodovej rovnosti v rámci cieľov udržateľného rozvoja organizácie EM2030 z roku 2019):</w:t>
      </w:r>
      <w:r>
        <w:rPr>
          <w:rFonts w:ascii="Times New Roman" w:hAnsi="Times New Roman"/>
          <w:sz w:val="16"/>
        </w:rPr>
        <w:t xml:space="preserve"> </w:t>
      </w:r>
      <w:hyperlink r:id="rId3" w:history="1">
        <w:r>
          <w:rPr>
            <w:rStyle w:val="Hyperlink"/>
            <w:rFonts w:ascii="Times New Roman" w:hAnsi="Times New Roman"/>
            <w:u w:val="none"/>
          </w:rPr>
          <w:t>https://data.em2030.org/em2030-sdg-gender-index/</w:t>
        </w:r>
      </w:hyperlink>
      <w:r>
        <w:rPr>
          <w:rFonts w:ascii="Times New Roman" w:hAnsi="Times New Roman"/>
        </w:rPr>
        <w:t>.</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EÚ prijala šesť smerníc, ktoré sa týkajú rovnosti medzi ženami a mužmi na pracovisku, pri vykonávaní samostatnej zárobkovej činnosti, pri prístupe k tovaru a službám, pri sociálnom zabezpečení, počas tehotenstva a materstva, ako aj počas dovolenky z rodinných dôvodov či pri pružných formách organizácie práce pre rodičov a osoby s opatrovateľskými povinnosťami. Spoločne postupne vytvorili právnu normu pre celú Európu, ktorá zabezpečuje širokú ochrana pred diskrimináciou. Vďaka viacerým prípadom predloženým Súdnemu dvoru Európskej únie sa zásada rovnosti ešte viac posilnila a pre obete diskriminácie sa zabezpečila spravodlivosť.</w:t>
      </w:r>
    </w:p>
  </w:footnote>
  <w:footnote w:id="7">
    <w:p>
      <w:pPr>
        <w:pStyle w:val="FootnoteText"/>
        <w:jc w:val="both"/>
      </w:pPr>
      <w:r>
        <w:rPr>
          <w:rStyle w:val="FootnoteReference"/>
          <w:rFonts w:ascii="Times New Roman" w:hAnsi="Times New Roman" w:cs="Times New Roman"/>
        </w:rPr>
        <w:footnoteRef/>
      </w:r>
      <w:r>
        <w:rPr>
          <w:rFonts w:ascii="Times New Roman" w:hAnsi="Times New Roman"/>
        </w:rPr>
        <w:t xml:space="preserve"> „ Rod“ je súbor spoločnosťou vytvorených rolí, vzorov správania, činností a atribútov, ktoré daná spoločnosť považuje za primerané pre ženy a mužov, pozri článok 3 písm. c) Dohovoru Rady Európy o predchádzaní násiliu na ženách a domácemu násiliu a o boji proti nemu.  </w:t>
      </w:r>
    </w:p>
  </w:footnote>
  <w:footnote w:id="8">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Pozri Európsky inštitút pre rodovú rovnosť (EIGE): </w:t>
      </w:r>
      <w:hyperlink r:id="rId4" w:history="1">
        <w:r>
          <w:rPr>
            <w:rStyle w:val="Hyperlink"/>
            <w:rFonts w:ascii="Times New Roman" w:hAnsi="Times New Roman"/>
            <w:u w:val="none"/>
          </w:rPr>
          <w:t>https://eige.europa.eu/gender-equality-index/2019</w:t>
        </w:r>
      </w:hyperlink>
      <w:r>
        <w:rPr>
          <w:rStyle w:val="Hyperlink"/>
          <w:rFonts w:ascii="Times New Roman" w:hAnsi="Times New Roman"/>
          <w:u w:val="none"/>
        </w:rPr>
        <w:t>.</w:t>
      </w:r>
      <w:r>
        <w:rPr>
          <w:rFonts w:ascii="Times New Roman" w:hAnsi="Times New Roman"/>
        </w:rPr>
        <w:t xml:space="preserve"> </w:t>
      </w:r>
    </w:p>
  </w:footnote>
  <w:footnote w:id="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 nadväznosti na strategický záväzok Komisie pre rodovú rovnosť na roky 2016 – 2019.</w:t>
      </w:r>
    </w:p>
  </w:footnote>
  <w:footnote w:id="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Výraz „v celej svojej rozmanitosti“ sa v tejto stratégii požíva na vyjadrenie toho, že ak sa hovorí o ženách alebo mužoch, ide o heterogénne kategórie, a to aj pokiaľ ide o ich pohlavie, rodovú identitu, rodové vyjadrenie alebo pohlavné znaky. Ide o potvrdenie záväzku, že nikto nebude opomenutý a že sa v Európe zabezpečí rodová rovnosť pre všetkých bez ohľadu na pohlavie, rasový alebo etnický pôvod, náboženstvo alebo vieru, zdravotné postihnutie, vek alebo sexuálnu orientáciu.</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EIGE vymedzuje „prierezový charakter“ ako „analytický nástroj na štúdium, porozumenie a reagovanie na spôsob, akými sa pohlavie a rod prelínajú s inými osobnými charakteristikami/identitami, a ako tieto prelínania prispievajú k jedinečným skúsenostiam z diskriminácie“ (pozri: </w:t>
      </w:r>
      <w:hyperlink r:id="rId5" w:history="1">
        <w:r>
          <w:rPr>
            <w:rStyle w:val="Hyperlink"/>
            <w:rFonts w:ascii="Times New Roman" w:hAnsi="Times New Roman"/>
            <w:u w:val="none"/>
          </w:rPr>
          <w:t>https://eige.europa.eu/thesaurus/terms/1263</w:t>
        </w:r>
      </w:hyperlink>
      <w:r>
        <w:rPr>
          <w:rFonts w:ascii="Times New Roman" w:hAnsi="Times New Roman"/>
        </w:rPr>
        <w:t>). Podľa článku 10 ZFEÚ sa pri vymedzovaní a uskutočňovaní svojich politík a činností Únia zameriava na boj proti diskriminácii z dôvodu pohlavia, rasy alebo etnického pôvodu, náboženstva alebo viery, zdravotného postihnutia, veku alebo sexuálnej orientácie.</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6" w:history="1">
        <w:r>
          <w:rPr>
            <w:rStyle w:val="Hyperlink"/>
            <w:rFonts w:ascii="Times New Roman" w:hAnsi="Times New Roman"/>
            <w:u w:val="none"/>
          </w:rPr>
          <w:t>https://beijing20.unwomen.org/en/about</w:t>
        </w:r>
      </w:hyperlink>
      <w:r>
        <w:rPr>
          <w:rFonts w:ascii="Times New Roman" w:hAnsi="Times New Roman"/>
        </w:rPr>
        <w:t>.</w:t>
      </w:r>
    </w:p>
  </w:footnote>
  <w:footnote w:id="13">
    <w:p>
      <w:pPr>
        <w:pStyle w:val="End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7" w:history="1">
        <w:r>
          <w:rPr>
            <w:rStyle w:val="Hyperlink"/>
            <w:rFonts w:ascii="Times New Roman" w:hAnsi="Times New Roman"/>
            <w:u w:val="none"/>
          </w:rPr>
          <w:t>https://ec.europa.eu/europeaid/policies/sustainable-development-goals_en</w:t>
        </w:r>
      </w:hyperlink>
      <w:r>
        <w:rPr>
          <w:rFonts w:ascii="Times New Roman" w:hAnsi="Times New Roman"/>
        </w:rPr>
        <w:t>.</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Článok 3 písm. d) Istanbulského dohovoru</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Agentúra Európskej únie pre základné práva (FRA), Násilie páchané na ženách: celoeurópsky prieskum, 2014 – pozri infografiku.</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Žiadosť o stanovisko predložená Európskym parlamentom podľa článku 218 ods. 11 ZFEÚ (stanovisko 1/19).</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Údaje v infografike pochádzajú z nedávnych štúdií Európskej siete pre ukončenie mrzačenia ženských pohlavných orgánov (End FGM European Network), pozri: </w:t>
      </w:r>
      <w:hyperlink r:id="rId8" w:history="1">
        <w:r>
          <w:rPr>
            <w:rStyle w:val="Hyperlink"/>
            <w:rFonts w:ascii="Times New Roman" w:hAnsi="Times New Roman"/>
            <w:u w:val="none"/>
          </w:rPr>
          <w:t>https://www.endfgm.eu/female-genital-mutilation/fgm-in-europe</w:t>
        </w:r>
      </w:hyperlink>
      <w:r>
        <w:rPr>
          <w:rFonts w:ascii="Times New Roman" w:hAnsi="Times New Roman"/>
        </w:rPr>
        <w:t>.</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Smernica 2012/29/EÚ, ktorou sa stanovujú minimálne normy v oblasti práv, podpory a ochrany obetí trestných činov</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Napríklad v partnerskom vzťahu zažilo fyzické alebo sexuálne násilie 34 % žien so zdravotným problémom alebo so zdravotným postihnutím, v porovnaní s 19 % žien, ktoré nemajú zdravotný problém alebo zdravotné postihnutie. FRA, Násilie páchané na ženách: celoeurópsky prieskum, 2014.</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Vykonávať odporúčania Výboru OSN pre práva osôb so zdravotným postihnutím pre EÚ, najmä pokiaľ ide o články 6 (Ženy so zdravotným postihnutím) a 16 (Ochrana pred vykorisťovaním, násilím a zneužívaním).</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Podľa EIGE sa „mužskosť“ vzťahuje na „rôzne pojmy, ktoré vypovedajú o tom, čo znamená byť mužom, vrátane vzorov správania spojených s miestom mužov v danom súbore rodových rolí a vzťahov“, pozri: </w:t>
      </w:r>
      <w:hyperlink r:id="rId9" w:history="1">
        <w:r>
          <w:rPr>
            <w:rStyle w:val="Hyperlink"/>
            <w:rFonts w:ascii="Times New Roman" w:hAnsi="Times New Roman"/>
            <w:u w:val="none"/>
          </w:rPr>
          <w:t>https://eige.europa.eu/thesaurus/terms/1285</w:t>
        </w:r>
      </w:hyperlink>
      <w:r>
        <w:rPr>
          <w:rFonts w:ascii="Times New Roman" w:hAnsi="Times New Roman"/>
        </w:rPr>
        <w:t>.</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Dohovor (č. 190) a odporúčanie (č. 206) Medzinárodnej organizácie práce o násilí a obťažovaní.</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Smernica 2006/54/ES o vykonávaní zásady rovnosti príležitostí a rovnakého zaobchádzania s mužmi a ženami vo veciach zamestnanosti a povolania (prepracované znenie).</w:t>
      </w:r>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0" w:history="1">
        <w:r>
          <w:rPr>
            <w:rStyle w:val="Hyperlink"/>
            <w:rFonts w:ascii="Times New Roman" w:hAnsi="Times New Roman"/>
            <w:u w:val="none"/>
          </w:rPr>
          <w:t>https://ec.europa.eu/digital-single-market/en/new-eu-rules-e-commerce</w:t>
        </w:r>
      </w:hyperlink>
      <w:r>
        <w:rPr>
          <w:rStyle w:val="Hyperlink"/>
          <w:rFonts w:ascii="Times New Roman" w:hAnsi="Times New Roman"/>
          <w:u w:val="none"/>
        </w:rPr>
        <w:t>.</w:t>
      </w:r>
    </w:p>
  </w:footnote>
  <w:footnote w:id="25">
    <w:p>
      <w:pPr>
        <w:pStyle w:val="FootnoteText"/>
        <w:keepLines/>
        <w:widowControl w:val="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 základe spolupráce v rámci internetového fóra EÚ, ktorá viedla k prijatiu Kódexu správania EÚ pre boj proti nezákonným nenávistným prejavom online.</w:t>
      </w:r>
    </w:p>
  </w:footnote>
  <w:footnote w:id="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Obchodovanie s ľuďmi sa v súlade s článkom 6 Dohovoru o odstránení všetkých foriem diskriminácie žien považuje za násilie na ženách a dievčatách.</w:t>
      </w:r>
    </w:p>
  </w:footnote>
  <w:footnote w:id="27">
    <w:p>
      <w:pPr>
        <w:pStyle w:val="FootnoteText"/>
      </w:pPr>
      <w:r>
        <w:rPr>
          <w:rStyle w:val="FootnoteReference"/>
          <w:rFonts w:ascii="Times New Roman" w:hAnsi="Times New Roman" w:cs="Times New Roman"/>
        </w:rPr>
        <w:footnoteRef/>
      </w:r>
      <w:r>
        <w:rPr>
          <w:rFonts w:ascii="Times New Roman" w:hAnsi="Times New Roman"/>
        </w:rPr>
        <w:t xml:space="preserve"> Vyplývajúce zo smernice 2011/36/EÚ o prevencii obchodovania s ľuďmi a boji proti nemu a o ochrane obetí obchodovania.</w:t>
      </w:r>
    </w:p>
  </w:footnote>
  <w:footnote w:id="28">
    <w:p>
      <w:pPr>
        <w:pStyle w:val="FootnoteText"/>
        <w:jc w:val="both"/>
      </w:pPr>
      <w:r>
        <w:rPr>
          <w:rStyle w:val="FootnoteReference"/>
          <w:rFonts w:ascii="Times New Roman" w:hAnsi="Times New Roman" w:cs="Times New Roman"/>
        </w:rPr>
        <w:footnoteRef/>
      </w:r>
      <w:r>
        <w:rPr>
          <w:rFonts w:ascii="Times New Roman" w:hAnsi="Times New Roman"/>
        </w:rPr>
        <w:t xml:space="preserve"> Osobitný prieskum Eurobarometra 465, jún 2017 – pozri infografiku.</w:t>
      </w:r>
      <w:r>
        <w:t xml:space="preserve"> </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Európska komisia, Biela kniha o umelej inteligencii – Európsky prístup k excelentnosti a dôvere, COM(2020) 65 final: </w:t>
      </w:r>
      <w:hyperlink r:id="rId11" w:history="1">
        <w:r>
          <w:rPr>
            <w:rStyle w:val="Hyperlink"/>
            <w:rFonts w:ascii="Times New Roman" w:hAnsi="Times New Roman"/>
            <w:u w:val="none"/>
          </w:rPr>
          <w:t>https://ec.europa.eu/info/sites/info/files/commission-white-paper-artificial-intelligence-feb2020_en.pdf</w:t>
        </w:r>
      </w:hyperlink>
      <w:r>
        <w:rPr>
          <w:rFonts w:ascii="Times New Roman" w:hAnsi="Times New Roman"/>
        </w:rPr>
        <w:t>.</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u w:val="none"/>
          </w:rPr>
          <w:t>https://ec.europa.eu/info/horizon-europe-next-research-and-innovation-framework-programme_en</w:t>
        </w:r>
      </w:hyperlink>
      <w:r>
        <w:rPr>
          <w:rFonts w:ascii="Times New Roman" w:hAnsi="Times New Roman"/>
        </w:rPr>
        <w:t>.</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Napr. „Rodová rovnosť v mediálnom sektore“, štúdia vypracovaná pre výbor FEMM pre práva žien a rodovú rovnosť, Európsky parlament, 2018.  </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u w:val="none"/>
          </w:rPr>
          <w:t>https://ec.europa.eu/programmes/creative-europe/node_en</w:t>
        </w:r>
      </w:hyperlink>
      <w:r>
        <w:rPr>
          <w:rFonts w:ascii="Times New Roman" w:hAnsi="Times New Roman"/>
        </w:rPr>
        <w:t>.</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4" w:history="1">
        <w:r>
          <w:rPr>
            <w:rStyle w:val="Hyperlink"/>
            <w:rFonts w:ascii="Times New Roman" w:hAnsi="Times New Roman"/>
            <w:u w:val="none"/>
          </w:rPr>
          <w:t>https://ec.europa.eu/digital-single-market/en/media-sub-programme-creative-europe</w:t>
        </w:r>
      </w:hyperlink>
      <w:r>
        <w:rPr>
          <w:rFonts w:ascii="Times New Roman" w:hAnsi="Times New Roman"/>
        </w:rPr>
        <w:t>.</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Smernica 2011/93/EÚ o boji proti sexuálnemu zneužívaniu a sexuálnemu vykorisťovaniu detí a proti detskej pornografii.</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Najmä smernicu 2011/36/EÚ o prevencii obchodovania s ľuďmi a boji proti nemu a o ochrane obetí obchodovania, smernicu 2011/99/EÚ o európskom ochrannom príkaze, nariadenie (EÚ) č. 606/2013 o vzájomnom uznávaní ochranných opatrení v občianskych veciach a smernicu Rady 2004/80/ES o odškodňovaní obetí trestných činov.</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2019, </w:t>
      </w:r>
      <w:hyperlink r:id="rId15" w:history="1">
        <w:r>
          <w:rPr>
            <w:rStyle w:val="Hyperlink"/>
            <w:rFonts w:ascii="Times New Roman" w:hAnsi="Times New Roman"/>
            <w:u w:val="none"/>
          </w:rPr>
          <w:t>https://ec.europa.eu/eurostat/web/products-datasets/product?code=sdg_05_30</w:t>
        </w:r>
      </w:hyperlink>
      <w:r>
        <w:rPr>
          <w:rFonts w:ascii="Times New Roman" w:hAnsi="Times New Roman"/>
        </w:rPr>
        <w:t xml:space="preserve"> a </w:t>
      </w:r>
      <w:hyperlink r:id="rId16" w:history="1">
        <w:r>
          <w:rPr>
            <w:rStyle w:val="Hyperlink"/>
            <w:rFonts w:ascii="Times New Roman" w:hAnsi="Times New Roman"/>
            <w:u w:val="none"/>
          </w:rPr>
          <w:t>https://appsso.eurostat.ec.europa.eu/nui/show.do?dataset=lfsi_emp_a&amp;lang=en</w:t>
        </w:r>
      </w:hyperlink>
      <w:r>
        <w:t xml:space="preserve"> </w:t>
      </w:r>
      <w:r>
        <w:rPr>
          <w:rFonts w:ascii="Times New Roman" w:hAnsi="Times New Roman"/>
        </w:rPr>
        <w:t>– pozri infografiku.</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7" w:history="1">
        <w:r>
          <w:rPr>
            <w:rStyle w:val="Hyperlink"/>
            <w:rFonts w:ascii="Times New Roman" w:hAnsi="Times New Roman"/>
            <w:u w:val="none"/>
          </w:rPr>
          <w:t>Https://ec.europa.eu/eurostat/statistics-explained/pdfscache/35409.pdf,</w:t>
        </w:r>
      </w:hyperlink>
      <w:r>
        <w:t xml:space="preserve">, </w:t>
      </w:r>
      <w:r>
        <w:rPr>
          <w:rFonts w:ascii="Times New Roman" w:hAnsi="Times New Roman"/>
        </w:rPr>
        <w:t>ako aj FRA, „Roma Women in nine EU Member States“ (Rómske ženy v deviatich členských štátoch EÚ, 2019) – pozri infografiku.</w:t>
      </w:r>
    </w:p>
  </w:footnote>
  <w:footnote w:id="38">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Eurostat, výberové zisťovanie pracovných síl, výpočty vykonané na základe </w:t>
      </w:r>
      <w:r>
        <w:rPr>
          <w:rFonts w:ascii="Times New Roman" w:hAnsi="Times New Roman"/>
          <w:i/>
          <w:iCs/>
        </w:rPr>
        <w:t>lfsa_eegan2</w:t>
      </w:r>
      <w:r>
        <w:rPr>
          <w:rFonts w:ascii="Times New Roman" w:hAnsi="Times New Roman"/>
          <w:iCs/>
        </w:rPr>
        <w:t xml:space="preserve"> – pozri infografiku.</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Pozri napríklad správu ENAR „Racism and discrimination in Employment in Europe 2013 – 2017“ (Rasizmus a diskriminácia pri zamestnávaní v Európe v rokoch 2013 – 2017), 2017. </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Smernica (EÚ) 2019/1158 o rovnováhe medzi pracovným a súkromným životom rodičov a osôb s opatrovateľskými povinnosťami.</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Členské štáty transponujú smernicu o rovnováhe medzi pracovným a súkromným životom do 2. augusta 2022 (a do 2. augusta 2024, pokiaľ ide o platbu za posledné dva týždne aspoň dvojmesačnej rodičovskej dovolenky).</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Pre existujúce opatrenia pozri dokument Európskej komisie „Diversity and Gender Equality Report 2019“ (Správa o rozmanitosti a rodovej rovnosti z roku 2019) (interný dokument).</w:t>
      </w:r>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u w:val="none"/>
          </w:rPr>
          <w:t>https://ec.europa.eu/info/business-economy-euro/economic-and-fiscal-policy-coordination/eu-economic-governance-monitoring-prevention-correction/european-semester_sk</w:t>
        </w:r>
      </w:hyperlink>
      <w:r>
        <w:rPr>
          <w:rFonts w:ascii="Times New Roman" w:hAnsi="Times New Roman"/>
        </w:rPr>
        <w:t>.</w:t>
      </w:r>
    </w:p>
  </w:footnote>
  <w:footnote w:id="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Cs/>
        </w:rPr>
        <w:t>Zásada 2 piliera sa týka rodovej rovnosti, zatiaľ čo viacero ďalších zásad – vrátane zásady rovnosti príležitostí (zásada 3), zásady rovnováhy medzi pracovným a súkromným životom (zásada 9), zásady starostlivosti o deti a podpory detí (zásada 11), zásady starobných dôchodkov a dôchodkov (zásada 15) a zásady dlhodobej starostlivosti (zásada 18) – sa zaoberá výzvami súvisiacimi s rodovou rovnosťou.</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International Finance Corporation, „Moving toward gender balance in private equity and venture capital“ (Smerom k vyváženému zastúpeniu mužov a žien v oblasti súkromného a rizikového kapitálu), 2019; Biegel, S., Hunt, S. M., Kuhlman, S., Project Sage 2.0 „Tracking venture capital with a gender lens“ (Sledovanie rizikového kapitálu s rodovým vnímaním), 2019; a Atomico, správa z roku 2019 „State of European Tech“ (Stav európskych technológií) </w:t>
      </w:r>
      <w:hyperlink r:id="rId19" w:history="1">
        <w:r>
          <w:rPr>
            <w:rStyle w:val="Hyperlink"/>
            <w:rFonts w:ascii="Times New Roman" w:hAnsi="Times New Roman"/>
            <w:u w:val="none"/>
          </w:rPr>
          <w:t>https://2019.stateofeuropeantech.com/chapter/state-european-tech-2019/article/executive-summary</w:t>
        </w:r>
      </w:hyperlink>
      <w:r>
        <w:rPr>
          <w:rFonts w:ascii="Times New Roman" w:hAnsi="Times New Roman"/>
        </w:rPr>
        <w:t xml:space="preserve"> – pozri infografiku.</w:t>
      </w:r>
    </w:p>
  </w:footnote>
  <w:footnote w:id="4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0" w:history="1">
        <w:r>
          <w:rPr>
            <w:rStyle w:val="Hyperlink"/>
            <w:rFonts w:ascii="Times New Roman" w:hAnsi="Times New Roman"/>
            <w:u w:val="none"/>
          </w:rPr>
          <w:t>https://ec.europa.eu/research/eic/index.cfm</w:t>
        </w:r>
      </w:hyperlink>
      <w:r>
        <w:rPr>
          <w:rStyle w:val="Hyperlink"/>
          <w:rFonts w:ascii="Times New Roman" w:hAnsi="Times New Roman"/>
          <w:u w:val="none"/>
        </w:rPr>
        <w:t>.</w:t>
      </w:r>
      <w:r>
        <w:rPr>
          <w:rFonts w:ascii="Times New Roman" w:hAnsi="Times New Roman"/>
        </w:rPr>
        <w:t xml:space="preserve"> </w:t>
      </w:r>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Správa PISA, 2019,</w:t>
      </w:r>
      <w:r>
        <w:t xml:space="preserve"> </w:t>
      </w:r>
      <w:hyperlink r:id="rId21" w:history="1">
        <w:r>
          <w:rPr>
            <w:rStyle w:val="Hyperlink"/>
            <w:rFonts w:ascii="Times New Roman" w:hAnsi="Times New Roman"/>
            <w:u w:val="none"/>
          </w:rPr>
          <w:t>http://www.oecd.org/pisa/PISA%202018 %20Insights%20and%20Interpretations%20FINAL%20PDF.pdf</w:t>
        </w:r>
      </w:hyperlink>
      <w:r>
        <w:rPr>
          <w:rFonts w:ascii="Times New Roman" w:hAnsi="Times New Roman"/>
        </w:rPr>
        <w:t>; Európska komisia, „Women in the Digital Age – Final Report“ (Ženy v digitálnom veku – záverečná správa), 2018; a správa Svetového ekonomického fóra z roku 2020 o rodových rozdieloch „Gender Gap Report 2020“ – pozri infografiku.</w:t>
      </w:r>
    </w:p>
  </w:footnote>
  <w:footnote w:id="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štatistický pracovný dokument „A decomposition of the unadjusted gender pay gap using Structure of Earnings Survey data“ (Rozloženie neupraveného rozdielu v odmeňovaní žien a mužov s použitím údajov z prieskumu o štruktúre miezd), 2018.</w:t>
      </w:r>
    </w:p>
  </w:footnote>
  <w:footnote w:id="49">
    <w:p>
      <w:pPr>
        <w:pStyle w:val="NoSpacing"/>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Európska komisia, „ICT for Work: Digital Skills in the Workplace“ (IKT v práci: digitálne zručnosti na pracovisku), 2017. </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Informačné a komunikačné technológie.</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2" w:history="1">
        <w:r>
          <w:rPr>
            <w:rStyle w:val="Hyperlink"/>
            <w:rFonts w:ascii="Times New Roman" w:hAnsi="Times New Roman"/>
            <w:u w:val="none"/>
          </w:rPr>
          <w:t>https://ec.europa.eu/eurostat/web/products-eurostat-news/-/EDN-20180425-1</w:t>
        </w:r>
      </w:hyperlink>
      <w:r>
        <w:rPr>
          <w:rFonts w:ascii="Times New Roman" w:hAnsi="Times New Roman"/>
        </w:rPr>
        <w:t>.</w:t>
      </w:r>
    </w:p>
  </w:footnote>
  <w:footnote w:id="5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3" w:history="1">
        <w:r>
          <w:rPr>
            <w:rStyle w:val="Hyperlink"/>
            <w:rFonts w:ascii="Times New Roman" w:hAnsi="Times New Roman"/>
            <w:u w:val="none"/>
          </w:rPr>
          <w:t>https://op.europa.eu/sk/publication-detail/-/publication/9540ffa1-4478-11e9-a8ed-01aa75ed71a1</w:t>
        </w:r>
      </w:hyperlink>
      <w:r>
        <w:rPr>
          <w:rFonts w:ascii="Times New Roman" w:hAnsi="Times New Roman"/>
        </w:rPr>
        <w:t>.</w:t>
      </w:r>
    </w:p>
  </w:footnote>
  <w:footnote w:id="53">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Veda, technológia, inžinierstvo a matematika.</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2018 „International Computer and Information Literacy Study, ICILS“ (Medzinárodná štúdia o počítačovej a informačnej gramotnosti).</w:t>
      </w:r>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4" w:history="1">
        <w:r>
          <w:rPr>
            <w:rStyle w:val="Hyperlink"/>
            <w:rFonts w:ascii="Times New Roman" w:hAnsi="Times New Roman"/>
            <w:u w:val="none"/>
          </w:rPr>
          <w:t>https://ec.europa.eu/digital-single-market/en/news/eu-countries-commit-boost-participation-women-digital</w:t>
        </w:r>
      </w:hyperlink>
      <w:r>
        <w:rPr>
          <w:rFonts w:ascii="Times New Roman" w:hAnsi="Times New Roman"/>
        </w:rPr>
        <w:t>.</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2018 </w:t>
      </w:r>
      <w:hyperlink r:id="rId25" w:history="1">
        <w:r>
          <w:rPr>
            <w:rFonts w:ascii="Times New Roman" w:hAnsi="Times New Roman"/>
            <w:color w:val="0000FF"/>
          </w:rPr>
          <w:t>https://ec.europa.eu/eurostat/databrowser/product/view/SDG_05_20?lang=en</w:t>
        </w:r>
      </w:hyperlink>
      <w:r>
        <w:rPr>
          <w:rFonts w:ascii="Times New Roman" w:hAnsi="Times New Roman"/>
        </w:rPr>
        <w:t xml:space="preserve">; </w:t>
      </w:r>
      <w:hyperlink r:id="rId26" w:history="1">
        <w:r>
          <w:rPr>
            <w:rFonts w:ascii="Times New Roman" w:hAnsi="Times New Roman"/>
            <w:color w:val="0000FF"/>
          </w:rPr>
          <w:t>https://appsso.eurostat.ec.europa.eu/nui/show.do?dataset=ilc_pnp13&amp;lang=en</w:t>
        </w:r>
      </w:hyperlink>
      <w:r>
        <w:rPr>
          <w:rFonts w:ascii="Times New Roman" w:hAnsi="Times New Roman"/>
        </w:rPr>
        <w:t xml:space="preserve"> a </w:t>
      </w:r>
      <w:hyperlink r:id="rId27" w:history="1">
        <w:r>
          <w:rPr>
            <w:rFonts w:ascii="Times New Roman" w:hAnsi="Times New Roman"/>
            <w:color w:val="0000FF"/>
          </w:rPr>
          <w:t>https://appsso.eurostat.ec.europa.eu/nui/show.do?dataset=ilc_pnp14&amp;lang=en</w:t>
        </w:r>
      </w:hyperlink>
      <w:r>
        <w:rPr>
          <w:rFonts w:ascii="Times New Roman" w:hAnsi="Times New Roman"/>
        </w:rPr>
        <w:t xml:space="preserve"> – pozri infografiku.</w:t>
      </w:r>
    </w:p>
  </w:footnote>
  <w:footnote w:id="5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Jedným z dôvodov je to, že ženy v priemere vykonávajú platenú prácu menej hodín než muži: zatiaľ čo v EÚ pracuje na čiastočný úväzok len 8 % mužov, v prípade žien je to takmer tretina (31 %) – pozri Eurostat, 2018, </w:t>
      </w:r>
      <w:hyperlink r:id="rId28" w:history="1">
        <w:r>
          <w:rPr>
            <w:rStyle w:val="Hyperlink"/>
            <w:rFonts w:ascii="Times New Roman" w:hAnsi="Times New Roman"/>
            <w:u w:val="none"/>
          </w:rPr>
          <w:t>https://ec.europa.eu/eurostat/web/products-eurostat-news/-/DDN-20190621-1</w:t>
        </w:r>
      </w:hyperlink>
      <w:r>
        <w:rPr>
          <w:rFonts w:ascii="Times New Roman" w:hAnsi="Times New Roman"/>
        </w:rPr>
        <w:t>.</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Hodnotenie príslušného ustanovenia smernice 2006/54/ES, ktorou sa vykonáva zásada rovnakej odmeny za rovnakú prácu alebo prácu rovnakej hodnoty, stanovená v zmluve, SWD(2020) 50; správa o vykonávaní akčného plánu EÚ na roky 2017 – 2019 o odstraňovaní rozdielov v odmeňovaní žien a mužov, COM(2020) 101.</w:t>
      </w:r>
    </w:p>
  </w:footnote>
  <w:footnote w:id="5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Začne sa spolu s touto stratégiou.</w:t>
      </w:r>
    </w:p>
  </w:footnote>
  <w:footnote w:id="6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Záverečná správa skupiny expertov na vysokej úrovni v oblasti dôchodkov, december 2019,</w:t>
      </w:r>
      <w:r>
        <w:rPr>
          <w:rFonts w:ascii="Times New Roman" w:hAnsi="Times New Roman"/>
        </w:rPr>
        <w:br/>
      </w:r>
      <w:hyperlink r:id="rId29" w:history="1">
        <w:r>
          <w:rPr>
            <w:rStyle w:val="Hyperlink"/>
            <w:rFonts w:ascii="Times New Roman" w:hAnsi="Times New Roman"/>
            <w:u w:val="none"/>
          </w:rPr>
          <w:t>https://ec.europa.eu/transparency/regexpert/index.cfm?do=groupDetail.groupDetail&amp;groupID=3589</w:t>
        </w:r>
      </w:hyperlink>
      <w:r>
        <w:rPr>
          <w:rFonts w:ascii="Times New Roman" w:hAnsi="Times New Roman"/>
        </w:rPr>
        <w:t>.</w:t>
      </w:r>
    </w:p>
  </w:footnote>
  <w:footnote w:id="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Maldonado, L. C., &amp; Nieuwenhuis, R., „Family policies and single parent poverty in 18 OECD countries“ (Rodinné politiky a chudoba osamelého rodiča), 1978 – 2008. „Community, Work &amp; Family“ (Spoločenstvo, práca a rodina), zväzok 18 č. 4: s. 395 – 415.</w:t>
      </w:r>
    </w:p>
  </w:footnote>
  <w:footnote w:id="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0" w:history="1">
        <w:r>
          <w:rPr>
            <w:rStyle w:val="Hyperlink"/>
            <w:rFonts w:ascii="Times New Roman" w:hAnsi="Times New Roman"/>
            <w:u w:val="none"/>
          </w:rPr>
          <w:t>https://www.ilo.org/wcmsp5/groups/public/---dgreports/---cabinet/documents/publication/wcms_713376.pdf</w:t>
        </w:r>
      </w:hyperlink>
      <w:r>
        <w:rPr>
          <w:rFonts w:ascii="Times New Roman" w:hAnsi="Times New Roman"/>
        </w:rPr>
        <w:t xml:space="preserve">. </w:t>
      </w:r>
    </w:p>
  </w:footnote>
  <w:footnote w:id="63">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Eurofound, „Striking a balance: Reconciling work and life in the EU“ (Nájdenie rovnováhy: zosúladenie práce a života v EÚ), 2018 – pozri infografiku.</w:t>
      </w:r>
    </w:p>
  </w:footnote>
  <w:footnote w:id="64">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Hoffmann, F., &amp; Rodrigues, R., „Informal carers: who takes care of them?“ (Osoby s neformálnymi opatrovateľskými povinnosťami: Kto sa postará o ne?), politická správa Európskeho centra pre politiku a výskum v oblasti sociálneho zabezpečenia, Viedeň, apríl 2010 – pozri infografiku.</w:t>
      </w:r>
    </w:p>
  </w:footnote>
  <w:footnote w:id="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1" w:history="1">
        <w:r>
          <w:rPr>
            <w:rStyle w:val="Hyperlink"/>
            <w:rFonts w:ascii="Times New Roman" w:hAnsi="Times New Roman"/>
            <w:u w:val="none"/>
          </w:rPr>
          <w:t>https://ec.europa.eu/info/sites/info/files/bcn_objectives-report2018_web_en.pdf</w:t>
        </w:r>
      </w:hyperlink>
      <w:r>
        <w:rPr>
          <w:rFonts w:ascii="Times New Roman" w:hAnsi="Times New Roman"/>
        </w:rPr>
        <w:t>.</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To zahŕňa prepracované znenie smernice o rodovej rovnosti v zamestnaní a povolaní, ako aj smernice o rodovej rovnosti pri vykonávaní samostatnej zárobkovej činnosti, pri prístupe k tovaru a službám, pri sociálnom zabezpečení, počas tehotenstva a materstva, smernicu o práci na kratší pracovný čas, smernicu o transparentných a predvídateľných pracovných podmienkach, odporúčanie o prístupe k sociálnej ochrane a odporúčanie o subjektoch pre rovnaké zaobchádzanie.</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Databáza rodových štatistík inštitútu EIGE, národné parlamenty: jednokomorové parlamenty/dolné komory parlamentov, 2019 – pozri infografiku.</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Medzinárodná organizácia práce, „The business case for change“ (Hospodárske dôvody na zmenu), 2019; McKinsey, správa „Women Matter“, 2017; Catalyst, „Why Diversity and Inclusion Matter“ (Prečo na diverzite a inklúzii záleží), 2018; Rohini Anand, „Gender-Balanced Teams Linked to Better Business Performance: A Sodexo Study“(Rodovo vyvážené tímy a lepšia obchodná výkonnosť: štúdia skupiny Sodexo), 2016.</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Databáza rodových štatistík inštitútu EIGE, ženy a muži v rozhodovacom procese (2019) – pozri infografiku.</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COM(2012) 614 final.</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Pozitívne výsledky dosiahli viaceré krajiny, ktoré zaviedli príslušné legislatívne opatrenia, vrátane Francúzska, Talianska, Belgicka, Nemecka a nedávno aj Rakúska a Portugalska. Pozri</w:t>
      </w:r>
      <w:hyperlink r:id="rId32" w:history="1">
        <w:r>
          <w:rPr>
            <w:rStyle w:val="Hyperlink"/>
            <w:rFonts w:ascii="Times New Roman" w:hAnsi="Times New Roman"/>
            <w:u w:val="none"/>
          </w:rPr>
          <w:t>https://eige.europa.eu/publications/gender-equality-index-2019-report/more-gender-equality-corporate-boards-only-few-member-states</w:t>
        </w:r>
      </w:hyperlink>
      <w:r>
        <w:rPr>
          <w:rFonts w:ascii="Times New Roman" w:hAnsi="Times New Roman"/>
        </w:rPr>
        <w:t>.</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3" w:history="1">
        <w:r>
          <w:rPr>
            <w:rStyle w:val="Hyperlink"/>
            <w:rFonts w:ascii="Times New Roman" w:hAnsi="Times New Roman"/>
            <w:u w:val="none"/>
          </w:rPr>
          <w:t>https://ec.europa.eu/info/policies/justice-and-fundamental-rights/combatting-discrimination/tackling-discrimination/diversity-management/eu-platform-diversity-charters_en</w:t>
        </w:r>
      </w:hyperlink>
      <w:r>
        <w:rPr>
          <w:rStyle w:val="Hyperlink"/>
          <w:rFonts w:ascii="Times New Roman" w:hAnsi="Times New Roman"/>
          <w:u w:val="none"/>
        </w:rPr>
        <w:t>.</w:t>
      </w:r>
    </w:p>
  </w:footnote>
  <w:footnote w:id="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Medzi relevantné projekty patrí „European Women on Boards“ (Zastúpenie európskych žien vo vrcholových orgánoch): </w:t>
      </w:r>
      <w:hyperlink r:id="rId34" w:history="1">
        <w:r>
          <w:rPr>
            <w:rStyle w:val="Hyperlink"/>
            <w:rFonts w:ascii="Times New Roman" w:hAnsi="Times New Roman"/>
            <w:u w:val="none"/>
          </w:rPr>
          <w:t>https://europeanwomenonboards.eu/</w:t>
        </w:r>
      </w:hyperlink>
      <w:r>
        <w:rPr>
          <w:rFonts w:ascii="Times New Roman" w:hAnsi="Times New Roman"/>
        </w:rPr>
        <w:t>.</w:t>
      </w:r>
    </w:p>
  </w:footnote>
  <w:footnote w:id="74">
    <w:p>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Nariadenie 2018/673, ktorým sa mení nariadenie (EÚ, Euratom) č. 1141/2014 o štatúte a financovaní európskych politických strán a európskych politických nadácií, odôvodnenie 6.</w:t>
      </w:r>
    </w:p>
  </w:footnote>
  <w:footnote w:id="75">
    <w:p>
      <w:pPr>
        <w:pStyle w:val="FootnoteText"/>
        <w:jc w:val="both"/>
        <w:rPr>
          <w:rFonts w:ascii="Times New Roman" w:hAnsi="Times New Roman" w:cs="Times New Roman"/>
          <w:sz w:val="22"/>
        </w:rPr>
      </w:pPr>
      <w:r>
        <w:rPr>
          <w:rStyle w:val="FootnoteReference"/>
          <w:rFonts w:ascii="Times New Roman" w:hAnsi="Times New Roman" w:cs="Times New Roman"/>
        </w:rPr>
        <w:footnoteRef/>
      </w:r>
      <w:r>
        <w:rPr>
          <w:rFonts w:ascii="Times New Roman" w:hAnsi="Times New Roman"/>
        </w:rPr>
        <w:t>V roku 2019 tvorili ženy 41 % riadiacich pracovníkov Komisie (v porovnaní s 30 % v roku 2014). To zahŕňalo 37 % vyšších riadiacich pracovníkov (nárast z 27 %) a 42 % stredných riadiacich pracovníkov (nárast z 31 %).</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Pre existujúce opatrenia pozri správu Európskej komisie „Diversity and Gender Equality Report 2019“ (Správa o rozmanitosti a rodovej rovnosti 2019), Brusel, 6. novembra 2019.</w:t>
      </w:r>
    </w:p>
  </w:footnote>
  <w:footnote w:id="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Viac než tri zo štyroch agentúr EÚ sú v súčasnosti pod vedením mužov.</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5" w:history="1">
        <w:r>
          <w:rPr>
            <w:rStyle w:val="Hyperlink"/>
            <w:rFonts w:ascii="Times New Roman" w:hAnsi="Times New Roman"/>
            <w:u w:val="none"/>
          </w:rPr>
          <w:t>https://ec.europa.eu/info/policies/justice-and-fundamental-rights/gender-equality/who-we-work-gender-equality/mutual-learning-programme-gender-equality_en</w:t>
        </w:r>
      </w:hyperlink>
      <w:r>
        <w:rPr>
          <w:rFonts w:ascii="Times New Roman" w:hAnsi="Times New Roman"/>
        </w:rPr>
        <w:t>.</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Pracovná skupina uľahčí uplatňovanie hľadiska rovnosti v súvislosti so šiestimi dôvodmi diskriminácie: pohlavie, rasa alebo etnický pôvod, náboženstvo alebo viera, zdravotné postihnutie, vek a sexuálna orientácia.</w:t>
      </w:r>
    </w:p>
  </w:footnote>
  <w:footnote w:id="80">
    <w:p>
      <w:pPr>
        <w:pStyle w:val="FootnoteText"/>
        <w:jc w:val="both"/>
      </w:pPr>
      <w:r>
        <w:rPr>
          <w:rStyle w:val="FootnoteReference"/>
          <w:rFonts w:ascii="Times New Roman" w:hAnsi="Times New Roman" w:cs="Times New Roman"/>
        </w:rPr>
        <w:footnoteRef/>
      </w:r>
      <w:r>
        <w:rPr>
          <w:rFonts w:ascii="Times New Roman" w:hAnsi="Times New Roman"/>
        </w:rPr>
        <w:t xml:space="preserve"> V oboch prípadoch bude mať osobitná pozornosť zameraná na starších ľudí (pokiaľ ide o obnovu odolávajúcu budúcim zmenám alebo o politiky adaptácie na zmenu klímy, či opatrenia počas horúčav na zlepšenie hydratácie) napríklad pozitívny vplyv najmä na ženy, pretože tvoria väčšinu staršej populácie.</w:t>
      </w:r>
    </w:p>
  </w:footnote>
  <w:footnote w:id="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COM(2018) 375 final.</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6" w:history="1">
        <w:r>
          <w:rPr>
            <w:rStyle w:val="Hyperlink"/>
            <w:rFonts w:ascii="Times New Roman" w:hAnsi="Times New Roman"/>
            <w:u w:val="none"/>
          </w:rPr>
          <w:t>https://ec.europa.eu/jrc/en/news/how-big-eus-blue-economy-eu-report-potential-coasts-and-oceans-provide-sustainable-economic-growth</w:t>
        </w:r>
      </w:hyperlink>
      <w:r>
        <w:rPr>
          <w:rFonts w:ascii="Times New Roman" w:hAnsi="Times New Roman"/>
        </w:rPr>
        <w:t>.</w:t>
      </w:r>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7" w:history="1">
        <w:r>
          <w:rPr>
            <w:rStyle w:val="Hyperlink"/>
            <w:rFonts w:ascii="Times New Roman" w:hAnsi="Times New Roman"/>
            <w:u w:val="none"/>
          </w:rPr>
          <w:t>http://www.europarl.europa.eu/meetdocs/2014_2019/plmrep/COMMITTEES/FEMM/DV/2018/09-03/20180828DraftResolutionGenderBudgetingintheEUBudget-thewayforward_EN.pdf</w:t>
        </w:r>
      </w:hyperlink>
      <w:r>
        <w:rPr>
          <w:rFonts w:ascii="Times New Roman" w:hAnsi="Times New Roman"/>
        </w:rPr>
        <w:t>.</w:t>
      </w:r>
    </w:p>
  </w:footnote>
  <w:footnote w:id="8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8" w:history="1">
        <w:r>
          <w:rPr>
            <w:rStyle w:val="Hyperlink"/>
            <w:rFonts w:ascii="Times New Roman" w:hAnsi="Times New Roman"/>
            <w:u w:val="none"/>
          </w:rPr>
          <w:t>https://europa.eu/capacity4dev/articles/eu-gender-action-plan-ii-how-eu-delegations-contribute-gender-equality-worldwide</w:t>
        </w:r>
      </w:hyperlink>
      <w:r>
        <w:rPr>
          <w:rFonts w:ascii="Times New Roman" w:hAnsi="Times New Roman"/>
        </w:rPr>
        <w:t>.</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Strategický prístup EÚ pre ženy, mier a bezpečnosť (WPS) je pripojený k záverom Rady pre zahraničné veci týkajúcim sa WPS, ktoré boli prijaté 10. decembra 2018, (dokument Rady 15086/18), </w:t>
      </w:r>
      <w:hyperlink r:id="rId39" w:history="1">
        <w:r>
          <w:rPr>
            <w:rStyle w:val="Hyperlink"/>
            <w:rFonts w:ascii="Times New Roman" w:hAnsi="Times New Roman"/>
            <w:u w:val="none"/>
          </w:rPr>
          <w:t>https://www.consilium.europa.eu/media/37412/st15086-en18.pdf</w:t>
        </w:r>
      </w:hyperlink>
      <w:r>
        <w:rPr>
          <w:rFonts w:ascii="Times New Roman" w:hAnsi="Times New Roman"/>
        </w:rPr>
        <w:t xml:space="preserve">, a akčný plán EÚ pre ženy, mier a bezpečnosť na roky 2019 – 2024 zo 4. júla 2019, EEAS(2019) 747, </w:t>
      </w:r>
      <w:hyperlink r:id="rId40" w:history="1">
        <w:r>
          <w:rPr>
            <w:rStyle w:val="Hyperlink"/>
            <w:rFonts w:ascii="Times New Roman" w:hAnsi="Times New Roman"/>
            <w:u w:val="none"/>
          </w:rPr>
          <w:t>https://www.consilium.europa.eu/register/en/content/out?&amp;typ=ENTRY&amp;i=ADV&amp;DOC_ID=ST-11031-2019-INIT</w:t>
        </w:r>
      </w:hyperlink>
      <w:r>
        <w:rPr>
          <w:rFonts w:ascii="Times New Roman" w:hAnsi="Times New Roman"/>
        </w:rPr>
        <w:t>.</w:t>
      </w:r>
    </w:p>
  </w:footnote>
  <w:footnote w:id="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Meranie sa vykonáva podľa ukazovateľa OECD týkajúceho sa politiky rodovej rovnosti. Konkrétne v prípade humanitárnej pomoci Komisia uplatňuje svoj vlastný rodovo-vekový ukazovateľ.</w:t>
      </w:r>
    </w:p>
  </w:footnote>
  <w:footnote w:id="87">
    <w:p>
      <w:pPr>
        <w:pStyle w:val="NoSpacing"/>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Nedávne uznesenia Európskeho parlamentu o rodovej rovnosti zahŕňajú: uznesenie Európskeho parlamentu</w:t>
      </w:r>
      <w:hyperlink r:id="rId41" w:history="1">
        <w:r>
          <w:rPr>
            <w:rStyle w:val="Hyperlink"/>
            <w:rFonts w:ascii="Times New Roman" w:hAnsi="Times New Roman"/>
            <w:sz w:val="20"/>
            <w:szCs w:val="20"/>
            <w:u w:val="none"/>
          </w:rPr>
          <w:t>2019/2870(RSP)</w:t>
        </w:r>
      </w:hyperlink>
      <w:r>
        <w:rPr>
          <w:rFonts w:ascii="Times New Roman" w:hAnsi="Times New Roman"/>
          <w:sz w:val="20"/>
          <w:szCs w:val="20"/>
        </w:rPr>
        <w:t xml:space="preserve"> z 30. januára 2020 o rozdiele v odmeňovaní žien a mužov; uznesenie Európskeho parlamentu </w:t>
      </w:r>
      <w:hyperlink r:id="rId42" w:history="1">
        <w:r>
          <w:rPr>
            <w:rStyle w:val="Hyperlink"/>
            <w:rFonts w:ascii="Times New Roman" w:hAnsi="Times New Roman"/>
            <w:sz w:val="20"/>
            <w:szCs w:val="20"/>
            <w:u w:val="none"/>
          </w:rPr>
          <w:t>2019/2855(RSP)</w:t>
        </w:r>
      </w:hyperlink>
      <w:r>
        <w:rPr>
          <w:rFonts w:ascii="Times New Roman" w:hAnsi="Times New Roman"/>
          <w:sz w:val="20"/>
          <w:szCs w:val="20"/>
        </w:rPr>
        <w:t xml:space="preserve"> z 28. novembra 2019 o pristúpení EÚ k Istanbulskému dohovoru a ďalších opatreniach na boj proti rodovo motivovanému násiliu; uznesenie Európskeho parlamentu </w:t>
      </w:r>
      <w:hyperlink r:id="rId43" w:history="1">
        <w:r>
          <w:rPr>
            <w:rStyle w:val="Hyperlink"/>
            <w:rFonts w:ascii="Times New Roman" w:hAnsi="Times New Roman"/>
            <w:sz w:val="20"/>
            <w:szCs w:val="20"/>
            <w:u w:val="none"/>
          </w:rPr>
          <w:t>2016/2249(INI)</w:t>
        </w:r>
      </w:hyperlink>
      <w:r>
        <w:rPr>
          <w:rFonts w:ascii="Times New Roman" w:hAnsi="Times New Roman"/>
          <w:sz w:val="20"/>
          <w:szCs w:val="20"/>
        </w:rPr>
        <w:t xml:space="preserve"> zo 14. marca 2017 o rovnosti žien a mužov v Európskej únii v období 2014 – 2015. </w:t>
      </w:r>
    </w:p>
  </w:footnote>
  <w:footnote w:id="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Nedávne závery Rady o rodovej rovnosti zahŕňajú: závery Rady z 10. decembra 2019 o hospodárstvach podporujúcich rodovú rovnosť v EÚ: ďalší postup – zhodnotenie 25 rokov vykonávania Pekinskej akčnej platformy; závery Rady z 24. októbra 2019 o hospodárstve zameranom na dobré životné podmienky; </w:t>
      </w:r>
      <w:r>
        <w:rPr>
          <w:rFonts w:ascii="Times New Roman" w:hAnsi="Times New Roman"/>
          <w:bCs/>
        </w:rPr>
        <w:t xml:space="preserve">závery Rady z 13. júna 2019 o odstraňovaní rozdielov v odmeňovaní žien a mužov: </w:t>
      </w:r>
      <w:r>
        <w:rPr>
          <w:rFonts w:ascii="Times New Roman" w:hAnsi="Times New Roman"/>
        </w:rPr>
        <w:t xml:space="preserve">kľúčové politiky a opatrenia.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E68"/>
    <w:multiLevelType w:val="hybridMultilevel"/>
    <w:tmpl w:val="616849BE"/>
    <w:lvl w:ilvl="0" w:tplc="2E94361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79E7893"/>
    <w:multiLevelType w:val="hybridMultilevel"/>
    <w:tmpl w:val="C4D23EE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D553C"/>
    <w:multiLevelType w:val="hybridMultilevel"/>
    <w:tmpl w:val="2B581C38"/>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F320AD"/>
    <w:multiLevelType w:val="hybridMultilevel"/>
    <w:tmpl w:val="92228780"/>
    <w:lvl w:ilvl="0" w:tplc="EAC8A79C">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0C596C70"/>
    <w:multiLevelType w:val="hybridMultilevel"/>
    <w:tmpl w:val="A322BAD0"/>
    <w:lvl w:ilvl="0" w:tplc="B886847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D6F10AA"/>
    <w:multiLevelType w:val="hybridMultilevel"/>
    <w:tmpl w:val="83AA8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C744C2"/>
    <w:multiLevelType w:val="hybridMultilevel"/>
    <w:tmpl w:val="F19A64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FD22664"/>
    <w:multiLevelType w:val="hybridMultilevel"/>
    <w:tmpl w:val="1FCE8004"/>
    <w:lvl w:ilvl="0" w:tplc="80409E2A">
      <w:numFmt w:val="bullet"/>
      <w:lvlText w:val="-"/>
      <w:lvlJc w:val="left"/>
      <w:pPr>
        <w:ind w:left="1788" w:hanging="360"/>
      </w:pPr>
      <w:rPr>
        <w:rFonts w:ascii="Calibri" w:eastAsia="Calibri" w:hAnsi="Calibri" w:cs="Calibri" w:hint="default"/>
      </w:rPr>
    </w:lvl>
    <w:lvl w:ilvl="1" w:tplc="080C0003">
      <w:start w:val="1"/>
      <w:numFmt w:val="bullet"/>
      <w:lvlText w:val="o"/>
      <w:lvlJc w:val="left"/>
      <w:pPr>
        <w:ind w:left="2508" w:hanging="360"/>
      </w:pPr>
      <w:rPr>
        <w:rFonts w:ascii="Courier New" w:hAnsi="Courier New" w:cs="Courier New" w:hint="default"/>
      </w:rPr>
    </w:lvl>
    <w:lvl w:ilvl="2" w:tplc="080C0005">
      <w:start w:val="1"/>
      <w:numFmt w:val="bullet"/>
      <w:lvlText w:val=""/>
      <w:lvlJc w:val="left"/>
      <w:pPr>
        <w:ind w:left="3228" w:hanging="360"/>
      </w:pPr>
      <w:rPr>
        <w:rFonts w:ascii="Wingdings" w:hAnsi="Wingdings" w:hint="default"/>
      </w:rPr>
    </w:lvl>
    <w:lvl w:ilvl="3" w:tplc="080C0001">
      <w:start w:val="1"/>
      <w:numFmt w:val="bullet"/>
      <w:lvlText w:val=""/>
      <w:lvlJc w:val="left"/>
      <w:pPr>
        <w:ind w:left="3948" w:hanging="360"/>
      </w:pPr>
      <w:rPr>
        <w:rFonts w:ascii="Symbol" w:hAnsi="Symbol" w:hint="default"/>
      </w:rPr>
    </w:lvl>
    <w:lvl w:ilvl="4" w:tplc="080C0003">
      <w:start w:val="1"/>
      <w:numFmt w:val="bullet"/>
      <w:lvlText w:val="o"/>
      <w:lvlJc w:val="left"/>
      <w:pPr>
        <w:ind w:left="4668" w:hanging="360"/>
      </w:pPr>
      <w:rPr>
        <w:rFonts w:ascii="Courier New" w:hAnsi="Courier New" w:cs="Courier New" w:hint="default"/>
      </w:rPr>
    </w:lvl>
    <w:lvl w:ilvl="5" w:tplc="080C0005">
      <w:start w:val="1"/>
      <w:numFmt w:val="bullet"/>
      <w:lvlText w:val=""/>
      <w:lvlJc w:val="left"/>
      <w:pPr>
        <w:ind w:left="5388" w:hanging="360"/>
      </w:pPr>
      <w:rPr>
        <w:rFonts w:ascii="Wingdings" w:hAnsi="Wingdings" w:hint="default"/>
      </w:rPr>
    </w:lvl>
    <w:lvl w:ilvl="6" w:tplc="080C0001">
      <w:start w:val="1"/>
      <w:numFmt w:val="bullet"/>
      <w:lvlText w:val=""/>
      <w:lvlJc w:val="left"/>
      <w:pPr>
        <w:ind w:left="6108" w:hanging="360"/>
      </w:pPr>
      <w:rPr>
        <w:rFonts w:ascii="Symbol" w:hAnsi="Symbol" w:hint="default"/>
      </w:rPr>
    </w:lvl>
    <w:lvl w:ilvl="7" w:tplc="080C0003">
      <w:start w:val="1"/>
      <w:numFmt w:val="bullet"/>
      <w:lvlText w:val="o"/>
      <w:lvlJc w:val="left"/>
      <w:pPr>
        <w:ind w:left="6828" w:hanging="360"/>
      </w:pPr>
      <w:rPr>
        <w:rFonts w:ascii="Courier New" w:hAnsi="Courier New" w:cs="Courier New" w:hint="default"/>
      </w:rPr>
    </w:lvl>
    <w:lvl w:ilvl="8" w:tplc="080C0005">
      <w:start w:val="1"/>
      <w:numFmt w:val="bullet"/>
      <w:lvlText w:val=""/>
      <w:lvlJc w:val="left"/>
      <w:pPr>
        <w:ind w:left="7548" w:hanging="360"/>
      </w:pPr>
      <w:rPr>
        <w:rFonts w:ascii="Wingdings" w:hAnsi="Wingdings" w:hint="default"/>
      </w:rPr>
    </w:lvl>
  </w:abstractNum>
  <w:abstractNum w:abstractNumId="8">
    <w:nsid w:val="113C65AB"/>
    <w:multiLevelType w:val="hybridMultilevel"/>
    <w:tmpl w:val="EF3ED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15C3818"/>
    <w:multiLevelType w:val="hybridMultilevel"/>
    <w:tmpl w:val="4C9A0CAC"/>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0">
    <w:nsid w:val="12404624"/>
    <w:multiLevelType w:val="hybridMultilevel"/>
    <w:tmpl w:val="2CEEF0F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2A85C96"/>
    <w:multiLevelType w:val="hybridMultilevel"/>
    <w:tmpl w:val="750E1ACE"/>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996626"/>
    <w:multiLevelType w:val="hybridMultilevel"/>
    <w:tmpl w:val="BA340CA4"/>
    <w:lvl w:ilvl="0" w:tplc="17BE2C34">
      <w:start w:val="1"/>
      <w:numFmt w:val="bullet"/>
      <w:pStyle w:val="B0Lis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589625A"/>
    <w:multiLevelType w:val="hybridMultilevel"/>
    <w:tmpl w:val="CAB4E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565CC"/>
    <w:multiLevelType w:val="hybridMultilevel"/>
    <w:tmpl w:val="7C927AF6"/>
    <w:lvl w:ilvl="0" w:tplc="A202B042">
      <w:start w:val="1"/>
      <w:numFmt w:val="decimal"/>
      <w:lvlText w:val="%1."/>
      <w:lvlJc w:val="left"/>
      <w:pPr>
        <w:ind w:left="360" w:hanging="360"/>
      </w:pPr>
      <w:rPr>
        <w:b/>
        <w:i w:val="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5">
    <w:nsid w:val="17374086"/>
    <w:multiLevelType w:val="hybridMultilevel"/>
    <w:tmpl w:val="C2C6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93B1969"/>
    <w:multiLevelType w:val="hybridMultilevel"/>
    <w:tmpl w:val="7C72AF7E"/>
    <w:lvl w:ilvl="0" w:tplc="E498240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343241"/>
    <w:multiLevelType w:val="hybridMultilevel"/>
    <w:tmpl w:val="3F6428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FB76495"/>
    <w:multiLevelType w:val="hybridMultilevel"/>
    <w:tmpl w:val="9AC6131E"/>
    <w:lvl w:ilvl="0" w:tplc="2F2287C8">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1185CAF"/>
    <w:multiLevelType w:val="hybridMultilevel"/>
    <w:tmpl w:val="BD7CC05C"/>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cs="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cs="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cs="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20">
    <w:nsid w:val="2200208C"/>
    <w:multiLevelType w:val="hybridMultilevel"/>
    <w:tmpl w:val="C2467B6C"/>
    <w:lvl w:ilvl="0" w:tplc="9DB4B2B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nsid w:val="223A5309"/>
    <w:multiLevelType w:val="hybridMultilevel"/>
    <w:tmpl w:val="78D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676A38"/>
    <w:multiLevelType w:val="hybridMultilevel"/>
    <w:tmpl w:val="60F64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5835334"/>
    <w:multiLevelType w:val="hybridMultilevel"/>
    <w:tmpl w:val="72BCF7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0A7454"/>
    <w:multiLevelType w:val="hybridMultilevel"/>
    <w:tmpl w:val="1160F598"/>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5">
    <w:nsid w:val="266110FB"/>
    <w:multiLevelType w:val="hybridMultilevel"/>
    <w:tmpl w:val="3D70678A"/>
    <w:lvl w:ilvl="0" w:tplc="080C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7E7086D"/>
    <w:multiLevelType w:val="hybridMultilevel"/>
    <w:tmpl w:val="C0B0939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294564D6"/>
    <w:multiLevelType w:val="hybridMultilevel"/>
    <w:tmpl w:val="7E0C06CC"/>
    <w:lvl w:ilvl="0" w:tplc="59D008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2CD77D49"/>
    <w:multiLevelType w:val="hybridMultilevel"/>
    <w:tmpl w:val="63B6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4F470A"/>
    <w:multiLevelType w:val="hybridMultilevel"/>
    <w:tmpl w:val="48EA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732AF8"/>
    <w:multiLevelType w:val="hybridMultilevel"/>
    <w:tmpl w:val="5B9036FA"/>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2E8A0F5D"/>
    <w:multiLevelType w:val="hybridMultilevel"/>
    <w:tmpl w:val="4382327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864C4"/>
    <w:multiLevelType w:val="hybridMultilevel"/>
    <w:tmpl w:val="DB0AC8C8"/>
    <w:lvl w:ilvl="0" w:tplc="5B46068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DA19EA"/>
    <w:multiLevelType w:val="hybridMultilevel"/>
    <w:tmpl w:val="AD6C9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33AC1498"/>
    <w:multiLevelType w:val="hybridMultilevel"/>
    <w:tmpl w:val="2C2E4D4E"/>
    <w:lvl w:ilvl="0" w:tplc="16B46DF0">
      <w:start w:val="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37CF35FE"/>
    <w:multiLevelType w:val="hybridMultilevel"/>
    <w:tmpl w:val="D63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EE1B06"/>
    <w:multiLevelType w:val="hybridMultilevel"/>
    <w:tmpl w:val="9D680D5E"/>
    <w:lvl w:ilvl="0" w:tplc="02A016C4">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A7730C4"/>
    <w:multiLevelType w:val="singleLevel"/>
    <w:tmpl w:val="456C96DE"/>
    <w:lvl w:ilvl="0">
      <w:start w:val="1"/>
      <w:numFmt w:val="bullet"/>
      <w:lvlText w:val=""/>
      <w:lvlJc w:val="left"/>
      <w:pPr>
        <w:tabs>
          <w:tab w:val="num" w:pos="765"/>
        </w:tabs>
        <w:ind w:left="765" w:hanging="283"/>
      </w:pPr>
      <w:rPr>
        <w:rFonts w:ascii="Symbol" w:hAnsi="Symbol" w:cs="Symbol"/>
      </w:rPr>
    </w:lvl>
  </w:abstractNum>
  <w:abstractNum w:abstractNumId="38">
    <w:nsid w:val="3B3A68C8"/>
    <w:multiLevelType w:val="hybridMultilevel"/>
    <w:tmpl w:val="68DE966C"/>
    <w:lvl w:ilvl="0" w:tplc="EE444F74">
      <w:start w:val="8"/>
      <w:numFmt w:val="bullet"/>
      <w:lvlText w:val="-"/>
      <w:lvlJc w:val="left"/>
      <w:pPr>
        <w:ind w:left="720" w:hanging="360"/>
      </w:pPr>
      <w:rPr>
        <w:rFonts w:ascii="Garamond" w:eastAsiaTheme="minorHAnsi" w:hAnsi="Garamond" w:cstheme="minorBid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3DFB030D"/>
    <w:multiLevelType w:val="hybridMultilevel"/>
    <w:tmpl w:val="843A42D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2671F4A"/>
    <w:multiLevelType w:val="hybridMultilevel"/>
    <w:tmpl w:val="10DC4EB6"/>
    <w:lvl w:ilvl="0" w:tplc="BE6E0852">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432B1353"/>
    <w:multiLevelType w:val="hybridMultilevel"/>
    <w:tmpl w:val="A88691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42">
    <w:nsid w:val="450B03C3"/>
    <w:multiLevelType w:val="hybridMultilevel"/>
    <w:tmpl w:val="D578F79C"/>
    <w:lvl w:ilvl="0" w:tplc="D9C63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FB5FC5"/>
    <w:multiLevelType w:val="hybridMultilevel"/>
    <w:tmpl w:val="BDEA5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461F5772"/>
    <w:multiLevelType w:val="hybridMultilevel"/>
    <w:tmpl w:val="08D4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83D0E8A"/>
    <w:multiLevelType w:val="hybridMultilevel"/>
    <w:tmpl w:val="DAC6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2A1252"/>
    <w:multiLevelType w:val="hybridMultilevel"/>
    <w:tmpl w:val="12CEEDC2"/>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49643708"/>
    <w:multiLevelType w:val="hybridMultilevel"/>
    <w:tmpl w:val="C2107A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4AF717ED"/>
    <w:multiLevelType w:val="hybridMultilevel"/>
    <w:tmpl w:val="0F8C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692F63"/>
    <w:multiLevelType w:val="hybridMultilevel"/>
    <w:tmpl w:val="310285D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4E56718C"/>
    <w:multiLevelType w:val="hybridMultilevel"/>
    <w:tmpl w:val="C5D4FF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EA72406"/>
    <w:multiLevelType w:val="hybridMultilevel"/>
    <w:tmpl w:val="472A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E737AB"/>
    <w:multiLevelType w:val="hybridMultilevel"/>
    <w:tmpl w:val="BD388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4F897938"/>
    <w:multiLevelType w:val="hybridMultilevel"/>
    <w:tmpl w:val="65E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10C7B00"/>
    <w:multiLevelType w:val="hybridMultilevel"/>
    <w:tmpl w:val="06B21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543E0B3E"/>
    <w:multiLevelType w:val="hybridMultilevel"/>
    <w:tmpl w:val="D5281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54F44D5E"/>
    <w:multiLevelType w:val="hybridMultilevel"/>
    <w:tmpl w:val="4E744C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58E750E1"/>
    <w:multiLevelType w:val="hybridMultilevel"/>
    <w:tmpl w:val="2118072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526F75"/>
    <w:multiLevelType w:val="hybridMultilevel"/>
    <w:tmpl w:val="AE5442C8"/>
    <w:lvl w:ilvl="0" w:tplc="42E49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A792952"/>
    <w:multiLevelType w:val="hybridMultilevel"/>
    <w:tmpl w:val="E8F0F3F4"/>
    <w:lvl w:ilvl="0" w:tplc="06CC35F8">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5ADA2E52"/>
    <w:multiLevelType w:val="hybridMultilevel"/>
    <w:tmpl w:val="5FFCB2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5B9663EE"/>
    <w:multiLevelType w:val="hybridMultilevel"/>
    <w:tmpl w:val="DD1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D776220"/>
    <w:multiLevelType w:val="hybridMultilevel"/>
    <w:tmpl w:val="EE50309E"/>
    <w:lvl w:ilvl="0" w:tplc="0DC6D5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856946"/>
    <w:multiLevelType w:val="hybridMultilevel"/>
    <w:tmpl w:val="C41E5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406FEE"/>
    <w:multiLevelType w:val="hybridMultilevel"/>
    <w:tmpl w:val="9D2C0E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4E6039"/>
    <w:multiLevelType w:val="hybridMultilevel"/>
    <w:tmpl w:val="7CD0B0E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61542B7F"/>
    <w:multiLevelType w:val="hybridMultilevel"/>
    <w:tmpl w:val="95928620"/>
    <w:lvl w:ilvl="0" w:tplc="8BEC7CA8">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622D20EA"/>
    <w:multiLevelType w:val="hybridMultilevel"/>
    <w:tmpl w:val="B686C928"/>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68">
    <w:nsid w:val="633C4953"/>
    <w:multiLevelType w:val="hybridMultilevel"/>
    <w:tmpl w:val="E05A6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644E5CF9"/>
    <w:multiLevelType w:val="hybridMultilevel"/>
    <w:tmpl w:val="64ACB266"/>
    <w:lvl w:ilvl="0" w:tplc="2E9436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58A2542"/>
    <w:multiLevelType w:val="hybridMultilevel"/>
    <w:tmpl w:val="2250B90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6991276D"/>
    <w:multiLevelType w:val="hybridMultilevel"/>
    <w:tmpl w:val="8A94E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nsid w:val="6BF43FDA"/>
    <w:multiLevelType w:val="hybridMultilevel"/>
    <w:tmpl w:val="AD9A8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8866D1"/>
    <w:multiLevelType w:val="hybridMultilevel"/>
    <w:tmpl w:val="7214DABE"/>
    <w:lvl w:ilvl="0" w:tplc="8A986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0366DF"/>
    <w:multiLevelType w:val="hybridMultilevel"/>
    <w:tmpl w:val="6A18B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6D7A3248"/>
    <w:multiLevelType w:val="hybridMultilevel"/>
    <w:tmpl w:val="B818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715649"/>
    <w:multiLevelType w:val="hybridMultilevel"/>
    <w:tmpl w:val="E91EE14E"/>
    <w:lvl w:ilvl="0" w:tplc="75245EDE">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nsid w:val="722F479F"/>
    <w:multiLevelType w:val="hybridMultilevel"/>
    <w:tmpl w:val="D82A76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9C26B5"/>
    <w:multiLevelType w:val="hybridMultilevel"/>
    <w:tmpl w:val="06A67D5C"/>
    <w:lvl w:ilvl="0" w:tplc="83C453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730C56AF"/>
    <w:multiLevelType w:val="hybridMultilevel"/>
    <w:tmpl w:val="E768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73FE3A80"/>
    <w:multiLevelType w:val="hybridMultilevel"/>
    <w:tmpl w:val="1600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49F4AFF"/>
    <w:multiLevelType w:val="hybridMultilevel"/>
    <w:tmpl w:val="7742BCC4"/>
    <w:lvl w:ilvl="0" w:tplc="41F4A60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B804FB"/>
    <w:multiLevelType w:val="hybridMultilevel"/>
    <w:tmpl w:val="B6A0CC00"/>
    <w:lvl w:ilvl="0" w:tplc="27E008E6">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3">
    <w:nsid w:val="75BA3838"/>
    <w:multiLevelType w:val="hybridMultilevel"/>
    <w:tmpl w:val="01487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7A7D5636"/>
    <w:multiLevelType w:val="hybridMultilevel"/>
    <w:tmpl w:val="46661E6E"/>
    <w:lvl w:ilvl="0" w:tplc="36561026">
      <w:start w:val="1"/>
      <w:numFmt w:val="bullet"/>
      <w:lvlText w:val=""/>
      <w:lvlJc w:val="left"/>
      <w:pPr>
        <w:ind w:left="360" w:hanging="360"/>
      </w:pPr>
      <w:rPr>
        <w:rFonts w:ascii="Symbol" w:hAnsi="Symbol" w:hint="default"/>
        <w:b w:val="0"/>
        <w:i/>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5">
    <w:nsid w:val="7E2F1CBD"/>
    <w:multiLevelType w:val="hybridMultilevel"/>
    <w:tmpl w:val="523C39F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9"/>
  </w:num>
  <w:num w:numId="4">
    <w:abstractNumId w:val="73"/>
  </w:num>
  <w:num w:numId="5">
    <w:abstractNumId w:val="14"/>
  </w:num>
  <w:num w:numId="6">
    <w:abstractNumId w:val="33"/>
  </w:num>
  <w:num w:numId="7">
    <w:abstractNumId w:val="70"/>
  </w:num>
  <w:num w:numId="8">
    <w:abstractNumId w:val="10"/>
  </w:num>
  <w:num w:numId="9">
    <w:abstractNumId w:val="79"/>
  </w:num>
  <w:num w:numId="10">
    <w:abstractNumId w:val="67"/>
  </w:num>
  <w:num w:numId="11">
    <w:abstractNumId w:val="36"/>
  </w:num>
  <w:num w:numId="12">
    <w:abstractNumId w:val="4"/>
  </w:num>
  <w:num w:numId="13">
    <w:abstractNumId w:val="12"/>
  </w:num>
  <w:num w:numId="14">
    <w:abstractNumId w:val="12"/>
  </w:num>
  <w:num w:numId="15">
    <w:abstractNumId w:val="25"/>
  </w:num>
  <w:num w:numId="16">
    <w:abstractNumId w:val="54"/>
  </w:num>
  <w:num w:numId="17">
    <w:abstractNumId w:val="3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2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9"/>
  </w:num>
  <w:num w:numId="30">
    <w:abstractNumId w:val="63"/>
  </w:num>
  <w:num w:numId="31">
    <w:abstractNumId w:val="45"/>
  </w:num>
  <w:num w:numId="32">
    <w:abstractNumId w:val="16"/>
  </w:num>
  <w:num w:numId="33">
    <w:abstractNumId w:val="72"/>
  </w:num>
  <w:num w:numId="34">
    <w:abstractNumId w:val="62"/>
  </w:num>
  <w:num w:numId="35">
    <w:abstractNumId w:val="42"/>
  </w:num>
  <w:num w:numId="36">
    <w:abstractNumId w:val="13"/>
  </w:num>
  <w:num w:numId="37">
    <w:abstractNumId w:val="46"/>
  </w:num>
  <w:num w:numId="38">
    <w:abstractNumId w:val="77"/>
  </w:num>
  <w:num w:numId="39">
    <w:abstractNumId w:val="81"/>
  </w:num>
  <w:num w:numId="40">
    <w:abstractNumId w:val="82"/>
  </w:num>
  <w:num w:numId="41">
    <w:abstractNumId w:val="3"/>
  </w:num>
  <w:num w:numId="42">
    <w:abstractNumId w:val="49"/>
  </w:num>
  <w:num w:numId="43">
    <w:abstractNumId w:val="71"/>
  </w:num>
  <w:num w:numId="44">
    <w:abstractNumId w:val="52"/>
  </w:num>
  <w:num w:numId="45">
    <w:abstractNumId w:val="6"/>
  </w:num>
  <w:num w:numId="46">
    <w:abstractNumId w:val="60"/>
  </w:num>
  <w:num w:numId="47">
    <w:abstractNumId w:val="32"/>
  </w:num>
  <w:num w:numId="48">
    <w:abstractNumId w:val="59"/>
  </w:num>
  <w:num w:numId="49">
    <w:abstractNumId w:val="76"/>
  </w:num>
  <w:num w:numId="50">
    <w:abstractNumId w:val="79"/>
  </w:num>
  <w:num w:numId="51">
    <w:abstractNumId w:val="55"/>
  </w:num>
  <w:num w:numId="52">
    <w:abstractNumId w:val="57"/>
  </w:num>
  <w:num w:numId="53">
    <w:abstractNumId w:val="65"/>
  </w:num>
  <w:num w:numId="54">
    <w:abstractNumId w:val="50"/>
  </w:num>
  <w:num w:numId="55">
    <w:abstractNumId w:val="83"/>
  </w:num>
  <w:num w:numId="56">
    <w:abstractNumId w:val="74"/>
  </w:num>
  <w:num w:numId="57">
    <w:abstractNumId w:val="64"/>
  </w:num>
  <w:num w:numId="58">
    <w:abstractNumId w:val="1"/>
  </w:num>
  <w:num w:numId="59">
    <w:abstractNumId w:val="47"/>
  </w:num>
  <w:num w:numId="60">
    <w:abstractNumId w:val="11"/>
  </w:num>
  <w:num w:numId="61">
    <w:abstractNumId w:val="2"/>
  </w:num>
  <w:num w:numId="62">
    <w:abstractNumId w:val="24"/>
  </w:num>
  <w:num w:numId="63">
    <w:abstractNumId w:val="17"/>
  </w:num>
  <w:num w:numId="64">
    <w:abstractNumId w:val="22"/>
  </w:num>
  <w:num w:numId="65">
    <w:abstractNumId w:val="31"/>
  </w:num>
  <w:num w:numId="66">
    <w:abstractNumId w:val="85"/>
  </w:num>
  <w:num w:numId="67">
    <w:abstractNumId w:val="20"/>
  </w:num>
  <w:num w:numId="68">
    <w:abstractNumId w:val="19"/>
  </w:num>
  <w:num w:numId="69">
    <w:abstractNumId w:val="37"/>
  </w:num>
  <w:num w:numId="70">
    <w:abstractNumId w:val="40"/>
  </w:num>
  <w:num w:numId="71">
    <w:abstractNumId w:val="61"/>
  </w:num>
  <w:num w:numId="72">
    <w:abstractNumId w:val="80"/>
  </w:num>
  <w:num w:numId="73">
    <w:abstractNumId w:val="21"/>
  </w:num>
  <w:num w:numId="74">
    <w:abstractNumId w:val="51"/>
  </w:num>
  <w:num w:numId="75">
    <w:abstractNumId w:val="48"/>
  </w:num>
  <w:num w:numId="76">
    <w:abstractNumId w:val="69"/>
  </w:num>
  <w:num w:numId="77">
    <w:abstractNumId w:val="0"/>
  </w:num>
  <w:num w:numId="78">
    <w:abstractNumId w:val="53"/>
  </w:num>
  <w:num w:numId="79">
    <w:abstractNumId w:val="66"/>
  </w:num>
  <w:num w:numId="80">
    <w:abstractNumId w:val="44"/>
  </w:num>
  <w:num w:numId="81">
    <w:abstractNumId w:val="35"/>
  </w:num>
  <w:num w:numId="82">
    <w:abstractNumId w:val="43"/>
  </w:num>
  <w:num w:numId="83">
    <w:abstractNumId w:val="30"/>
  </w:num>
  <w:num w:numId="84">
    <w:abstractNumId w:val="75"/>
  </w:num>
  <w:num w:numId="85">
    <w:abstractNumId w:val="68"/>
  </w:num>
  <w:num w:numId="86">
    <w:abstractNumId w:val="18"/>
  </w:num>
  <w:num w:numId="87">
    <w:abstractNumId w:val="58"/>
  </w:num>
  <w:num w:numId="88">
    <w:abstractNumId w:val="56"/>
  </w:num>
  <w:num w:numId="89">
    <w:abstractNumId w:val="26"/>
  </w:num>
  <w:num w:numId="90">
    <w:abstractNumId w:val="34"/>
  </w:num>
  <w:num w:numId="91">
    <w:abstractNumId w:val="84"/>
  </w:num>
  <w:num w:numId="92">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pt-PT" w:vendorID="64" w:dllVersion="131078" w:nlCheck="1" w:checkStyle="0"/>
  <w:revisionView w:markup="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F29B6FD-7999-47C2-B1E4-C5CB6201ACDB"/>
    <w:docVar w:name="LW_COVERPAGE_TYPE" w:val="1"/>
    <w:docVar w:name="LW_CROSSREFERENCE" w:val="&lt;UNUSED&gt;"/>
    <w:docVar w:name="LW_DocType" w:val="NORMAL"/>
    <w:docVar w:name="LW_EMISSION" w:val="5. 3. 2020"/>
    <w:docVar w:name="LW_EMISSION_ISODATE" w:val="2020-03-05"/>
    <w:docVar w:name="LW_EMISSION_LOCATION" w:val="BRX"/>
    <w:docVar w:name="LW_EMISSION_PREFIX" w:val="V Bruseli"/>
    <w:docVar w:name="LW_EMISSION_SUFFIX" w:val=" "/>
    <w:docVar w:name="LW_ID_DOCTYPE_NONLW" w:val="CP-014"/>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20) 1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Únia rovnosti: stratégia pre rodovú rovnos\u357? na roky 2020 \u8211? 2025_x000d__x000d__x000d__x000d__x000d__x000d__x000d__x000b__x000d__x000d__x000d__x000d__x000d__x000d__x000d__x000d__x000d__x000b_"/>
    <w:docVar w:name="LW_TYPE.DOC.CP" w:val="OZNÁMENIE KOMISIE EURÓPSKEMU PARLAMENTU, RADE, EURÓPSKEMU HOSPODÁRSKEMU A SOCIÁLNEMU VÝBORU A VÝBORU REGIÓNOV"/>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sk-SK"/>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sk-SK"/>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sk-SK"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sk-SK"/>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sk-SK"/>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sk-SK"/>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sk-SK"/>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sk-SK"/>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sk-SK"/>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sk-SK"/>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sk-SK"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sk-SK"/>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sk-SK"/>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sk-SK"/>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sk-SK"/>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sk-SK"/>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169">
      <w:bodyDiv w:val="1"/>
      <w:marLeft w:val="0"/>
      <w:marRight w:val="0"/>
      <w:marTop w:val="0"/>
      <w:marBottom w:val="0"/>
      <w:divBdr>
        <w:top w:val="none" w:sz="0" w:space="0" w:color="auto"/>
        <w:left w:val="none" w:sz="0" w:space="0" w:color="auto"/>
        <w:bottom w:val="none" w:sz="0" w:space="0" w:color="auto"/>
        <w:right w:val="none" w:sz="0" w:space="0" w:color="auto"/>
      </w:divBdr>
    </w:div>
    <w:div w:id="80956507">
      <w:bodyDiv w:val="1"/>
      <w:marLeft w:val="0"/>
      <w:marRight w:val="0"/>
      <w:marTop w:val="0"/>
      <w:marBottom w:val="0"/>
      <w:divBdr>
        <w:top w:val="none" w:sz="0" w:space="0" w:color="auto"/>
        <w:left w:val="none" w:sz="0" w:space="0" w:color="auto"/>
        <w:bottom w:val="none" w:sz="0" w:space="0" w:color="auto"/>
        <w:right w:val="none" w:sz="0" w:space="0" w:color="auto"/>
      </w:divBdr>
    </w:div>
    <w:div w:id="86000729">
      <w:bodyDiv w:val="1"/>
      <w:marLeft w:val="0"/>
      <w:marRight w:val="0"/>
      <w:marTop w:val="0"/>
      <w:marBottom w:val="0"/>
      <w:divBdr>
        <w:top w:val="none" w:sz="0" w:space="0" w:color="auto"/>
        <w:left w:val="none" w:sz="0" w:space="0" w:color="auto"/>
        <w:bottom w:val="none" w:sz="0" w:space="0" w:color="auto"/>
        <w:right w:val="none" w:sz="0" w:space="0" w:color="auto"/>
      </w:divBdr>
    </w:div>
    <w:div w:id="98527525">
      <w:bodyDiv w:val="1"/>
      <w:marLeft w:val="0"/>
      <w:marRight w:val="0"/>
      <w:marTop w:val="0"/>
      <w:marBottom w:val="0"/>
      <w:divBdr>
        <w:top w:val="none" w:sz="0" w:space="0" w:color="auto"/>
        <w:left w:val="none" w:sz="0" w:space="0" w:color="auto"/>
        <w:bottom w:val="none" w:sz="0" w:space="0" w:color="auto"/>
        <w:right w:val="none" w:sz="0" w:space="0" w:color="auto"/>
      </w:divBdr>
    </w:div>
    <w:div w:id="169881438">
      <w:bodyDiv w:val="1"/>
      <w:marLeft w:val="0"/>
      <w:marRight w:val="0"/>
      <w:marTop w:val="0"/>
      <w:marBottom w:val="0"/>
      <w:divBdr>
        <w:top w:val="none" w:sz="0" w:space="0" w:color="auto"/>
        <w:left w:val="none" w:sz="0" w:space="0" w:color="auto"/>
        <w:bottom w:val="none" w:sz="0" w:space="0" w:color="auto"/>
        <w:right w:val="none" w:sz="0" w:space="0" w:color="auto"/>
      </w:divBdr>
    </w:div>
    <w:div w:id="246380429">
      <w:bodyDiv w:val="1"/>
      <w:marLeft w:val="0"/>
      <w:marRight w:val="0"/>
      <w:marTop w:val="0"/>
      <w:marBottom w:val="0"/>
      <w:divBdr>
        <w:top w:val="none" w:sz="0" w:space="0" w:color="auto"/>
        <w:left w:val="none" w:sz="0" w:space="0" w:color="auto"/>
        <w:bottom w:val="none" w:sz="0" w:space="0" w:color="auto"/>
        <w:right w:val="none" w:sz="0" w:space="0" w:color="auto"/>
      </w:divBdr>
    </w:div>
    <w:div w:id="283999562">
      <w:bodyDiv w:val="1"/>
      <w:marLeft w:val="0"/>
      <w:marRight w:val="0"/>
      <w:marTop w:val="0"/>
      <w:marBottom w:val="0"/>
      <w:divBdr>
        <w:top w:val="none" w:sz="0" w:space="0" w:color="auto"/>
        <w:left w:val="none" w:sz="0" w:space="0" w:color="auto"/>
        <w:bottom w:val="none" w:sz="0" w:space="0" w:color="auto"/>
        <w:right w:val="none" w:sz="0" w:space="0" w:color="auto"/>
      </w:divBdr>
    </w:div>
    <w:div w:id="345911221">
      <w:bodyDiv w:val="1"/>
      <w:marLeft w:val="0"/>
      <w:marRight w:val="0"/>
      <w:marTop w:val="0"/>
      <w:marBottom w:val="0"/>
      <w:divBdr>
        <w:top w:val="none" w:sz="0" w:space="0" w:color="auto"/>
        <w:left w:val="none" w:sz="0" w:space="0" w:color="auto"/>
        <w:bottom w:val="none" w:sz="0" w:space="0" w:color="auto"/>
        <w:right w:val="none" w:sz="0" w:space="0" w:color="auto"/>
      </w:divBdr>
    </w:div>
    <w:div w:id="364331828">
      <w:bodyDiv w:val="1"/>
      <w:marLeft w:val="0"/>
      <w:marRight w:val="0"/>
      <w:marTop w:val="0"/>
      <w:marBottom w:val="0"/>
      <w:divBdr>
        <w:top w:val="none" w:sz="0" w:space="0" w:color="auto"/>
        <w:left w:val="none" w:sz="0" w:space="0" w:color="auto"/>
        <w:bottom w:val="none" w:sz="0" w:space="0" w:color="auto"/>
        <w:right w:val="none" w:sz="0" w:space="0" w:color="auto"/>
      </w:divBdr>
    </w:div>
    <w:div w:id="376584214">
      <w:bodyDiv w:val="1"/>
      <w:marLeft w:val="0"/>
      <w:marRight w:val="0"/>
      <w:marTop w:val="0"/>
      <w:marBottom w:val="0"/>
      <w:divBdr>
        <w:top w:val="none" w:sz="0" w:space="0" w:color="auto"/>
        <w:left w:val="none" w:sz="0" w:space="0" w:color="auto"/>
        <w:bottom w:val="none" w:sz="0" w:space="0" w:color="auto"/>
        <w:right w:val="none" w:sz="0" w:space="0" w:color="auto"/>
      </w:divBdr>
    </w:div>
    <w:div w:id="397752891">
      <w:bodyDiv w:val="1"/>
      <w:marLeft w:val="0"/>
      <w:marRight w:val="0"/>
      <w:marTop w:val="0"/>
      <w:marBottom w:val="0"/>
      <w:divBdr>
        <w:top w:val="none" w:sz="0" w:space="0" w:color="auto"/>
        <w:left w:val="none" w:sz="0" w:space="0" w:color="auto"/>
        <w:bottom w:val="none" w:sz="0" w:space="0" w:color="auto"/>
        <w:right w:val="none" w:sz="0" w:space="0" w:color="auto"/>
      </w:divBdr>
    </w:div>
    <w:div w:id="434062184">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519003635">
      <w:bodyDiv w:val="1"/>
      <w:marLeft w:val="0"/>
      <w:marRight w:val="0"/>
      <w:marTop w:val="0"/>
      <w:marBottom w:val="0"/>
      <w:divBdr>
        <w:top w:val="none" w:sz="0" w:space="0" w:color="auto"/>
        <w:left w:val="none" w:sz="0" w:space="0" w:color="auto"/>
        <w:bottom w:val="none" w:sz="0" w:space="0" w:color="auto"/>
        <w:right w:val="none" w:sz="0" w:space="0" w:color="auto"/>
      </w:divBdr>
    </w:div>
    <w:div w:id="568466812">
      <w:bodyDiv w:val="1"/>
      <w:marLeft w:val="0"/>
      <w:marRight w:val="0"/>
      <w:marTop w:val="0"/>
      <w:marBottom w:val="0"/>
      <w:divBdr>
        <w:top w:val="none" w:sz="0" w:space="0" w:color="auto"/>
        <w:left w:val="none" w:sz="0" w:space="0" w:color="auto"/>
        <w:bottom w:val="none" w:sz="0" w:space="0" w:color="auto"/>
        <w:right w:val="none" w:sz="0" w:space="0" w:color="auto"/>
      </w:divBdr>
    </w:div>
    <w:div w:id="589198784">
      <w:bodyDiv w:val="1"/>
      <w:marLeft w:val="0"/>
      <w:marRight w:val="0"/>
      <w:marTop w:val="0"/>
      <w:marBottom w:val="0"/>
      <w:divBdr>
        <w:top w:val="none" w:sz="0" w:space="0" w:color="auto"/>
        <w:left w:val="none" w:sz="0" w:space="0" w:color="auto"/>
        <w:bottom w:val="none" w:sz="0" w:space="0" w:color="auto"/>
        <w:right w:val="none" w:sz="0" w:space="0" w:color="auto"/>
      </w:divBdr>
    </w:div>
    <w:div w:id="599340128">
      <w:bodyDiv w:val="1"/>
      <w:marLeft w:val="0"/>
      <w:marRight w:val="0"/>
      <w:marTop w:val="0"/>
      <w:marBottom w:val="0"/>
      <w:divBdr>
        <w:top w:val="none" w:sz="0" w:space="0" w:color="auto"/>
        <w:left w:val="none" w:sz="0" w:space="0" w:color="auto"/>
        <w:bottom w:val="none" w:sz="0" w:space="0" w:color="auto"/>
        <w:right w:val="none" w:sz="0" w:space="0" w:color="auto"/>
      </w:divBdr>
    </w:div>
    <w:div w:id="632903231">
      <w:bodyDiv w:val="1"/>
      <w:marLeft w:val="0"/>
      <w:marRight w:val="0"/>
      <w:marTop w:val="0"/>
      <w:marBottom w:val="0"/>
      <w:divBdr>
        <w:top w:val="none" w:sz="0" w:space="0" w:color="auto"/>
        <w:left w:val="none" w:sz="0" w:space="0" w:color="auto"/>
        <w:bottom w:val="none" w:sz="0" w:space="0" w:color="auto"/>
        <w:right w:val="none" w:sz="0" w:space="0" w:color="auto"/>
      </w:divBdr>
    </w:div>
    <w:div w:id="705105902">
      <w:bodyDiv w:val="1"/>
      <w:marLeft w:val="0"/>
      <w:marRight w:val="0"/>
      <w:marTop w:val="0"/>
      <w:marBottom w:val="0"/>
      <w:divBdr>
        <w:top w:val="none" w:sz="0" w:space="0" w:color="auto"/>
        <w:left w:val="none" w:sz="0" w:space="0" w:color="auto"/>
        <w:bottom w:val="none" w:sz="0" w:space="0" w:color="auto"/>
        <w:right w:val="none" w:sz="0" w:space="0" w:color="auto"/>
      </w:divBdr>
    </w:div>
    <w:div w:id="714080673">
      <w:bodyDiv w:val="1"/>
      <w:marLeft w:val="0"/>
      <w:marRight w:val="0"/>
      <w:marTop w:val="0"/>
      <w:marBottom w:val="0"/>
      <w:divBdr>
        <w:top w:val="none" w:sz="0" w:space="0" w:color="auto"/>
        <w:left w:val="none" w:sz="0" w:space="0" w:color="auto"/>
        <w:bottom w:val="none" w:sz="0" w:space="0" w:color="auto"/>
        <w:right w:val="none" w:sz="0" w:space="0" w:color="auto"/>
      </w:divBdr>
    </w:div>
    <w:div w:id="787823510">
      <w:bodyDiv w:val="1"/>
      <w:marLeft w:val="0"/>
      <w:marRight w:val="0"/>
      <w:marTop w:val="0"/>
      <w:marBottom w:val="0"/>
      <w:divBdr>
        <w:top w:val="none" w:sz="0" w:space="0" w:color="auto"/>
        <w:left w:val="none" w:sz="0" w:space="0" w:color="auto"/>
        <w:bottom w:val="none" w:sz="0" w:space="0" w:color="auto"/>
        <w:right w:val="none" w:sz="0" w:space="0" w:color="auto"/>
      </w:divBdr>
    </w:div>
    <w:div w:id="829640941">
      <w:bodyDiv w:val="1"/>
      <w:marLeft w:val="0"/>
      <w:marRight w:val="0"/>
      <w:marTop w:val="0"/>
      <w:marBottom w:val="0"/>
      <w:divBdr>
        <w:top w:val="none" w:sz="0" w:space="0" w:color="auto"/>
        <w:left w:val="none" w:sz="0" w:space="0" w:color="auto"/>
        <w:bottom w:val="none" w:sz="0" w:space="0" w:color="auto"/>
        <w:right w:val="none" w:sz="0" w:space="0" w:color="auto"/>
      </w:divBdr>
    </w:div>
    <w:div w:id="833641252">
      <w:bodyDiv w:val="1"/>
      <w:marLeft w:val="0"/>
      <w:marRight w:val="0"/>
      <w:marTop w:val="0"/>
      <w:marBottom w:val="0"/>
      <w:divBdr>
        <w:top w:val="none" w:sz="0" w:space="0" w:color="auto"/>
        <w:left w:val="none" w:sz="0" w:space="0" w:color="auto"/>
        <w:bottom w:val="none" w:sz="0" w:space="0" w:color="auto"/>
        <w:right w:val="none" w:sz="0" w:space="0" w:color="auto"/>
      </w:divBdr>
    </w:div>
    <w:div w:id="837114968">
      <w:bodyDiv w:val="1"/>
      <w:marLeft w:val="0"/>
      <w:marRight w:val="0"/>
      <w:marTop w:val="0"/>
      <w:marBottom w:val="0"/>
      <w:divBdr>
        <w:top w:val="none" w:sz="0" w:space="0" w:color="auto"/>
        <w:left w:val="none" w:sz="0" w:space="0" w:color="auto"/>
        <w:bottom w:val="none" w:sz="0" w:space="0" w:color="auto"/>
        <w:right w:val="none" w:sz="0" w:space="0" w:color="auto"/>
      </w:divBdr>
    </w:div>
    <w:div w:id="950936756">
      <w:bodyDiv w:val="1"/>
      <w:marLeft w:val="0"/>
      <w:marRight w:val="0"/>
      <w:marTop w:val="0"/>
      <w:marBottom w:val="0"/>
      <w:divBdr>
        <w:top w:val="none" w:sz="0" w:space="0" w:color="auto"/>
        <w:left w:val="none" w:sz="0" w:space="0" w:color="auto"/>
        <w:bottom w:val="none" w:sz="0" w:space="0" w:color="auto"/>
        <w:right w:val="none" w:sz="0" w:space="0" w:color="auto"/>
      </w:divBdr>
    </w:div>
    <w:div w:id="966356417">
      <w:bodyDiv w:val="1"/>
      <w:marLeft w:val="0"/>
      <w:marRight w:val="0"/>
      <w:marTop w:val="0"/>
      <w:marBottom w:val="0"/>
      <w:divBdr>
        <w:top w:val="none" w:sz="0" w:space="0" w:color="auto"/>
        <w:left w:val="none" w:sz="0" w:space="0" w:color="auto"/>
        <w:bottom w:val="none" w:sz="0" w:space="0" w:color="auto"/>
        <w:right w:val="none" w:sz="0" w:space="0" w:color="auto"/>
      </w:divBdr>
    </w:div>
    <w:div w:id="1013534472">
      <w:bodyDiv w:val="1"/>
      <w:marLeft w:val="0"/>
      <w:marRight w:val="0"/>
      <w:marTop w:val="0"/>
      <w:marBottom w:val="0"/>
      <w:divBdr>
        <w:top w:val="none" w:sz="0" w:space="0" w:color="auto"/>
        <w:left w:val="none" w:sz="0" w:space="0" w:color="auto"/>
        <w:bottom w:val="none" w:sz="0" w:space="0" w:color="auto"/>
        <w:right w:val="none" w:sz="0" w:space="0" w:color="auto"/>
      </w:divBdr>
    </w:div>
    <w:div w:id="1057096033">
      <w:bodyDiv w:val="1"/>
      <w:marLeft w:val="0"/>
      <w:marRight w:val="0"/>
      <w:marTop w:val="0"/>
      <w:marBottom w:val="0"/>
      <w:divBdr>
        <w:top w:val="none" w:sz="0" w:space="0" w:color="auto"/>
        <w:left w:val="none" w:sz="0" w:space="0" w:color="auto"/>
        <w:bottom w:val="none" w:sz="0" w:space="0" w:color="auto"/>
        <w:right w:val="none" w:sz="0" w:space="0" w:color="auto"/>
      </w:divBdr>
    </w:div>
    <w:div w:id="1063482707">
      <w:bodyDiv w:val="1"/>
      <w:marLeft w:val="0"/>
      <w:marRight w:val="0"/>
      <w:marTop w:val="0"/>
      <w:marBottom w:val="0"/>
      <w:divBdr>
        <w:top w:val="none" w:sz="0" w:space="0" w:color="auto"/>
        <w:left w:val="none" w:sz="0" w:space="0" w:color="auto"/>
        <w:bottom w:val="none" w:sz="0" w:space="0" w:color="auto"/>
        <w:right w:val="none" w:sz="0" w:space="0" w:color="auto"/>
      </w:divBdr>
    </w:div>
    <w:div w:id="1161892233">
      <w:bodyDiv w:val="1"/>
      <w:marLeft w:val="0"/>
      <w:marRight w:val="0"/>
      <w:marTop w:val="0"/>
      <w:marBottom w:val="0"/>
      <w:divBdr>
        <w:top w:val="none" w:sz="0" w:space="0" w:color="auto"/>
        <w:left w:val="none" w:sz="0" w:space="0" w:color="auto"/>
        <w:bottom w:val="none" w:sz="0" w:space="0" w:color="auto"/>
        <w:right w:val="none" w:sz="0" w:space="0" w:color="auto"/>
      </w:divBdr>
    </w:div>
    <w:div w:id="1204564659">
      <w:bodyDiv w:val="1"/>
      <w:marLeft w:val="0"/>
      <w:marRight w:val="0"/>
      <w:marTop w:val="0"/>
      <w:marBottom w:val="0"/>
      <w:divBdr>
        <w:top w:val="none" w:sz="0" w:space="0" w:color="auto"/>
        <w:left w:val="none" w:sz="0" w:space="0" w:color="auto"/>
        <w:bottom w:val="none" w:sz="0" w:space="0" w:color="auto"/>
        <w:right w:val="none" w:sz="0" w:space="0" w:color="auto"/>
      </w:divBdr>
    </w:div>
    <w:div w:id="1232152024">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2468611">
      <w:bodyDiv w:val="1"/>
      <w:marLeft w:val="0"/>
      <w:marRight w:val="0"/>
      <w:marTop w:val="0"/>
      <w:marBottom w:val="0"/>
      <w:divBdr>
        <w:top w:val="none" w:sz="0" w:space="0" w:color="auto"/>
        <w:left w:val="none" w:sz="0" w:space="0" w:color="auto"/>
        <w:bottom w:val="none" w:sz="0" w:space="0" w:color="auto"/>
        <w:right w:val="none" w:sz="0" w:space="0" w:color="auto"/>
      </w:divBdr>
    </w:div>
    <w:div w:id="1256281592">
      <w:bodyDiv w:val="1"/>
      <w:marLeft w:val="0"/>
      <w:marRight w:val="0"/>
      <w:marTop w:val="0"/>
      <w:marBottom w:val="0"/>
      <w:divBdr>
        <w:top w:val="none" w:sz="0" w:space="0" w:color="auto"/>
        <w:left w:val="none" w:sz="0" w:space="0" w:color="auto"/>
        <w:bottom w:val="none" w:sz="0" w:space="0" w:color="auto"/>
        <w:right w:val="none" w:sz="0" w:space="0" w:color="auto"/>
      </w:divBdr>
    </w:div>
    <w:div w:id="1304502700">
      <w:bodyDiv w:val="1"/>
      <w:marLeft w:val="0"/>
      <w:marRight w:val="0"/>
      <w:marTop w:val="0"/>
      <w:marBottom w:val="0"/>
      <w:divBdr>
        <w:top w:val="none" w:sz="0" w:space="0" w:color="auto"/>
        <w:left w:val="none" w:sz="0" w:space="0" w:color="auto"/>
        <w:bottom w:val="none" w:sz="0" w:space="0" w:color="auto"/>
        <w:right w:val="none" w:sz="0" w:space="0" w:color="auto"/>
      </w:divBdr>
    </w:div>
    <w:div w:id="1308316479">
      <w:bodyDiv w:val="1"/>
      <w:marLeft w:val="0"/>
      <w:marRight w:val="0"/>
      <w:marTop w:val="0"/>
      <w:marBottom w:val="0"/>
      <w:divBdr>
        <w:top w:val="none" w:sz="0" w:space="0" w:color="auto"/>
        <w:left w:val="none" w:sz="0" w:space="0" w:color="auto"/>
        <w:bottom w:val="none" w:sz="0" w:space="0" w:color="auto"/>
        <w:right w:val="none" w:sz="0" w:space="0" w:color="auto"/>
      </w:divBdr>
    </w:div>
    <w:div w:id="1350984696">
      <w:bodyDiv w:val="1"/>
      <w:marLeft w:val="0"/>
      <w:marRight w:val="0"/>
      <w:marTop w:val="0"/>
      <w:marBottom w:val="0"/>
      <w:divBdr>
        <w:top w:val="none" w:sz="0" w:space="0" w:color="auto"/>
        <w:left w:val="none" w:sz="0" w:space="0" w:color="auto"/>
        <w:bottom w:val="none" w:sz="0" w:space="0" w:color="auto"/>
        <w:right w:val="none" w:sz="0" w:space="0" w:color="auto"/>
      </w:divBdr>
    </w:div>
    <w:div w:id="1351683336">
      <w:bodyDiv w:val="1"/>
      <w:marLeft w:val="0"/>
      <w:marRight w:val="0"/>
      <w:marTop w:val="0"/>
      <w:marBottom w:val="0"/>
      <w:divBdr>
        <w:top w:val="none" w:sz="0" w:space="0" w:color="auto"/>
        <w:left w:val="none" w:sz="0" w:space="0" w:color="auto"/>
        <w:bottom w:val="none" w:sz="0" w:space="0" w:color="auto"/>
        <w:right w:val="none" w:sz="0" w:space="0" w:color="auto"/>
      </w:divBdr>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
    <w:div w:id="1400248391">
      <w:bodyDiv w:val="1"/>
      <w:marLeft w:val="0"/>
      <w:marRight w:val="0"/>
      <w:marTop w:val="0"/>
      <w:marBottom w:val="0"/>
      <w:divBdr>
        <w:top w:val="none" w:sz="0" w:space="0" w:color="auto"/>
        <w:left w:val="none" w:sz="0" w:space="0" w:color="auto"/>
        <w:bottom w:val="none" w:sz="0" w:space="0" w:color="auto"/>
        <w:right w:val="none" w:sz="0" w:space="0" w:color="auto"/>
      </w:divBdr>
    </w:div>
    <w:div w:id="1442526128">
      <w:bodyDiv w:val="1"/>
      <w:marLeft w:val="0"/>
      <w:marRight w:val="0"/>
      <w:marTop w:val="0"/>
      <w:marBottom w:val="0"/>
      <w:divBdr>
        <w:top w:val="none" w:sz="0" w:space="0" w:color="auto"/>
        <w:left w:val="none" w:sz="0" w:space="0" w:color="auto"/>
        <w:bottom w:val="none" w:sz="0" w:space="0" w:color="auto"/>
        <w:right w:val="none" w:sz="0" w:space="0" w:color="auto"/>
      </w:divBdr>
    </w:div>
    <w:div w:id="1567111569">
      <w:bodyDiv w:val="1"/>
      <w:marLeft w:val="0"/>
      <w:marRight w:val="0"/>
      <w:marTop w:val="0"/>
      <w:marBottom w:val="0"/>
      <w:divBdr>
        <w:top w:val="none" w:sz="0" w:space="0" w:color="auto"/>
        <w:left w:val="none" w:sz="0" w:space="0" w:color="auto"/>
        <w:bottom w:val="none" w:sz="0" w:space="0" w:color="auto"/>
        <w:right w:val="none" w:sz="0" w:space="0" w:color="auto"/>
      </w:divBdr>
    </w:div>
    <w:div w:id="1708020903">
      <w:bodyDiv w:val="1"/>
      <w:marLeft w:val="0"/>
      <w:marRight w:val="0"/>
      <w:marTop w:val="0"/>
      <w:marBottom w:val="0"/>
      <w:divBdr>
        <w:top w:val="none" w:sz="0" w:space="0" w:color="auto"/>
        <w:left w:val="none" w:sz="0" w:space="0" w:color="auto"/>
        <w:bottom w:val="none" w:sz="0" w:space="0" w:color="auto"/>
        <w:right w:val="none" w:sz="0" w:space="0" w:color="auto"/>
      </w:divBdr>
    </w:div>
    <w:div w:id="1731533009">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58792023">
      <w:bodyDiv w:val="1"/>
      <w:marLeft w:val="0"/>
      <w:marRight w:val="0"/>
      <w:marTop w:val="0"/>
      <w:marBottom w:val="0"/>
      <w:divBdr>
        <w:top w:val="none" w:sz="0" w:space="0" w:color="auto"/>
        <w:left w:val="none" w:sz="0" w:space="0" w:color="auto"/>
        <w:bottom w:val="none" w:sz="0" w:space="0" w:color="auto"/>
        <w:right w:val="none" w:sz="0" w:space="0" w:color="auto"/>
      </w:divBdr>
    </w:div>
    <w:div w:id="1767192083">
      <w:bodyDiv w:val="1"/>
      <w:marLeft w:val="0"/>
      <w:marRight w:val="0"/>
      <w:marTop w:val="0"/>
      <w:marBottom w:val="0"/>
      <w:divBdr>
        <w:top w:val="none" w:sz="0" w:space="0" w:color="auto"/>
        <w:left w:val="none" w:sz="0" w:space="0" w:color="auto"/>
        <w:bottom w:val="none" w:sz="0" w:space="0" w:color="auto"/>
        <w:right w:val="none" w:sz="0" w:space="0" w:color="auto"/>
      </w:divBdr>
    </w:div>
    <w:div w:id="1769615880">
      <w:bodyDiv w:val="1"/>
      <w:marLeft w:val="0"/>
      <w:marRight w:val="0"/>
      <w:marTop w:val="0"/>
      <w:marBottom w:val="0"/>
      <w:divBdr>
        <w:top w:val="none" w:sz="0" w:space="0" w:color="auto"/>
        <w:left w:val="none" w:sz="0" w:space="0" w:color="auto"/>
        <w:bottom w:val="none" w:sz="0" w:space="0" w:color="auto"/>
        <w:right w:val="none" w:sz="0" w:space="0" w:color="auto"/>
      </w:divBdr>
    </w:div>
    <w:div w:id="1785616532">
      <w:bodyDiv w:val="1"/>
      <w:marLeft w:val="0"/>
      <w:marRight w:val="0"/>
      <w:marTop w:val="0"/>
      <w:marBottom w:val="0"/>
      <w:divBdr>
        <w:top w:val="none" w:sz="0" w:space="0" w:color="auto"/>
        <w:left w:val="none" w:sz="0" w:space="0" w:color="auto"/>
        <w:bottom w:val="none" w:sz="0" w:space="0" w:color="auto"/>
        <w:right w:val="none" w:sz="0" w:space="0" w:color="auto"/>
      </w:divBdr>
    </w:div>
    <w:div w:id="1892304754">
      <w:bodyDiv w:val="1"/>
      <w:marLeft w:val="0"/>
      <w:marRight w:val="0"/>
      <w:marTop w:val="0"/>
      <w:marBottom w:val="0"/>
      <w:divBdr>
        <w:top w:val="none" w:sz="0" w:space="0" w:color="auto"/>
        <w:left w:val="none" w:sz="0" w:space="0" w:color="auto"/>
        <w:bottom w:val="none" w:sz="0" w:space="0" w:color="auto"/>
        <w:right w:val="none" w:sz="0" w:space="0" w:color="auto"/>
      </w:divBdr>
    </w:div>
    <w:div w:id="1893342952">
      <w:bodyDiv w:val="1"/>
      <w:marLeft w:val="0"/>
      <w:marRight w:val="0"/>
      <w:marTop w:val="0"/>
      <w:marBottom w:val="0"/>
      <w:divBdr>
        <w:top w:val="none" w:sz="0" w:space="0" w:color="auto"/>
        <w:left w:val="none" w:sz="0" w:space="0" w:color="auto"/>
        <w:bottom w:val="none" w:sz="0" w:space="0" w:color="auto"/>
        <w:right w:val="none" w:sz="0" w:space="0" w:color="auto"/>
      </w:divBdr>
    </w:div>
    <w:div w:id="1962422371">
      <w:bodyDiv w:val="1"/>
      <w:marLeft w:val="0"/>
      <w:marRight w:val="0"/>
      <w:marTop w:val="0"/>
      <w:marBottom w:val="0"/>
      <w:divBdr>
        <w:top w:val="none" w:sz="0" w:space="0" w:color="auto"/>
        <w:left w:val="none" w:sz="0" w:space="0" w:color="auto"/>
        <w:bottom w:val="none" w:sz="0" w:space="0" w:color="auto"/>
        <w:right w:val="none" w:sz="0" w:space="0" w:color="auto"/>
      </w:divBdr>
    </w:div>
    <w:div w:id="2020084631">
      <w:bodyDiv w:val="1"/>
      <w:marLeft w:val="0"/>
      <w:marRight w:val="0"/>
      <w:marTop w:val="0"/>
      <w:marBottom w:val="0"/>
      <w:divBdr>
        <w:top w:val="none" w:sz="0" w:space="0" w:color="auto"/>
        <w:left w:val="none" w:sz="0" w:space="0" w:color="auto"/>
        <w:bottom w:val="none" w:sz="0" w:space="0" w:color="auto"/>
        <w:right w:val="none" w:sz="0" w:space="0" w:color="auto"/>
      </w:divBdr>
    </w:div>
    <w:div w:id="2037541613">
      <w:bodyDiv w:val="1"/>
      <w:marLeft w:val="0"/>
      <w:marRight w:val="0"/>
      <w:marTop w:val="0"/>
      <w:marBottom w:val="0"/>
      <w:divBdr>
        <w:top w:val="none" w:sz="0" w:space="0" w:color="auto"/>
        <w:left w:val="none" w:sz="0" w:space="0" w:color="auto"/>
        <w:bottom w:val="none" w:sz="0" w:space="0" w:color="auto"/>
        <w:right w:val="none" w:sz="0" w:space="0" w:color="auto"/>
      </w:divBdr>
    </w:div>
    <w:div w:id="20719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ndfgm.eu/female-genital-mutilation/fgm-in-europe" TargetMode="External"/><Relationship Id="rId13" Type="http://schemas.openxmlformats.org/officeDocument/2006/relationships/hyperlink" Target="https://ec.europa.eu/programmes/creative-europe/node_en" TargetMode="External"/><Relationship Id="rId18" Type="http://schemas.openxmlformats.org/officeDocument/2006/relationships/hyperlink" Target="https://ec.europa.eu/info/business-economy-euro/economic-and-fiscal-policy-coordination/eu-economic-governance-monitoring-prevention-correction/european-semester_sk" TargetMode="External"/><Relationship Id="rId26" Type="http://schemas.openxmlformats.org/officeDocument/2006/relationships/hyperlink" Target="https://appsso.eurostat.ec.europa.eu/nui/show.do?dataset=ilc_pnp13&amp;lang=en" TargetMode="External"/><Relationship Id="rId39" Type="http://schemas.openxmlformats.org/officeDocument/2006/relationships/hyperlink" Target="https://www.consilium.europa.eu/media/37412/st15086-en18.pdf" TargetMode="External"/><Relationship Id="rId3" Type="http://schemas.openxmlformats.org/officeDocument/2006/relationships/hyperlink" Target="https://data.em2030.org/em2030-sdg-gender-index/" TargetMode="External"/><Relationship Id="rId21" Type="http://schemas.openxmlformats.org/officeDocument/2006/relationships/hyperlink" Target="http://www.oecd.org/pisa/PISA%202018%20Insights%20and%20Interpretations%20FINAL%20PDF.pdf" TargetMode="External"/><Relationship Id="rId34" Type="http://schemas.openxmlformats.org/officeDocument/2006/relationships/hyperlink" Target="https://europeanwomenonboards.eu/" TargetMode="External"/><Relationship Id="rId42" Type="http://schemas.openxmlformats.org/officeDocument/2006/relationships/hyperlink" Target="http://www.europarl.europa.eu/oeil/popups/ficheprocedure.do?lang=en&amp;reference=2019/2855(RSP)" TargetMode="External"/><Relationship Id="rId7" Type="http://schemas.openxmlformats.org/officeDocument/2006/relationships/hyperlink" Target="https://ec.europa.eu/europeaid/policies/sustainable-development-goals_en" TargetMode="External"/><Relationship Id="rId12" Type="http://schemas.openxmlformats.org/officeDocument/2006/relationships/hyperlink" Target="https://ec.europa.eu/info/horizon-europe-next-research-and-innovation-framework-programme_en" TargetMode="External"/><Relationship Id="rId17" Type="http://schemas.openxmlformats.org/officeDocument/2006/relationships/hyperlink" Target="https://ec.europa.eu/eurostat/statistics-explained/pdfscache/35409.pdf" TargetMode="External"/><Relationship Id="rId25" Type="http://schemas.openxmlformats.org/officeDocument/2006/relationships/hyperlink" Target="https://ec.europa.eu/eurostat/databrowser/product/view/SDG_05_20?lang=en" TargetMode="External"/><Relationship Id="rId33" Type="http://schemas.openxmlformats.org/officeDocument/2006/relationships/hyperlink" Target="https://ec.europa.eu/info/policies/justice-and-fundamental-rights/combatting-discrimination/tackling-discrimination/diversity-management/eu-platform-diversity-charters_en" TargetMode="External"/><Relationship Id="rId38" Type="http://schemas.openxmlformats.org/officeDocument/2006/relationships/hyperlink" Target="https://europa.eu/capacity4dev/articles/eu-gender-action-plan-ii-how-eu-delegations-contribute-gender-equality-worldwide" TargetMode="External"/><Relationship Id="rId2" Type="http://schemas.openxmlformats.org/officeDocument/2006/relationships/hyperlink" Target="https://eige.europa.eu/gender-mainstreaming/policy-areas/economic-and-financial-affairs/economic-benefits-gender-equality" TargetMode="External"/><Relationship Id="rId16" Type="http://schemas.openxmlformats.org/officeDocument/2006/relationships/hyperlink" Target="https://appsso.eurostat.ec.europa.eu/nui/show.do?dataset=lfsi_emp_a&amp;lang=en" TargetMode="External"/><Relationship Id="rId20" Type="http://schemas.openxmlformats.org/officeDocument/2006/relationships/hyperlink" Target="https://ec.europa.eu/research/eic/index.cfm" TargetMode="External"/><Relationship Id="rId29" Type="http://schemas.openxmlformats.org/officeDocument/2006/relationships/hyperlink" Target="https://ec.europa.eu/transparency/regexpert/index.cfm?do=groupDetail.groupDetail&amp;groupID=3589" TargetMode="External"/><Relationship Id="rId41" Type="http://schemas.openxmlformats.org/officeDocument/2006/relationships/hyperlink" Target="http://www.europarl.europa.eu/oeil/popups/ficheprocedure.do?lang=en&amp;reference=2019/2870(RSP)" TargetMode="External"/><Relationship Id="rId1" Type="http://schemas.openxmlformats.org/officeDocument/2006/relationships/hyperlink" Target="hhttps://ec.europa.eu/commission/sites/beta-political/files/social-summit-european-pillar-social-rights-booklet_sk.pdf" TargetMode="External"/><Relationship Id="rId6" Type="http://schemas.openxmlformats.org/officeDocument/2006/relationships/hyperlink" Target="https://beijing20.unwomen.org/en/about" TargetMode="External"/><Relationship Id="rId11" Type="http://schemas.openxmlformats.org/officeDocument/2006/relationships/hyperlink" Target="https://ec.europa.eu/info/sites/info/files/commission-white-paper-artificial-intelligence-feb2020_en.pdf" TargetMode="External"/><Relationship Id="rId24" Type="http://schemas.openxmlformats.org/officeDocument/2006/relationships/hyperlink" Target="https://ec.europa.eu/digital-single-market/en/news/eu-countries-commit-boost-participation-women-digital" TargetMode="External"/><Relationship Id="rId32" Type="http://schemas.openxmlformats.org/officeDocument/2006/relationships/hyperlink" Target="https://eige.europa.eu/publications/gender-equality-index-2019-report/more-gender-equality-corporate-boards-only-few-member-states" TargetMode="External"/><Relationship Id="rId37" Type="http://schemas.openxmlformats.org/officeDocument/2006/relationships/hyperlink" Target="http://www.europarl.europa.eu/meetdocs/2014_2019/plmrep/COMMITTEES/FEMM/DV/2018/09-03/20180828DraftResolutionGenderBudgetingintheEUBudget-thewayforward_EN.pdf" TargetMode="External"/><Relationship Id="rId40" Type="http://schemas.openxmlformats.org/officeDocument/2006/relationships/hyperlink" Target="https://www.consilium.europa.eu/register/en/content/out?&amp;typ=ENTRY&amp;i=ADV&amp;DOC_ID=ST-11031-2019-INIT" TargetMode="External"/><Relationship Id="rId5" Type="http://schemas.openxmlformats.org/officeDocument/2006/relationships/hyperlink" Target="https://eige.europa.eu/thesaurus/terms/1263" TargetMode="External"/><Relationship Id="rId15" Type="http://schemas.openxmlformats.org/officeDocument/2006/relationships/hyperlink" Target="https://ec.europa.eu/eurostat/web/products-datasets/product?code=sdg_05_30" TargetMode="External"/><Relationship Id="rId23" Type="http://schemas.openxmlformats.org/officeDocument/2006/relationships/hyperlink" Target="https://op.europa.eu/sk/publication-detail/-/publication/9540ffa1-4478-11e9-a8ed-01aa75ed71a1" TargetMode="External"/><Relationship Id="rId28" Type="http://schemas.openxmlformats.org/officeDocument/2006/relationships/hyperlink" Target="https://ec.europa.eu/eurostat/web/products-eurostat-news/-/DDN-20190621-1" TargetMode="External"/><Relationship Id="rId36" Type="http://schemas.openxmlformats.org/officeDocument/2006/relationships/hyperlink" Target="https://ec.europa.eu/jrc/en/news/how-big-eus-blue-economy-eu-report-potential-coasts-and-oceans-provide-sustainable-economic-growth" TargetMode="External"/><Relationship Id="rId10" Type="http://schemas.openxmlformats.org/officeDocument/2006/relationships/hyperlink" Target="https://ec.europa.eu/digital-single-market/en/new-eu-rules-e-commerce" TargetMode="External"/><Relationship Id="rId19" Type="http://schemas.openxmlformats.org/officeDocument/2006/relationships/hyperlink" Target="https://2019.stateofeuropeantech.com/chapter/state-european-tech-2019/article/executive-summary" TargetMode="External"/><Relationship Id="rId31" Type="http://schemas.openxmlformats.org/officeDocument/2006/relationships/hyperlink" Target="https://ec.europa.eu/info/sites/info/files/bcn_objectives-report2018_web_en.pdf" TargetMode="External"/><Relationship Id="rId4" Type="http://schemas.openxmlformats.org/officeDocument/2006/relationships/hyperlink" Target="https://eige.europa.eu/gender-equality-index/2019" TargetMode="External"/><Relationship Id="rId9" Type="http://schemas.openxmlformats.org/officeDocument/2006/relationships/hyperlink" Target="https://eige.europa.eu/thesaurus/terms/1285" TargetMode="External"/><Relationship Id="rId14" Type="http://schemas.openxmlformats.org/officeDocument/2006/relationships/hyperlink" Target="https://ec.europa.eu/digital-single-market/en/media-sub-programme-creative-europe" TargetMode="External"/><Relationship Id="rId22" Type="http://schemas.openxmlformats.org/officeDocument/2006/relationships/hyperlink" Target="https://ec.europa.eu/eurostat/web/products-eurostat-news/-/EDN-20180425-1" TargetMode="External"/><Relationship Id="rId27" Type="http://schemas.openxmlformats.org/officeDocument/2006/relationships/hyperlink" Target="https://appsso.eurostat.ec.europa.eu/nui/show.do?dataset=ilc_pnp14&amp;lang=en" TargetMode="External"/><Relationship Id="rId30" Type="http://schemas.openxmlformats.org/officeDocument/2006/relationships/hyperlink" Target="https://www.ilo.org/wcmsp5/groups/public/---dgreports/---cabinet/documents/publication/wcms_713376.pdf" TargetMode="External"/><Relationship Id="rId35" Type="http://schemas.openxmlformats.org/officeDocument/2006/relationships/hyperlink" Target="https://ec.europa.eu/info/policies/justice-and-fundamental-rights/gender-equality/who-we-work-gender-equality/mutual-learning-programme-gender-equality_en" TargetMode="External"/><Relationship Id="rId43" Type="http://schemas.openxmlformats.org/officeDocument/2006/relationships/hyperlink" Target="http://www.europarl.europa.eu/oeil/popups/ficheprocedure.do?lang=en&amp;reference=2016/2249(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832C9-B7EF-4D1B-8CCB-14981AA68BE9}">
  <ds:schemaRefs>
    <ds:schemaRef ds:uri="http://schemas.microsoft.com/sharepoint/v3/contenttype/forms"/>
  </ds:schemaRefs>
</ds:datastoreItem>
</file>

<file path=customXml/itemProps2.xml><?xml version="1.0" encoding="utf-8"?>
<ds:datastoreItem xmlns:ds="http://schemas.openxmlformats.org/officeDocument/2006/customXml" ds:itemID="{A8528D57-7110-4F19-BC08-E1A0CCC0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B49A3-B364-427A-AC8C-027C0721EE78}">
  <ds:schemaRefs>
    <ds:schemaRef ds:uri="http://schemas.microsoft.com/office/2006/metadata/properties"/>
    <ds:schemaRef ds:uri="http://schemas.microsoft.com/office/infopath/2007/PartnerControls"/>
    <ds:schemaRef ds:uri="724151e2-140d-4670-8684-77a651b4f52a"/>
    <ds:schemaRef ds:uri="http://schemas.microsoft.com/sharepoint/v3/fields"/>
  </ds:schemaRefs>
</ds:datastoreItem>
</file>

<file path=customXml/itemProps4.xml><?xml version="1.0" encoding="utf-8"?>
<ds:datastoreItem xmlns:ds="http://schemas.openxmlformats.org/officeDocument/2006/customXml" ds:itemID="{8AD5CB29-0B81-4167-9484-38FFB899F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6428</Words>
  <Characters>39215</Characters>
  <Application>Microsoft Office Word</Application>
  <DocSecurity>0</DocSecurity>
  <Lines>632</Lines>
  <Paragraphs>143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2020-03-03T10:03:00Z</dcterms:created>
  <dcterms:modified xsi:type="dcterms:W3CDTF">2020-03-06T13:48:00Z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CP-014</vt:lpwstr>
  </property>
  <property fmtid="{D5CDD505-2E9C-101B-9397-08002B2CF9AE}" pid="8" name="_LW_INVALIDATED__LW_INVALIDATED__LW_INVALIDATED__LW_INVALIDATED__LW_INVALIDATED__LW_INVALIDATED__LW_INVALIDATED_ContentTypeId">
    <vt:lpwstr>0x010100258AA79CEB83498886A3A086811232500017A1C524D8DBC041BAC361A7FA0BC3BA</vt:lpwstr>
  </property>
</Properties>
</file>