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alt="2CEF2492-056B-41B9-B1A3-6835642C7BB6" style="width:450.35pt;height:334.2pt">
            <v:imagedata r:id="rId12" o:title=""/>
          </v:shape>
        </w:pict>
      </w:r>
    </w:p>
    <w:bookmarkEnd w:id="0"/>
    <w:p>
      <w:pPr>
        <w:pStyle w:val="Pagedecouverture"/>
        <w:rPr>
          <w:noProof/>
        </w:rPr>
        <w:sectPr>
          <w:headerReference w:type="even" r:id="rId13"/>
          <w:headerReference w:type="default" r:id="rId14"/>
          <w:footerReference w:type="even" r:id="rId15"/>
          <w:footerReference w:type="default" r:id="rId16"/>
          <w:headerReference w:type="first" r:id="rId17"/>
          <w:footerReference w:type="first" r:id="rId18"/>
          <w:pgSz w:w="11906" w:h="16838"/>
          <w:pgMar w:top="1134" w:right="1417" w:bottom="1134" w:left="1417" w:header="709" w:footer="709" w:gutter="0"/>
          <w:pgNumType w:start="0"/>
          <w:cols w:space="720"/>
          <w:docGrid w:linePitch="360"/>
        </w:sectPr>
      </w:pPr>
    </w:p>
    <w:p>
      <w:pPr>
        <w:pStyle w:val="Pagedecouverture"/>
        <w:rPr>
          <w:noProof/>
        </w:rPr>
      </w:pPr>
      <w:bookmarkStart w:id="1" w:name="_GoBack"/>
      <w:bookmarkEnd w:id="1"/>
    </w:p>
    <w:p>
      <w:pPr>
        <w:pStyle w:val="Heading1"/>
        <w:rPr>
          <w:i/>
          <w:noProof/>
          <w:sz w:val="28"/>
          <w:szCs w:val="28"/>
        </w:rPr>
      </w:pPr>
      <w:r>
        <w:rPr>
          <w:noProof/>
          <w:sz w:val="28"/>
          <w:szCs w:val="28"/>
        </w:rPr>
        <w:t>RODNO RAVNOPRAVNA EUROPA</w:t>
      </w:r>
    </w:p>
    <w:p>
      <w:pPr>
        <w:spacing w:line="100" w:lineRule="atLeast"/>
        <w:jc w:val="both"/>
        <w:rPr>
          <w:rFonts w:ascii="Times New Roman" w:hAnsi="Times New Roman" w:cs="Times New Roman"/>
          <w:b/>
          <w:i/>
          <w:noProof/>
          <w:sz w:val="28"/>
          <w:szCs w:val="24"/>
        </w:rPr>
      </w:pPr>
      <w:r>
        <w:rPr>
          <w:rFonts w:ascii="Times New Roman" w:hAnsi="Times New Roman"/>
          <w:b/>
          <w:i/>
          <w:noProof/>
          <w:sz w:val="24"/>
        </w:rPr>
        <w:t xml:space="preserve">„U svim svojim aktivnostima Unija teži uklanjanju nejednakosti i promicanju ravnopravnosti između muškaraca i žena.” </w:t>
      </w:r>
    </w:p>
    <w:p>
      <w:pPr>
        <w:pStyle w:val="ListParagraph"/>
        <w:spacing w:line="100" w:lineRule="atLeast"/>
        <w:jc w:val="right"/>
        <w:rPr>
          <w:rFonts w:ascii="Times New Roman" w:hAnsi="Times New Roman" w:cs="Times New Roman"/>
          <w:noProof/>
          <w:sz w:val="28"/>
          <w:szCs w:val="24"/>
        </w:rPr>
      </w:pPr>
      <w:r>
        <w:rPr>
          <w:rFonts w:ascii="Times New Roman" w:hAnsi="Times New Roman"/>
          <w:noProof/>
          <w:sz w:val="24"/>
        </w:rPr>
        <w:t>Članak 8. Ugovora o funkcioniranju Europske unije</w:t>
      </w:r>
    </w:p>
    <w:p>
      <w:pPr>
        <w:spacing w:line="100" w:lineRule="atLeast"/>
        <w:jc w:val="both"/>
        <w:rPr>
          <w:rFonts w:ascii="Times New Roman" w:hAnsi="Times New Roman" w:cs="Times New Roman"/>
          <w:b/>
          <w:i/>
          <w:noProof/>
          <w:sz w:val="28"/>
          <w:szCs w:val="24"/>
        </w:rPr>
      </w:pPr>
    </w:p>
    <w:p>
      <w:pPr>
        <w:spacing w:line="100" w:lineRule="atLeast"/>
        <w:jc w:val="both"/>
        <w:rPr>
          <w:rFonts w:ascii="Times New Roman" w:hAnsi="Times New Roman" w:cs="Times New Roman"/>
          <w:b/>
          <w:i/>
          <w:noProof/>
          <w:sz w:val="28"/>
          <w:szCs w:val="24"/>
        </w:rPr>
      </w:pPr>
      <w:r>
        <w:rPr>
          <w:rFonts w:ascii="Times New Roman" w:hAnsi="Times New Roman"/>
          <w:b/>
          <w:i/>
          <w:noProof/>
          <w:sz w:val="24"/>
        </w:rPr>
        <w:t>„Ne bismo trebali biti skromni kada je riječ o našim postignućima niti skrivati naše ambicije.”</w:t>
      </w:r>
    </w:p>
    <w:p>
      <w:pPr>
        <w:spacing w:line="100" w:lineRule="atLeast"/>
        <w:jc w:val="right"/>
        <w:rPr>
          <w:rFonts w:ascii="Times New Roman" w:hAnsi="Times New Roman" w:cs="Times New Roman"/>
          <w:noProof/>
          <w:sz w:val="28"/>
          <w:szCs w:val="24"/>
        </w:rPr>
      </w:pPr>
      <w:r>
        <w:rPr>
          <w:rFonts w:ascii="Times New Roman" w:hAnsi="Times New Roman"/>
          <w:noProof/>
          <w:sz w:val="24"/>
        </w:rPr>
        <w:t>– Predsjednica Ursula von der Leyen</w:t>
      </w:r>
      <w:r>
        <w:rPr>
          <w:rFonts w:ascii="Times New Roman" w:hAnsi="Times New Roman"/>
          <w:noProof/>
          <w:sz w:val="24"/>
        </w:rPr>
        <w:br/>
        <w:t>Političke smjernice</w:t>
      </w:r>
    </w:p>
    <w:p>
      <w:pPr>
        <w:spacing w:line="100" w:lineRule="atLeast"/>
        <w:jc w:val="both"/>
        <w:rPr>
          <w:rFonts w:ascii="Times New Roman" w:hAnsi="Times New Roman" w:cs="Times New Roman"/>
          <w:noProof/>
          <w:sz w:val="28"/>
          <w:szCs w:val="24"/>
        </w:rPr>
      </w:pPr>
      <w:r>
        <w:rPr>
          <w:rFonts w:ascii="Times New Roman" w:hAnsi="Times New Roman"/>
          <w:b/>
          <w:noProof/>
          <w:sz w:val="24"/>
        </w:rPr>
        <w:t>Promicanje ravnopravnosti žena i muškaraca zadaća je Unije u svim njezinim aktivnostima, kako se zahtijeva Ugovorima.</w:t>
      </w:r>
      <w:r>
        <w:rPr>
          <w:rFonts w:ascii="Times New Roman" w:hAnsi="Times New Roman"/>
          <w:noProof/>
          <w:sz w:val="24"/>
        </w:rPr>
        <w:t xml:space="preserve"> Rodna ravnopravnost jedna je od glavnih vrijednosti EU-a, temeljno pravo</w:t>
      </w:r>
      <w:r>
        <w:rPr>
          <w:rStyle w:val="FootnoteReference"/>
          <w:rFonts w:ascii="Times New Roman" w:hAnsi="Times New Roman" w:cs="Times New Roman"/>
          <w:noProof/>
          <w:sz w:val="24"/>
        </w:rPr>
        <w:footnoteReference w:id="2"/>
      </w:r>
      <w:r>
        <w:rPr>
          <w:rFonts w:ascii="Times New Roman" w:hAnsi="Times New Roman"/>
          <w:noProof/>
          <w:sz w:val="24"/>
        </w:rPr>
        <w:t xml:space="preserve"> i jedno od glavnih načela europskog stupa socijalnih prava</w:t>
      </w:r>
      <w:r>
        <w:rPr>
          <w:rStyle w:val="FootnoteReference"/>
          <w:rFonts w:ascii="Times New Roman" w:hAnsi="Times New Roman" w:cs="Times New Roman"/>
          <w:noProof/>
          <w:sz w:val="24"/>
        </w:rPr>
        <w:footnoteReference w:id="3"/>
      </w:r>
      <w:r>
        <w:rPr>
          <w:rFonts w:ascii="Times New Roman" w:hAnsi="Times New Roman"/>
          <w:noProof/>
          <w:sz w:val="24"/>
        </w:rPr>
        <w:t xml:space="preserve">. Ona je odraz našeg identiteta. Također je bitan preduvjet inovativnog, konkurentnog i uspješnog europskog gospodarstva. </w:t>
      </w:r>
      <w:r>
        <w:rPr>
          <w:rFonts w:ascii="Times New Roman" w:hAnsi="Times New Roman"/>
          <w:b/>
          <w:noProof/>
          <w:sz w:val="24"/>
        </w:rPr>
        <w:t xml:space="preserve">Svoj puni potencijal u poslu, politici i društvu u cjelini možemo ostvariti samo ako iskoristimo sve naše talente i raznolikost. </w:t>
      </w:r>
      <w:r>
        <w:rPr>
          <w:rFonts w:ascii="Times New Roman" w:hAnsi="Times New Roman"/>
          <w:noProof/>
          <w:sz w:val="24"/>
        </w:rPr>
        <w:t>Rodna ravnopravnost donosi više radnih mjesta i veću produktivnost</w:t>
      </w:r>
      <w:r>
        <w:rPr>
          <w:rStyle w:val="FootnoteReference"/>
          <w:rFonts w:ascii="Times New Roman" w:hAnsi="Times New Roman" w:cs="Times New Roman"/>
          <w:noProof/>
          <w:sz w:val="24"/>
        </w:rPr>
        <w:footnoteReference w:id="4"/>
      </w:r>
      <w:r>
        <w:rPr>
          <w:rFonts w:ascii="Times New Roman" w:hAnsi="Times New Roman"/>
          <w:noProof/>
          <w:sz w:val="24"/>
        </w:rPr>
        <w:t xml:space="preserve">, a taj potencijal moramo iskoristiti u </w:t>
      </w:r>
      <w:r>
        <w:rPr>
          <w:rFonts w:ascii="Times New Roman" w:hAnsi="Times New Roman"/>
          <w:b/>
          <w:noProof/>
          <w:sz w:val="24"/>
        </w:rPr>
        <w:t>prelasku na zelene i digitalne tehnologije</w:t>
      </w:r>
      <w:r>
        <w:rPr>
          <w:rFonts w:ascii="Times New Roman" w:hAnsi="Times New Roman"/>
          <w:noProof/>
          <w:sz w:val="24"/>
        </w:rPr>
        <w:t xml:space="preserve"> te suočavanju s demografskim kretanjima.</w:t>
      </w:r>
    </w:p>
    <w:p>
      <w:pPr>
        <w:spacing w:line="100" w:lineRule="atLeast"/>
        <w:jc w:val="both"/>
        <w:rPr>
          <w:rFonts w:ascii="Times New Roman" w:hAnsi="Times New Roman" w:cs="Times New Roman"/>
          <w:i/>
          <w:noProof/>
          <w:sz w:val="28"/>
          <w:szCs w:val="24"/>
        </w:rPr>
      </w:pPr>
      <w:r>
        <w:rPr>
          <w:rFonts w:ascii="Times New Roman" w:hAnsi="Times New Roman"/>
          <w:b/>
          <w:noProof/>
          <w:sz w:val="24"/>
        </w:rPr>
        <w:t xml:space="preserve">Europska unija globalni je predvodnik u rodnoj ravnopravnosti: </w:t>
      </w:r>
      <w:r>
        <w:rPr>
          <w:rFonts w:ascii="Times New Roman" w:hAnsi="Times New Roman"/>
          <w:noProof/>
          <w:sz w:val="24"/>
        </w:rPr>
        <w:t>od 20 zemalja u svijetu koje su vodeće u rodnoj ravnopravnosti</w:t>
      </w:r>
      <w:r>
        <w:rPr>
          <w:rStyle w:val="FootnoteReference"/>
          <w:rFonts w:ascii="Times New Roman" w:hAnsi="Times New Roman" w:cs="Times New Roman"/>
          <w:noProof/>
          <w:sz w:val="24"/>
        </w:rPr>
        <w:footnoteReference w:id="5"/>
      </w:r>
      <w:r>
        <w:rPr>
          <w:rFonts w:ascii="Times New Roman" w:hAnsi="Times New Roman"/>
          <w:noProof/>
          <w:sz w:val="24"/>
        </w:rPr>
        <w:t xml:space="preserve"> 14 su države članice EU-a.</w:t>
      </w:r>
      <w:r>
        <w:rPr>
          <w:rFonts w:ascii="Times New Roman" w:hAnsi="Times New Roman"/>
          <w:b/>
          <w:noProof/>
          <w:sz w:val="24"/>
        </w:rPr>
        <w:t xml:space="preserve"> </w:t>
      </w:r>
      <w:r>
        <w:rPr>
          <w:rFonts w:ascii="Times New Roman" w:hAnsi="Times New Roman"/>
          <w:noProof/>
          <w:sz w:val="24"/>
        </w:rPr>
        <w:t>Zahvaljujući opsežnom zakonodavstvu i sudskoj praksi u području jednakog postupanja</w:t>
      </w:r>
      <w:r>
        <w:rPr>
          <w:rStyle w:val="FootnoteReference"/>
          <w:rFonts w:ascii="Times New Roman" w:hAnsi="Times New Roman" w:cs="Times New Roman"/>
          <w:noProof/>
          <w:sz w:val="24"/>
        </w:rPr>
        <w:footnoteReference w:id="6"/>
      </w:r>
      <w:r>
        <w:rPr>
          <w:rFonts w:ascii="Times New Roman" w:hAnsi="Times New Roman"/>
          <w:noProof/>
          <w:sz w:val="24"/>
        </w:rPr>
        <w:t>, nastojanjima da se rodna</w:t>
      </w:r>
      <w:r>
        <w:rPr>
          <w:rStyle w:val="FootnoteReference"/>
          <w:rFonts w:ascii="Times New Roman" w:hAnsi="Times New Roman" w:cs="Times New Roman"/>
          <w:noProof/>
          <w:sz w:val="24"/>
        </w:rPr>
        <w:footnoteReference w:id="7"/>
      </w:r>
      <w:r>
        <w:rPr>
          <w:rFonts w:ascii="Times New Roman" w:hAnsi="Times New Roman"/>
          <w:noProof/>
          <w:sz w:val="24"/>
        </w:rPr>
        <w:t xml:space="preserve"> perspektiva uključi u različita područja politike te propisima za uklanjanje pojedinih nejednakosti, EU je tijekom posljednjih nekoliko desetljeća znatno napredovao u smislu rodne ravnopravnosti.</w:t>
      </w:r>
    </w:p>
    <w:p>
      <w:pPr>
        <w:spacing w:line="100" w:lineRule="atLeast"/>
        <w:jc w:val="both"/>
        <w:rPr>
          <w:rFonts w:ascii="Times New Roman" w:hAnsi="Times New Roman" w:cs="Times New Roman"/>
          <w:noProof/>
          <w:sz w:val="24"/>
          <w:szCs w:val="24"/>
        </w:rPr>
      </w:pPr>
      <w:r>
        <w:rPr>
          <w:rFonts w:ascii="Times New Roman" w:hAnsi="Times New Roman"/>
          <w:b/>
          <w:noProof/>
          <w:sz w:val="24"/>
        </w:rPr>
        <w:t>Međutim, ni jedna država članica nije postigla potpunu rodnu ravnopravnost i sporo se napreduje.</w:t>
      </w:r>
      <w:r>
        <w:rPr>
          <w:rFonts w:ascii="Times New Roman" w:hAnsi="Times New Roman"/>
          <w:noProof/>
          <w:sz w:val="24"/>
        </w:rPr>
        <w:t xml:space="preserve"> U indeksu rodne ravnopravnosti EU-a 2019.</w:t>
      </w:r>
      <w:r>
        <w:rPr>
          <w:rStyle w:val="FootnoteReference"/>
          <w:rFonts w:ascii="Times New Roman" w:hAnsi="Times New Roman" w:cs="Times New Roman"/>
          <w:noProof/>
          <w:sz w:val="24"/>
        </w:rPr>
        <w:footnoteReference w:id="8"/>
      </w:r>
      <w:r>
        <w:rPr>
          <w:rFonts w:ascii="Times New Roman" w:hAnsi="Times New Roman"/>
          <w:noProof/>
          <w:sz w:val="24"/>
        </w:rPr>
        <w:t>, u prosjeku su države članice imale 67,4 od 100 bodova, što je samo 5,4 boda više od rezultata iz 2005.</w:t>
      </w:r>
    </w:p>
    <w:p>
      <w:pPr>
        <w:spacing w:line="100" w:lineRule="atLeast"/>
        <w:jc w:val="both"/>
        <w:rPr>
          <w:rFonts w:ascii="Times New Roman" w:hAnsi="Times New Roman" w:cs="Times New Roman"/>
          <w:noProof/>
          <w:sz w:val="28"/>
          <w:szCs w:val="24"/>
        </w:rPr>
      </w:pPr>
      <w:r>
        <w:rPr>
          <w:rFonts w:ascii="Times New Roman" w:hAnsi="Times New Roman"/>
          <w:b/>
          <w:noProof/>
          <w:sz w:val="24"/>
        </w:rPr>
        <w:t>Nažalost, napredak u pogledu rodne ravnopravnosti nije neizbježan ni nepovratan. Stoga moramo dati novi elan rodnoj ravnopravnosti.</w:t>
      </w:r>
      <w:r>
        <w:rPr>
          <w:rFonts w:ascii="Times New Roman" w:hAnsi="Times New Roman"/>
          <w:noProof/>
          <w:sz w:val="24"/>
        </w:rPr>
        <w:t xml:space="preserve"> Dok se u obrazovanju razlike na temelju spola brišu, u zapošljavanju, plaćama, skrbi, moći i mirovinama one su i dalje prisutne.</w:t>
      </w:r>
      <w:r>
        <w:rPr>
          <w:noProof/>
          <w:sz w:val="24"/>
        </w:rPr>
        <w:t xml:space="preserve"> </w:t>
      </w:r>
      <w:r>
        <w:rPr>
          <w:rFonts w:ascii="Times New Roman" w:hAnsi="Times New Roman"/>
          <w:noProof/>
          <w:sz w:val="24"/>
        </w:rPr>
        <w:t>Previše ljudi i danas krši načelo rodne ravnopravnosti seksističkim govorom mržnje te sprečavanjem mjera protiv rodno uvjetovanog nasilja i rodnih stereotipa. Rodno uvjetovano nasilje i uznemiravanje i dalje se događaju, i to u alarmantnoj mjeri. Pokret #</w:t>
      </w:r>
      <w:r>
        <w:rPr>
          <w:rFonts w:ascii="Times New Roman" w:hAnsi="Times New Roman"/>
          <w:i/>
          <w:iCs/>
          <w:noProof/>
          <w:sz w:val="24"/>
        </w:rPr>
        <w:t>MeToo</w:t>
      </w:r>
      <w:r>
        <w:rPr>
          <w:rFonts w:ascii="Times New Roman" w:hAnsi="Times New Roman"/>
          <w:noProof/>
          <w:sz w:val="24"/>
        </w:rPr>
        <w:t xml:space="preserve"> pokazao je razmjere seksizma i zlostavljanja s kojima se žene i djevojčice i dalje suočavaju. Istodobno je osnažio žene u cijelom svijetu te ih ponukao da iznesu svoja iskustva i pokrenu sudske predmete. </w:t>
      </w:r>
    </w:p>
    <w:p>
      <w:pPr>
        <w:spacing w:line="100" w:lineRule="atLeast"/>
        <w:jc w:val="both"/>
        <w:rPr>
          <w:rFonts w:ascii="Times New Roman" w:hAnsi="Times New Roman" w:cs="Times New Roman"/>
          <w:noProof/>
          <w:sz w:val="28"/>
          <w:szCs w:val="24"/>
        </w:rPr>
      </w:pPr>
      <w:r>
        <w:rPr>
          <w:rFonts w:ascii="Times New Roman" w:hAnsi="Times New Roman"/>
          <w:b/>
          <w:noProof/>
          <w:sz w:val="24"/>
        </w:rPr>
        <w:t>Ovom Strategijom za rodnu ravnopravnost uokviruje se rad Europske komisije na rodnoj ravnopravnosti te se utvrđuju ciljevi politike i ključne mjere za razdoblje 2020.–2025.</w:t>
      </w:r>
      <w:r>
        <w:rPr>
          <w:rStyle w:val="FootnoteReference"/>
          <w:rFonts w:ascii="Times New Roman" w:hAnsi="Times New Roman" w:cs="Times New Roman"/>
          <w:noProof/>
          <w:sz w:val="24"/>
        </w:rPr>
        <w:footnoteReference w:id="9"/>
      </w:r>
      <w:r>
        <w:rPr>
          <w:rFonts w:ascii="Times New Roman" w:hAnsi="Times New Roman"/>
          <w:noProof/>
          <w:sz w:val="24"/>
        </w:rPr>
        <w:t xml:space="preserve"> Njome se nastoji ostvariti rodno ravnopravnu Europu, u kojoj rodno uvjetovano nasilje, spolna diskriminacija i strukturna neravnopravnost žena i muškaraca pripadaju prošlosti. Europu u kojoj su žene i muškarci, djevojčice i dječaci, u svoj svojoj raznolikosti</w:t>
      </w:r>
      <w:r>
        <w:rPr>
          <w:rStyle w:val="FootnoteReference"/>
          <w:rFonts w:ascii="Times New Roman" w:hAnsi="Times New Roman" w:cs="Times New Roman"/>
          <w:bCs/>
          <w:noProof/>
          <w:sz w:val="24"/>
        </w:rPr>
        <w:footnoteReference w:id="10"/>
      </w:r>
      <w:r>
        <w:rPr>
          <w:rFonts w:ascii="Times New Roman" w:hAnsi="Times New Roman"/>
          <w:noProof/>
          <w:sz w:val="24"/>
        </w:rPr>
        <w:t xml:space="preserve">, ravnopravni. U kojoj </w:t>
      </w:r>
      <w:r>
        <w:rPr>
          <w:rFonts w:ascii="Times New Roman" w:hAnsi="Times New Roman"/>
          <w:b/>
          <w:i/>
          <w:noProof/>
          <w:sz w:val="24"/>
        </w:rPr>
        <w:t>slobodno</w:t>
      </w:r>
      <w:r>
        <w:rPr>
          <w:rFonts w:ascii="Times New Roman" w:hAnsi="Times New Roman"/>
          <w:noProof/>
          <w:sz w:val="24"/>
        </w:rPr>
        <w:t xml:space="preserve"> mogu kročiti putem koji su odabrali, imaju jednake mogućnosti za </w:t>
      </w:r>
      <w:r>
        <w:rPr>
          <w:rFonts w:ascii="Times New Roman" w:hAnsi="Times New Roman"/>
          <w:b/>
          <w:i/>
          <w:noProof/>
          <w:sz w:val="24"/>
        </w:rPr>
        <w:t>uspjeh</w:t>
      </w:r>
      <w:r>
        <w:rPr>
          <w:rFonts w:ascii="Times New Roman" w:hAnsi="Times New Roman"/>
          <w:noProof/>
          <w:sz w:val="24"/>
        </w:rPr>
        <w:t xml:space="preserve"> i mogu ravnopravno sudjelovati u našem europskom društvu i </w:t>
      </w:r>
      <w:r>
        <w:rPr>
          <w:rFonts w:ascii="Times New Roman" w:hAnsi="Times New Roman"/>
          <w:b/>
          <w:i/>
          <w:noProof/>
          <w:sz w:val="24"/>
        </w:rPr>
        <w:t>voditi</w:t>
      </w:r>
      <w:r>
        <w:rPr>
          <w:rFonts w:ascii="Times New Roman" w:hAnsi="Times New Roman"/>
          <w:noProof/>
          <w:sz w:val="24"/>
        </w:rPr>
        <w:t xml:space="preserve"> ga.</w:t>
      </w:r>
    </w:p>
    <w:p>
      <w:pPr>
        <w:spacing w:line="100" w:lineRule="atLeast"/>
        <w:jc w:val="both"/>
        <w:rPr>
          <w:rFonts w:ascii="Times New Roman" w:hAnsi="Times New Roman" w:cs="Times New Roman"/>
          <w:noProof/>
          <w:sz w:val="28"/>
          <w:szCs w:val="24"/>
        </w:rPr>
      </w:pPr>
      <w:r>
        <w:rPr>
          <w:rFonts w:ascii="Times New Roman" w:hAnsi="Times New Roman"/>
          <w:noProof/>
          <w:sz w:val="24"/>
        </w:rPr>
        <w:t xml:space="preserve">Provedba ove strategije temeljit će se na </w:t>
      </w:r>
      <w:r>
        <w:rPr>
          <w:rFonts w:ascii="Times New Roman" w:hAnsi="Times New Roman"/>
          <w:b/>
          <w:noProof/>
          <w:sz w:val="24"/>
        </w:rPr>
        <w:t>dvojnom pristupu</w:t>
      </w:r>
      <w:r>
        <w:rPr>
          <w:rFonts w:ascii="Times New Roman" w:hAnsi="Times New Roman"/>
          <w:noProof/>
          <w:sz w:val="24"/>
        </w:rPr>
        <w:t xml:space="preserve">: ciljanim mjerama za postizanje rodne ravnopravnosti u kombinaciji s jačanjem rodno osviještene politike. Komisija će jačati rodno osviještenu politiku </w:t>
      </w:r>
      <w:r>
        <w:rPr>
          <w:rFonts w:ascii="Times New Roman" w:hAnsi="Times New Roman"/>
          <w:b/>
          <w:noProof/>
          <w:sz w:val="24"/>
        </w:rPr>
        <w:t>sustavnim uključivanjem rodne perspektive u sve faze oblikovanja politika u svim područjima politike EU-a, unutarnjim i vanjskim</w:t>
      </w:r>
      <w:r>
        <w:rPr>
          <w:rFonts w:ascii="Times New Roman" w:hAnsi="Times New Roman"/>
          <w:noProof/>
          <w:sz w:val="24"/>
        </w:rPr>
        <w:t>. Strategija će se provoditi</w:t>
      </w:r>
      <w:r>
        <w:rPr>
          <w:rFonts w:ascii="Times New Roman" w:hAnsi="Times New Roman"/>
          <w:b/>
          <w:noProof/>
          <w:sz w:val="24"/>
        </w:rPr>
        <w:t xml:space="preserve"> primjenom intersekcionalnosti</w:t>
      </w:r>
      <w:r>
        <w:rPr>
          <w:rStyle w:val="FootnoteReference"/>
          <w:rFonts w:ascii="Times New Roman" w:eastAsia="Times New Roman" w:hAnsi="Times New Roman" w:cs="Times New Roman"/>
          <w:noProof/>
          <w:sz w:val="24"/>
        </w:rPr>
        <w:footnoteReference w:id="11"/>
      </w:r>
      <w:r>
        <w:rPr>
          <w:rFonts w:ascii="Times New Roman" w:hAnsi="Times New Roman"/>
          <w:b/>
          <w:noProof/>
          <w:sz w:val="24"/>
        </w:rPr>
        <w:t xml:space="preserve"> </w:t>
      </w:r>
      <w:r>
        <w:rPr>
          <w:noProof/>
          <w:sz w:val="24"/>
        </w:rPr>
        <w:t>–</w:t>
      </w:r>
      <w:r>
        <w:rPr>
          <w:rFonts w:ascii="Times New Roman" w:hAnsi="Times New Roman"/>
          <w:noProof/>
          <w:sz w:val="24"/>
        </w:rPr>
        <w:t xml:space="preserve"> preklapanja rodnih s drugim osobinama ili identitetima osobe</w:t>
      </w:r>
      <w:r>
        <w:rPr>
          <w:noProof/>
          <w:sz w:val="24"/>
        </w:rPr>
        <w:t xml:space="preserve"> </w:t>
      </w:r>
      <w:r>
        <w:rPr>
          <w:rFonts w:ascii="Times New Roman" w:hAnsi="Times New Roman"/>
          <w:noProof/>
          <w:sz w:val="24"/>
        </w:rPr>
        <w:t xml:space="preserve">te doprinosa tih preklapanja jedinstvenom iskustvu diskriminacije </w:t>
      </w:r>
      <w:r>
        <w:rPr>
          <w:noProof/>
          <w:sz w:val="24"/>
        </w:rPr>
        <w:t xml:space="preserve">– </w:t>
      </w:r>
      <w:r>
        <w:rPr>
          <w:rFonts w:ascii="Times New Roman" w:hAnsi="Times New Roman"/>
          <w:b/>
          <w:noProof/>
          <w:sz w:val="24"/>
        </w:rPr>
        <w:t>kao transverzalnog načela</w:t>
      </w:r>
      <w:r>
        <w:rPr>
          <w:rFonts w:ascii="Times New Roman" w:hAnsi="Times New Roman"/>
          <w:noProof/>
          <w:sz w:val="24"/>
        </w:rPr>
        <w:t>.</w:t>
      </w:r>
    </w:p>
    <w:p>
      <w:pPr>
        <w:spacing w:line="100" w:lineRule="atLeast"/>
        <w:jc w:val="both"/>
        <w:rPr>
          <w:rFonts w:ascii="Times New Roman" w:hAnsi="Times New Roman" w:cs="Times New Roman"/>
          <w:b/>
          <w:noProof/>
          <w:sz w:val="24"/>
          <w:szCs w:val="24"/>
        </w:rPr>
      </w:pPr>
      <w:r>
        <w:rPr>
          <w:rFonts w:ascii="Times New Roman" w:hAnsi="Times New Roman"/>
          <w:noProof/>
          <w:sz w:val="24"/>
        </w:rPr>
        <w:t>U 2020. godini, na 25. obljetnicu donošenja Pekinške deklaracije i Platforme za djelovanje</w:t>
      </w:r>
      <w:r>
        <w:rPr>
          <w:rStyle w:val="FootnoteReference"/>
          <w:rFonts w:ascii="Times New Roman" w:hAnsi="Times New Roman" w:cs="Times New Roman"/>
          <w:noProof/>
          <w:sz w:val="24"/>
        </w:rPr>
        <w:footnoteReference w:id="12"/>
      </w:r>
      <w:r>
        <w:rPr>
          <w:rFonts w:ascii="Times New Roman" w:hAnsi="Times New Roman"/>
          <w:noProof/>
          <w:sz w:val="24"/>
        </w:rPr>
        <w:t xml:space="preserve"> – prve univerzalno preuzete obveze i akcijskog plana za napredak u smislu ravnopravnosti žena i muškaraca, </w:t>
      </w:r>
      <w:r>
        <w:rPr>
          <w:rFonts w:ascii="Times New Roman" w:hAnsi="Times New Roman"/>
          <w:b/>
          <w:noProof/>
          <w:sz w:val="24"/>
        </w:rPr>
        <w:t>ovom strategijom EU doprinosi izgradnji boljeg svijeta za žene i muškarce, djevojčice i dječake</w:t>
      </w:r>
      <w:r>
        <w:rPr>
          <w:rFonts w:ascii="Times New Roman" w:hAnsi="Times New Roman"/>
          <w:noProof/>
          <w:sz w:val="24"/>
        </w:rPr>
        <w:t>. Njome se doprinosi cilju održivog razvoja „Rodna ravnopravnost” (cilj br. 5), rodnoj ravnopravnosti kao transverzalnom prioritetu svih ciljeva održivog razvoja</w:t>
      </w:r>
      <w:r>
        <w:rPr>
          <w:rStyle w:val="FootnoteReference"/>
          <w:rFonts w:ascii="Times New Roman" w:hAnsi="Times New Roman" w:cs="Times New Roman"/>
          <w:noProof/>
          <w:sz w:val="24"/>
        </w:rPr>
        <w:footnoteReference w:id="13"/>
      </w:r>
      <w:r>
        <w:rPr>
          <w:rFonts w:ascii="Times New Roman" w:hAnsi="Times New Roman"/>
          <w:noProof/>
          <w:sz w:val="24"/>
        </w:rPr>
        <w:t xml:space="preserve"> te ustrajnosti EU-a u poštovanju Konvencije UN-a o pravima osoba s invaliditetom.</w:t>
      </w:r>
    </w:p>
    <w:p>
      <w:pPr>
        <w:spacing w:line="100" w:lineRule="atLeast"/>
        <w:ind w:left="709" w:hanging="709"/>
        <w:jc w:val="both"/>
        <w:rPr>
          <w:rFonts w:ascii="Times New Roman" w:hAnsi="Times New Roman" w:cs="Times New Roman"/>
          <w:b/>
          <w:noProof/>
          <w:sz w:val="28"/>
          <w:szCs w:val="28"/>
        </w:rPr>
      </w:pPr>
      <w:r>
        <w:rPr>
          <w:rFonts w:ascii="Times New Roman" w:hAnsi="Times New Roman"/>
          <w:b/>
          <w:noProof/>
          <w:sz w:val="28"/>
          <w:szCs w:val="28"/>
        </w:rPr>
        <w:t xml:space="preserve">1. </w:t>
      </w:r>
      <w:r>
        <w:rPr>
          <w:rFonts w:ascii="Times New Roman" w:hAnsi="Times New Roman"/>
          <w:b/>
          <w:noProof/>
          <w:sz w:val="28"/>
          <w:szCs w:val="28"/>
        </w:rPr>
        <w:tab/>
        <w:t>Sloboda od nasilja i stereotipa</w:t>
      </w:r>
    </w:p>
    <w:p>
      <w:pPr>
        <w:spacing w:line="240" w:lineRule="auto"/>
        <w:jc w:val="both"/>
        <w:rPr>
          <w:rFonts w:ascii="Times New Roman" w:hAnsi="Times New Roman" w:cs="Times New Roman"/>
          <w:b/>
          <w:i/>
          <w:noProof/>
          <w:sz w:val="28"/>
          <w:szCs w:val="24"/>
        </w:rPr>
      </w:pPr>
      <w:r>
        <w:rPr>
          <w:rFonts w:ascii="Times New Roman" w:hAnsi="Times New Roman"/>
          <w:i/>
          <w:noProof/>
          <w:sz w:val="24"/>
        </w:rPr>
        <w:t>Svatko bi trebao biti siguran u svojem domu, u bliskim odnosima, na radnom mjestu, u javnim prostorima i na internetu. Žene i muškarci, djevojčice i dječaci, u svoj svojoj raznolikosti, trebali bi moći slobodno izražavati svoje ideje i osjećaje te se obrazovati i profesionalno razvijati prema svojem izboru, bez ograničenja stereotipnih rodnih normi.</w:t>
      </w:r>
    </w:p>
    <w:p>
      <w:pPr>
        <w:rPr>
          <w:rFonts w:ascii="Times New Roman" w:hAnsi="Times New Roman" w:cs="Times New Roman"/>
          <w:b/>
          <w:noProof/>
          <w:sz w:val="28"/>
          <w:szCs w:val="24"/>
        </w:rPr>
      </w:pPr>
      <w:r>
        <w:rPr>
          <w:rFonts w:ascii="Times New Roman" w:hAnsi="Times New Roman"/>
          <w:b/>
          <w:i/>
          <w:noProof/>
          <w:sz w:val="24"/>
        </w:rPr>
        <w:t>Zaustavljanje rodno uvjetovanog nasilja</w:t>
      </w:r>
    </w:p>
    <w:p>
      <w:pPr>
        <w:spacing w:line="100" w:lineRule="atLeast"/>
        <w:jc w:val="both"/>
        <w:rPr>
          <w:rFonts w:ascii="Times New Roman" w:hAnsi="Times New Roman" w:cs="Times New Roman"/>
          <w:noProof/>
          <w:sz w:val="24"/>
          <w:szCs w:val="24"/>
        </w:rPr>
      </w:pPr>
      <w:r>
        <w:rPr>
          <w:rFonts w:ascii="Times New Roman" w:hAnsi="Times New Roman"/>
          <w:noProof/>
          <w:sz w:val="24"/>
        </w:rPr>
        <w:t>Rodno uvjetovano nasilje, odnosno nasilje nad ženom zato što je žena ili nasilje koje nerazmjerno pogađa žene</w:t>
      </w:r>
      <w:r>
        <w:rPr>
          <w:rStyle w:val="FootnoteReference"/>
          <w:rFonts w:ascii="Times New Roman" w:hAnsi="Times New Roman" w:cs="Times New Roman"/>
          <w:noProof/>
          <w:sz w:val="24"/>
        </w:rPr>
        <w:footnoteReference w:id="14"/>
      </w:r>
      <w:r>
        <w:rPr>
          <w:rFonts w:ascii="Times New Roman" w:hAnsi="Times New Roman"/>
          <w:noProof/>
          <w:sz w:val="24"/>
        </w:rPr>
        <w:t>, i dalje je jedan od najvećih problema naših društava i duboko je ukorijenjeno u rodnoj neravnopravnosti</w:t>
      </w:r>
      <w:r>
        <w:rPr>
          <w:rStyle w:val="FootnoteReference"/>
          <w:rFonts w:ascii="Times New Roman" w:hAnsi="Times New Roman" w:cs="Times New Roman"/>
          <w:noProof/>
          <w:sz w:val="24"/>
        </w:rPr>
        <w:footnoteReference w:id="15"/>
      </w:r>
      <w:r>
        <w:rPr>
          <w:rFonts w:ascii="Times New Roman" w:hAnsi="Times New Roman"/>
          <w:noProof/>
          <w:sz w:val="24"/>
        </w:rPr>
        <w:t xml:space="preserve">. Rodno uvjetovano nasilje u svim oblicima i dalje se često ne prijavljuje te se zanemaruje i u EU-u i izvan njega. </w:t>
      </w:r>
      <w:r>
        <w:rPr>
          <w:rFonts w:ascii="Times New Roman" w:hAnsi="Times New Roman"/>
          <w:b/>
          <w:noProof/>
          <w:sz w:val="24"/>
        </w:rPr>
        <w:t>EU će učiniti sve u svojoj moći kako bi suzbio rodno uvjetovano nasilje, pružio potporu i zaštitu žrtvama te počinitelje priveo pravdi</w:t>
      </w:r>
      <w:r>
        <w:rPr>
          <w:rFonts w:ascii="Times New Roman" w:hAnsi="Times New Roman"/>
          <w:noProof/>
          <w:sz w:val="24"/>
        </w:rPr>
        <w:t xml:space="preserve"> zbog nasilnog ponašanja.</w:t>
      </w:r>
    </w:p>
    <w:p>
      <w:pPr>
        <w:spacing w:line="100" w:lineRule="atLeast"/>
        <w:jc w:val="both"/>
        <w:rPr>
          <w:rFonts w:ascii="Times New Roman" w:hAnsi="Times New Roman" w:cs="Times New Roman"/>
          <w:noProof/>
          <w:sz w:val="20"/>
          <w:szCs w:val="20"/>
        </w:rPr>
      </w:pPr>
      <w:r>
        <w:rPr>
          <w:rFonts w:ascii="Times New Roman" w:hAnsi="Times New Roman" w:cs="Times New Roman"/>
          <w:noProof/>
          <w:sz w:val="20"/>
          <w:szCs w:val="20"/>
          <w:lang w:val="en-GB" w:eastAsia="en-GB"/>
        </w:rPr>
        <w:drawing>
          <wp:inline distT="0" distB="0" distL="0" distR="0">
            <wp:extent cx="5759450" cy="1002030"/>
            <wp:effectExtent l="0" t="0" r="0" b="7620"/>
            <wp:docPr id="3" name="Picture 3" descr="C:\Users\nardedo\AppData\Local\Temp\1\Temp1_JUST-2020-80008-03-00-HR-SRC-00 (2).ZIP\HR_gender-based-viole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ardedo\AppData\Local\Temp\1\Temp1_JUST-2020-80008-03-00-HR-SRC-00 (2).ZIP\HR_gender-based-violence.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59450" cy="1002030"/>
                    </a:xfrm>
                    <a:prstGeom prst="rect">
                      <a:avLst/>
                    </a:prstGeom>
                    <a:noFill/>
                    <a:ln>
                      <a:noFill/>
                    </a:ln>
                  </pic:spPr>
                </pic:pic>
              </a:graphicData>
            </a:graphic>
          </wp:inline>
        </w:drawing>
      </w:r>
    </w:p>
    <w:p>
      <w:pPr>
        <w:spacing w:after="240" w:line="240" w:lineRule="auto"/>
        <w:jc w:val="both"/>
        <w:rPr>
          <w:rFonts w:ascii="Times New Roman" w:eastAsia="Times New Roman" w:hAnsi="Times New Roman" w:cs="Times New Roman"/>
          <w:noProof/>
          <w:sz w:val="28"/>
          <w:szCs w:val="20"/>
        </w:rPr>
      </w:pPr>
      <w:r>
        <w:rPr>
          <w:rFonts w:ascii="Times New Roman" w:hAnsi="Times New Roman"/>
          <w:noProof/>
          <w:sz w:val="24"/>
          <w:szCs w:val="20"/>
        </w:rPr>
        <w:t xml:space="preserve">Konvencija Vijeća Europe o sprečavanju i borbi protiv nasilja nad ženama i nasilja u obitelji – </w:t>
      </w:r>
      <w:r>
        <w:rPr>
          <w:rFonts w:ascii="Times New Roman" w:hAnsi="Times New Roman"/>
          <w:b/>
          <w:noProof/>
          <w:sz w:val="24"/>
          <w:szCs w:val="20"/>
        </w:rPr>
        <w:t>„Istanbulska konvencija”</w:t>
      </w:r>
      <w:r>
        <w:rPr>
          <w:rFonts w:ascii="Times New Roman" w:hAnsi="Times New Roman"/>
          <w:noProof/>
          <w:sz w:val="24"/>
          <w:szCs w:val="20"/>
        </w:rPr>
        <w:t xml:space="preserve"> – mjerilo je međunarodnih standarda u tom području. EU je potpisao Konvenciju 2017., a dovršavanje pristupanja EU-a toj konvenciji među glavnim je prioritetima Komisije. Kako bi se ubrzalo dovršenje pristupanja EU-a, Europski parlament zatražio je 2019. mišljenje Suda Europske unije o tom pitanju</w:t>
      </w:r>
      <w:r>
        <w:rPr>
          <w:rFonts w:ascii="Times New Roman" w:eastAsia="Times New Roman" w:hAnsi="Times New Roman" w:cs="Times New Roman"/>
          <w:noProof/>
          <w:sz w:val="24"/>
          <w:szCs w:val="20"/>
          <w:vertAlign w:val="superscript"/>
        </w:rPr>
        <w:footnoteReference w:id="16"/>
      </w:r>
      <w:r>
        <w:rPr>
          <w:rFonts w:ascii="Times New Roman" w:hAnsi="Times New Roman"/>
          <w:noProof/>
          <w:sz w:val="24"/>
          <w:szCs w:val="20"/>
        </w:rPr>
        <w:t>.</w:t>
      </w:r>
    </w:p>
    <w:p>
      <w:pPr>
        <w:spacing w:after="240" w:line="240" w:lineRule="auto"/>
        <w:jc w:val="both"/>
        <w:rPr>
          <w:rFonts w:ascii="Times New Roman" w:eastAsia="Times New Roman" w:hAnsi="Times New Roman" w:cs="Times New Roman"/>
          <w:noProof/>
          <w:sz w:val="28"/>
          <w:szCs w:val="20"/>
        </w:rPr>
      </w:pPr>
      <w:r>
        <w:rPr>
          <w:rFonts w:ascii="Times New Roman" w:hAnsi="Times New Roman"/>
          <w:noProof/>
          <w:sz w:val="24"/>
          <w:szCs w:val="20"/>
        </w:rPr>
        <w:t xml:space="preserve">Ako se pristupanje EU-a Istanbulskoj konvenciji i dalje bude blokiralo, Komisija namjerava </w:t>
      </w:r>
      <w:r>
        <w:rPr>
          <w:rFonts w:ascii="Times New Roman" w:hAnsi="Times New Roman"/>
          <w:b/>
          <w:noProof/>
          <w:sz w:val="24"/>
          <w:szCs w:val="20"/>
        </w:rPr>
        <w:t>2021. predložiti mjere</w:t>
      </w:r>
      <w:r>
        <w:rPr>
          <w:rFonts w:ascii="Times New Roman" w:hAnsi="Times New Roman"/>
          <w:noProof/>
          <w:sz w:val="24"/>
          <w:szCs w:val="20"/>
        </w:rPr>
        <w:t xml:space="preserve"> u okviru ovlasti EU-a </w:t>
      </w:r>
      <w:r>
        <w:rPr>
          <w:rFonts w:ascii="Times New Roman" w:hAnsi="Times New Roman"/>
          <w:b/>
          <w:noProof/>
          <w:sz w:val="24"/>
          <w:szCs w:val="20"/>
        </w:rPr>
        <w:t>za postizanje istih ciljeva kao i Istanbulska konvencija</w:t>
      </w:r>
      <w:r>
        <w:rPr>
          <w:rFonts w:ascii="Times New Roman" w:hAnsi="Times New Roman"/>
          <w:noProof/>
          <w:sz w:val="24"/>
          <w:szCs w:val="20"/>
        </w:rPr>
        <w:t>.</w:t>
      </w:r>
    </w:p>
    <w:p>
      <w:pPr>
        <w:spacing w:after="240" w:line="240" w:lineRule="auto"/>
        <w:jc w:val="both"/>
        <w:rPr>
          <w:rFonts w:ascii="Times New Roman" w:eastAsia="Times New Roman" w:hAnsi="Times New Roman" w:cs="Times New Roman"/>
          <w:noProof/>
          <w:sz w:val="28"/>
          <w:szCs w:val="20"/>
        </w:rPr>
      </w:pPr>
      <w:r>
        <w:rPr>
          <w:rFonts w:ascii="Times New Roman" w:hAnsi="Times New Roman"/>
          <w:noProof/>
          <w:sz w:val="24"/>
          <w:szCs w:val="20"/>
        </w:rPr>
        <w:t xml:space="preserve">Konkretno, Komisija namjerava predstaviti inicijativu za </w:t>
      </w:r>
      <w:r>
        <w:rPr>
          <w:rFonts w:ascii="Times New Roman" w:hAnsi="Times New Roman"/>
          <w:b/>
          <w:noProof/>
          <w:sz w:val="24"/>
          <w:szCs w:val="20"/>
        </w:rPr>
        <w:t>proširenje područja kaznenih djela</w:t>
      </w:r>
      <w:r>
        <w:rPr>
          <w:rFonts w:ascii="Times New Roman" w:hAnsi="Times New Roman"/>
          <w:noProof/>
          <w:sz w:val="24"/>
          <w:szCs w:val="20"/>
        </w:rPr>
        <w:t xml:space="preserve"> u kojima je moguće usklađivanje na specifične oblike rodno uvjetovanog nasilja u skladu s člankom 83. stavkom 1. UFEU-a – takozvana </w:t>
      </w:r>
      <w:r>
        <w:rPr>
          <w:rFonts w:ascii="Times New Roman" w:hAnsi="Times New Roman"/>
          <w:b/>
          <w:noProof/>
          <w:sz w:val="24"/>
          <w:szCs w:val="20"/>
        </w:rPr>
        <w:t>europska kaznena djela</w:t>
      </w:r>
      <w:r>
        <w:rPr>
          <w:rFonts w:ascii="Times New Roman" w:hAnsi="Times New Roman"/>
          <w:noProof/>
          <w:sz w:val="24"/>
          <w:szCs w:val="20"/>
        </w:rPr>
        <w:t>.</w:t>
      </w:r>
    </w:p>
    <w:p>
      <w:pPr>
        <w:spacing w:after="240" w:line="240" w:lineRule="auto"/>
        <w:jc w:val="both"/>
        <w:rPr>
          <w:rFonts w:ascii="Times New Roman" w:eastAsia="Times New Roman" w:hAnsi="Times New Roman" w:cs="Times New Roman"/>
          <w:noProof/>
          <w:sz w:val="24"/>
          <w:szCs w:val="20"/>
        </w:rPr>
      </w:pPr>
      <w:r>
        <w:rPr>
          <w:rFonts w:ascii="Times New Roman" w:hAnsi="Times New Roman"/>
          <w:noProof/>
          <w:sz w:val="24"/>
          <w:szCs w:val="20"/>
        </w:rPr>
        <w:t xml:space="preserve">Ako su već obuhvaćena postojećim europskim kaznenim djelima u smislu članka 83. stavka 1. UFEU-a, Komisija će predložiti </w:t>
      </w:r>
      <w:r>
        <w:rPr>
          <w:rFonts w:ascii="Times New Roman" w:hAnsi="Times New Roman"/>
          <w:b/>
          <w:noProof/>
          <w:sz w:val="24"/>
          <w:szCs w:val="20"/>
        </w:rPr>
        <w:t>dodatne mjere za sprečavanje i suzbijanje određenih oblika rodno uvjetovanog nasilja</w:t>
      </w:r>
      <w:r>
        <w:rPr>
          <w:rFonts w:ascii="Times New Roman" w:hAnsi="Times New Roman"/>
          <w:noProof/>
          <w:sz w:val="24"/>
          <w:szCs w:val="20"/>
        </w:rPr>
        <w:t>, uključujući seksualno uznemiravanje, zlostavljanje žena i sakaćenje ženskih spolnih organa.</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lang w:val="en-GB" w:eastAsia="en-GB"/>
        </w:rPr>
        <w:drawing>
          <wp:inline distT="0" distB="0" distL="0" distR="0">
            <wp:extent cx="5759450" cy="1019175"/>
            <wp:effectExtent l="0" t="0" r="0" b="9525"/>
            <wp:docPr id="4" name="Picture 4" descr="C:\Users\nardedo\AppData\Local\Temp\1\Temp1_JUST-2020-80008-03-00-HR-SRC-00 (2).ZIP\HR_FG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ardedo\AppData\Local\Temp\1\Temp1_JUST-2020-80008-03-00-HR-SRC-00 (2).ZIP\HR_FGM.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59450" cy="1019175"/>
                    </a:xfrm>
                    <a:prstGeom prst="rect">
                      <a:avLst/>
                    </a:prstGeom>
                    <a:noFill/>
                    <a:ln>
                      <a:noFill/>
                    </a:ln>
                  </pic:spPr>
                </pic:pic>
              </a:graphicData>
            </a:graphic>
          </wp:inline>
        </w:drawing>
      </w:r>
    </w:p>
    <w:p>
      <w:pPr>
        <w:spacing w:line="100" w:lineRule="atLeast"/>
        <w:jc w:val="both"/>
        <w:rPr>
          <w:rFonts w:ascii="Times New Roman" w:hAnsi="Times New Roman"/>
          <w:noProof/>
          <w:sz w:val="28"/>
          <w:szCs w:val="24"/>
        </w:rPr>
      </w:pPr>
      <w:r>
        <w:rPr>
          <w:rFonts w:ascii="Times New Roman" w:hAnsi="Times New Roman"/>
          <w:noProof/>
          <w:sz w:val="24"/>
        </w:rPr>
        <w:t>Sakaćenje ženskih spolnih organa</w:t>
      </w:r>
      <w:r>
        <w:rPr>
          <w:rStyle w:val="FootnoteReference"/>
          <w:rFonts w:ascii="Times New Roman" w:hAnsi="Times New Roman" w:cs="Times New Roman"/>
          <w:noProof/>
          <w:sz w:val="24"/>
        </w:rPr>
        <w:footnoteReference w:id="17"/>
      </w:r>
      <w:r>
        <w:rPr>
          <w:rFonts w:ascii="Times New Roman" w:hAnsi="Times New Roman"/>
          <w:noProof/>
          <w:sz w:val="24"/>
        </w:rPr>
        <w:t xml:space="preserve">, prisilni pobačaj i prisilna sterilizacija, rani i prisilni brak, takozvano nasilje u ime časti i druge </w:t>
      </w:r>
      <w:r>
        <w:rPr>
          <w:rFonts w:ascii="Times New Roman" w:hAnsi="Times New Roman"/>
          <w:b/>
          <w:noProof/>
          <w:sz w:val="24"/>
        </w:rPr>
        <w:t>štetne prakse koje se primjenjuju na ženama i djevojčicama oblici su rodno uvjetovanog nasilja te teške povrede prava žena i djece</w:t>
      </w:r>
      <w:r>
        <w:rPr>
          <w:rFonts w:ascii="Times New Roman" w:hAnsi="Times New Roman"/>
          <w:noProof/>
          <w:sz w:val="24"/>
        </w:rPr>
        <w:t xml:space="preserve"> u EU-u i drugdje u svijetu. Uz moguće zakonodavne akte EU će predstaviti i </w:t>
      </w:r>
      <w:r>
        <w:rPr>
          <w:rFonts w:ascii="Times New Roman" w:hAnsi="Times New Roman"/>
          <w:b/>
          <w:noProof/>
          <w:sz w:val="24"/>
        </w:rPr>
        <w:t>Preporuku o sprečavanju štetnih praksa</w:t>
      </w:r>
      <w:r>
        <w:rPr>
          <w:rFonts w:ascii="Times New Roman" w:hAnsi="Times New Roman"/>
          <w:noProof/>
          <w:sz w:val="24"/>
        </w:rPr>
        <w:t xml:space="preserve">, u kojoj će istaknuti i potrebu za djelotvornim preventivnim mjerama i važnost obrazovanja. U njoj će biti riječ i o jačanju javnih usluga, preventivnim i potpornim mjerama, razvoju kapaciteta stručnjaka i pristupu pravdi u kojem je žrtva na prvom mjestu. </w:t>
      </w:r>
    </w:p>
    <w:p>
      <w:pPr>
        <w:spacing w:after="240" w:line="240" w:lineRule="auto"/>
        <w:jc w:val="both"/>
        <w:rPr>
          <w:rFonts w:ascii="Times New Roman" w:eastAsia="Times New Roman" w:hAnsi="Times New Roman" w:cs="Times New Roman"/>
          <w:noProof/>
          <w:sz w:val="28"/>
          <w:szCs w:val="20"/>
        </w:rPr>
      </w:pPr>
      <w:r>
        <w:rPr>
          <w:rFonts w:ascii="Times New Roman" w:hAnsi="Times New Roman"/>
          <w:noProof/>
          <w:sz w:val="24"/>
          <w:szCs w:val="20"/>
        </w:rPr>
        <w:t xml:space="preserve">Komisija će 2020. predstaviti i </w:t>
      </w:r>
      <w:r>
        <w:rPr>
          <w:rFonts w:ascii="Times New Roman" w:hAnsi="Times New Roman"/>
          <w:b/>
          <w:noProof/>
          <w:sz w:val="24"/>
          <w:szCs w:val="20"/>
        </w:rPr>
        <w:t>strategiju za prava žrtava</w:t>
      </w:r>
      <w:r>
        <w:rPr>
          <w:rFonts w:ascii="Times New Roman" w:hAnsi="Times New Roman"/>
          <w:noProof/>
          <w:sz w:val="24"/>
          <w:szCs w:val="20"/>
        </w:rPr>
        <w:t>, u kojoj će biti riječ o specifičnim potrebama žrtava rodno uvjetovanog nasilja, među ostalog i nasilja u obitelji, na temelju Direktive o pravima žrtava</w:t>
      </w:r>
      <w:r>
        <w:rPr>
          <w:rStyle w:val="FootnoteReference"/>
          <w:rFonts w:ascii="Times New Roman" w:eastAsia="Times New Roman" w:hAnsi="Times New Roman" w:cs="Times New Roman"/>
          <w:noProof/>
          <w:sz w:val="24"/>
          <w:szCs w:val="20"/>
        </w:rPr>
        <w:footnoteReference w:id="18"/>
      </w:r>
      <w:r>
        <w:rPr>
          <w:rFonts w:ascii="Times New Roman" w:hAnsi="Times New Roman"/>
          <w:noProof/>
          <w:sz w:val="24"/>
          <w:szCs w:val="20"/>
        </w:rPr>
        <w:t>.</w:t>
      </w:r>
    </w:p>
    <w:p>
      <w:pPr>
        <w:spacing w:line="240" w:lineRule="auto"/>
        <w:jc w:val="both"/>
        <w:rPr>
          <w:rFonts w:ascii="Times New Roman" w:eastAsia="Times New Roman" w:hAnsi="Times New Roman" w:cs="Times New Roman"/>
          <w:noProof/>
          <w:sz w:val="28"/>
          <w:szCs w:val="24"/>
        </w:rPr>
      </w:pPr>
      <w:r>
        <w:rPr>
          <w:rFonts w:ascii="Times New Roman" w:hAnsi="Times New Roman"/>
          <w:noProof/>
          <w:sz w:val="24"/>
        </w:rPr>
        <w:t xml:space="preserve">Žene </w:t>
      </w:r>
      <w:r>
        <w:rPr>
          <w:rFonts w:ascii="Times New Roman" w:hAnsi="Times New Roman"/>
          <w:b/>
          <w:noProof/>
          <w:sz w:val="24"/>
        </w:rPr>
        <w:t>sa zdravstvenim problemom ili s invaliditetom</w:t>
      </w:r>
      <w:r>
        <w:rPr>
          <w:rFonts w:ascii="Times New Roman" w:hAnsi="Times New Roman"/>
          <w:noProof/>
          <w:sz w:val="24"/>
        </w:rPr>
        <w:t xml:space="preserve"> češće su žrtve različitih oblika nasilja</w:t>
      </w:r>
      <w:r>
        <w:rPr>
          <w:rStyle w:val="FootnoteReference"/>
          <w:rFonts w:ascii="Times New Roman" w:hAnsi="Times New Roman" w:cs="Times New Roman"/>
          <w:noProof/>
          <w:sz w:val="24"/>
        </w:rPr>
        <w:footnoteReference w:id="19"/>
      </w:r>
      <w:r>
        <w:rPr>
          <w:noProof/>
          <w:sz w:val="24"/>
        </w:rPr>
        <w:t>.</w:t>
      </w:r>
      <w:r>
        <w:rPr>
          <w:rFonts w:ascii="Times New Roman" w:hAnsi="Times New Roman"/>
          <w:noProof/>
          <w:sz w:val="24"/>
        </w:rPr>
        <w:t xml:space="preserve"> Komisija će osmisliti i financirati mjere</w:t>
      </w:r>
      <w:r>
        <w:rPr>
          <w:rStyle w:val="FootnoteReference"/>
          <w:rFonts w:ascii="Times New Roman" w:hAnsi="Times New Roman" w:cs="Times New Roman"/>
          <w:noProof/>
          <w:sz w:val="24"/>
        </w:rPr>
        <w:footnoteReference w:id="20"/>
      </w:r>
      <w:r>
        <w:rPr>
          <w:rFonts w:ascii="Times New Roman" w:hAnsi="Times New Roman"/>
          <w:noProof/>
          <w:sz w:val="24"/>
        </w:rPr>
        <w:t xml:space="preserve"> protiv zlostavljanja, nasilja te prisilne sterilizacije i prisilnog pobačaja, kao što su razvoj kapaciteta stručnjaka i informativne kampanje o pravima i pristupu pravdi.</w:t>
      </w:r>
    </w:p>
    <w:p>
      <w:pPr>
        <w:spacing w:line="100" w:lineRule="atLeast"/>
        <w:jc w:val="both"/>
        <w:rPr>
          <w:rFonts w:ascii="Times New Roman" w:hAnsi="Times New Roman" w:cs="Times New Roman"/>
          <w:noProof/>
          <w:szCs w:val="20"/>
        </w:rPr>
      </w:pPr>
      <w:r>
        <w:rPr>
          <w:rFonts w:ascii="Times New Roman" w:hAnsi="Times New Roman"/>
          <w:b/>
          <w:noProof/>
          <w:sz w:val="24"/>
        </w:rPr>
        <w:t>Ključno je djelotvorno sprečavanje nasilja</w:t>
      </w:r>
      <w:r>
        <w:rPr>
          <w:rFonts w:ascii="Times New Roman" w:hAnsi="Times New Roman"/>
          <w:noProof/>
          <w:sz w:val="24"/>
        </w:rPr>
        <w:t xml:space="preserve">. Za to je potrebno od rane dobi obrazovati dječake i djevojčice o rodnoj ravnopravnosti te podupirati razvoj nenasilnih odnosa. Također je potreban višedisciplinaran pristup stručnjaka i službi, uključujući kaznenopravni sustav, službe za potporu žrtvama, programe za počinitelje te socijalne i zdravstvene službe. Suzbijanje nasilja nad ženama i ideologija kojima se ugrožavaju prava žena moglo bi doprinijeti i sprečavanju radikalizacije, koja vodi do nasilnog ekstremizma i terorizma. Komisija će pokrenuti </w:t>
      </w:r>
      <w:r>
        <w:rPr>
          <w:rFonts w:ascii="Times New Roman" w:hAnsi="Times New Roman"/>
          <w:b/>
          <w:noProof/>
          <w:sz w:val="24"/>
        </w:rPr>
        <w:t>mrežu EU-a za sprečavanje rodno uvjetovanog nasilja i nasilja u obitelji</w:t>
      </w:r>
      <w:r>
        <w:rPr>
          <w:rFonts w:ascii="Times New Roman" w:hAnsi="Times New Roman"/>
          <w:noProof/>
          <w:sz w:val="24"/>
        </w:rPr>
        <w:t>, s pomoću koje će okupiti države članice i dionike radi razmjene dobre prakse te osigurati financijska sredstva za osposobljavanje, razvoj kapaciteta i službe za potporu. Sprečavanje nasilja usmjereno na muškarce, dječake i maskulinitet</w:t>
      </w:r>
      <w:r>
        <w:rPr>
          <w:rStyle w:val="FootnoteReference"/>
          <w:rFonts w:ascii="Times New Roman" w:hAnsi="Times New Roman" w:cs="Times New Roman"/>
          <w:noProof/>
          <w:sz w:val="24"/>
        </w:rPr>
        <w:footnoteReference w:id="21"/>
      </w:r>
      <w:r>
        <w:rPr>
          <w:rFonts w:ascii="Times New Roman" w:hAnsi="Times New Roman"/>
          <w:noProof/>
          <w:sz w:val="24"/>
        </w:rPr>
        <w:t xml:space="preserve"> bit će ključno.</w:t>
      </w:r>
    </w:p>
    <w:p>
      <w:pPr>
        <w:spacing w:line="100" w:lineRule="atLeast"/>
        <w:jc w:val="both"/>
        <w:rPr>
          <w:rFonts w:ascii="Times New Roman" w:hAnsi="Times New Roman" w:cs="Times New Roman"/>
          <w:noProof/>
          <w:sz w:val="24"/>
          <w:szCs w:val="24"/>
        </w:rPr>
      </w:pPr>
      <w:r>
        <w:rPr>
          <w:rFonts w:ascii="Times New Roman" w:hAnsi="Times New Roman"/>
          <w:noProof/>
          <w:sz w:val="24"/>
        </w:rPr>
        <w:t xml:space="preserve">Kako bi riješila problem nasilja i uznemiravanja u radnom okruženju, Komisija će nastaviti poticati države članice da ratificiraju </w:t>
      </w:r>
      <w:r>
        <w:rPr>
          <w:rFonts w:ascii="Times New Roman" w:hAnsi="Times New Roman"/>
          <w:b/>
          <w:noProof/>
          <w:sz w:val="24"/>
        </w:rPr>
        <w:t>Konvenciju Međunarodne organizacije rada o borbi protiv nasilja i uznemiravanja u svijetu rada</w:t>
      </w:r>
      <w:r>
        <w:rPr>
          <w:rStyle w:val="FootnoteReference"/>
          <w:rFonts w:ascii="Times New Roman" w:hAnsi="Times New Roman" w:cs="Times New Roman"/>
          <w:noProof/>
          <w:sz w:val="24"/>
        </w:rPr>
        <w:footnoteReference w:id="22"/>
      </w:r>
      <w:r>
        <w:rPr>
          <w:rFonts w:ascii="Times New Roman" w:hAnsi="Times New Roman"/>
          <w:noProof/>
          <w:sz w:val="24"/>
        </w:rPr>
        <w:t xml:space="preserve"> te provedu postojeća pravila EU-a</w:t>
      </w:r>
      <w:r>
        <w:rPr>
          <w:rStyle w:val="FootnoteReference"/>
          <w:rFonts w:ascii="Times New Roman" w:hAnsi="Times New Roman" w:cs="Times New Roman"/>
          <w:noProof/>
          <w:sz w:val="24"/>
        </w:rPr>
        <w:footnoteReference w:id="23"/>
      </w:r>
      <w:r>
        <w:rPr>
          <w:rFonts w:ascii="Times New Roman" w:hAnsi="Times New Roman"/>
          <w:noProof/>
          <w:sz w:val="24"/>
        </w:rPr>
        <w:t xml:space="preserve"> o zaštiti radnika od seksualnog uznemiravanja i bolje informiraju javnost o njima. Kao poslodavac Komisija će donijeti novi sveobuhvatan pravni okvir sa skupom preventivnih i reaktivnih mjera protiv uznemiravanja na radnom mjestu.</w:t>
      </w:r>
    </w:p>
    <w:p>
      <w:pPr>
        <w:spacing w:line="100" w:lineRule="atLeast"/>
        <w:jc w:val="both"/>
        <w:rPr>
          <w:rFonts w:ascii="Times New Roman" w:hAnsi="Times New Roman"/>
          <w:noProof/>
          <w:szCs w:val="20"/>
        </w:rPr>
      </w:pPr>
      <w:r>
        <w:rPr>
          <w:rFonts w:ascii="Times New Roman" w:hAnsi="Times New Roman"/>
          <w:b/>
          <w:noProof/>
          <w:sz w:val="24"/>
        </w:rPr>
        <w:t>Internetsko nasilje usmjereno na žene</w:t>
      </w:r>
      <w:r>
        <w:rPr>
          <w:rFonts w:ascii="Times New Roman" w:hAnsi="Times New Roman"/>
          <w:noProof/>
          <w:sz w:val="24"/>
        </w:rPr>
        <w:t xml:space="preserve"> sad je svuda prisutno i ima specifične, vrlo štetne posljedice; </w:t>
      </w:r>
      <w:r>
        <w:rPr>
          <w:rFonts w:ascii="Times New Roman" w:hAnsi="Times New Roman"/>
          <w:b/>
          <w:noProof/>
          <w:sz w:val="24"/>
        </w:rPr>
        <w:t xml:space="preserve">to nije prihvatljivo. To je nasilje prepreka sudjelovanju žena u javnom životu. </w:t>
      </w:r>
      <w:r>
        <w:rPr>
          <w:rFonts w:ascii="Times New Roman" w:hAnsi="Times New Roman"/>
          <w:noProof/>
          <w:sz w:val="24"/>
        </w:rPr>
        <w:t xml:space="preserve">Maltretiranje, uznemiravanje i zlostavljanje na društvenim medijima imaju dalekosežne posljedice na svakodnevni život žena i djevojčica. Komisija će predložiti </w:t>
      </w:r>
      <w:r>
        <w:rPr>
          <w:rFonts w:ascii="Times New Roman" w:hAnsi="Times New Roman"/>
          <w:b/>
          <w:noProof/>
          <w:sz w:val="24"/>
        </w:rPr>
        <w:t>Zakon o digitalnim uslugama</w:t>
      </w:r>
      <w:r>
        <w:rPr>
          <w:rStyle w:val="FootnoteReference"/>
          <w:rFonts w:ascii="Times New Roman" w:hAnsi="Times New Roman" w:cs="Times New Roman"/>
          <w:noProof/>
          <w:sz w:val="24"/>
        </w:rPr>
        <w:footnoteReference w:id="24"/>
      </w:r>
      <w:r>
        <w:rPr>
          <w:rFonts w:ascii="Times New Roman" w:hAnsi="Times New Roman"/>
          <w:noProof/>
          <w:sz w:val="24"/>
        </w:rPr>
        <w:t xml:space="preserve"> kako bi razjasnila odgovornosti internetskih platformi u pogledu sadržaja koje šire korisnici. Zakonom o digitalnim uslugama pojasnit će se koje se mjere očekuju od platformi u rješavanju nezakonitih aktivnosti na internetu uz istodobnu zaštitu temeljnih prava. Korisnici moraju moći suprotstaviti se i drugim vrstama štetnih i uvredljivih sadržaja, koji se ne smatraju uvijek nezakonitima, ali mogu imati strašne posljedice. Kako bi zaštitila sigurnost žena na internetu, Komisija će olakšati razvoj </w:t>
      </w:r>
      <w:r>
        <w:rPr>
          <w:rFonts w:ascii="Times New Roman" w:hAnsi="Times New Roman"/>
          <w:b/>
          <w:noProof/>
          <w:sz w:val="24"/>
        </w:rPr>
        <w:t>novog okvira za suradnju internetskih platformi</w:t>
      </w:r>
      <w:r>
        <w:rPr>
          <w:rStyle w:val="FootnoteReference"/>
          <w:rFonts w:ascii="Times New Roman" w:hAnsi="Times New Roman" w:cs="Times New Roman"/>
          <w:noProof/>
          <w:sz w:val="24"/>
        </w:rPr>
        <w:footnoteReference w:id="25"/>
      </w:r>
      <w:r>
        <w:rPr>
          <w:rFonts w:ascii="Times New Roman" w:hAnsi="Times New Roman"/>
          <w:noProof/>
          <w:sz w:val="24"/>
        </w:rPr>
        <w:t>.</w:t>
      </w:r>
    </w:p>
    <w:p>
      <w:pPr>
        <w:spacing w:line="100" w:lineRule="atLeast"/>
        <w:jc w:val="both"/>
        <w:rPr>
          <w:rFonts w:ascii="Times New Roman" w:hAnsi="Times New Roman" w:cs="Times New Roman"/>
          <w:noProof/>
          <w:sz w:val="28"/>
          <w:szCs w:val="24"/>
        </w:rPr>
      </w:pPr>
      <w:r>
        <w:rPr>
          <w:rFonts w:ascii="Times New Roman" w:hAnsi="Times New Roman"/>
          <w:b/>
          <w:bCs/>
          <w:noProof/>
          <w:sz w:val="24"/>
        </w:rPr>
        <w:t>Velika većina žrtava trgovanja ljudima</w:t>
      </w:r>
      <w:r>
        <w:rPr>
          <w:rFonts w:ascii="Times New Roman" w:hAnsi="Times New Roman"/>
          <w:noProof/>
          <w:sz w:val="24"/>
        </w:rPr>
        <w:t xml:space="preserve"> u EU-u i zvan njega </w:t>
      </w:r>
      <w:r>
        <w:rPr>
          <w:rFonts w:ascii="Times New Roman" w:hAnsi="Times New Roman"/>
          <w:b/>
          <w:bCs/>
          <w:noProof/>
          <w:sz w:val="24"/>
        </w:rPr>
        <w:t>su žene i djevojčice</w:t>
      </w:r>
      <w:r>
        <w:rPr>
          <w:rFonts w:ascii="Times New Roman" w:hAnsi="Times New Roman"/>
          <w:noProof/>
          <w:sz w:val="24"/>
        </w:rPr>
        <w:t xml:space="preserve">, a uglavnom se njima trguje </w:t>
      </w:r>
      <w:r>
        <w:rPr>
          <w:rFonts w:ascii="Times New Roman" w:hAnsi="Times New Roman"/>
          <w:bCs/>
          <w:noProof/>
          <w:sz w:val="24"/>
        </w:rPr>
        <w:t>radi seksualnog iskorištavanja</w:t>
      </w:r>
      <w:r>
        <w:rPr>
          <w:rStyle w:val="FootnoteReference"/>
          <w:rFonts w:ascii="Times New Roman" w:hAnsi="Times New Roman" w:cs="Times New Roman"/>
          <w:noProof/>
          <w:sz w:val="24"/>
        </w:rPr>
        <w:footnoteReference w:id="26"/>
      </w:r>
      <w:r>
        <w:rPr>
          <w:rFonts w:ascii="Times New Roman" w:hAnsi="Times New Roman"/>
          <w:noProof/>
          <w:sz w:val="24"/>
        </w:rPr>
        <w:t>. EU rješava problem trgovanja ljudima na sveobuhvatan način koordinacijom u svim relevantnim područjima</w:t>
      </w:r>
      <w:r>
        <w:rPr>
          <w:rStyle w:val="FootnoteReference"/>
          <w:rFonts w:ascii="Times New Roman" w:hAnsi="Times New Roman" w:cs="Times New Roman"/>
          <w:noProof/>
          <w:sz w:val="24"/>
        </w:rPr>
        <w:footnoteReference w:id="27"/>
      </w:r>
      <w:r>
        <w:rPr>
          <w:rFonts w:ascii="Times New Roman" w:hAnsi="Times New Roman"/>
          <w:noProof/>
          <w:sz w:val="24"/>
        </w:rPr>
        <w:t xml:space="preserve">. Prioritet je borba protiv nekažnjavanja onih koji se koriste ljudima u tom smislu, iskorištavaju ih i zarađuju na tome. </w:t>
      </w:r>
      <w:r>
        <w:rPr>
          <w:rFonts w:ascii="Times New Roman" w:hAnsi="Times New Roman"/>
          <w:bCs/>
          <w:noProof/>
          <w:sz w:val="24"/>
        </w:rPr>
        <w:t xml:space="preserve">Problemi žena i djevojčica žrtava trgovine ljudima moraju biti u središtu razvoja politike. </w:t>
      </w:r>
      <w:r>
        <w:rPr>
          <w:rFonts w:ascii="Times New Roman" w:hAnsi="Times New Roman"/>
          <w:noProof/>
          <w:sz w:val="24"/>
        </w:rPr>
        <w:t xml:space="preserve">Kao dio sigurnosne unije Komisija će predstaviti novu </w:t>
      </w:r>
      <w:r>
        <w:rPr>
          <w:rFonts w:ascii="Times New Roman" w:hAnsi="Times New Roman"/>
          <w:b/>
          <w:bCs/>
          <w:noProof/>
          <w:sz w:val="24"/>
        </w:rPr>
        <w:t>strategiju EU-a za iskorjenjivanje trgovanja ljudima</w:t>
      </w:r>
      <w:r>
        <w:rPr>
          <w:rFonts w:ascii="Times New Roman" w:hAnsi="Times New Roman"/>
          <w:noProof/>
          <w:sz w:val="24"/>
        </w:rPr>
        <w:t xml:space="preserve"> i </w:t>
      </w:r>
      <w:r>
        <w:rPr>
          <w:rFonts w:ascii="Times New Roman" w:hAnsi="Times New Roman"/>
          <w:b/>
          <w:bCs/>
          <w:noProof/>
          <w:sz w:val="24"/>
        </w:rPr>
        <w:t>strategiju EU-a za djelotvorniju borbu protiv seksualnog zlostavljanja djece</w:t>
      </w:r>
      <w:r>
        <w:rPr>
          <w:rFonts w:ascii="Times New Roman" w:hAnsi="Times New Roman"/>
          <w:noProof/>
          <w:sz w:val="24"/>
        </w:rPr>
        <w:t>.</w:t>
      </w:r>
    </w:p>
    <w:p>
      <w:pPr>
        <w:spacing w:line="240" w:lineRule="auto"/>
        <w:jc w:val="both"/>
        <w:rPr>
          <w:rFonts w:ascii="Times New Roman" w:hAnsi="Times New Roman" w:cs="Times New Roman"/>
          <w:noProof/>
          <w:sz w:val="28"/>
          <w:szCs w:val="24"/>
        </w:rPr>
      </w:pPr>
      <w:r>
        <w:rPr>
          <w:rFonts w:ascii="Times New Roman" w:hAnsi="Times New Roman"/>
          <w:noProof/>
          <w:sz w:val="24"/>
        </w:rPr>
        <w:t xml:space="preserve">Da bi politike EU-a za borbu protiv rodno uvjetovanog nasilja bila djelotvorne, </w:t>
      </w:r>
      <w:r>
        <w:rPr>
          <w:rFonts w:ascii="Times New Roman" w:hAnsi="Times New Roman"/>
          <w:b/>
          <w:noProof/>
          <w:sz w:val="24"/>
        </w:rPr>
        <w:t>potrebni su sveobuhvatni, ažurirani i usporedivi podaci</w:t>
      </w:r>
      <w:r>
        <w:rPr>
          <w:rFonts w:ascii="Times New Roman" w:hAnsi="Times New Roman"/>
          <w:noProof/>
          <w:sz w:val="24"/>
        </w:rPr>
        <w:t xml:space="preserve">. Kako bi se dobila potpuna slika rodno uvjetovanog nasilja, podaci bi trebali biti razvrstani prema odgovarajućim intersekcionalnim aspektima i pokazateljima kao što su dob, invaliditet, status migranta i ruralno ili urbano mjesto boravka. </w:t>
      </w:r>
      <w:r>
        <w:rPr>
          <w:rFonts w:ascii="Times New Roman" w:hAnsi="Times New Roman"/>
          <w:b/>
          <w:noProof/>
          <w:sz w:val="24"/>
        </w:rPr>
        <w:t>Anketom na razini EU-a</w:t>
      </w:r>
      <w:r>
        <w:rPr>
          <w:rFonts w:ascii="Times New Roman" w:hAnsi="Times New Roman"/>
          <w:noProof/>
          <w:sz w:val="24"/>
        </w:rPr>
        <w:t>, koju će koordinirati Eurostat, dobit će se podaci o raširenosti i dinamici nasilja nad ženama te o drugim oblicima nasilja među ljudima, a rezultati će biti predstavljeni 2023.</w:t>
      </w:r>
    </w:p>
    <w:p>
      <w:pPr>
        <w:spacing w:line="100" w:lineRule="atLeast"/>
        <w:jc w:val="both"/>
        <w:rPr>
          <w:rFonts w:ascii="Times New Roman" w:eastAsia="Calibri" w:hAnsi="Times New Roman" w:cs="Times New Roman"/>
          <w:b/>
          <w:noProof/>
          <w:sz w:val="28"/>
          <w:szCs w:val="24"/>
        </w:rPr>
      </w:pPr>
      <w:r>
        <w:rPr>
          <w:rFonts w:ascii="Times New Roman" w:hAnsi="Times New Roman"/>
          <w:b/>
          <w:i/>
          <w:noProof/>
          <w:sz w:val="24"/>
        </w:rPr>
        <w:t>Rušenje rodnih stereotipa</w:t>
      </w:r>
    </w:p>
    <w:p>
      <w:pPr>
        <w:pStyle w:val="NormalWeb"/>
        <w:spacing w:before="0" w:beforeAutospacing="0" w:after="200" w:afterAutospacing="0" w:line="100" w:lineRule="atLeast"/>
        <w:jc w:val="both"/>
        <w:rPr>
          <w:noProof/>
        </w:rPr>
      </w:pPr>
      <w:r>
        <w:rPr>
          <w:b/>
          <w:noProof/>
        </w:rPr>
        <w:t>Rodni stereotipi jedan su od temeljnih uzroka rodne neravnopravnosti i utječu na sva područja društva</w:t>
      </w:r>
      <w:r>
        <w:rPr>
          <w:rStyle w:val="FootnoteReference"/>
          <w:noProof/>
        </w:rPr>
        <w:footnoteReference w:id="28"/>
      </w:r>
      <w:r>
        <w:rPr>
          <w:noProof/>
        </w:rPr>
        <w:t>. Stereotipna očekivanja temeljena na fiksnim normama za žene i muškarce, djevojčice i dječake ograničavaju njihove želje, izbore i slobodu te ih je stoga potrebno ukloniti. Rodni stereotipi snažno doprinose razlici u plaći na temelju spola. Često su u kombinaciji s drugim stereotipima, poput onih koji se temelje na rasi ili etničkom podrijetlu, vjeri ili uvjerenju, invaliditetu, dobi ili seksualnoj orijentaciji, a to može pojačati negativne učinke stereotipa.</w:t>
      </w:r>
    </w:p>
    <w:p>
      <w:pPr>
        <w:rPr>
          <w:rFonts w:ascii="Times New Roman" w:hAnsi="Times New Roman" w:cs="Times New Roman"/>
          <w:b/>
          <w:noProof/>
          <w:sz w:val="24"/>
          <w:szCs w:val="24"/>
          <w:lang w:val="en-US"/>
        </w:rPr>
      </w:pPr>
      <w:r>
        <w:rPr>
          <w:rFonts w:ascii="Times New Roman" w:hAnsi="Times New Roman" w:cs="Times New Roman"/>
          <w:b/>
          <w:noProof/>
          <w:sz w:val="24"/>
          <w:szCs w:val="24"/>
          <w:lang w:val="en-GB" w:eastAsia="en-GB"/>
        </w:rPr>
        <w:drawing>
          <wp:inline distT="0" distB="0" distL="0" distR="0">
            <wp:extent cx="5759450" cy="1002632"/>
            <wp:effectExtent l="0" t="0" r="0" b="7620"/>
            <wp:docPr id="1" name="Picture 1" descr="C:\Users\nardedo\AppData\Local\Microsoft\Windows\INetCache\Content.Outlook\XKRMMC9T\HR_stereotypes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ardedo\AppData\Local\Microsoft\Windows\INetCache\Content.Outlook\XKRMMC9T\HR_stereotypes (00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59450" cy="1002632"/>
                    </a:xfrm>
                    <a:prstGeom prst="rect">
                      <a:avLst/>
                    </a:prstGeom>
                    <a:noFill/>
                    <a:ln>
                      <a:noFill/>
                    </a:ln>
                  </pic:spPr>
                </pic:pic>
              </a:graphicData>
            </a:graphic>
          </wp:inline>
        </w:drawing>
      </w:r>
    </w:p>
    <w:p>
      <w:pPr>
        <w:spacing w:line="100" w:lineRule="atLeast"/>
        <w:jc w:val="both"/>
        <w:rPr>
          <w:rFonts w:ascii="Times New Roman" w:hAnsi="Times New Roman" w:cs="Times New Roman"/>
          <w:noProof/>
          <w:sz w:val="28"/>
          <w:szCs w:val="24"/>
        </w:rPr>
      </w:pPr>
      <w:r>
        <w:rPr>
          <w:rFonts w:ascii="Times New Roman" w:hAnsi="Times New Roman"/>
          <w:b/>
          <w:noProof/>
          <w:sz w:val="24"/>
        </w:rPr>
        <w:t>Umjetna inteligencija</w:t>
      </w:r>
      <w:r>
        <w:rPr>
          <w:rFonts w:ascii="Times New Roman" w:hAnsi="Times New Roman"/>
          <w:noProof/>
          <w:sz w:val="24"/>
        </w:rPr>
        <w:t xml:space="preserve"> </w:t>
      </w:r>
      <w:r>
        <w:rPr>
          <w:rFonts w:ascii="Times New Roman" w:hAnsi="Times New Roman"/>
          <w:b/>
          <w:noProof/>
          <w:sz w:val="24"/>
        </w:rPr>
        <w:t xml:space="preserve">postala je strateški važno područje </w:t>
      </w:r>
      <w:r>
        <w:rPr>
          <w:rFonts w:ascii="Times New Roman" w:hAnsi="Times New Roman"/>
          <w:noProof/>
          <w:sz w:val="24"/>
        </w:rPr>
        <w:t>i jedan od ključnih pokretača gospodarskog napretka te zato žene moraju biti dio njezina razvoja kao istraživači, programeri i korisnici.</w:t>
      </w:r>
      <w:r>
        <w:rPr>
          <w:rFonts w:ascii="Times New Roman" w:hAnsi="Times New Roman"/>
          <w:b/>
          <w:noProof/>
          <w:sz w:val="24"/>
        </w:rPr>
        <w:t xml:space="preserve"> </w:t>
      </w:r>
      <w:r>
        <w:rPr>
          <w:rFonts w:ascii="Times New Roman" w:hAnsi="Times New Roman"/>
          <w:noProof/>
          <w:sz w:val="24"/>
        </w:rPr>
        <w:t>Iako umjetna inteligencija može dati rješenja za mnoga društvena pitanja, ona može i pojačati rodne nejednakosti. Algoritmi i povezano strojno učenje, ako nisu dovoljno transparentni i solidni, nose rizik ponavljanja, pojačavanja ili podržavanja rodnih predrasuda kojih programeri možda nisu svjesni ili koje su rezultat određenih odabira podataka. U novoj Bijeloj knjizi Komisije o umjetnoj inteligenciji opisan je europski pristup utemeljen na vrijednostima EU-a i temeljnim pravima, uključujući nediskriminaciju i rodnu ravnopravnost</w:t>
      </w:r>
      <w:r>
        <w:rPr>
          <w:rStyle w:val="FootnoteReference"/>
          <w:rFonts w:ascii="Times New Roman" w:hAnsi="Times New Roman" w:cs="Times New Roman"/>
          <w:noProof/>
          <w:sz w:val="24"/>
        </w:rPr>
        <w:footnoteReference w:id="29"/>
      </w:r>
      <w:r>
        <w:rPr>
          <w:rFonts w:ascii="Times New Roman" w:hAnsi="Times New Roman"/>
          <w:noProof/>
          <w:sz w:val="24"/>
        </w:rPr>
        <w:t xml:space="preserve">. Sljedeći okvirni program za istraživanja i inovacije, </w:t>
      </w:r>
      <w:r>
        <w:rPr>
          <w:rFonts w:ascii="Times New Roman" w:hAnsi="Times New Roman"/>
          <w:b/>
          <w:noProof/>
          <w:sz w:val="24"/>
        </w:rPr>
        <w:t>Obzor Europa</w:t>
      </w:r>
      <w:r>
        <w:rPr>
          <w:rStyle w:val="FootnoteReference"/>
          <w:rFonts w:ascii="Times New Roman" w:hAnsi="Times New Roman" w:cs="Times New Roman"/>
          <w:noProof/>
          <w:sz w:val="24"/>
        </w:rPr>
        <w:footnoteReference w:id="30"/>
      </w:r>
      <w:r>
        <w:rPr>
          <w:rFonts w:ascii="Times New Roman" w:hAnsi="Times New Roman"/>
          <w:noProof/>
          <w:sz w:val="24"/>
        </w:rPr>
        <w:t>, obuhvatit će i nova znanja i rješenja za uklanjanje mogućih rodnih predrasuda u području umjetne inteligencije te rušenje rodnih stereotipa u svim društvenim, gospodarskim i kulturnim područjima, čime će se poduprijeti razvoj nepristranih politika utemeljenih na dokazima.</w:t>
      </w:r>
    </w:p>
    <w:p>
      <w:pPr>
        <w:spacing w:line="100" w:lineRule="atLeast"/>
        <w:jc w:val="both"/>
        <w:rPr>
          <w:rFonts w:ascii="Times New Roman" w:hAnsi="Times New Roman" w:cs="Times New Roman"/>
          <w:noProof/>
          <w:sz w:val="28"/>
          <w:szCs w:val="24"/>
        </w:rPr>
      </w:pPr>
      <w:r>
        <w:rPr>
          <w:rFonts w:ascii="Times New Roman" w:hAnsi="Times New Roman"/>
          <w:noProof/>
          <w:sz w:val="24"/>
        </w:rPr>
        <w:t>Mediji i kultura bitno utječu na oblikovanje uvjerenja, vrijednosti i percepcije stvarnosti te su stoga i oni važni kanali za izmjenu stavova i osporavanje stereotipa</w:t>
      </w:r>
      <w:r>
        <w:rPr>
          <w:rStyle w:val="FootnoteReference"/>
          <w:rFonts w:ascii="Times New Roman" w:hAnsi="Times New Roman" w:cs="Times New Roman"/>
          <w:noProof/>
          <w:sz w:val="24"/>
        </w:rPr>
        <w:footnoteReference w:id="31"/>
      </w:r>
      <w:r>
        <w:rPr>
          <w:rFonts w:ascii="Times New Roman" w:hAnsi="Times New Roman"/>
          <w:noProof/>
          <w:sz w:val="24"/>
        </w:rPr>
        <w:t xml:space="preserve">. Komisija će i dalje podupirati projekte za promicanje rodne ravnopravnosti u okviru programa </w:t>
      </w:r>
      <w:r>
        <w:rPr>
          <w:rFonts w:ascii="Times New Roman" w:hAnsi="Times New Roman"/>
          <w:b/>
          <w:noProof/>
          <w:sz w:val="24"/>
        </w:rPr>
        <w:t>Kreativna Europa</w:t>
      </w:r>
      <w:r>
        <w:rPr>
          <w:rStyle w:val="FootnoteReference"/>
          <w:rFonts w:ascii="Times New Roman" w:hAnsi="Times New Roman" w:cs="Times New Roman"/>
          <w:noProof/>
          <w:sz w:val="24"/>
        </w:rPr>
        <w:footnoteReference w:id="32"/>
      </w:r>
      <w:r>
        <w:rPr>
          <w:rFonts w:ascii="Times New Roman" w:hAnsi="Times New Roman"/>
          <w:noProof/>
          <w:sz w:val="24"/>
        </w:rPr>
        <w:t xml:space="preserve">, uključujući </w:t>
      </w:r>
      <w:r>
        <w:rPr>
          <w:rFonts w:ascii="Times New Roman" w:hAnsi="Times New Roman"/>
          <w:b/>
          <w:noProof/>
          <w:sz w:val="24"/>
        </w:rPr>
        <w:t>Music Moves Europe,</w:t>
      </w:r>
      <w:r>
        <w:rPr>
          <w:rFonts w:ascii="Times New Roman" w:hAnsi="Times New Roman"/>
          <w:noProof/>
          <w:sz w:val="24"/>
        </w:rPr>
        <w:t xml:space="preserve"> te će predstaviti </w:t>
      </w:r>
      <w:r>
        <w:rPr>
          <w:rFonts w:ascii="Times New Roman" w:hAnsi="Times New Roman"/>
          <w:b/>
          <w:noProof/>
          <w:sz w:val="24"/>
        </w:rPr>
        <w:t xml:space="preserve">strategiju rodne ravnopravnosti u audiovizualnoj industriji </w:t>
      </w:r>
      <w:r>
        <w:rPr>
          <w:rFonts w:ascii="Times New Roman" w:hAnsi="Times New Roman"/>
          <w:noProof/>
          <w:sz w:val="24"/>
        </w:rPr>
        <w:t>kao dio sljedećeg potprograma</w:t>
      </w:r>
      <w:r>
        <w:rPr>
          <w:rFonts w:ascii="Times New Roman" w:hAnsi="Times New Roman"/>
          <w:b/>
          <w:noProof/>
          <w:sz w:val="24"/>
        </w:rPr>
        <w:t xml:space="preserve"> MEDIA</w:t>
      </w:r>
      <w:r>
        <w:rPr>
          <w:rStyle w:val="FootnoteReference"/>
          <w:rFonts w:ascii="Times New Roman" w:hAnsi="Times New Roman" w:cs="Times New Roman"/>
          <w:noProof/>
          <w:sz w:val="24"/>
        </w:rPr>
        <w:footnoteReference w:id="33"/>
      </w:r>
      <w:r>
        <w:rPr>
          <w:rFonts w:ascii="Times New Roman" w:hAnsi="Times New Roman"/>
          <w:noProof/>
          <w:sz w:val="24"/>
        </w:rPr>
        <w:t>, uključujući financijsku potporu, strukturirani dijalog, mentorstvo i osposobljavanje za žene filmske autore, producente i scenariste.</w:t>
      </w:r>
    </w:p>
    <w:p>
      <w:pPr>
        <w:spacing w:line="240" w:lineRule="auto"/>
        <w:jc w:val="both"/>
        <w:rPr>
          <w:rFonts w:ascii="Times New Roman" w:hAnsi="Times New Roman" w:cs="Times New Roman"/>
          <w:noProof/>
          <w:sz w:val="24"/>
          <w:szCs w:val="24"/>
        </w:rPr>
      </w:pPr>
      <w:r>
        <w:rPr>
          <w:rFonts w:ascii="Times New Roman" w:hAnsi="Times New Roman"/>
          <w:noProof/>
          <w:sz w:val="24"/>
        </w:rPr>
        <w:t xml:space="preserve">Komisija će pokrenuti </w:t>
      </w:r>
      <w:r>
        <w:rPr>
          <w:rFonts w:ascii="Times New Roman" w:hAnsi="Times New Roman"/>
          <w:b/>
          <w:noProof/>
          <w:sz w:val="24"/>
        </w:rPr>
        <w:t xml:space="preserve">komunikacijsku kampanju u cijelom EU-u o borbi protiv rodnih stereotipa. </w:t>
      </w:r>
      <w:r>
        <w:rPr>
          <w:rFonts w:ascii="Times New Roman" w:hAnsi="Times New Roman"/>
          <w:noProof/>
          <w:sz w:val="24"/>
        </w:rPr>
        <w:t>U njoj će biti riječ o svim područjima života, uz intersekcionalan pristup i usredotočenost na angažiranje mladih, u suradnji s državama članicama.</w:t>
      </w:r>
    </w:p>
    <w:p>
      <w:pPr>
        <w:spacing w:line="240" w:lineRule="auto"/>
        <w:jc w:val="both"/>
        <w:rPr>
          <w:rFonts w:ascii="Times New Roman" w:hAnsi="Times New Roman" w:cs="Times New Roman"/>
          <w:noProof/>
          <w:sz w:val="24"/>
          <w:szCs w:val="24"/>
        </w:rPr>
      </w:pPr>
    </w:p>
    <w:p>
      <w:pPr>
        <w:spacing w:line="240" w:lineRule="auto"/>
        <w:jc w:val="both"/>
        <w:rPr>
          <w:rFonts w:ascii="Times New Roman" w:hAnsi="Times New Roman" w:cs="Times New Roman"/>
          <w:noProof/>
          <w:sz w:val="24"/>
          <w:szCs w:val="24"/>
        </w:rPr>
      </w:pPr>
    </w:p>
    <w:p>
      <w:pPr>
        <w:spacing w:line="240" w:lineRule="auto"/>
        <w:jc w:val="both"/>
        <w:rPr>
          <w:rFonts w:ascii="Times New Roman" w:hAnsi="Times New Roman" w:cs="Times New Roman"/>
          <w:noProof/>
          <w:sz w:val="24"/>
          <w:szCs w:val="24"/>
        </w:rPr>
      </w:pPr>
    </w:p>
    <w:p>
      <w:pPr>
        <w:spacing w:line="240" w:lineRule="auto"/>
        <w:jc w:val="both"/>
        <w:rPr>
          <w:rFonts w:ascii="Times New Roman" w:hAnsi="Times New Roman" w:cs="Times New Roman"/>
          <w:noProof/>
          <w:sz w:val="24"/>
          <w:szCs w:val="24"/>
        </w:rPr>
      </w:pPr>
    </w:p>
    <w:p>
      <w:pPr>
        <w:spacing w:line="240" w:lineRule="auto"/>
        <w:jc w:val="both"/>
        <w:rPr>
          <w:rFonts w:ascii="Times New Roman" w:hAnsi="Times New Roman" w:cs="Times New Roman"/>
          <w:noProof/>
          <w:sz w:val="24"/>
          <w:szCs w:val="24"/>
        </w:rPr>
      </w:pPr>
    </w:p>
    <w:p>
      <w:pPr>
        <w:spacing w:line="240" w:lineRule="auto"/>
        <w:jc w:val="both"/>
        <w:rPr>
          <w:rFonts w:ascii="Times New Roman" w:hAnsi="Times New Roman" w:cs="Times New Roman"/>
          <w:noProof/>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2"/>
      </w:tblGrid>
      <w:tr>
        <w:tc>
          <w:tcPr>
            <w:tcW w:w="9212" w:type="dxa"/>
          </w:tcPr>
          <w:p>
            <w:pPr>
              <w:spacing w:before="120" w:line="100" w:lineRule="atLeast"/>
              <w:jc w:val="both"/>
              <w:rPr>
                <w:rFonts w:ascii="Times New Roman" w:hAnsi="Times New Roman" w:cs="Times New Roman"/>
                <w:b/>
                <w:noProof/>
                <w:sz w:val="28"/>
                <w:szCs w:val="24"/>
              </w:rPr>
            </w:pPr>
            <w:r>
              <w:rPr>
                <w:rFonts w:ascii="Times New Roman" w:hAnsi="Times New Roman"/>
                <w:b/>
                <w:noProof/>
                <w:sz w:val="24"/>
              </w:rPr>
              <w:t>Uz navedene mjere Komisije, Komisija poziva:</w:t>
            </w:r>
          </w:p>
          <w:p>
            <w:pPr>
              <w:pStyle w:val="ListParagraph"/>
              <w:numPr>
                <w:ilvl w:val="0"/>
                <w:numId w:val="91"/>
              </w:numPr>
              <w:spacing w:before="120" w:line="100" w:lineRule="atLeast"/>
              <w:jc w:val="both"/>
              <w:rPr>
                <w:rFonts w:ascii="Times New Roman" w:hAnsi="Times New Roman" w:cs="Times New Roman"/>
                <w:noProof/>
                <w:sz w:val="28"/>
                <w:szCs w:val="24"/>
              </w:rPr>
            </w:pPr>
            <w:r>
              <w:rPr>
                <w:rFonts w:ascii="Times New Roman" w:hAnsi="Times New Roman"/>
                <w:b/>
                <w:noProof/>
                <w:sz w:val="24"/>
              </w:rPr>
              <w:t>Vijeće da</w:t>
            </w:r>
            <w:r>
              <w:rPr>
                <w:rFonts w:ascii="Times New Roman" w:hAnsi="Times New Roman"/>
                <w:noProof/>
                <w:sz w:val="24"/>
              </w:rPr>
              <w:t>:</w:t>
            </w:r>
          </w:p>
          <w:p>
            <w:pPr>
              <w:pStyle w:val="ListParagraph"/>
              <w:numPr>
                <w:ilvl w:val="0"/>
                <w:numId w:val="54"/>
              </w:numPr>
              <w:spacing w:after="120"/>
              <w:jc w:val="both"/>
              <w:rPr>
                <w:rFonts w:ascii="Times New Roman" w:hAnsi="Times New Roman" w:cs="Times New Roman"/>
                <w:noProof/>
                <w:sz w:val="28"/>
                <w:szCs w:val="24"/>
              </w:rPr>
            </w:pPr>
            <w:r>
              <w:rPr>
                <w:rFonts w:ascii="Times New Roman" w:hAnsi="Times New Roman"/>
                <w:noProof/>
                <w:sz w:val="24"/>
              </w:rPr>
              <w:t>zaključi pristupanje EU-a Istanbulskoj konvenciji i osigura brzu ratifikaciju u EU-u,</w:t>
            </w:r>
          </w:p>
          <w:p>
            <w:pPr>
              <w:pStyle w:val="ListParagraph"/>
              <w:spacing w:after="120"/>
              <w:jc w:val="both"/>
              <w:rPr>
                <w:rFonts w:ascii="Times New Roman" w:hAnsi="Times New Roman" w:cs="Times New Roman"/>
                <w:noProof/>
                <w:sz w:val="28"/>
                <w:szCs w:val="24"/>
              </w:rPr>
            </w:pPr>
          </w:p>
          <w:p>
            <w:pPr>
              <w:pStyle w:val="ListParagraph"/>
              <w:numPr>
                <w:ilvl w:val="0"/>
                <w:numId w:val="91"/>
              </w:numPr>
              <w:spacing w:before="120" w:line="100" w:lineRule="atLeast"/>
              <w:jc w:val="both"/>
              <w:rPr>
                <w:rFonts w:ascii="Times New Roman" w:hAnsi="Times New Roman" w:cs="Times New Roman"/>
                <w:noProof/>
                <w:sz w:val="28"/>
                <w:szCs w:val="24"/>
              </w:rPr>
            </w:pPr>
            <w:r>
              <w:rPr>
                <w:rFonts w:ascii="Times New Roman" w:hAnsi="Times New Roman"/>
                <w:b/>
                <w:noProof/>
                <w:sz w:val="24"/>
              </w:rPr>
              <w:t>države članice da</w:t>
            </w:r>
            <w:r>
              <w:rPr>
                <w:rFonts w:ascii="Times New Roman" w:hAnsi="Times New Roman"/>
                <w:noProof/>
                <w:sz w:val="24"/>
              </w:rPr>
              <w:t xml:space="preserve">: </w:t>
            </w:r>
          </w:p>
          <w:p>
            <w:pPr>
              <w:pStyle w:val="ListParagraph"/>
              <w:numPr>
                <w:ilvl w:val="0"/>
                <w:numId w:val="54"/>
              </w:numPr>
              <w:spacing w:after="120"/>
              <w:jc w:val="both"/>
              <w:rPr>
                <w:rFonts w:ascii="Times New Roman" w:hAnsi="Times New Roman" w:cs="Times New Roman"/>
                <w:noProof/>
                <w:sz w:val="28"/>
                <w:szCs w:val="24"/>
              </w:rPr>
            </w:pPr>
            <w:r>
              <w:rPr>
                <w:rFonts w:ascii="Times New Roman" w:hAnsi="Times New Roman"/>
                <w:noProof/>
                <w:sz w:val="24"/>
              </w:rPr>
              <w:t xml:space="preserve">ratificiraju i provedu Istanbulsku konvenciju, </w:t>
            </w:r>
          </w:p>
          <w:p>
            <w:pPr>
              <w:pStyle w:val="ListParagraph"/>
              <w:numPr>
                <w:ilvl w:val="0"/>
                <w:numId w:val="54"/>
              </w:numPr>
              <w:spacing w:after="120"/>
              <w:jc w:val="both"/>
              <w:rPr>
                <w:rFonts w:ascii="Times New Roman" w:hAnsi="Times New Roman" w:cs="Times New Roman"/>
                <w:noProof/>
                <w:sz w:val="28"/>
                <w:szCs w:val="24"/>
              </w:rPr>
            </w:pPr>
            <w:r>
              <w:rPr>
                <w:rFonts w:ascii="Times New Roman" w:hAnsi="Times New Roman"/>
                <w:noProof/>
                <w:sz w:val="24"/>
              </w:rPr>
              <w:t>ratificiraju i provedu Konvenciju Međunarodne organizacije rada o borbi protiv nasilja i uznemiravanja u svijetu rada,</w:t>
            </w:r>
          </w:p>
          <w:p>
            <w:pPr>
              <w:pStyle w:val="ListParagraph"/>
              <w:numPr>
                <w:ilvl w:val="0"/>
                <w:numId w:val="54"/>
              </w:numPr>
              <w:spacing w:after="120"/>
              <w:jc w:val="both"/>
              <w:rPr>
                <w:rFonts w:ascii="Times New Roman" w:hAnsi="Times New Roman" w:cs="Times New Roman"/>
                <w:noProof/>
                <w:sz w:val="28"/>
                <w:szCs w:val="24"/>
              </w:rPr>
            </w:pPr>
            <w:r>
              <w:rPr>
                <w:rFonts w:ascii="Times New Roman" w:hAnsi="Times New Roman"/>
                <w:noProof/>
                <w:sz w:val="24"/>
              </w:rPr>
              <w:t>provedu Direktivu o pravima žrtava, Direktivu o suzbijanju seksualnog zlostavljanja djece</w:t>
            </w:r>
            <w:r>
              <w:rPr>
                <w:rStyle w:val="FootnoteReference"/>
                <w:rFonts w:ascii="Times New Roman" w:hAnsi="Times New Roman" w:cs="Times New Roman"/>
                <w:noProof/>
                <w:sz w:val="24"/>
              </w:rPr>
              <w:footnoteReference w:id="34"/>
            </w:r>
            <w:r>
              <w:rPr>
                <w:rFonts w:ascii="Times New Roman" w:hAnsi="Times New Roman"/>
                <w:noProof/>
                <w:sz w:val="24"/>
              </w:rPr>
              <w:t xml:space="preserve"> i drugo relevantno zakonodavstvo EU-a o zaštiti žrtava rodno uvjetovanog nasilja</w:t>
            </w:r>
            <w:r>
              <w:rPr>
                <w:rStyle w:val="FootnoteReference"/>
                <w:rFonts w:ascii="Times New Roman" w:hAnsi="Times New Roman" w:cs="Times New Roman"/>
                <w:noProof/>
                <w:sz w:val="24"/>
              </w:rPr>
              <w:footnoteReference w:id="35"/>
            </w:r>
            <w:r>
              <w:rPr>
                <w:rFonts w:ascii="Times New Roman" w:hAnsi="Times New Roman"/>
                <w:noProof/>
                <w:sz w:val="24"/>
              </w:rPr>
              <w:t>,</w:t>
            </w:r>
          </w:p>
          <w:p>
            <w:pPr>
              <w:pStyle w:val="ListParagraph"/>
              <w:numPr>
                <w:ilvl w:val="0"/>
                <w:numId w:val="54"/>
              </w:numPr>
              <w:spacing w:after="120"/>
              <w:jc w:val="both"/>
              <w:rPr>
                <w:rFonts w:ascii="Times New Roman" w:hAnsi="Times New Roman" w:cs="Times New Roman"/>
                <w:noProof/>
                <w:sz w:val="28"/>
                <w:szCs w:val="24"/>
              </w:rPr>
            </w:pPr>
            <w:r>
              <w:rPr>
                <w:rFonts w:ascii="Times New Roman" w:hAnsi="Times New Roman"/>
                <w:noProof/>
                <w:sz w:val="24"/>
              </w:rPr>
              <w:t xml:space="preserve">sustavno prikupljaju podatke o rodno uvjetovanom nasilju i izvješćuju o njima, i </w:t>
            </w:r>
          </w:p>
          <w:p>
            <w:pPr>
              <w:pStyle w:val="ListParagraph"/>
              <w:numPr>
                <w:ilvl w:val="0"/>
                <w:numId w:val="54"/>
              </w:numPr>
              <w:spacing w:after="120"/>
              <w:jc w:val="both"/>
              <w:rPr>
                <w:rFonts w:ascii="Times New Roman" w:hAnsi="Times New Roman" w:cs="Times New Roman"/>
                <w:i/>
                <w:noProof/>
                <w:sz w:val="24"/>
                <w:szCs w:val="24"/>
              </w:rPr>
            </w:pPr>
            <w:r>
              <w:rPr>
                <w:rFonts w:ascii="Times New Roman" w:hAnsi="Times New Roman"/>
                <w:noProof/>
                <w:sz w:val="24"/>
              </w:rPr>
              <w:t>podupiru civilno društvo i javne službe u sprečavanju i borbi protiv rodno uvjetovanog nasilja i rodne stereotipizacije, među ostalim uz pomoć financiranja EU-a dostupnog u okviru programa Građani, ravnopravnost, prava i vrijednosti (2021.–2027.).</w:t>
            </w:r>
          </w:p>
        </w:tc>
      </w:tr>
    </w:tbl>
    <w:p>
      <w:pPr>
        <w:spacing w:line="100" w:lineRule="atLeast"/>
        <w:jc w:val="both"/>
        <w:rPr>
          <w:rFonts w:ascii="Times New Roman" w:hAnsi="Times New Roman" w:cs="Times New Roman"/>
          <w:noProof/>
          <w:sz w:val="24"/>
          <w:szCs w:val="24"/>
        </w:rPr>
      </w:pPr>
    </w:p>
    <w:p>
      <w:pPr>
        <w:rPr>
          <w:rFonts w:ascii="Times New Roman" w:hAnsi="Times New Roman" w:cs="Times New Roman"/>
          <w:b/>
          <w:noProof/>
          <w:sz w:val="28"/>
          <w:szCs w:val="28"/>
        </w:rPr>
      </w:pPr>
      <w:r>
        <w:rPr>
          <w:rFonts w:ascii="Times New Roman" w:hAnsi="Times New Roman"/>
          <w:b/>
          <w:noProof/>
          <w:sz w:val="28"/>
          <w:szCs w:val="28"/>
        </w:rPr>
        <w:t xml:space="preserve">2. </w:t>
      </w:r>
      <w:r>
        <w:rPr>
          <w:rFonts w:ascii="Times New Roman" w:hAnsi="Times New Roman"/>
          <w:b/>
          <w:noProof/>
          <w:sz w:val="28"/>
          <w:szCs w:val="28"/>
        </w:rPr>
        <w:tab/>
        <w:t>Uspjeh u rodno ravnopravnom gospodarstvu</w:t>
      </w:r>
    </w:p>
    <w:p>
      <w:pPr>
        <w:spacing w:line="100" w:lineRule="atLeast"/>
        <w:jc w:val="both"/>
        <w:rPr>
          <w:rFonts w:ascii="Times New Roman" w:hAnsi="Times New Roman" w:cs="Times New Roman"/>
          <w:b/>
          <w:noProof/>
          <w:sz w:val="32"/>
          <w:szCs w:val="28"/>
        </w:rPr>
      </w:pPr>
      <w:r>
        <w:rPr>
          <w:rFonts w:ascii="Times New Roman" w:hAnsi="Times New Roman"/>
          <w:i/>
          <w:noProof/>
          <w:sz w:val="24"/>
        </w:rPr>
        <w:t xml:space="preserve">Prosperitetnija Europa s istaknutijom socijalnom komponentom ovisi o svima nama. Žene i muškarci u svoj svojoj raznolikosti trebali bi imati jednake mogućnosti za uspjeh i ekonomsku neovisnost, biti jednako plaćeni za rad jednake vrijednosti, imati jednak pristup financiranju i primati pravedne mirovine. Žene i muškarci trebali bi ravnomjerno dijeliti obveze skrbi i financijske obveze. </w:t>
      </w:r>
    </w:p>
    <w:p>
      <w:pPr>
        <w:spacing w:line="100" w:lineRule="atLeast"/>
        <w:jc w:val="both"/>
        <w:rPr>
          <w:rFonts w:ascii="Times New Roman" w:hAnsi="Times New Roman" w:cs="Times New Roman"/>
          <w:b/>
          <w:i/>
          <w:noProof/>
          <w:sz w:val="28"/>
          <w:szCs w:val="24"/>
        </w:rPr>
      </w:pPr>
      <w:r>
        <w:rPr>
          <w:rFonts w:ascii="Times New Roman" w:hAnsi="Times New Roman"/>
          <w:b/>
          <w:i/>
          <w:noProof/>
          <w:sz w:val="24"/>
        </w:rPr>
        <w:t xml:space="preserve">Ukidanje razlika na temelju spola na tržištu rada </w:t>
      </w:r>
    </w:p>
    <w:p>
      <w:pPr>
        <w:spacing w:line="100" w:lineRule="atLeast"/>
        <w:jc w:val="both"/>
        <w:rPr>
          <w:rFonts w:ascii="Times New Roman" w:hAnsi="Times New Roman" w:cs="Times New Roman"/>
          <w:noProof/>
          <w:sz w:val="28"/>
          <w:szCs w:val="24"/>
        </w:rPr>
      </w:pPr>
      <w:r>
        <w:rPr>
          <w:rFonts w:ascii="Times New Roman" w:hAnsi="Times New Roman"/>
          <w:b/>
          <w:noProof/>
          <w:sz w:val="24"/>
        </w:rPr>
        <w:t xml:space="preserve">Povećanje sudjelovanja žena na tržištu rada snažno i pozitivno utječe na gospodarstvo, pogotovo u kontekstu smanjenja radne snage i nedostatka vještina. </w:t>
      </w:r>
      <w:r>
        <w:rPr>
          <w:rFonts w:ascii="Times New Roman" w:hAnsi="Times New Roman"/>
          <w:noProof/>
          <w:sz w:val="24"/>
        </w:rPr>
        <w:t>Ono također osnažuje žene da oblikuju vlastite živote, sudjeluju u javnom životu i budu ekonomski neovisne.</w:t>
      </w:r>
    </w:p>
    <w:p>
      <w:pPr>
        <w:spacing w:line="100" w:lineRule="atLeast"/>
        <w:jc w:val="both"/>
        <w:rPr>
          <w:rFonts w:ascii="Times New Roman" w:hAnsi="Times New Roman" w:cs="Times New Roman"/>
          <w:noProof/>
          <w:sz w:val="24"/>
          <w:szCs w:val="24"/>
        </w:rPr>
      </w:pPr>
      <w:r>
        <w:rPr>
          <w:rFonts w:ascii="Times New Roman" w:hAnsi="Times New Roman"/>
          <w:b/>
          <w:noProof/>
          <w:sz w:val="24"/>
        </w:rPr>
        <w:t>Stopa zaposlenosti žena u EU-u danas je viša nego ikad prije</w:t>
      </w:r>
      <w:r>
        <w:rPr>
          <w:rStyle w:val="FootnoteReference"/>
          <w:rFonts w:ascii="Times New Roman" w:hAnsi="Times New Roman" w:cs="Times New Roman"/>
          <w:noProof/>
          <w:sz w:val="24"/>
        </w:rPr>
        <w:footnoteReference w:id="36"/>
      </w:r>
      <w:r>
        <w:rPr>
          <w:rFonts w:ascii="Times New Roman" w:hAnsi="Times New Roman"/>
          <w:noProof/>
          <w:sz w:val="24"/>
        </w:rPr>
        <w:t>, ali mnoge žene još uvijek nailaze na prepreke pristupanju tržištu rada i ostajanju na njemu</w:t>
      </w:r>
      <w:r>
        <w:rPr>
          <w:rStyle w:val="FootnoteReference"/>
          <w:rFonts w:ascii="Times New Roman" w:hAnsi="Times New Roman" w:cs="Times New Roman"/>
          <w:noProof/>
          <w:sz w:val="24"/>
        </w:rPr>
        <w:footnoteReference w:id="37"/>
      </w:r>
      <w:r>
        <w:rPr>
          <w:rFonts w:ascii="Times New Roman" w:hAnsi="Times New Roman"/>
          <w:noProof/>
          <w:sz w:val="24"/>
        </w:rPr>
        <w:t>. Neke su žene strukturno manje zastupljene na tržištu rada</w:t>
      </w:r>
      <w:r>
        <w:rPr>
          <w:rStyle w:val="FootnoteReference"/>
          <w:rFonts w:ascii="Times New Roman" w:hAnsi="Times New Roman" w:cs="Times New Roman"/>
          <w:noProof/>
          <w:sz w:val="24"/>
        </w:rPr>
        <w:footnoteReference w:id="38"/>
      </w:r>
      <w:r>
        <w:rPr>
          <w:rFonts w:ascii="Times New Roman" w:hAnsi="Times New Roman"/>
          <w:noProof/>
          <w:sz w:val="24"/>
        </w:rPr>
        <w:t>, često zbog preklapanja rodne uvjetovanosti s drugim uvjetima u smislu ranjivosti ili marginalizacije, kao što je pripadnost etničkoj ili vjerskoj manjini</w:t>
      </w:r>
      <w:r>
        <w:rPr>
          <w:rStyle w:val="FootnoteReference"/>
          <w:rFonts w:ascii="Times New Roman" w:hAnsi="Times New Roman" w:cs="Times New Roman"/>
          <w:noProof/>
          <w:sz w:val="24"/>
        </w:rPr>
        <w:footnoteReference w:id="39"/>
      </w:r>
      <w:r>
        <w:rPr>
          <w:rFonts w:ascii="Times New Roman" w:hAnsi="Times New Roman"/>
          <w:noProof/>
          <w:sz w:val="24"/>
        </w:rPr>
        <w:t xml:space="preserve"> ili migrantsko podrijetlo.</w:t>
      </w:r>
      <w:r>
        <w:rPr>
          <w:rFonts w:ascii="Times New Roman" w:hAnsi="Times New Roman"/>
          <w:noProof/>
        </w:rPr>
        <w:t xml:space="preserve"> </w:t>
      </w:r>
    </w:p>
    <w:p>
      <w:pPr>
        <w:pStyle w:val="NormalWeb"/>
        <w:spacing w:before="0" w:beforeAutospacing="0" w:after="200" w:afterAutospacing="0" w:line="100" w:lineRule="atLeast"/>
        <w:jc w:val="both"/>
        <w:rPr>
          <w:noProof/>
        </w:rPr>
      </w:pPr>
      <w:r>
        <w:rPr>
          <w:noProof/>
          <w:lang w:val="en-GB" w:eastAsia="en-GB"/>
        </w:rPr>
        <w:drawing>
          <wp:inline distT="0" distB="0" distL="0" distR="0">
            <wp:extent cx="5759450" cy="1990725"/>
            <wp:effectExtent l="0" t="0" r="0" b="9525"/>
            <wp:docPr id="19" name="Picture 19" descr="C:\Users\nardedo\AppData\Local\Temp\1\Temp1_JUST-2020-80008-03-00-HR-SRC-00 (2).ZIP\HR_gender-gap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nardedo\AppData\Local\Temp\1\Temp1_JUST-2020-80008-03-00-HR-SRC-00 (2).ZIP\HR_gender-gap_.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59450" cy="1990725"/>
                    </a:xfrm>
                    <a:prstGeom prst="rect">
                      <a:avLst/>
                    </a:prstGeom>
                    <a:noFill/>
                    <a:ln>
                      <a:noFill/>
                    </a:ln>
                  </pic:spPr>
                </pic:pic>
              </a:graphicData>
            </a:graphic>
          </wp:inline>
        </w:drawing>
      </w:r>
    </w:p>
    <w:p>
      <w:pPr>
        <w:pStyle w:val="NormalWeb"/>
        <w:spacing w:after="200" w:line="100" w:lineRule="atLeast"/>
        <w:jc w:val="both"/>
        <w:rPr>
          <w:noProof/>
        </w:rPr>
      </w:pPr>
      <w:r>
        <w:rPr>
          <w:noProof/>
        </w:rPr>
        <w:t xml:space="preserve">Poboljšanje ravnoteže između poslovnog i privatnog života radnika jedan je od načina za uklanjanje razlika na temelju spola na tržištu rada. Oba se roditelja moraju osjećati odgovornima za obiteljsku skrb i imati pravo na nju. </w:t>
      </w:r>
      <w:r>
        <w:rPr>
          <w:b/>
          <w:noProof/>
        </w:rPr>
        <w:t>Direktivom o ravnoteži između poslovnog i privatnog života</w:t>
      </w:r>
      <w:r>
        <w:rPr>
          <w:rStyle w:val="FootnoteReference"/>
          <w:noProof/>
        </w:rPr>
        <w:footnoteReference w:id="40"/>
      </w:r>
      <w:r>
        <w:rPr>
          <w:b/>
          <w:noProof/>
        </w:rPr>
        <w:t xml:space="preserve"> </w:t>
      </w:r>
      <w:r>
        <w:rPr>
          <w:noProof/>
        </w:rPr>
        <w:t xml:space="preserve">uvode se minimalni standardi za obiteljski dopust i fleksibilni radni uvjeti za radnike te se promiče ravnomjerna raspodjela obveza skrbi između roditelja. Komisija će osigurati da države članice pravilno </w:t>
      </w:r>
      <w:r>
        <w:rPr>
          <w:b/>
          <w:noProof/>
        </w:rPr>
        <w:t>prenesu</w:t>
      </w:r>
      <w:r>
        <w:rPr>
          <w:rStyle w:val="FootnoteReference"/>
          <w:noProof/>
        </w:rPr>
        <w:footnoteReference w:id="41"/>
      </w:r>
      <w:r>
        <w:rPr>
          <w:noProof/>
        </w:rPr>
        <w:t xml:space="preserve"> </w:t>
      </w:r>
      <w:r>
        <w:rPr>
          <w:b/>
          <w:noProof/>
        </w:rPr>
        <w:t>i provedu</w:t>
      </w:r>
      <w:r>
        <w:rPr>
          <w:noProof/>
        </w:rPr>
        <w:t xml:space="preserve"> tu direktivu kako bi muškarci i žene mogli jednako napredovati osobno i profesionalno te poziva države članice da u preispitivanju svojih politika teže višim standardima od tih minimalnih. Države članice trebale bi osigurati i kvalitetna rješenja, na primjer za skrb o djeci, i to i u manje naseljenim područjima u Europi. U svojoj vlastitoj upravi Komisija će promicati i pratiti ravnopravno korištenje fleksibilnih radnih uvjeta među svim zaposlenicima</w:t>
      </w:r>
      <w:r>
        <w:rPr>
          <w:noProof/>
          <w:vertAlign w:val="superscript"/>
        </w:rPr>
        <w:footnoteReference w:id="42"/>
      </w:r>
      <w:r>
        <w:rPr>
          <w:noProof/>
        </w:rPr>
        <w:t>.</w:t>
      </w:r>
    </w:p>
    <w:p>
      <w:pPr>
        <w:pStyle w:val="Text1"/>
        <w:ind w:left="0"/>
        <w:rPr>
          <w:noProof/>
        </w:rPr>
      </w:pPr>
      <w:r>
        <w:rPr>
          <w:noProof/>
        </w:rPr>
        <w:t xml:space="preserve">Razvoj u području rodne ravnopravnosti u državama članicama, pogotovo na njihovim tržištima rada, u socijalnom uključivanju i obrazovanju, i dalje će se pratiti u okviru </w:t>
      </w:r>
      <w:r>
        <w:rPr>
          <w:b/>
          <w:noProof/>
        </w:rPr>
        <w:t>europskog semestra</w:t>
      </w:r>
      <w:r>
        <w:rPr>
          <w:rStyle w:val="FootnoteReference"/>
          <w:noProof/>
        </w:rPr>
        <w:footnoteReference w:id="43"/>
      </w:r>
      <w:r>
        <w:rPr>
          <w:noProof/>
        </w:rPr>
        <w:t>. S pomoću pregleda socijalnih pokazatelja u okviru semestra se prate i te dimenzije europskog stupa socijalnih prava</w:t>
      </w:r>
      <w:r>
        <w:rPr>
          <w:rStyle w:val="FootnoteReference"/>
          <w:noProof/>
        </w:rPr>
        <w:footnoteReference w:id="44"/>
      </w:r>
      <w:r>
        <w:rPr>
          <w:noProof/>
        </w:rPr>
        <w:t xml:space="preserve">. Od ciklusa 2019.–2020. izvješća za pojedine zemlje u okviru europskog semestra doprinose praćenju ciljeva održivog razvoja, među ostalim cilja o rodnoj ravnopravnosti (cilj održivog razvoja br. 5), te načinu na koji ekonomska politika i politika zapošljavanja mogu pomoći u ostvarivanju tih ciljeva. </w:t>
      </w:r>
    </w:p>
    <w:p>
      <w:pPr>
        <w:spacing w:line="240" w:lineRule="auto"/>
        <w:jc w:val="both"/>
        <w:rPr>
          <w:rFonts w:ascii="Times New Roman" w:hAnsi="Times New Roman" w:cs="Times New Roman"/>
          <w:noProof/>
          <w:sz w:val="28"/>
          <w:szCs w:val="24"/>
        </w:rPr>
      </w:pPr>
      <w:r>
        <w:rPr>
          <w:rFonts w:ascii="Times New Roman" w:hAnsi="Times New Roman"/>
          <w:noProof/>
          <w:sz w:val="24"/>
        </w:rPr>
        <w:t xml:space="preserve">Države članice mogu dobiti potporu iz </w:t>
      </w:r>
      <w:r>
        <w:rPr>
          <w:rFonts w:ascii="Times New Roman" w:hAnsi="Times New Roman"/>
          <w:b/>
          <w:noProof/>
          <w:sz w:val="24"/>
        </w:rPr>
        <w:t>Programa potpore strukturnim reformama</w:t>
      </w:r>
      <w:r>
        <w:rPr>
          <w:rFonts w:ascii="Times New Roman" w:hAnsi="Times New Roman"/>
          <w:noProof/>
          <w:sz w:val="24"/>
        </w:rPr>
        <w:t xml:space="preserve"> u osvještavanju rodne perspektive u javnoj upravi, izradi državnih proračuna i financijskom upravljanju. Iz tog se programa može pomagati državama članicama i u nacionalnim strukturnim reformama za </w:t>
      </w:r>
      <w:r>
        <w:rPr>
          <w:rFonts w:ascii="Times New Roman" w:hAnsi="Times New Roman"/>
          <w:b/>
          <w:noProof/>
          <w:sz w:val="24"/>
        </w:rPr>
        <w:t>ukidanje razlika na temelju spola u zapošljavanju</w:t>
      </w:r>
      <w:r>
        <w:rPr>
          <w:rFonts w:ascii="Times New Roman" w:hAnsi="Times New Roman"/>
          <w:noProof/>
          <w:sz w:val="24"/>
        </w:rPr>
        <w:t xml:space="preserve"> te rješavanje problema većeg udjela žena, pogotovo starije dobi, u siromašnom stanovništvu.  </w:t>
      </w:r>
    </w:p>
    <w:p>
      <w:pPr>
        <w:spacing w:line="240" w:lineRule="auto"/>
        <w:jc w:val="both"/>
        <w:rPr>
          <w:rFonts w:ascii="Times New Roman" w:hAnsi="Times New Roman" w:cs="Times New Roman"/>
          <w:noProof/>
          <w:sz w:val="24"/>
          <w:szCs w:val="24"/>
        </w:rPr>
      </w:pPr>
      <w:r>
        <w:rPr>
          <w:rFonts w:ascii="Times New Roman" w:hAnsi="Times New Roman"/>
          <w:b/>
          <w:noProof/>
          <w:sz w:val="24"/>
        </w:rPr>
        <w:t>Socijalna i ekonomska politika, sustav oporezivanja i sustav socijalne zaštite</w:t>
      </w:r>
      <w:r>
        <w:rPr>
          <w:rFonts w:ascii="Times New Roman" w:hAnsi="Times New Roman"/>
          <w:noProof/>
          <w:sz w:val="24"/>
        </w:rPr>
        <w:t xml:space="preserve"> ne bi trebali održavati strukturne rodne nejednakosti koje se temelje na tradicionalnim rodnim ulogama u poslovnom i privatnom životu. Komisija će izraditi smjernice za države članice o utjecaju nacionalnih poreznih sustava i sustava naknada na </w:t>
      </w:r>
      <w:r>
        <w:rPr>
          <w:rFonts w:ascii="Times New Roman" w:hAnsi="Times New Roman"/>
          <w:b/>
          <w:noProof/>
          <w:sz w:val="24"/>
        </w:rPr>
        <w:t>financijske poticaje ili destimulirajuće mjere za primatelje drugog dohotka u kućanstvu</w:t>
      </w:r>
      <w:r>
        <w:rPr>
          <w:rFonts w:ascii="Times New Roman" w:hAnsi="Times New Roman"/>
          <w:noProof/>
          <w:sz w:val="24"/>
        </w:rPr>
        <w:t>.</w:t>
      </w:r>
      <w:r>
        <w:rPr>
          <w:rFonts w:ascii="Times New Roman" w:hAnsi="Times New Roman"/>
          <w:noProof/>
        </w:rPr>
        <w:t xml:space="preserve"> </w:t>
      </w:r>
    </w:p>
    <w:p>
      <w:pPr>
        <w:spacing w:line="100" w:lineRule="atLeast"/>
        <w:jc w:val="both"/>
        <w:rPr>
          <w:rFonts w:ascii="Times New Roman" w:hAnsi="Times New Roman" w:cs="Times New Roman"/>
          <w:noProof/>
          <w:sz w:val="24"/>
          <w:szCs w:val="24"/>
        </w:rPr>
      </w:pPr>
      <w:r>
        <w:rPr>
          <w:rFonts w:ascii="Times New Roman" w:hAnsi="Times New Roman" w:cs="Times New Roman"/>
          <w:noProof/>
          <w:sz w:val="24"/>
          <w:szCs w:val="24"/>
          <w:lang w:val="en-GB" w:eastAsia="en-GB"/>
        </w:rPr>
        <w:drawing>
          <wp:inline distT="0" distB="0" distL="0" distR="0">
            <wp:extent cx="5759450" cy="1332865"/>
            <wp:effectExtent l="0" t="0" r="0" b="635"/>
            <wp:docPr id="12" name="Picture 12" descr="C:\Users\nardedo\AppData\Local\Temp\1\Temp1_JUST-2020-80008-03-00-HR-SRC-00 (2).ZIP\HR_decision-makers-priv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ardedo\AppData\Local\Temp\1\Temp1_JUST-2020-80008-03-00-HR-SRC-00 (2).ZIP\HR_decision-makers-private.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59450" cy="1332865"/>
                    </a:xfrm>
                    <a:prstGeom prst="rect">
                      <a:avLst/>
                    </a:prstGeom>
                    <a:noFill/>
                    <a:ln>
                      <a:noFill/>
                    </a:ln>
                  </pic:spPr>
                </pic:pic>
              </a:graphicData>
            </a:graphic>
          </wp:inline>
        </w:drawing>
      </w:r>
    </w:p>
    <w:p>
      <w:pPr>
        <w:spacing w:line="100" w:lineRule="atLeast"/>
        <w:jc w:val="both"/>
        <w:rPr>
          <w:rFonts w:ascii="Times New Roman" w:hAnsi="Times New Roman" w:cs="Times New Roman"/>
          <w:noProof/>
          <w:sz w:val="28"/>
          <w:szCs w:val="24"/>
        </w:rPr>
      </w:pPr>
      <w:r>
        <w:rPr>
          <w:rFonts w:ascii="Times New Roman" w:hAnsi="Times New Roman"/>
          <w:noProof/>
          <w:sz w:val="24"/>
        </w:rPr>
        <w:t xml:space="preserve">Osnaživati žene na tržištu rada znači i pružati im prilike za </w:t>
      </w:r>
      <w:r>
        <w:rPr>
          <w:rFonts w:ascii="Times New Roman" w:hAnsi="Times New Roman"/>
          <w:b/>
          <w:noProof/>
          <w:sz w:val="24"/>
        </w:rPr>
        <w:t>uspješno ulaganje i poduzetništvo</w:t>
      </w:r>
      <w:r>
        <w:rPr>
          <w:rStyle w:val="FootnoteReference"/>
          <w:rFonts w:ascii="Times New Roman" w:hAnsi="Times New Roman" w:cs="Times New Roman"/>
          <w:noProof/>
          <w:sz w:val="24"/>
        </w:rPr>
        <w:footnoteReference w:id="45"/>
      </w:r>
      <w:r>
        <w:rPr>
          <w:rFonts w:ascii="Times New Roman" w:hAnsi="Times New Roman"/>
          <w:noProof/>
          <w:sz w:val="24"/>
        </w:rPr>
        <w:t>.</w:t>
      </w:r>
      <w:r>
        <w:rPr>
          <w:rFonts w:ascii="Times New Roman" w:hAnsi="Times New Roman"/>
          <w:b/>
          <w:noProof/>
          <w:sz w:val="24"/>
        </w:rPr>
        <w:t xml:space="preserve"> </w:t>
      </w:r>
      <w:r>
        <w:rPr>
          <w:rFonts w:ascii="Times New Roman" w:hAnsi="Times New Roman"/>
          <w:noProof/>
          <w:sz w:val="24"/>
        </w:rPr>
        <w:t xml:space="preserve">Kohezijskom politikom EU-a podupiru se poduzetništvo žena, njihova (ponovna) integracija na tržište rada i rodna ravnopravnost u specifičnim, tradicionalno muškim sektorima. U </w:t>
      </w:r>
      <w:r>
        <w:rPr>
          <w:rFonts w:ascii="Times New Roman" w:hAnsi="Times New Roman"/>
          <w:b/>
          <w:noProof/>
          <w:sz w:val="24"/>
        </w:rPr>
        <w:t>Europskom vijeću za inovacije</w:t>
      </w:r>
      <w:r>
        <w:rPr>
          <w:rFonts w:ascii="Times New Roman" w:hAnsi="Times New Roman"/>
          <w:noProof/>
          <w:sz w:val="24"/>
        </w:rPr>
        <w:t xml:space="preserve"> u sklopu programa Obzor Europa razvijat će se ciljane mjere za promicanje sudjelovanja žena u inovacijama, među ostalim pilot-projekt 2020. za promicanje novoosnovanih poduzeća te inovativnih malih i srednjih poduzeća sa ženskim rukovodstvom</w:t>
      </w:r>
      <w:r>
        <w:rPr>
          <w:rStyle w:val="FootnoteReference"/>
          <w:rFonts w:ascii="Times New Roman" w:hAnsi="Times New Roman" w:cs="Times New Roman"/>
          <w:noProof/>
          <w:sz w:val="24"/>
        </w:rPr>
        <w:footnoteReference w:id="46"/>
      </w:r>
      <w:r>
        <w:rPr>
          <w:rFonts w:ascii="Times New Roman" w:hAnsi="Times New Roman"/>
          <w:noProof/>
          <w:sz w:val="24"/>
        </w:rPr>
        <w:t xml:space="preserve">. Komisija će promicati i zastupljenost žena na položajima na kojima se donose odluke u fondovima privatnog i rizičnog kapitala te podupirati fondove koji ulažu s rodno diversificiranim portfeljima putem </w:t>
      </w:r>
      <w:r>
        <w:rPr>
          <w:rFonts w:ascii="Times New Roman" w:hAnsi="Times New Roman"/>
          <w:b/>
          <w:noProof/>
          <w:sz w:val="24"/>
        </w:rPr>
        <w:t>programa InvestEU</w:t>
      </w:r>
      <w:r>
        <w:rPr>
          <w:rFonts w:ascii="Times New Roman" w:hAnsi="Times New Roman"/>
          <w:noProof/>
          <w:sz w:val="24"/>
        </w:rPr>
        <w:t xml:space="preserve"> u cilju mobilizacije privatnih i javnih ulaganja u Europi za održiviji, uključiviji i inovativniji rast. </w:t>
      </w:r>
    </w:p>
    <w:p>
      <w:pPr>
        <w:spacing w:line="100" w:lineRule="atLeast"/>
        <w:jc w:val="both"/>
        <w:rPr>
          <w:rFonts w:ascii="Times New Roman" w:hAnsi="Times New Roman" w:cs="Times New Roman"/>
          <w:noProof/>
          <w:sz w:val="28"/>
          <w:szCs w:val="24"/>
        </w:rPr>
      </w:pPr>
      <w:r>
        <w:rPr>
          <w:rFonts w:ascii="Times New Roman" w:hAnsi="Times New Roman"/>
          <w:b/>
          <w:i/>
          <w:noProof/>
          <w:sz w:val="24"/>
        </w:rPr>
        <w:t xml:space="preserve">Postizanje jednakog sudjelovanja u različitim sektorima gospodarstva </w:t>
      </w:r>
    </w:p>
    <w:p>
      <w:pPr>
        <w:spacing w:line="240" w:lineRule="auto"/>
        <w:jc w:val="both"/>
        <w:rPr>
          <w:rFonts w:ascii="Times New Roman" w:eastAsia="Times New Roman" w:hAnsi="Times New Roman" w:cs="Times New Roman"/>
          <w:noProof/>
          <w:sz w:val="24"/>
          <w:szCs w:val="24"/>
        </w:rPr>
      </w:pPr>
      <w:r>
        <w:rPr>
          <w:rFonts w:ascii="Times New Roman" w:hAnsi="Times New Roman"/>
          <w:noProof/>
          <w:sz w:val="24"/>
        </w:rPr>
        <w:t xml:space="preserve">Iako </w:t>
      </w:r>
      <w:r>
        <w:rPr>
          <w:rFonts w:ascii="Times New Roman" w:hAnsi="Times New Roman"/>
          <w:b/>
          <w:noProof/>
          <w:sz w:val="24"/>
        </w:rPr>
        <w:t>u Europi više žena nego muškaraca ima sveučilišnu diplomu</w:t>
      </w:r>
      <w:r>
        <w:rPr>
          <w:rFonts w:ascii="Times New Roman" w:hAnsi="Times New Roman"/>
          <w:noProof/>
          <w:sz w:val="24"/>
        </w:rPr>
        <w:t>, žene su i dalje nedovoljno zastupljene u bolje plaćenim profesijama</w:t>
      </w:r>
      <w:r>
        <w:rPr>
          <w:rStyle w:val="FootnoteReference"/>
          <w:rFonts w:ascii="Times New Roman" w:eastAsia="Times New Roman" w:hAnsi="Times New Roman" w:cs="Times New Roman"/>
          <w:noProof/>
          <w:sz w:val="24"/>
        </w:rPr>
        <w:footnoteReference w:id="47"/>
      </w:r>
      <w:r>
        <w:rPr>
          <w:rFonts w:ascii="Times New Roman" w:hAnsi="Times New Roman"/>
          <w:noProof/>
          <w:sz w:val="24"/>
        </w:rPr>
        <w:t>. Kad je riječ o slabo plaćenim poslovima, sektorima ili radnim mjestima, veći je udio žena</w:t>
      </w:r>
      <w:r>
        <w:rPr>
          <w:rFonts w:ascii="Times New Roman" w:eastAsia="Times New Roman" w:hAnsi="Times New Roman" w:cs="Times New Roman"/>
          <w:noProof/>
          <w:sz w:val="24"/>
          <w:vertAlign w:val="superscript"/>
        </w:rPr>
        <w:footnoteReference w:id="48"/>
      </w:r>
      <w:r>
        <w:rPr>
          <w:rFonts w:ascii="Times New Roman" w:hAnsi="Times New Roman"/>
          <w:noProof/>
          <w:sz w:val="24"/>
        </w:rPr>
        <w:t>. Diskriminirajuće društvene norme i stereotipi o vještinama žena i muškaraca te podcjenjivanje rada žena neki su od čimbenika koji tome doprinose.</w:t>
      </w:r>
    </w:p>
    <w:p>
      <w:pPr>
        <w:spacing w:line="100" w:lineRule="atLeast"/>
        <w:jc w:val="both"/>
        <w:rPr>
          <w:rFonts w:ascii="Times New Roman" w:hAnsi="Times New Roman" w:cs="Times New Roman"/>
          <w:b/>
          <w:noProof/>
          <w:sz w:val="24"/>
          <w:szCs w:val="24"/>
        </w:rPr>
      </w:pPr>
      <w:r>
        <w:rPr>
          <w:rFonts w:ascii="Times New Roman" w:hAnsi="Times New Roman" w:cs="Times New Roman"/>
          <w:b/>
          <w:noProof/>
          <w:sz w:val="24"/>
          <w:szCs w:val="24"/>
          <w:lang w:val="en-GB" w:eastAsia="en-GB"/>
        </w:rPr>
        <w:drawing>
          <wp:inline distT="0" distB="0" distL="0" distR="0">
            <wp:extent cx="5759450" cy="1382395"/>
            <wp:effectExtent l="0" t="0" r="0" b="8255"/>
            <wp:docPr id="13" name="Picture 13" descr="C:\Users\nardedo\AppData\Local\Temp\1\Temp1_JUST-2020-80008-03-00-HR-SRC-00 (2).ZIP\HR_sectors-econom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ardedo\AppData\Local\Temp\1\Temp1_JUST-2020-80008-03-00-HR-SRC-00 (2).ZIP\HR_sectors-economy.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59450" cy="1382395"/>
                    </a:xfrm>
                    <a:prstGeom prst="rect">
                      <a:avLst/>
                    </a:prstGeom>
                    <a:noFill/>
                    <a:ln>
                      <a:noFill/>
                    </a:ln>
                  </pic:spPr>
                </pic:pic>
              </a:graphicData>
            </a:graphic>
          </wp:inline>
        </w:drawing>
      </w:r>
    </w:p>
    <w:p>
      <w:pPr>
        <w:rPr>
          <w:rFonts w:ascii="Times New Roman" w:hAnsi="Times New Roman" w:cs="Times New Roman"/>
          <w:b/>
          <w:noProof/>
          <w:sz w:val="24"/>
          <w:szCs w:val="24"/>
        </w:rPr>
      </w:pPr>
    </w:p>
    <w:p>
      <w:pPr>
        <w:spacing w:line="100" w:lineRule="atLeast"/>
        <w:jc w:val="both"/>
        <w:rPr>
          <w:rFonts w:ascii="Times New Roman" w:hAnsi="Times New Roman" w:cs="Times New Roman"/>
          <w:noProof/>
          <w:sz w:val="24"/>
          <w:szCs w:val="24"/>
        </w:rPr>
      </w:pPr>
      <w:r>
        <w:rPr>
          <w:rFonts w:ascii="Times New Roman" w:hAnsi="Times New Roman"/>
          <w:b/>
          <w:noProof/>
          <w:sz w:val="24"/>
          <w:szCs w:val="24"/>
        </w:rPr>
        <w:t>Digitalna tranzicija</w:t>
      </w:r>
      <w:r>
        <w:rPr>
          <w:rFonts w:ascii="Times New Roman" w:hAnsi="Times New Roman"/>
          <w:noProof/>
          <w:sz w:val="24"/>
          <w:szCs w:val="24"/>
        </w:rPr>
        <w:t xml:space="preserve"> iznimno je važna u tom kontekstu. Uz vrlo brzu transformaciju i digitalizaciju gospodarstva i tržišta rada danas su za 90 % radnih mjesta potrebne osnovne digitalne vještine</w:t>
      </w:r>
      <w:r>
        <w:rPr>
          <w:rFonts w:ascii="Times New Roman" w:hAnsi="Times New Roman" w:cs="Times New Roman"/>
          <w:noProof/>
          <w:sz w:val="24"/>
          <w:szCs w:val="24"/>
          <w:vertAlign w:val="superscript"/>
        </w:rPr>
        <w:footnoteReference w:id="49"/>
      </w:r>
      <w:r>
        <w:rPr>
          <w:rFonts w:ascii="Times New Roman" w:hAnsi="Times New Roman"/>
          <w:noProof/>
          <w:sz w:val="24"/>
          <w:szCs w:val="24"/>
        </w:rPr>
        <w:t>. Udio žena među osobama koje studiraju i ostvaruju karijeru u području IKT-a</w:t>
      </w:r>
      <w:r>
        <w:rPr>
          <w:rStyle w:val="FootnoteReference"/>
          <w:rFonts w:ascii="Times New Roman" w:hAnsi="Times New Roman" w:cs="Times New Roman"/>
          <w:noProof/>
          <w:sz w:val="24"/>
          <w:szCs w:val="24"/>
        </w:rPr>
        <w:footnoteReference w:id="50"/>
      </w:r>
      <w:r>
        <w:rPr>
          <w:rFonts w:ascii="Times New Roman" w:hAnsi="Times New Roman"/>
          <w:noProof/>
          <w:sz w:val="24"/>
          <w:szCs w:val="24"/>
        </w:rPr>
        <w:t xml:space="preserve"> u EU-u iznosi samo 17 %</w:t>
      </w:r>
      <w:r>
        <w:rPr>
          <w:rStyle w:val="FootnoteReference"/>
          <w:rFonts w:ascii="Times New Roman" w:hAnsi="Times New Roman" w:cs="Times New Roman"/>
          <w:noProof/>
          <w:sz w:val="24"/>
          <w:szCs w:val="24"/>
        </w:rPr>
        <w:footnoteReference w:id="51"/>
      </w:r>
      <w:r>
        <w:rPr>
          <w:rFonts w:ascii="Times New Roman" w:hAnsi="Times New Roman"/>
          <w:noProof/>
          <w:sz w:val="24"/>
          <w:szCs w:val="24"/>
        </w:rPr>
        <w:t>, a među osobama s diplomom iz područja STEM-a</w:t>
      </w:r>
      <w:r>
        <w:rPr>
          <w:rStyle w:val="FootnoteReference"/>
          <w:rFonts w:ascii="Times New Roman" w:hAnsi="Times New Roman" w:cs="Times New Roman"/>
          <w:noProof/>
          <w:sz w:val="24"/>
          <w:szCs w:val="24"/>
        </w:rPr>
        <w:footnoteReference w:id="52"/>
      </w:r>
      <w:r>
        <w:rPr>
          <w:rFonts w:ascii="Times New Roman" w:hAnsi="Times New Roman"/>
          <w:noProof/>
          <w:sz w:val="24"/>
          <w:szCs w:val="24"/>
        </w:rPr>
        <w:t xml:space="preserve"> samo 36 %</w:t>
      </w:r>
      <w:r>
        <w:rPr>
          <w:rStyle w:val="FootnoteReference"/>
          <w:rFonts w:ascii="Times New Roman" w:hAnsi="Times New Roman" w:cs="Times New Roman"/>
          <w:noProof/>
          <w:sz w:val="24"/>
          <w:szCs w:val="24"/>
        </w:rPr>
        <w:footnoteReference w:id="53"/>
      </w:r>
      <w:r>
        <w:rPr>
          <w:rFonts w:ascii="Times New Roman" w:hAnsi="Times New Roman"/>
          <w:noProof/>
          <w:sz w:val="24"/>
          <w:szCs w:val="24"/>
        </w:rPr>
        <w:t>, unatoč činjenici da djevojčice postižu bolje rezultate u digitalnoj pismenosti</w:t>
      </w:r>
      <w:r>
        <w:rPr>
          <w:rFonts w:ascii="Times New Roman" w:hAnsi="Times New Roman" w:cs="Times New Roman"/>
          <w:noProof/>
          <w:sz w:val="24"/>
          <w:szCs w:val="24"/>
          <w:vertAlign w:val="superscript"/>
        </w:rPr>
        <w:footnoteReference w:id="54"/>
      </w:r>
      <w:r>
        <w:rPr>
          <w:rFonts w:ascii="Times New Roman" w:hAnsi="Times New Roman"/>
          <w:noProof/>
          <w:sz w:val="24"/>
          <w:szCs w:val="24"/>
        </w:rPr>
        <w:t xml:space="preserve">. Ta razlika i taj paradoks bit će obuhvaćeni u ažuriranom </w:t>
      </w:r>
      <w:r>
        <w:rPr>
          <w:rFonts w:ascii="Times New Roman" w:hAnsi="Times New Roman"/>
          <w:b/>
          <w:noProof/>
          <w:sz w:val="24"/>
          <w:szCs w:val="24"/>
        </w:rPr>
        <w:t>Akcijskom planu za digitalno obrazovanje</w:t>
      </w:r>
      <w:r>
        <w:rPr>
          <w:rFonts w:ascii="Times New Roman" w:hAnsi="Times New Roman"/>
          <w:noProof/>
          <w:sz w:val="24"/>
          <w:szCs w:val="24"/>
        </w:rPr>
        <w:t xml:space="preserve"> i u provedbi </w:t>
      </w:r>
      <w:r>
        <w:rPr>
          <w:rFonts w:ascii="Times New Roman" w:hAnsi="Times New Roman"/>
          <w:b/>
          <w:noProof/>
          <w:sz w:val="24"/>
          <w:szCs w:val="24"/>
        </w:rPr>
        <w:t>ministarske Izjave o preuzimanju obveze u pogledu „žena u digitalnom dobu”</w:t>
      </w:r>
      <w:r>
        <w:rPr>
          <w:rStyle w:val="FootnoteReference"/>
          <w:rFonts w:ascii="Times New Roman" w:hAnsi="Times New Roman" w:cs="Times New Roman"/>
          <w:noProof/>
          <w:sz w:val="24"/>
          <w:szCs w:val="24"/>
        </w:rPr>
        <w:footnoteReference w:id="55"/>
      </w:r>
      <w:r>
        <w:rPr>
          <w:rFonts w:ascii="Times New Roman" w:hAnsi="Times New Roman"/>
          <w:noProof/>
          <w:sz w:val="24"/>
          <w:szCs w:val="24"/>
        </w:rPr>
        <w:t xml:space="preserve">. </w:t>
      </w:r>
      <w:r>
        <w:rPr>
          <w:rFonts w:ascii="Times New Roman" w:hAnsi="Times New Roman"/>
          <w:b/>
          <w:noProof/>
          <w:sz w:val="24"/>
          <w:szCs w:val="24"/>
        </w:rPr>
        <w:t>Pregled pokazatelja „Žene u digitalnom dobu”</w:t>
      </w:r>
      <w:r>
        <w:rPr>
          <w:rFonts w:ascii="Times New Roman" w:hAnsi="Times New Roman"/>
          <w:noProof/>
          <w:sz w:val="24"/>
          <w:szCs w:val="24"/>
        </w:rPr>
        <w:t xml:space="preserve"> koristit će se sustavnije.</w:t>
      </w:r>
    </w:p>
    <w:p>
      <w:pPr>
        <w:spacing w:line="100" w:lineRule="atLeast"/>
        <w:jc w:val="both"/>
        <w:rPr>
          <w:rFonts w:ascii="Times New Roman" w:hAnsi="Times New Roman" w:cs="Times New Roman"/>
          <w:noProof/>
          <w:sz w:val="28"/>
          <w:szCs w:val="24"/>
        </w:rPr>
      </w:pPr>
      <w:r>
        <w:rPr>
          <w:rFonts w:ascii="Times New Roman" w:hAnsi="Times New Roman"/>
          <w:b/>
          <w:noProof/>
          <w:sz w:val="24"/>
        </w:rPr>
        <w:t>Ažurirani program vještina za Europu</w:t>
      </w:r>
      <w:r>
        <w:rPr>
          <w:rFonts w:ascii="Times New Roman" w:hAnsi="Times New Roman"/>
          <w:noProof/>
          <w:sz w:val="24"/>
        </w:rPr>
        <w:t xml:space="preserve"> pomoći će u borbi protiv horizontalne segregacije, stereotipizacije te razlika u obrazovanju i osposobljavanju na temelju spola.</w:t>
      </w:r>
      <w:r>
        <w:rPr>
          <w:noProof/>
          <w:sz w:val="24"/>
        </w:rPr>
        <w:t xml:space="preserve"> </w:t>
      </w:r>
      <w:r>
        <w:rPr>
          <w:rFonts w:ascii="Times New Roman" w:hAnsi="Times New Roman"/>
          <w:noProof/>
          <w:sz w:val="24"/>
        </w:rPr>
        <w:t xml:space="preserve">U Komisijinu Prijedlogu </w:t>
      </w:r>
      <w:r>
        <w:rPr>
          <w:rFonts w:ascii="Times New Roman" w:hAnsi="Times New Roman"/>
          <w:b/>
          <w:noProof/>
          <w:sz w:val="24"/>
        </w:rPr>
        <w:t>preporuke Vijeća o strukovnom obrazovanju i osposobljavanju</w:t>
      </w:r>
      <w:r>
        <w:rPr>
          <w:rFonts w:ascii="Times New Roman" w:hAnsi="Times New Roman"/>
          <w:noProof/>
          <w:sz w:val="24"/>
        </w:rPr>
        <w:t xml:space="preserve"> poduprijet će se poboljšanje rodne ravnoteže u profesijama u kojima tradicionalno prevladavaju muškarci odnosno žene te će se preispitivati rodni stereotipi. </w:t>
      </w:r>
      <w:r>
        <w:rPr>
          <w:rFonts w:ascii="Times New Roman" w:hAnsi="Times New Roman"/>
          <w:b/>
          <w:noProof/>
          <w:sz w:val="24"/>
        </w:rPr>
        <w:t>Pojačana Garancija za mlade</w:t>
      </w:r>
      <w:r>
        <w:rPr>
          <w:rFonts w:ascii="Times New Roman" w:hAnsi="Times New Roman"/>
          <w:noProof/>
          <w:sz w:val="24"/>
        </w:rPr>
        <w:t xml:space="preserve"> usto će posebno obuhvatiti žene koje nisu zaposlene, ne obrazuju se i ne osposobljavaju.</w:t>
      </w:r>
    </w:p>
    <w:p>
      <w:pPr>
        <w:spacing w:line="100" w:lineRule="atLeast"/>
        <w:jc w:val="both"/>
        <w:rPr>
          <w:rFonts w:ascii="Times New Roman" w:hAnsi="Times New Roman" w:cs="Times New Roman"/>
          <w:noProof/>
          <w:sz w:val="28"/>
          <w:szCs w:val="24"/>
        </w:rPr>
      </w:pPr>
      <w:r>
        <w:rPr>
          <w:rFonts w:ascii="Times New Roman" w:hAnsi="Times New Roman"/>
          <w:noProof/>
          <w:sz w:val="24"/>
        </w:rPr>
        <w:t xml:space="preserve">U predstojećoj </w:t>
      </w:r>
      <w:r>
        <w:rPr>
          <w:rFonts w:ascii="Times New Roman" w:hAnsi="Times New Roman"/>
          <w:b/>
          <w:noProof/>
          <w:sz w:val="24"/>
        </w:rPr>
        <w:t>komunikaciji Komisije o europskom prostoru obrazovanja</w:t>
      </w:r>
      <w:r>
        <w:rPr>
          <w:rFonts w:ascii="Times New Roman" w:hAnsi="Times New Roman"/>
          <w:noProof/>
          <w:sz w:val="24"/>
        </w:rPr>
        <w:t xml:space="preserve"> rodna ravnopravnost bit će istaknuta kao jedan od ključnih elemenata. Obnovljenim </w:t>
      </w:r>
      <w:r>
        <w:rPr>
          <w:rFonts w:ascii="Times New Roman" w:hAnsi="Times New Roman"/>
          <w:b/>
          <w:noProof/>
          <w:sz w:val="24"/>
        </w:rPr>
        <w:t>strateškim okvirom za rodnu ravnopravnost u sportu</w:t>
      </w:r>
      <w:r>
        <w:rPr>
          <w:rFonts w:ascii="Times New Roman" w:hAnsi="Times New Roman"/>
          <w:noProof/>
          <w:sz w:val="24"/>
        </w:rPr>
        <w:t xml:space="preserve"> promicat će se sudjelovanje žena i djevojčica u sportu i tjelesnim aktivnostima te rodna ravnoteža na čelnim položajima u sportskim organizacijama.</w:t>
      </w:r>
    </w:p>
    <w:p>
      <w:pPr>
        <w:rPr>
          <w:rFonts w:ascii="Times New Roman" w:hAnsi="Times New Roman" w:cs="Times New Roman"/>
          <w:b/>
          <w:i/>
          <w:noProof/>
          <w:sz w:val="28"/>
          <w:szCs w:val="24"/>
        </w:rPr>
      </w:pPr>
      <w:r>
        <w:rPr>
          <w:rFonts w:ascii="Times New Roman" w:hAnsi="Times New Roman"/>
          <w:b/>
          <w:i/>
          <w:noProof/>
          <w:sz w:val="24"/>
        </w:rPr>
        <w:t>Borba protiv razlika u plaći i mirovini na temelju spola</w:t>
      </w:r>
    </w:p>
    <w:p>
      <w:pPr>
        <w:spacing w:line="100" w:lineRule="atLeast"/>
        <w:jc w:val="both"/>
        <w:rPr>
          <w:rFonts w:ascii="Times New Roman" w:hAnsi="Times New Roman" w:cs="Times New Roman"/>
          <w:b/>
          <w:noProof/>
          <w:sz w:val="24"/>
          <w:szCs w:val="24"/>
        </w:rPr>
      </w:pPr>
      <w:r>
        <w:rPr>
          <w:rFonts w:ascii="Times New Roman" w:hAnsi="Times New Roman"/>
          <w:b/>
          <w:noProof/>
          <w:sz w:val="24"/>
        </w:rPr>
        <w:t>Načelo jednake plaće za jednak rad ili rad jednake vrijednosti sadržano je u Ugovorima od 1957. i preneseno u pravo EU-a.</w:t>
      </w:r>
      <w:r>
        <w:rPr>
          <w:rFonts w:ascii="Times New Roman" w:hAnsi="Times New Roman"/>
          <w:noProof/>
          <w:sz w:val="24"/>
        </w:rPr>
        <w:t xml:space="preserve"> Njime se osiguravaju pravna sredstva u slučaju diskriminacije</w:t>
      </w:r>
      <w:r>
        <w:rPr>
          <w:noProof/>
          <w:sz w:val="24"/>
        </w:rPr>
        <w:t xml:space="preserve">. </w:t>
      </w:r>
      <w:r>
        <w:rPr>
          <w:rFonts w:ascii="Times New Roman" w:hAnsi="Times New Roman"/>
          <w:noProof/>
          <w:sz w:val="24"/>
        </w:rPr>
        <w:t>Ipak, žene u prosjeku i dalje zarađuju manje od muškaraca</w:t>
      </w:r>
      <w:r>
        <w:rPr>
          <w:rStyle w:val="FootnoteReference"/>
          <w:rFonts w:ascii="Times New Roman" w:hAnsi="Times New Roman" w:cs="Times New Roman"/>
          <w:noProof/>
          <w:sz w:val="24"/>
        </w:rPr>
        <w:footnoteReference w:id="56"/>
      </w:r>
      <w:r>
        <w:rPr>
          <w:rFonts w:ascii="Times New Roman" w:hAnsi="Times New Roman"/>
          <w:noProof/>
          <w:sz w:val="24"/>
        </w:rPr>
        <w:t>. Razlike u zapošljavanju i plaći na temelju spola sveukupno tijekom života rezultiraju još većom razlikom u mirovini pa su u starijoj dobi žene u većoj opasnosti od siromaštva nego muškarci.</w:t>
      </w:r>
    </w:p>
    <w:p>
      <w:pPr>
        <w:spacing w:line="240" w:lineRule="auto"/>
        <w:jc w:val="both"/>
        <w:rPr>
          <w:rFonts w:ascii="Times New Roman" w:hAnsi="Times New Roman" w:cs="Times New Roman"/>
          <w:b/>
          <w:noProof/>
          <w:sz w:val="24"/>
          <w:szCs w:val="24"/>
        </w:rPr>
      </w:pPr>
      <w:r>
        <w:rPr>
          <w:rFonts w:ascii="Times New Roman" w:hAnsi="Times New Roman" w:cs="Times New Roman"/>
          <w:b/>
          <w:noProof/>
          <w:sz w:val="24"/>
          <w:szCs w:val="24"/>
          <w:lang w:val="en-GB" w:eastAsia="en-GB"/>
        </w:rPr>
        <w:drawing>
          <wp:inline distT="0" distB="0" distL="0" distR="0">
            <wp:extent cx="5759450" cy="1220470"/>
            <wp:effectExtent l="0" t="0" r="0" b="0"/>
            <wp:docPr id="15" name="Picture 15" descr="C:\Users\nardedo\AppData\Local\Temp\1\Temp1_JUST-2020-80008-03-00-HR-SRC-00 (2).ZIP\HR_pension-gender-g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nardedo\AppData\Local\Temp\1\Temp1_JUST-2020-80008-03-00-HR-SRC-00 (2).ZIP\HR_pension-gender-gap.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59450" cy="1220470"/>
                    </a:xfrm>
                    <a:prstGeom prst="rect">
                      <a:avLst/>
                    </a:prstGeom>
                    <a:noFill/>
                    <a:ln>
                      <a:noFill/>
                    </a:ln>
                  </pic:spPr>
                </pic:pic>
              </a:graphicData>
            </a:graphic>
          </wp:inline>
        </w:drawing>
      </w:r>
    </w:p>
    <w:p>
      <w:pPr>
        <w:spacing w:line="240" w:lineRule="auto"/>
        <w:jc w:val="both"/>
        <w:rPr>
          <w:rFonts w:ascii="Times New Roman" w:hAnsi="Times New Roman" w:cs="Times New Roman"/>
          <w:noProof/>
          <w:sz w:val="28"/>
          <w:szCs w:val="24"/>
        </w:rPr>
      </w:pPr>
      <w:r>
        <w:rPr>
          <w:rFonts w:ascii="Times New Roman" w:hAnsi="Times New Roman"/>
          <w:noProof/>
          <w:sz w:val="24"/>
        </w:rPr>
        <w:t xml:space="preserve">Za </w:t>
      </w:r>
      <w:r>
        <w:rPr>
          <w:rFonts w:ascii="Times New Roman" w:hAnsi="Times New Roman"/>
          <w:b/>
          <w:noProof/>
          <w:sz w:val="24"/>
        </w:rPr>
        <w:t xml:space="preserve">uklanjanje razlike u plaći na temelju spolova </w:t>
      </w:r>
      <w:r>
        <w:rPr>
          <w:rFonts w:ascii="Times New Roman" w:hAnsi="Times New Roman"/>
          <w:noProof/>
          <w:sz w:val="24"/>
        </w:rPr>
        <w:t>potrebno je rješavati sve njezine glavne uzroke, uključujući manje sudjelovanje žena na tržištu rada, njihov „nevidljiviˮ i neplaćeni rad, češći rad u nepunom radnom vremenu</w:t>
      </w:r>
      <w:r>
        <w:rPr>
          <w:rStyle w:val="FootnoteReference"/>
          <w:rFonts w:ascii="Times New Roman" w:hAnsi="Times New Roman" w:cs="Times New Roman"/>
          <w:noProof/>
          <w:sz w:val="24"/>
        </w:rPr>
        <w:footnoteReference w:id="57"/>
      </w:r>
      <w:r>
        <w:rPr>
          <w:rFonts w:ascii="Times New Roman" w:hAnsi="Times New Roman"/>
          <w:noProof/>
          <w:sz w:val="24"/>
        </w:rPr>
        <w:t xml:space="preserve"> i više prekida u karijeri, kao i vertikalnu i horizontalnu segregaciju na temelju rodnih stereotipa i diskriminacije. </w:t>
      </w:r>
    </w:p>
    <w:p>
      <w:pPr>
        <w:spacing w:line="240" w:lineRule="auto"/>
        <w:jc w:val="both"/>
        <w:rPr>
          <w:rFonts w:ascii="Times New Roman" w:hAnsi="Times New Roman" w:cs="Times New Roman"/>
          <w:noProof/>
          <w:sz w:val="28"/>
          <w:szCs w:val="24"/>
        </w:rPr>
      </w:pPr>
      <w:r>
        <w:rPr>
          <w:rFonts w:ascii="Times New Roman" w:hAnsi="Times New Roman"/>
          <w:noProof/>
          <w:sz w:val="24"/>
        </w:rPr>
        <w:t xml:space="preserve">Kad su dostupne informacije o razinama plaća, lakše je otkriti razlike i diskriminaciju. Zbog nedostatka transparentnosti mnoge žene ne znaju ili ne mogu dokazati da su potplaćene. Komisija će predložiti </w:t>
      </w:r>
      <w:r>
        <w:rPr>
          <w:rFonts w:ascii="Times New Roman" w:hAnsi="Times New Roman"/>
          <w:b/>
          <w:noProof/>
          <w:sz w:val="24"/>
        </w:rPr>
        <w:t>obvezujuće mjere za transparentnost plaća do kraja 2020.</w:t>
      </w:r>
    </w:p>
    <w:p>
      <w:pPr>
        <w:spacing w:line="240" w:lineRule="auto"/>
        <w:jc w:val="both"/>
        <w:rPr>
          <w:rFonts w:ascii="Times New Roman" w:hAnsi="Times New Roman" w:cs="Times New Roman"/>
          <w:noProof/>
          <w:sz w:val="24"/>
          <w:szCs w:val="24"/>
        </w:rPr>
      </w:pPr>
      <w:r>
        <w:rPr>
          <w:rFonts w:ascii="Times New Roman" w:hAnsi="Times New Roman"/>
          <w:noProof/>
          <w:sz w:val="24"/>
        </w:rPr>
        <w:t>Tom će se inicijativom ojačati prava zaposlenika da dobiju više informacija o razinama plaća, ali možda i povećati administrativno opterećenje za poslodavce. Kako bi se pronašla odgovarajuća ravnoteža za takvo djelovanje EU-a, vrlo je važno savjetovati se sa socijalnim partnerima i nacionalnim upravama i saslušati ih. Komisija je provela temeljitu evaluaciju postojećeg okvira za jednaku plaću za jednak rad ili rad jednake vrijednosti</w:t>
      </w:r>
      <w:r>
        <w:rPr>
          <w:rStyle w:val="FootnoteReference"/>
          <w:rFonts w:ascii="Times New Roman" w:hAnsi="Times New Roman" w:cs="Times New Roman"/>
          <w:noProof/>
          <w:sz w:val="24"/>
        </w:rPr>
        <w:footnoteReference w:id="58"/>
      </w:r>
      <w:r>
        <w:rPr>
          <w:rFonts w:ascii="Times New Roman" w:hAnsi="Times New Roman"/>
          <w:noProof/>
          <w:sz w:val="24"/>
        </w:rPr>
        <w:t xml:space="preserve">. Paralelno s donošenjem ove strategije Komisija pokreće </w:t>
      </w:r>
      <w:r>
        <w:rPr>
          <w:rFonts w:ascii="Times New Roman" w:hAnsi="Times New Roman"/>
          <w:b/>
          <w:noProof/>
          <w:sz w:val="24"/>
        </w:rPr>
        <w:t>opsežno i uključivo savjetovanje</w:t>
      </w:r>
      <w:r>
        <w:rPr>
          <w:rStyle w:val="FootnoteReference"/>
          <w:rFonts w:ascii="Times New Roman" w:hAnsi="Times New Roman" w:cs="Times New Roman"/>
          <w:noProof/>
          <w:sz w:val="24"/>
        </w:rPr>
        <w:footnoteReference w:id="59"/>
      </w:r>
      <w:r>
        <w:rPr>
          <w:rFonts w:ascii="Times New Roman" w:hAnsi="Times New Roman"/>
          <w:noProof/>
          <w:sz w:val="24"/>
        </w:rPr>
        <w:t xml:space="preserve"> s javnošću, državama članicama i socijalnim partnerima. U širem kontekstu,</w:t>
      </w:r>
      <w:r>
        <w:rPr>
          <w:noProof/>
          <w:sz w:val="24"/>
        </w:rPr>
        <w:t xml:space="preserve"> </w:t>
      </w:r>
      <w:r>
        <w:rPr>
          <w:rFonts w:ascii="Times New Roman" w:hAnsi="Times New Roman"/>
          <w:noProof/>
          <w:sz w:val="24"/>
        </w:rPr>
        <w:t xml:space="preserve">Komisija će ponovno pokrenuti raspravu sa </w:t>
      </w:r>
      <w:r>
        <w:rPr>
          <w:rFonts w:ascii="Times New Roman" w:hAnsi="Times New Roman"/>
          <w:b/>
          <w:noProof/>
          <w:sz w:val="24"/>
        </w:rPr>
        <w:t>socijalnim partnerima</w:t>
      </w:r>
      <w:r>
        <w:rPr>
          <w:rFonts w:ascii="Times New Roman" w:hAnsi="Times New Roman"/>
          <w:noProof/>
          <w:sz w:val="24"/>
        </w:rPr>
        <w:t xml:space="preserve"> o tome kako poboljšati rodnu ravnopravnost u svijetu rada, među ostalim u njihovim strukturama, te ih potaknuti da više rade na uklanjanju razlika u zapošljavanju i plaći na temelju spola.</w:t>
      </w:r>
    </w:p>
    <w:p>
      <w:pPr>
        <w:pStyle w:val="NormalWeb"/>
        <w:jc w:val="both"/>
        <w:rPr>
          <w:noProof/>
        </w:rPr>
      </w:pPr>
      <w:r>
        <w:rPr>
          <w:noProof/>
        </w:rPr>
        <w:t xml:space="preserve">Manja zarada, više rada u nepunom radnom vremenu i prekidi u karijeri povezani s obvezama skrbi u žena znatno doprinose </w:t>
      </w:r>
      <w:r>
        <w:rPr>
          <w:b/>
          <w:noProof/>
        </w:rPr>
        <w:t>razlici u mirovini na temelju spola</w:t>
      </w:r>
      <w:r>
        <w:rPr>
          <w:noProof/>
        </w:rPr>
        <w:t xml:space="preserve">. U izdanju </w:t>
      </w:r>
      <w:r>
        <w:rPr>
          <w:b/>
          <w:noProof/>
        </w:rPr>
        <w:t>Izvješća o primjerenosti mirovina</w:t>
      </w:r>
      <w:r>
        <w:rPr>
          <w:noProof/>
        </w:rPr>
        <w:t xml:space="preserve"> 2021. Komisija će zajedno s Odborom Vijeća za socijalnu zaštitu procijeniti kako se u mirovinskim sustavima rizici i resursi raspodjeljuju između žena i muškaraca. U cilju zaštite mirovinskih prava i poticanja ravnomjerne raspodjele obveza skrbi između žena i muškaraca Komisija će s državama članicama i dionicima istražiti rezerviranje </w:t>
      </w:r>
      <w:r>
        <w:rPr>
          <w:b/>
          <w:noProof/>
        </w:rPr>
        <w:t>mirovinskih bodova za prekide u karijeri povezane sa skrbi u strukovnim mirovinskim programima</w:t>
      </w:r>
      <w:r>
        <w:rPr>
          <w:noProof/>
        </w:rPr>
        <w:t>, kako je preporučila Skupina stručnjaka na visokoj razini za mirovine</w:t>
      </w:r>
      <w:r>
        <w:rPr>
          <w:rStyle w:val="FootnoteReference"/>
          <w:noProof/>
        </w:rPr>
        <w:footnoteReference w:id="60"/>
      </w:r>
      <w:r>
        <w:rPr>
          <w:noProof/>
        </w:rPr>
        <w:t>.</w:t>
      </w:r>
    </w:p>
    <w:p>
      <w:pPr>
        <w:spacing w:line="100" w:lineRule="atLeast"/>
        <w:jc w:val="both"/>
        <w:rPr>
          <w:rFonts w:ascii="Times New Roman" w:hAnsi="Times New Roman" w:cs="Times New Roman"/>
          <w:noProof/>
          <w:sz w:val="24"/>
          <w:szCs w:val="24"/>
        </w:rPr>
      </w:pPr>
      <w:r>
        <w:rPr>
          <w:rFonts w:ascii="Times New Roman" w:hAnsi="Times New Roman"/>
          <w:b/>
          <w:i/>
          <w:noProof/>
          <w:sz w:val="24"/>
        </w:rPr>
        <w:t>Ukidanje razlika na temelju spola u skrbi</w:t>
      </w:r>
    </w:p>
    <w:p>
      <w:pPr>
        <w:spacing w:line="240" w:lineRule="auto"/>
        <w:jc w:val="both"/>
        <w:rPr>
          <w:rFonts w:ascii="Times New Roman" w:hAnsi="Times New Roman" w:cs="Times New Roman"/>
          <w:noProof/>
          <w:sz w:val="28"/>
          <w:szCs w:val="24"/>
        </w:rPr>
      </w:pPr>
      <w:r>
        <w:rPr>
          <w:rFonts w:ascii="Times New Roman" w:hAnsi="Times New Roman"/>
          <w:b/>
          <w:noProof/>
          <w:sz w:val="24"/>
        </w:rPr>
        <w:t xml:space="preserve">Uspješan rad uz obveze skrbi kod kuće predstavlja izazov, posebno za žene. </w:t>
      </w:r>
      <w:r>
        <w:rPr>
          <w:rFonts w:ascii="Times New Roman" w:hAnsi="Times New Roman"/>
          <w:noProof/>
          <w:sz w:val="24"/>
        </w:rPr>
        <w:t>Žene često odlučuju o radu i načinu rada u skladu sa svojim obvezama skrbi i prema tome dijele li te obveze s partnerom te na koji način ih dijele. To je posebna poteškoća za samohrane roditelje, od kojih su većina žene</w:t>
      </w:r>
      <w:r>
        <w:rPr>
          <w:rStyle w:val="FootnoteReference"/>
          <w:rFonts w:ascii="Times New Roman" w:hAnsi="Times New Roman" w:cs="Times New Roman"/>
          <w:noProof/>
          <w:sz w:val="24"/>
        </w:rPr>
        <w:footnoteReference w:id="61"/>
      </w:r>
      <w:r>
        <w:rPr>
          <w:rFonts w:ascii="Times New Roman" w:hAnsi="Times New Roman"/>
          <w:noProof/>
          <w:sz w:val="24"/>
        </w:rPr>
        <w:t>, i za osobe koje žive u udaljenim ruralnim područjima, u kojima često nedostaju rješenja u smislu potpore. Žene također snose nerazmjeran teret neplaćenog rada, koji čini znatan dio gospodarske aktivnosti</w:t>
      </w:r>
      <w:r>
        <w:rPr>
          <w:rStyle w:val="FootnoteReference"/>
          <w:rFonts w:ascii="Times New Roman" w:hAnsi="Times New Roman" w:cs="Times New Roman"/>
          <w:noProof/>
          <w:sz w:val="24"/>
        </w:rPr>
        <w:footnoteReference w:id="62"/>
      </w:r>
      <w:r>
        <w:rPr>
          <w:rFonts w:ascii="Times New Roman" w:hAnsi="Times New Roman"/>
          <w:noProof/>
          <w:sz w:val="24"/>
        </w:rPr>
        <w:t xml:space="preserve">. </w:t>
      </w:r>
    </w:p>
    <w:p>
      <w:pPr>
        <w:spacing w:line="240" w:lineRule="auto"/>
        <w:jc w:val="both"/>
        <w:rPr>
          <w:rFonts w:ascii="Times New Roman" w:eastAsia="Times New Roman" w:hAnsi="Times New Roman" w:cs="Times New Roman"/>
          <w:noProof/>
          <w:sz w:val="24"/>
          <w:szCs w:val="24"/>
        </w:rPr>
      </w:pPr>
      <w:r>
        <w:rPr>
          <w:rFonts w:ascii="Times New Roman" w:hAnsi="Times New Roman"/>
          <w:b/>
          <w:noProof/>
          <w:sz w:val="24"/>
        </w:rPr>
        <w:t>Ravnomjerna raspodjela obveza skrbi u kućanstvu vrlo je važna, kao i dostupnost skrbi za djecu, socijalne skrbi i kućanskih usluga</w:t>
      </w:r>
      <w:r>
        <w:rPr>
          <w:rFonts w:ascii="Times New Roman" w:hAnsi="Times New Roman"/>
          <w:noProof/>
          <w:sz w:val="24"/>
        </w:rPr>
        <w:t>,</w:t>
      </w:r>
      <w:r>
        <w:rPr>
          <w:rFonts w:ascii="Times New Roman" w:hAnsi="Times New Roman"/>
          <w:b/>
          <w:noProof/>
          <w:sz w:val="24"/>
        </w:rPr>
        <w:t xml:space="preserve"> </w:t>
      </w:r>
      <w:r>
        <w:rPr>
          <w:rFonts w:ascii="Times New Roman" w:hAnsi="Times New Roman"/>
          <w:noProof/>
          <w:sz w:val="24"/>
        </w:rPr>
        <w:t>pogotovo za samohrane roditelje</w:t>
      </w:r>
      <w:r>
        <w:rPr>
          <w:rStyle w:val="FootnoteReference"/>
          <w:rFonts w:ascii="Times New Roman" w:hAnsi="Times New Roman" w:cs="Times New Roman"/>
          <w:noProof/>
          <w:sz w:val="24"/>
        </w:rPr>
        <w:footnoteReference w:id="63"/>
      </w:r>
      <w:r>
        <w:rPr>
          <w:rFonts w:ascii="Times New Roman" w:hAnsi="Times New Roman"/>
          <w:noProof/>
          <w:sz w:val="24"/>
        </w:rPr>
        <w:t>. Nedovoljan pristup kvalitetnim i cjenovno pristupačnim uslugama organizirane skrbi jedan je od glavnih pokretača rodne neravnopravnosti na tržištu rada</w:t>
      </w:r>
      <w:r>
        <w:rPr>
          <w:rStyle w:val="FootnoteReference"/>
          <w:rFonts w:ascii="Times New Roman" w:eastAsia="Times New Roman" w:hAnsi="Times New Roman" w:cs="Times New Roman"/>
          <w:noProof/>
          <w:sz w:val="24"/>
        </w:rPr>
        <w:footnoteReference w:id="64"/>
      </w:r>
      <w:r>
        <w:rPr>
          <w:rFonts w:ascii="Times New Roman" w:hAnsi="Times New Roman"/>
          <w:noProof/>
          <w:sz w:val="24"/>
        </w:rPr>
        <w:t>. Ulaganje u usluge skrbi stoga je važno za podupiranje sudjelovanja žena u plaćenom radu i njihova profesionalnog razvoja. Također može doprinijeti stvaranju radnih mjesta za žene i muškarce.</w:t>
      </w:r>
    </w:p>
    <w:p>
      <w:pPr>
        <w:spacing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lang w:val="en-GB" w:eastAsia="en-GB"/>
        </w:rPr>
        <w:drawing>
          <wp:inline distT="0" distB="0" distL="0" distR="0">
            <wp:extent cx="5759450" cy="1066800"/>
            <wp:effectExtent l="0" t="0" r="0" b="0"/>
            <wp:docPr id="16" name="Picture 16" descr="C:\Users\nardedo\AppData\Local\Temp\1\Temp1_JUST-2020-80008-03-00-HR-SRC-00 (2).ZIP\HR_gender-care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nardedo\AppData\Local\Temp\1\Temp1_JUST-2020-80008-03-00-HR-SRC-00 (2).ZIP\HR_gender-care_.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59450" cy="1066800"/>
                    </a:xfrm>
                    <a:prstGeom prst="rect">
                      <a:avLst/>
                    </a:prstGeom>
                    <a:noFill/>
                    <a:ln>
                      <a:noFill/>
                    </a:ln>
                  </pic:spPr>
                </pic:pic>
              </a:graphicData>
            </a:graphic>
          </wp:inline>
        </w:drawing>
      </w:r>
    </w:p>
    <w:p>
      <w:pPr>
        <w:spacing w:line="240" w:lineRule="auto"/>
        <w:jc w:val="both"/>
        <w:rPr>
          <w:rFonts w:ascii="Times New Roman" w:hAnsi="Times New Roman" w:cs="Times New Roman"/>
          <w:b/>
          <w:noProof/>
          <w:sz w:val="28"/>
          <w:szCs w:val="24"/>
        </w:rPr>
      </w:pPr>
      <w:r>
        <w:rPr>
          <w:rFonts w:ascii="Times New Roman" w:hAnsi="Times New Roman"/>
          <w:b/>
          <w:noProof/>
          <w:sz w:val="24"/>
        </w:rPr>
        <w:t>Ciljevi iz Barcelone</w:t>
      </w:r>
      <w:r>
        <w:rPr>
          <w:rStyle w:val="FootnoteReference"/>
          <w:rFonts w:ascii="Times New Roman" w:hAnsi="Times New Roman" w:cs="Times New Roman"/>
          <w:noProof/>
          <w:sz w:val="24"/>
        </w:rPr>
        <w:footnoteReference w:id="65"/>
      </w:r>
      <w:r>
        <w:rPr>
          <w:rFonts w:ascii="Times New Roman" w:hAnsi="Times New Roman"/>
          <w:noProof/>
          <w:sz w:val="24"/>
        </w:rPr>
        <w:t xml:space="preserve"> </w:t>
      </w:r>
      <w:r>
        <w:rPr>
          <w:rFonts w:ascii="Times New Roman" w:hAnsi="Times New Roman"/>
          <w:b/>
          <w:noProof/>
          <w:sz w:val="24"/>
        </w:rPr>
        <w:t>za pružanje usluga ranog i predškolskog odgoja i obrazovanja</w:t>
      </w:r>
      <w:r>
        <w:rPr>
          <w:rFonts w:ascii="Times New Roman" w:hAnsi="Times New Roman"/>
          <w:noProof/>
          <w:sz w:val="24"/>
        </w:rPr>
        <w:t xml:space="preserve"> </w:t>
      </w:r>
      <w:r>
        <w:rPr>
          <w:rFonts w:ascii="Times New Roman" w:hAnsi="Times New Roman"/>
          <w:b/>
          <w:noProof/>
          <w:sz w:val="24"/>
        </w:rPr>
        <w:t>djece</w:t>
      </w:r>
      <w:r>
        <w:rPr>
          <w:rFonts w:ascii="Times New Roman" w:hAnsi="Times New Roman"/>
          <w:noProof/>
          <w:sz w:val="24"/>
        </w:rPr>
        <w:t xml:space="preserve"> uglavnom su ispunjeni, ali neke države članice znatno zaostaju.</w:t>
      </w:r>
      <w:r>
        <w:rPr>
          <w:noProof/>
          <w:sz w:val="24"/>
        </w:rPr>
        <w:t xml:space="preserve"> </w:t>
      </w:r>
      <w:r>
        <w:rPr>
          <w:rFonts w:ascii="Times New Roman" w:hAnsi="Times New Roman"/>
          <w:noProof/>
          <w:sz w:val="24"/>
        </w:rPr>
        <w:t>Stoga će Komisija predložiti reviziju ciljeva iz Barcelone kako bi osigurala daljnju uzlaznu konvergenciju među državama članicama u pogledu ranog i predškolskog odgoja i obrazovanja.</w:t>
      </w:r>
      <w:r>
        <w:rPr>
          <w:noProof/>
          <w:sz w:val="24"/>
        </w:rPr>
        <w:t xml:space="preserve"> </w:t>
      </w:r>
      <w:r>
        <w:rPr>
          <w:rFonts w:ascii="Times New Roman" w:hAnsi="Times New Roman"/>
          <w:noProof/>
          <w:sz w:val="24"/>
        </w:rPr>
        <w:t xml:space="preserve">Nadalje, prijedlog Komisije o </w:t>
      </w:r>
      <w:r>
        <w:rPr>
          <w:rFonts w:ascii="Times New Roman" w:hAnsi="Times New Roman"/>
          <w:b/>
          <w:noProof/>
          <w:sz w:val="24"/>
        </w:rPr>
        <w:t>jamstvu za djecu</w:t>
      </w:r>
      <w:r>
        <w:rPr>
          <w:rFonts w:ascii="Times New Roman" w:hAnsi="Times New Roman"/>
          <w:noProof/>
          <w:sz w:val="24"/>
        </w:rPr>
        <w:t xml:space="preserve"> 2021. bit će usmjeren na uklanjanje najvećih prepreka zbog kojih djeca ne mogu pristupiti uslugama potrebnima za njihovu dobrobit i osobni razvoj kako bi se prekinuo ciklus siromaštva i smanjile nejednakosti.</w:t>
      </w:r>
    </w:p>
    <w:p>
      <w:pPr>
        <w:spacing w:line="240" w:lineRule="auto"/>
        <w:jc w:val="both"/>
        <w:rPr>
          <w:rFonts w:ascii="Times New Roman" w:hAnsi="Times New Roman" w:cs="Times New Roman"/>
          <w:noProof/>
          <w:sz w:val="28"/>
          <w:szCs w:val="24"/>
        </w:rPr>
      </w:pPr>
      <w:r>
        <w:rPr>
          <w:rFonts w:ascii="Times New Roman" w:hAnsi="Times New Roman"/>
          <w:noProof/>
          <w:sz w:val="24"/>
        </w:rPr>
        <w:t xml:space="preserve">Komisija će i dalje podupirati </w:t>
      </w:r>
      <w:r>
        <w:rPr>
          <w:rFonts w:ascii="Times New Roman" w:hAnsi="Times New Roman"/>
          <w:b/>
          <w:noProof/>
          <w:sz w:val="24"/>
        </w:rPr>
        <w:t>rad država članica na poboljšanju dostupnosti i cjenovne pristupačnosti kvalitetnih usluga skrbi</w:t>
      </w:r>
      <w:r>
        <w:rPr>
          <w:rFonts w:ascii="Times New Roman" w:hAnsi="Times New Roman"/>
          <w:noProof/>
          <w:sz w:val="24"/>
        </w:rPr>
        <w:t xml:space="preserve"> za djecu i druge uzdržavane osobe ulaganjima iz Europskog socijalnog fonda plus, Europskog fonda za regionalni razvoj, programa InvestEU i Europskog poljoprivrednog fonda za ruralni razvoj.</w:t>
      </w:r>
    </w:p>
    <w:p>
      <w:pPr>
        <w:spacing w:line="240" w:lineRule="auto"/>
        <w:jc w:val="both"/>
        <w:rPr>
          <w:rFonts w:ascii="Times New Roman" w:hAnsi="Times New Roman" w:cs="Times New Roman"/>
          <w:noProof/>
          <w:sz w:val="28"/>
          <w:szCs w:val="24"/>
        </w:rPr>
      </w:pPr>
      <w:r>
        <w:rPr>
          <w:rFonts w:ascii="Times New Roman" w:hAnsi="Times New Roman"/>
          <w:noProof/>
          <w:sz w:val="24"/>
        </w:rPr>
        <w:t xml:space="preserve">Krajem 2020. Komisija će pokrenuti postupak savjetovanja o </w:t>
      </w:r>
      <w:r>
        <w:rPr>
          <w:rFonts w:ascii="Times New Roman" w:hAnsi="Times New Roman"/>
          <w:b/>
          <w:noProof/>
          <w:sz w:val="24"/>
        </w:rPr>
        <w:t>zelenoj knjizi o starenju</w:t>
      </w:r>
      <w:r>
        <w:rPr>
          <w:rFonts w:ascii="Times New Roman" w:hAnsi="Times New Roman"/>
          <w:noProof/>
          <w:sz w:val="24"/>
        </w:rPr>
        <w:t xml:space="preserve"> s naglaskom na dugoročnoj skrbi, mirovinama i aktivnom starenju.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2"/>
      </w:tblGrid>
      <w:tr>
        <w:tc>
          <w:tcPr>
            <w:tcW w:w="9212" w:type="dxa"/>
          </w:tcPr>
          <w:p>
            <w:pPr>
              <w:spacing w:before="120" w:line="100" w:lineRule="atLeast"/>
              <w:jc w:val="both"/>
              <w:rPr>
                <w:rFonts w:ascii="Times New Roman" w:hAnsi="Times New Roman" w:cs="Times New Roman"/>
                <w:b/>
                <w:noProof/>
                <w:sz w:val="28"/>
                <w:szCs w:val="24"/>
              </w:rPr>
            </w:pPr>
            <w:r>
              <w:rPr>
                <w:rFonts w:ascii="Times New Roman" w:hAnsi="Times New Roman"/>
                <w:b/>
                <w:noProof/>
                <w:sz w:val="24"/>
              </w:rPr>
              <w:t>Uz navedene mjere Komisije, Komisija poziva države članice da:</w:t>
            </w:r>
          </w:p>
          <w:p>
            <w:pPr>
              <w:pStyle w:val="ListParagraph"/>
              <w:numPr>
                <w:ilvl w:val="0"/>
                <w:numId w:val="54"/>
              </w:numPr>
              <w:spacing w:after="120"/>
              <w:jc w:val="both"/>
              <w:rPr>
                <w:rFonts w:ascii="Times New Roman" w:hAnsi="Times New Roman" w:cs="Times New Roman"/>
                <w:noProof/>
                <w:sz w:val="28"/>
                <w:szCs w:val="24"/>
              </w:rPr>
            </w:pPr>
            <w:r>
              <w:rPr>
                <w:rFonts w:ascii="Times New Roman" w:hAnsi="Times New Roman"/>
                <w:noProof/>
                <w:sz w:val="24"/>
              </w:rPr>
              <w:t>prenesu Direktivu o ravnoteži između poslovnog i privatnog života te pravilno provode zakonodavstvo EU-a o rodnoj ravnopravnosti i radu</w:t>
            </w:r>
            <w:r>
              <w:rPr>
                <w:rStyle w:val="FootnoteReference"/>
                <w:rFonts w:ascii="Times New Roman" w:hAnsi="Times New Roman" w:cs="Times New Roman"/>
                <w:noProof/>
                <w:sz w:val="24"/>
              </w:rPr>
              <w:footnoteReference w:id="66"/>
            </w:r>
            <w:r>
              <w:rPr>
                <w:rFonts w:ascii="Times New Roman" w:hAnsi="Times New Roman"/>
                <w:noProof/>
                <w:sz w:val="24"/>
              </w:rPr>
              <w:t>,</w:t>
            </w:r>
          </w:p>
          <w:p>
            <w:pPr>
              <w:pStyle w:val="ListParagraph"/>
              <w:numPr>
                <w:ilvl w:val="0"/>
                <w:numId w:val="54"/>
              </w:numPr>
              <w:spacing w:after="120"/>
              <w:jc w:val="both"/>
              <w:rPr>
                <w:i/>
                <w:noProof/>
                <w:sz w:val="24"/>
              </w:rPr>
            </w:pPr>
            <w:r>
              <w:rPr>
                <w:rFonts w:ascii="Times New Roman" w:hAnsi="Times New Roman"/>
                <w:noProof/>
                <w:sz w:val="24"/>
              </w:rPr>
              <w:t xml:space="preserve">djeluju u skladu sa zaključcima Vijeća iz lipnja 2019. </w:t>
            </w:r>
            <w:r>
              <w:rPr>
                <w:rFonts w:ascii="Times New Roman" w:hAnsi="Times New Roman"/>
                <w:bCs/>
                <w:noProof/>
                <w:sz w:val="24"/>
              </w:rPr>
              <w:t>„Uklanjanje rodnih razlika u plaćama: ključne politike i mjere”</w:t>
            </w:r>
            <w:r>
              <w:rPr>
                <w:rFonts w:ascii="Times New Roman" w:hAnsi="Times New Roman"/>
                <w:noProof/>
                <w:sz w:val="24"/>
              </w:rPr>
              <w:t>,</w:t>
            </w:r>
          </w:p>
          <w:p>
            <w:pPr>
              <w:pStyle w:val="ListParagraph"/>
              <w:numPr>
                <w:ilvl w:val="0"/>
                <w:numId w:val="54"/>
              </w:numPr>
              <w:spacing w:after="120"/>
              <w:jc w:val="both"/>
              <w:rPr>
                <w:i/>
                <w:noProof/>
                <w:sz w:val="24"/>
              </w:rPr>
            </w:pPr>
            <w:r>
              <w:rPr>
                <w:rFonts w:ascii="Times New Roman" w:hAnsi="Times New Roman"/>
                <w:noProof/>
                <w:sz w:val="24"/>
              </w:rPr>
              <w:t xml:space="preserve">osiguraju primjerena ulaganja u rani odgoj i obrazovanje, usluge skrbi i usluge dugotrajne skrbi, među ostalim iz dostupnih sredstava EU-a, i </w:t>
            </w:r>
          </w:p>
          <w:p>
            <w:pPr>
              <w:pStyle w:val="ListParagraph"/>
              <w:numPr>
                <w:ilvl w:val="0"/>
                <w:numId w:val="54"/>
              </w:numPr>
              <w:spacing w:after="120"/>
              <w:jc w:val="both"/>
              <w:rPr>
                <w:rFonts w:ascii="Times New Roman" w:hAnsi="Times New Roman" w:cs="Times New Roman"/>
                <w:noProof/>
                <w:sz w:val="28"/>
                <w:szCs w:val="24"/>
              </w:rPr>
            </w:pPr>
            <w:r>
              <w:rPr>
                <w:rFonts w:ascii="Times New Roman" w:hAnsi="Times New Roman"/>
                <w:noProof/>
                <w:sz w:val="24"/>
              </w:rPr>
              <w:t>provedu ministarsku Izjavu o preuzimanju obveze u pogledu „žena u digitalnom dobu”.</w:t>
            </w:r>
          </w:p>
          <w:p>
            <w:pPr>
              <w:pStyle w:val="ListParagraph"/>
              <w:spacing w:after="120"/>
              <w:jc w:val="both"/>
              <w:rPr>
                <w:rFonts w:ascii="Times New Roman" w:hAnsi="Times New Roman" w:cs="Times New Roman"/>
                <w:noProof/>
                <w:sz w:val="28"/>
                <w:szCs w:val="24"/>
              </w:rPr>
            </w:pPr>
          </w:p>
        </w:tc>
      </w:tr>
    </w:tbl>
    <w:p>
      <w:pPr>
        <w:spacing w:line="100" w:lineRule="atLeast"/>
        <w:jc w:val="both"/>
        <w:rPr>
          <w:rFonts w:ascii="Times New Roman" w:hAnsi="Times New Roman" w:cs="Times New Roman"/>
          <w:b/>
          <w:bCs/>
          <w:noProof/>
          <w:sz w:val="28"/>
          <w:szCs w:val="28"/>
        </w:rPr>
      </w:pPr>
      <w:r>
        <w:rPr>
          <w:rFonts w:ascii="Times New Roman" w:hAnsi="Times New Roman"/>
          <w:b/>
          <w:bCs/>
          <w:noProof/>
          <w:sz w:val="28"/>
          <w:szCs w:val="28"/>
        </w:rPr>
        <w:t xml:space="preserve">3. </w:t>
      </w:r>
      <w:r>
        <w:rPr>
          <w:rFonts w:ascii="Times New Roman" w:hAnsi="Times New Roman"/>
          <w:b/>
          <w:bCs/>
          <w:noProof/>
          <w:sz w:val="28"/>
          <w:szCs w:val="28"/>
        </w:rPr>
        <w:tab/>
        <w:t>Ravnopravnost u vodećim položajima u svim područjima društva</w:t>
      </w:r>
    </w:p>
    <w:p>
      <w:pPr>
        <w:spacing w:line="100" w:lineRule="atLeast"/>
        <w:jc w:val="both"/>
        <w:rPr>
          <w:rFonts w:ascii="Times New Roman" w:hAnsi="Times New Roman" w:cs="Times New Roman"/>
          <w:noProof/>
          <w:sz w:val="28"/>
          <w:szCs w:val="24"/>
        </w:rPr>
      </w:pPr>
      <w:r>
        <w:rPr>
          <w:rFonts w:ascii="Times New Roman" w:hAnsi="Times New Roman"/>
          <w:i/>
          <w:noProof/>
          <w:sz w:val="24"/>
        </w:rPr>
        <w:t xml:space="preserve">Trgovačka društva, zajednice i zemlje trebali bi voditi i žene i muškarci, u svoj svojoj raznolikosti. Činjenica da je osoba žena ili muškarac ne bi trebala utjecati na karijeru. </w:t>
      </w:r>
    </w:p>
    <w:p>
      <w:pPr>
        <w:spacing w:line="100" w:lineRule="atLeast"/>
        <w:jc w:val="both"/>
        <w:rPr>
          <w:rFonts w:ascii="Times New Roman" w:hAnsi="Times New Roman" w:cs="Times New Roman"/>
          <w:b/>
          <w:i/>
          <w:noProof/>
          <w:sz w:val="28"/>
          <w:szCs w:val="24"/>
        </w:rPr>
      </w:pPr>
      <w:r>
        <w:rPr>
          <w:rFonts w:ascii="Times New Roman" w:hAnsi="Times New Roman"/>
          <w:b/>
          <w:i/>
          <w:noProof/>
          <w:sz w:val="24"/>
        </w:rPr>
        <w:t>Postizanje rodne ravnoteže u donošenju odluka i politici</w:t>
      </w:r>
    </w:p>
    <w:p>
      <w:pPr>
        <w:spacing w:line="100" w:lineRule="atLeast"/>
        <w:jc w:val="both"/>
        <w:rPr>
          <w:rFonts w:ascii="Times New Roman" w:hAnsi="Times New Roman" w:cs="Times New Roman"/>
          <w:b/>
          <w:noProof/>
          <w:sz w:val="28"/>
          <w:szCs w:val="24"/>
        </w:rPr>
      </w:pPr>
      <w:r>
        <w:rPr>
          <w:rFonts w:ascii="Times New Roman" w:hAnsi="Times New Roman"/>
          <w:noProof/>
          <w:sz w:val="24"/>
        </w:rPr>
        <w:t>Broj žena na vodećim položajima i dalje je premalen, bilo to u politici, vladinim agencijama, na najvišim sudovima ili u upravnim odborima trgovačkih društava, i to čak i u slučajevima kad na nižim razinama postoji rodna ravnopravnost. Ako su na vodećim položajima tijekom duljeg razdoblja isključivo muškarci, to oblikuje obrazac zapošljavanja nasljednika, ponekad samo zbog nesvjesne pristranosti.</w:t>
      </w:r>
    </w:p>
    <w:p>
      <w:pPr>
        <w:spacing w:line="100" w:lineRule="atLeast"/>
        <w:jc w:val="both"/>
        <w:rPr>
          <w:rFonts w:ascii="Times New Roman" w:hAnsi="Times New Roman" w:cs="Times New Roman"/>
          <w:noProof/>
          <w:sz w:val="24"/>
          <w:szCs w:val="24"/>
        </w:rPr>
      </w:pPr>
      <w:r>
        <w:rPr>
          <w:rFonts w:ascii="Times New Roman" w:hAnsi="Times New Roman"/>
          <w:noProof/>
          <w:sz w:val="24"/>
        </w:rPr>
        <w:t xml:space="preserve">Zastupljenost i žena i muškaraca presudna je za uspješno vodstvo. </w:t>
      </w:r>
      <w:r>
        <w:rPr>
          <w:rFonts w:ascii="Times New Roman" w:hAnsi="Times New Roman"/>
          <w:b/>
          <w:noProof/>
          <w:sz w:val="24"/>
        </w:rPr>
        <w:t>Za rješavanje složenih situacija s kojima se donositelji odluka danas suočavaju potrebno je uključivo i raznoliko vodstvo</w:t>
      </w:r>
      <w:r>
        <w:rPr>
          <w:rFonts w:ascii="Times New Roman" w:hAnsi="Times New Roman"/>
          <w:noProof/>
          <w:sz w:val="24"/>
        </w:rPr>
        <w:t>. Više uključivanja i više raznolikosti ključno je za predlaganje novih ideja i inovativnih pristupa koji pogoduju dinamičnom i uspješnom društvu EU-a. Omogućivanje građanima iz svih sredina da smisleno sudjeluju u društvu nužan je preduvjet za funkcionalnu demokraciju i vodi djelotvornijem oblikovanju politika</w:t>
      </w:r>
      <w:r>
        <w:rPr>
          <w:rStyle w:val="FootnoteReference"/>
          <w:rFonts w:ascii="Times New Roman" w:hAnsi="Times New Roman" w:cs="Times New Roman"/>
          <w:noProof/>
          <w:sz w:val="24"/>
        </w:rPr>
        <w:footnoteReference w:id="67"/>
      </w:r>
      <w:r>
        <w:rPr>
          <w:rFonts w:ascii="Times New Roman" w:hAnsi="Times New Roman"/>
          <w:noProof/>
          <w:sz w:val="24"/>
        </w:rPr>
        <w:t>.</w:t>
      </w:r>
    </w:p>
    <w:p>
      <w:pPr>
        <w:spacing w:line="100" w:lineRule="atLeast"/>
        <w:jc w:val="both"/>
        <w:rPr>
          <w:rFonts w:ascii="Times New Roman" w:hAnsi="Times New Roman" w:cs="Times New Roman"/>
          <w:b/>
          <w:noProof/>
          <w:sz w:val="24"/>
          <w:szCs w:val="24"/>
        </w:rPr>
      </w:pPr>
      <w:r>
        <w:rPr>
          <w:rFonts w:ascii="Times New Roman" w:hAnsi="Times New Roman" w:cs="Times New Roman"/>
          <w:b/>
          <w:noProof/>
          <w:sz w:val="24"/>
          <w:szCs w:val="24"/>
          <w:lang w:val="en-GB" w:eastAsia="en-GB"/>
        </w:rPr>
        <w:drawing>
          <wp:inline distT="0" distB="0" distL="0" distR="0">
            <wp:extent cx="5759450" cy="856615"/>
            <wp:effectExtent l="0" t="0" r="0" b="635"/>
            <wp:docPr id="17" name="Picture 17" descr="C:\Users\nardedo\AppData\Local\Temp\1\Temp1_JUST-2020-80008-03-00-HR-SRC-00 (2).ZIP\HR_gender-balance-politic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nardedo\AppData\Local\Temp\1\Temp1_JUST-2020-80008-03-00-HR-SRC-00 (2).ZIP\HR_gender-balance-politics.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59450" cy="856615"/>
                    </a:xfrm>
                    <a:prstGeom prst="rect">
                      <a:avLst/>
                    </a:prstGeom>
                    <a:noFill/>
                    <a:ln>
                      <a:noFill/>
                    </a:ln>
                  </pic:spPr>
                </pic:pic>
              </a:graphicData>
            </a:graphic>
          </wp:inline>
        </w:drawing>
      </w:r>
    </w:p>
    <w:p>
      <w:pPr>
        <w:spacing w:line="100" w:lineRule="atLeast"/>
        <w:jc w:val="both"/>
        <w:rPr>
          <w:rFonts w:ascii="Times New Roman" w:hAnsi="Times New Roman" w:cs="Times New Roman"/>
          <w:noProof/>
          <w:sz w:val="28"/>
          <w:szCs w:val="24"/>
        </w:rPr>
      </w:pPr>
      <w:r>
        <w:rPr>
          <w:rFonts w:ascii="Times New Roman" w:hAnsi="Times New Roman"/>
          <w:b/>
          <w:noProof/>
          <w:sz w:val="24"/>
        </w:rPr>
        <w:t>Široka paleta talenata i vještina doprinosi boljem donošenju odluka i korporativnom upravljanju te potiče gospodarski rast</w:t>
      </w:r>
      <w:r>
        <w:rPr>
          <w:rFonts w:ascii="Times New Roman" w:hAnsi="Times New Roman" w:cs="Times New Roman"/>
          <w:noProof/>
          <w:sz w:val="24"/>
          <w:vertAlign w:val="superscript"/>
        </w:rPr>
        <w:footnoteReference w:id="68"/>
      </w:r>
      <w:r>
        <w:rPr>
          <w:rFonts w:ascii="Times New Roman" w:hAnsi="Times New Roman"/>
          <w:b/>
          <w:noProof/>
          <w:sz w:val="24"/>
        </w:rPr>
        <w:t>.</w:t>
      </w:r>
      <w:r>
        <w:rPr>
          <w:noProof/>
          <w:sz w:val="24"/>
        </w:rPr>
        <w:t xml:space="preserve"> </w:t>
      </w:r>
      <w:r>
        <w:rPr>
          <w:rFonts w:ascii="Times New Roman" w:hAnsi="Times New Roman"/>
          <w:noProof/>
          <w:sz w:val="24"/>
        </w:rPr>
        <w:t>Unatoč određenom napretku posljednjih godina u europskim su poduzećima i industriji žene i dalje slabije zastupljene na položajima na kojima se donose odluke</w:t>
      </w:r>
      <w:r>
        <w:rPr>
          <w:rStyle w:val="FootnoteReference"/>
          <w:rFonts w:ascii="Times New Roman" w:hAnsi="Times New Roman" w:cs="Times New Roman"/>
          <w:noProof/>
          <w:sz w:val="24"/>
        </w:rPr>
        <w:footnoteReference w:id="69"/>
      </w:r>
      <w:r>
        <w:rPr>
          <w:rFonts w:ascii="Times New Roman" w:hAnsi="Times New Roman"/>
          <w:noProof/>
          <w:sz w:val="24"/>
        </w:rPr>
        <w:t xml:space="preserve">. </w:t>
      </w:r>
    </w:p>
    <w:p>
      <w:pPr>
        <w:spacing w:line="100" w:lineRule="atLeast"/>
        <w:jc w:val="both"/>
        <w:rPr>
          <w:rFonts w:ascii="Times New Roman" w:hAnsi="Times New Roman" w:cs="Times New Roman"/>
          <w:noProof/>
          <w:sz w:val="28"/>
          <w:szCs w:val="24"/>
        </w:rPr>
      </w:pPr>
      <w:r>
        <w:rPr>
          <w:rFonts w:ascii="Times New Roman" w:hAnsi="Times New Roman"/>
          <w:noProof/>
          <w:sz w:val="24"/>
        </w:rPr>
        <w:t xml:space="preserve">Kako bi doprinijela razbijanju nevidljive barijere, Komisija će se zalagati za donošenje Prijedloga </w:t>
      </w:r>
      <w:r>
        <w:rPr>
          <w:rFonts w:ascii="Times New Roman" w:hAnsi="Times New Roman"/>
          <w:b/>
          <w:noProof/>
          <w:sz w:val="24"/>
        </w:rPr>
        <w:t>direktive o poboljšanju rodne ravnoteže u upravnim odborima društava</w:t>
      </w:r>
      <w:r>
        <w:rPr>
          <w:rStyle w:val="FootnoteReference"/>
          <w:rFonts w:ascii="Times New Roman" w:hAnsi="Times New Roman" w:cs="Times New Roman"/>
          <w:noProof/>
          <w:sz w:val="24"/>
        </w:rPr>
        <w:footnoteReference w:id="70"/>
      </w:r>
      <w:r>
        <w:rPr>
          <w:rFonts w:ascii="Times New Roman" w:hAnsi="Times New Roman"/>
          <w:noProof/>
          <w:sz w:val="24"/>
        </w:rPr>
        <w:t xml:space="preserve"> iz 2012., u kojem je utvrđen cilj od najmanje 40 % pripadnika manje zastupljenog spola među neizvršnim članovima upravnih odbora društava</w:t>
      </w:r>
      <w:r>
        <w:rPr>
          <w:rStyle w:val="FootnoteReference"/>
          <w:rFonts w:ascii="Times New Roman" w:hAnsi="Times New Roman" w:cs="Times New Roman"/>
          <w:noProof/>
          <w:sz w:val="24"/>
        </w:rPr>
        <w:footnoteReference w:id="71"/>
      </w:r>
      <w:r>
        <w:rPr>
          <w:rFonts w:ascii="Times New Roman" w:hAnsi="Times New Roman"/>
          <w:noProof/>
          <w:sz w:val="24"/>
        </w:rPr>
        <w:t>.</w:t>
      </w:r>
    </w:p>
    <w:p>
      <w:pPr>
        <w:spacing w:line="100" w:lineRule="atLeast"/>
        <w:jc w:val="both"/>
        <w:rPr>
          <w:rFonts w:ascii="Times New Roman" w:hAnsi="Times New Roman" w:cs="Times New Roman"/>
          <w:noProof/>
          <w:szCs w:val="20"/>
        </w:rPr>
      </w:pPr>
      <w:r>
        <w:rPr>
          <w:rFonts w:ascii="Times New Roman" w:hAnsi="Times New Roman"/>
          <w:noProof/>
          <w:sz w:val="24"/>
        </w:rPr>
        <w:t xml:space="preserve">Istodobno će Komisija olakšati razmjenu dobrih praksa usmjerenih na postizanje rodne ravnoteže u izvršnim odborima i na rukovodećim položajima dajući primjere nacionalnih ili regionalnih projekata koje vode vlade, civilno društvo ili privatni sektor. </w:t>
      </w:r>
      <w:r>
        <w:rPr>
          <w:rFonts w:ascii="Times New Roman" w:hAnsi="Times New Roman"/>
          <w:b/>
          <w:noProof/>
          <w:sz w:val="24"/>
        </w:rPr>
        <w:t>Platforma EU-a za povelje o raznolikosti</w:t>
      </w:r>
      <w:r>
        <w:rPr>
          <w:rFonts w:ascii="Times New Roman" w:hAnsi="Times New Roman" w:cs="Times New Roman"/>
          <w:noProof/>
          <w:szCs w:val="20"/>
          <w:vertAlign w:val="superscript"/>
        </w:rPr>
        <w:footnoteReference w:id="72"/>
      </w:r>
      <w:r>
        <w:rPr>
          <w:rFonts w:ascii="Times New Roman" w:hAnsi="Times New Roman"/>
          <w:noProof/>
          <w:sz w:val="24"/>
        </w:rPr>
        <w:t xml:space="preserve"> služit će kao platforma za razmjenu. Komisija će i dalje surađivati u projektima na razini cijelog EU-a, kao što je europski indeks rodne raznolikosti</w:t>
      </w:r>
      <w:r>
        <w:rPr>
          <w:rStyle w:val="FootnoteReference"/>
          <w:rFonts w:ascii="Times New Roman" w:hAnsi="Times New Roman" w:cs="Times New Roman"/>
          <w:noProof/>
          <w:sz w:val="24"/>
        </w:rPr>
        <w:footnoteReference w:id="73"/>
      </w:r>
      <w:r>
        <w:rPr>
          <w:rFonts w:ascii="Times New Roman" w:hAnsi="Times New Roman"/>
          <w:noProof/>
          <w:sz w:val="24"/>
        </w:rPr>
        <w:t xml:space="preserve">. </w:t>
      </w:r>
    </w:p>
    <w:p>
      <w:pPr>
        <w:spacing w:line="100" w:lineRule="atLeast"/>
        <w:jc w:val="both"/>
        <w:rPr>
          <w:rFonts w:ascii="Times New Roman" w:hAnsi="Times New Roman" w:cs="Times New Roman"/>
          <w:noProof/>
          <w:sz w:val="24"/>
          <w:szCs w:val="24"/>
        </w:rPr>
      </w:pPr>
      <w:r>
        <w:rPr>
          <w:rFonts w:ascii="Times New Roman" w:hAnsi="Times New Roman"/>
          <w:b/>
          <w:noProof/>
          <w:sz w:val="24"/>
        </w:rPr>
        <w:t>Jednake mogućnosti sudjelovanja ključne su za predstavničku demokraciju na svim razinama – europskoj, nacionalnoj, regionalnoj i lokalnoj.</w:t>
      </w:r>
      <w:r>
        <w:rPr>
          <w:rFonts w:ascii="Times New Roman" w:hAnsi="Times New Roman"/>
          <w:noProof/>
          <w:sz w:val="24"/>
        </w:rPr>
        <w:t xml:space="preserve"> Komisija će, u suradnji s Europskim parlamentom, nacionalnim parlamentima, državama članicama i civilnim društvom, promicati sudjelovanje žena u svojstvu glasača i kandidata na </w:t>
      </w:r>
      <w:r>
        <w:rPr>
          <w:rFonts w:ascii="Times New Roman" w:hAnsi="Times New Roman"/>
          <w:b/>
          <w:noProof/>
          <w:sz w:val="24"/>
        </w:rPr>
        <w:t>izborima za Europski parlament 2024.</w:t>
      </w:r>
      <w:r>
        <w:rPr>
          <w:rFonts w:ascii="Times New Roman" w:hAnsi="Times New Roman"/>
          <w:noProof/>
          <w:sz w:val="24"/>
        </w:rPr>
        <w:t>, među ostalim financiranjem i promicanjem najboljih praksi. Europske političke stranke koje traže financiranje EU-a poziva se da budu transparentne u pogledu rodne ravnoteže među svojim članstvom</w:t>
      </w:r>
      <w:r>
        <w:rPr>
          <w:rStyle w:val="FootnoteReference"/>
          <w:rFonts w:ascii="Times New Roman" w:hAnsi="Times New Roman" w:cs="Times New Roman"/>
          <w:noProof/>
          <w:sz w:val="24"/>
        </w:rPr>
        <w:footnoteReference w:id="74"/>
      </w:r>
      <w:r>
        <w:rPr>
          <w:rFonts w:ascii="Times New Roman" w:hAnsi="Times New Roman"/>
          <w:noProof/>
          <w:sz w:val="24"/>
        </w:rPr>
        <w:t>.</w:t>
      </w:r>
      <w:r>
        <w:rPr>
          <w:rFonts w:ascii="Times New Roman" w:hAnsi="Times New Roman"/>
          <w:noProof/>
        </w:rPr>
        <w:t xml:space="preserve"> </w:t>
      </w:r>
    </w:p>
    <w:p>
      <w:pPr>
        <w:spacing w:after="0" w:line="240" w:lineRule="auto"/>
        <w:jc w:val="both"/>
        <w:rPr>
          <w:rFonts w:ascii="Times New Roman" w:hAnsi="Times New Roman" w:cs="Times New Roman"/>
          <w:b/>
          <w:noProof/>
          <w:sz w:val="24"/>
          <w:szCs w:val="24"/>
        </w:rPr>
      </w:pPr>
      <w:r>
        <w:rPr>
          <w:rFonts w:ascii="Times New Roman" w:hAnsi="Times New Roman" w:cs="Times New Roman"/>
          <w:b/>
          <w:noProof/>
          <w:sz w:val="24"/>
          <w:szCs w:val="24"/>
          <w:lang w:val="en-GB" w:eastAsia="en-GB"/>
        </w:rPr>
        <w:drawing>
          <wp:inline distT="0" distB="0" distL="0" distR="0">
            <wp:extent cx="5759450" cy="951230"/>
            <wp:effectExtent l="0" t="0" r="0" b="1270"/>
            <wp:docPr id="18" name="Picture 18" descr="C:\Users\nardedo\AppData\Local\Temp\1\Temp1_JUST-2020-80008-03-00-HR-SRC-00 (2).ZIP\HR_commission-me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nardedo\AppData\Local\Temp\1\Temp1_JUST-2020-80008-03-00-HR-SRC-00 (2).ZIP\HR_commission-mep.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59450" cy="951230"/>
                    </a:xfrm>
                    <a:prstGeom prst="rect">
                      <a:avLst/>
                    </a:prstGeom>
                    <a:noFill/>
                    <a:ln>
                      <a:noFill/>
                    </a:ln>
                  </pic:spPr>
                </pic:pic>
              </a:graphicData>
            </a:graphic>
          </wp:inline>
        </w:drawing>
      </w:r>
    </w:p>
    <w:p>
      <w:pPr>
        <w:spacing w:after="0" w:line="240" w:lineRule="auto"/>
        <w:jc w:val="both"/>
        <w:rPr>
          <w:rFonts w:ascii="Times New Roman" w:hAnsi="Times New Roman" w:cs="Times New Roman"/>
          <w:b/>
          <w:noProof/>
          <w:sz w:val="24"/>
          <w:szCs w:val="24"/>
        </w:rPr>
      </w:pPr>
    </w:p>
    <w:p>
      <w:pPr>
        <w:spacing w:after="0" w:line="240" w:lineRule="auto"/>
        <w:jc w:val="both"/>
        <w:rPr>
          <w:rFonts w:ascii="Times New Roman" w:hAnsi="Times New Roman" w:cs="Times New Roman"/>
          <w:noProof/>
          <w:sz w:val="28"/>
          <w:szCs w:val="24"/>
        </w:rPr>
      </w:pPr>
      <w:r>
        <w:rPr>
          <w:rFonts w:ascii="Times New Roman" w:hAnsi="Times New Roman"/>
          <w:b/>
          <w:noProof/>
          <w:sz w:val="24"/>
        </w:rPr>
        <w:t>Institucije i tijela EU-a ne bi trebali biti izuzeti</w:t>
      </w:r>
      <w:r>
        <w:rPr>
          <w:rFonts w:ascii="Times New Roman" w:hAnsi="Times New Roman"/>
          <w:noProof/>
          <w:sz w:val="24"/>
        </w:rPr>
        <w:t xml:space="preserve"> od osiguravanja rodne ravnoteže na vodećim položajima. Komisija će voditi primjerom.</w:t>
      </w:r>
      <w:r>
        <w:rPr>
          <w:rFonts w:ascii="Times New Roman" w:hAnsi="Times New Roman"/>
          <w:b/>
          <w:noProof/>
          <w:sz w:val="24"/>
        </w:rPr>
        <w:t xml:space="preserve"> </w:t>
      </w:r>
      <w:r>
        <w:rPr>
          <w:rFonts w:ascii="Times New Roman" w:hAnsi="Times New Roman"/>
          <w:noProof/>
          <w:sz w:val="24"/>
        </w:rPr>
        <w:t xml:space="preserve">Zahvaljujući snažnom pozivu predsjednice von der Leyen na </w:t>
      </w:r>
      <w:r>
        <w:rPr>
          <w:rFonts w:ascii="Times New Roman" w:hAnsi="Times New Roman"/>
          <w:b/>
          <w:noProof/>
          <w:sz w:val="24"/>
        </w:rPr>
        <w:t>rodnu ravnopravnost u kolegiju povjerenika</w:t>
      </w:r>
      <w:r>
        <w:rPr>
          <w:rFonts w:ascii="Times New Roman" w:hAnsi="Times New Roman"/>
          <w:noProof/>
          <w:sz w:val="24"/>
        </w:rPr>
        <w:t xml:space="preserve">, u njemu je sada </w:t>
      </w:r>
      <w:r>
        <w:rPr>
          <w:rFonts w:ascii="Times New Roman" w:hAnsi="Times New Roman"/>
          <w:bCs/>
          <w:noProof/>
          <w:sz w:val="24"/>
        </w:rPr>
        <w:t>dosad najveći broj</w:t>
      </w:r>
      <w:r>
        <w:rPr>
          <w:rFonts w:ascii="Times New Roman" w:hAnsi="Times New Roman"/>
          <w:noProof/>
          <w:sz w:val="24"/>
        </w:rPr>
        <w:t xml:space="preserve"> povjerenica. Komisija planira do kraja 2024. postići</w:t>
      </w:r>
      <w:r>
        <w:rPr>
          <w:rFonts w:ascii="Times New Roman" w:hAnsi="Times New Roman"/>
          <w:b/>
          <w:bCs/>
          <w:noProof/>
          <w:sz w:val="24"/>
        </w:rPr>
        <w:t xml:space="preserve"> rodnu ravnotežu od 50 % </w:t>
      </w:r>
      <w:r>
        <w:rPr>
          <w:rFonts w:ascii="Times New Roman" w:hAnsi="Times New Roman"/>
          <w:noProof/>
          <w:sz w:val="24"/>
        </w:rPr>
        <w:t>na svim svojim upravnim razinama</w:t>
      </w:r>
      <w:r>
        <w:rPr>
          <w:rStyle w:val="FootnoteReference"/>
          <w:rFonts w:ascii="Times New Roman" w:hAnsi="Times New Roman" w:cs="Times New Roman"/>
          <w:noProof/>
          <w:sz w:val="24"/>
        </w:rPr>
        <w:footnoteReference w:id="75"/>
      </w:r>
      <w:r>
        <w:rPr>
          <w:rFonts w:ascii="Times New Roman" w:hAnsi="Times New Roman"/>
          <w:noProof/>
          <w:sz w:val="24"/>
        </w:rPr>
        <w:t>. Mjere potpore uključivat će kvantitativne ciljeve u imenovanju žena na položaje i programe za razvoj rukovoditeljskih vještina</w:t>
      </w:r>
      <w:r>
        <w:rPr>
          <w:rStyle w:val="FootnoteReference"/>
          <w:rFonts w:ascii="Times New Roman" w:hAnsi="Times New Roman" w:cs="Times New Roman"/>
          <w:noProof/>
          <w:sz w:val="24"/>
        </w:rPr>
        <w:footnoteReference w:id="76"/>
      </w:r>
      <w:r>
        <w:rPr>
          <w:rFonts w:ascii="Times New Roman" w:hAnsi="Times New Roman"/>
          <w:noProof/>
          <w:sz w:val="24"/>
        </w:rPr>
        <w:t xml:space="preserve">. Usto će Komisija intenzivnije raditi na postizanju većeg udjela </w:t>
      </w:r>
      <w:r>
        <w:rPr>
          <w:rFonts w:ascii="Times New Roman" w:hAnsi="Times New Roman"/>
          <w:b/>
          <w:noProof/>
          <w:sz w:val="24"/>
        </w:rPr>
        <w:t>žena na rukovodećim položajima u agencijama EU-a</w:t>
      </w:r>
      <w:r>
        <w:rPr>
          <w:rStyle w:val="FootnoteReference"/>
          <w:rFonts w:ascii="Times New Roman" w:hAnsi="Times New Roman" w:cs="Times New Roman"/>
          <w:noProof/>
          <w:sz w:val="24"/>
        </w:rPr>
        <w:footnoteReference w:id="77"/>
      </w:r>
      <w:r>
        <w:rPr>
          <w:rFonts w:ascii="Times New Roman" w:hAnsi="Times New Roman"/>
          <w:noProof/>
          <w:sz w:val="24"/>
        </w:rPr>
        <w:t xml:space="preserve"> te osigurati rodno uravnoteženu zastupljenost među govornicima i panelistima na konferencijama koje organizira. </w:t>
      </w:r>
    </w:p>
    <w:p>
      <w:pPr>
        <w:spacing w:after="0" w:line="240" w:lineRule="auto"/>
        <w:jc w:val="both"/>
        <w:rPr>
          <w:rFonts w:ascii="Times New Roman" w:hAnsi="Times New Roman" w:cs="Times New Roman"/>
          <w:noProof/>
          <w:sz w:val="28"/>
          <w:szCs w:val="24"/>
        </w:rPr>
      </w:pPr>
    </w:p>
    <w:p>
      <w:pPr>
        <w:spacing w:line="100" w:lineRule="atLeast"/>
        <w:jc w:val="both"/>
        <w:rPr>
          <w:rFonts w:ascii="Times New Roman" w:hAnsi="Times New Roman" w:cs="Times New Roman"/>
          <w:noProof/>
          <w:sz w:val="24"/>
          <w:szCs w:val="24"/>
        </w:rPr>
      </w:pPr>
      <w:r>
        <w:rPr>
          <w:rFonts w:ascii="Times New Roman" w:hAnsi="Times New Roman"/>
          <w:noProof/>
          <w:sz w:val="24"/>
        </w:rPr>
        <w:t xml:space="preserve">Komisija će podupirati države članice u razvoju i provedbi djelotvornijih </w:t>
      </w:r>
      <w:r>
        <w:rPr>
          <w:rFonts w:ascii="Times New Roman" w:hAnsi="Times New Roman"/>
          <w:b/>
          <w:noProof/>
          <w:sz w:val="24"/>
        </w:rPr>
        <w:t>strategija za povećanje broja žena na položajima na kojima se donose odluke</w:t>
      </w:r>
      <w:r>
        <w:rPr>
          <w:rFonts w:ascii="Times New Roman" w:hAnsi="Times New Roman"/>
          <w:noProof/>
          <w:sz w:val="24"/>
        </w:rPr>
        <w:t>, među ostalim u okviru Programa uzajamnog učenja o rodnoj ravnopravnosti</w:t>
      </w:r>
      <w:r>
        <w:rPr>
          <w:rStyle w:val="FootnoteReference"/>
          <w:rFonts w:ascii="Times New Roman" w:hAnsi="Times New Roman" w:cs="Times New Roman"/>
          <w:noProof/>
          <w:sz w:val="24"/>
        </w:rPr>
        <w:footnoteReference w:id="78"/>
      </w:r>
      <w:r>
        <w:rPr>
          <w:rFonts w:ascii="Times New Roman" w:hAnsi="Times New Roman"/>
          <w:noProof/>
          <w:sz w:val="24"/>
        </w:rPr>
        <w:t>.</w:t>
      </w:r>
      <w:r>
        <w:rPr>
          <w:rFonts w:ascii="Times New Roman" w:hAnsi="Times New Roman"/>
          <w:b/>
          <w:noProof/>
          <w:sz w:val="24"/>
        </w:rPr>
        <w:t xml:space="preserve"> </w:t>
      </w:r>
      <w:r>
        <w:rPr>
          <w:rFonts w:ascii="Times New Roman" w:hAnsi="Times New Roman"/>
          <w:noProof/>
          <w:sz w:val="24"/>
        </w:rPr>
        <w:t xml:space="preserve">Usto će Komisija </w:t>
      </w:r>
      <w:r>
        <w:rPr>
          <w:rFonts w:ascii="Times New Roman" w:hAnsi="Times New Roman"/>
          <w:b/>
          <w:noProof/>
          <w:sz w:val="24"/>
        </w:rPr>
        <w:t>objavljivati podatke o zastupljenosti žena i muškaraca na položajima na kojima se donose odluke i analize trendova u tom području</w:t>
      </w:r>
      <w:r>
        <w:rPr>
          <w:rFonts w:ascii="Times New Roman" w:hAnsi="Times New Roman"/>
          <w:noProof/>
          <w:sz w:val="24"/>
        </w:rPr>
        <w:t>, u suradnji s Europskim institutom za ravnopravnost spolova (EIGE).</w:t>
      </w:r>
    </w:p>
    <w:p>
      <w:pPr>
        <w:rPr>
          <w:noProof/>
        </w:rPr>
      </w:pPr>
    </w:p>
    <w:p>
      <w:pPr>
        <w:rPr>
          <w:noProof/>
        </w:rPr>
      </w:pPr>
    </w:p>
    <w:p>
      <w:pPr>
        <w:rPr>
          <w:noProof/>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2"/>
      </w:tblGrid>
      <w:tr>
        <w:tc>
          <w:tcPr>
            <w:tcW w:w="9212" w:type="dxa"/>
          </w:tcPr>
          <w:p>
            <w:pPr>
              <w:pStyle w:val="ListParagraph"/>
              <w:spacing w:after="120"/>
              <w:ind w:left="0"/>
              <w:jc w:val="both"/>
              <w:rPr>
                <w:rFonts w:ascii="Times New Roman" w:hAnsi="Times New Roman" w:cs="Times New Roman"/>
                <w:b/>
                <w:noProof/>
                <w:sz w:val="28"/>
                <w:szCs w:val="24"/>
              </w:rPr>
            </w:pPr>
            <w:r>
              <w:rPr>
                <w:rFonts w:ascii="Times New Roman" w:hAnsi="Times New Roman"/>
                <w:b/>
                <w:noProof/>
                <w:sz w:val="24"/>
              </w:rPr>
              <w:t xml:space="preserve">Uz navedene mjere Komisije, Komisija poziva: </w:t>
            </w:r>
          </w:p>
          <w:p>
            <w:pPr>
              <w:pStyle w:val="ListParagraph"/>
              <w:spacing w:after="120"/>
              <w:ind w:left="0"/>
              <w:jc w:val="both"/>
              <w:rPr>
                <w:rFonts w:ascii="Times New Roman" w:hAnsi="Times New Roman" w:cs="Times New Roman"/>
                <w:b/>
                <w:noProof/>
                <w:sz w:val="28"/>
                <w:szCs w:val="24"/>
              </w:rPr>
            </w:pPr>
          </w:p>
          <w:p>
            <w:pPr>
              <w:pStyle w:val="ListParagraph"/>
              <w:numPr>
                <w:ilvl w:val="0"/>
                <w:numId w:val="91"/>
              </w:numPr>
              <w:spacing w:before="120" w:line="100" w:lineRule="atLeast"/>
              <w:jc w:val="both"/>
              <w:rPr>
                <w:rFonts w:ascii="Times New Roman" w:hAnsi="Times New Roman" w:cs="Times New Roman"/>
                <w:b/>
                <w:noProof/>
                <w:sz w:val="28"/>
                <w:szCs w:val="24"/>
              </w:rPr>
            </w:pPr>
            <w:r>
              <w:rPr>
                <w:rFonts w:ascii="Times New Roman" w:hAnsi="Times New Roman"/>
                <w:b/>
                <w:noProof/>
                <w:sz w:val="24"/>
              </w:rPr>
              <w:t xml:space="preserve">Europski parlament i Vijeće da: </w:t>
            </w:r>
          </w:p>
          <w:p>
            <w:pPr>
              <w:pStyle w:val="ListParagraph"/>
              <w:numPr>
                <w:ilvl w:val="0"/>
                <w:numId w:val="54"/>
              </w:numPr>
              <w:spacing w:after="120"/>
              <w:jc w:val="both"/>
              <w:rPr>
                <w:rFonts w:ascii="Times New Roman" w:hAnsi="Times New Roman" w:cs="Times New Roman"/>
                <w:noProof/>
                <w:sz w:val="28"/>
                <w:szCs w:val="24"/>
              </w:rPr>
            </w:pPr>
            <w:r>
              <w:rPr>
                <w:rFonts w:ascii="Times New Roman" w:hAnsi="Times New Roman"/>
                <w:noProof/>
                <w:sz w:val="24"/>
              </w:rPr>
              <w:t>donesu Prijedlog direktive o poboljšanju rodne ravnoteže u upravnim odborima društava, i</w:t>
            </w:r>
          </w:p>
          <w:p>
            <w:pPr>
              <w:pStyle w:val="ListParagraph"/>
              <w:numPr>
                <w:ilvl w:val="0"/>
                <w:numId w:val="54"/>
              </w:numPr>
              <w:spacing w:after="120"/>
              <w:jc w:val="both"/>
              <w:rPr>
                <w:rFonts w:ascii="Times New Roman" w:hAnsi="Times New Roman" w:cs="Times New Roman"/>
                <w:noProof/>
                <w:sz w:val="28"/>
                <w:szCs w:val="24"/>
              </w:rPr>
            </w:pPr>
            <w:r>
              <w:rPr>
                <w:rFonts w:ascii="Times New Roman" w:hAnsi="Times New Roman"/>
                <w:noProof/>
                <w:sz w:val="24"/>
              </w:rPr>
              <w:t>donesu mjere za poboljšanje rodne ravnoteže na svim razinama upravljanja i na vodećim položajima,</w:t>
            </w:r>
          </w:p>
          <w:p>
            <w:pPr>
              <w:pStyle w:val="ListParagraph"/>
              <w:spacing w:after="120"/>
              <w:jc w:val="both"/>
              <w:rPr>
                <w:rFonts w:ascii="Times New Roman" w:hAnsi="Times New Roman" w:cs="Times New Roman"/>
                <w:noProof/>
                <w:sz w:val="28"/>
                <w:szCs w:val="24"/>
              </w:rPr>
            </w:pPr>
          </w:p>
          <w:p>
            <w:pPr>
              <w:pStyle w:val="ListParagraph"/>
              <w:numPr>
                <w:ilvl w:val="0"/>
                <w:numId w:val="91"/>
              </w:numPr>
              <w:spacing w:before="120" w:line="100" w:lineRule="atLeast"/>
              <w:jc w:val="both"/>
              <w:rPr>
                <w:rFonts w:ascii="Times New Roman" w:hAnsi="Times New Roman" w:cs="Times New Roman"/>
                <w:noProof/>
                <w:sz w:val="28"/>
                <w:szCs w:val="24"/>
              </w:rPr>
            </w:pPr>
            <w:r>
              <w:rPr>
                <w:rFonts w:ascii="Times New Roman" w:hAnsi="Times New Roman"/>
                <w:b/>
                <w:noProof/>
                <w:sz w:val="24"/>
              </w:rPr>
              <w:t>države članice da:</w:t>
            </w:r>
          </w:p>
          <w:p>
            <w:pPr>
              <w:pStyle w:val="ListParagraph"/>
              <w:numPr>
                <w:ilvl w:val="0"/>
                <w:numId w:val="54"/>
              </w:numPr>
              <w:spacing w:after="120"/>
              <w:jc w:val="both"/>
              <w:rPr>
                <w:rFonts w:ascii="Times New Roman" w:hAnsi="Times New Roman" w:cs="Times New Roman"/>
                <w:noProof/>
                <w:sz w:val="28"/>
                <w:szCs w:val="24"/>
              </w:rPr>
            </w:pPr>
            <w:r>
              <w:rPr>
                <w:rFonts w:ascii="Times New Roman" w:hAnsi="Times New Roman"/>
                <w:noProof/>
                <w:sz w:val="24"/>
              </w:rPr>
              <w:t xml:space="preserve">prenesu i provedu Direktivu o poboljšanju rodne ravnoteže u upravnim odborima društava, kad bude donesena, i </w:t>
            </w:r>
          </w:p>
          <w:p>
            <w:pPr>
              <w:pStyle w:val="ListParagraph"/>
              <w:numPr>
                <w:ilvl w:val="0"/>
                <w:numId w:val="54"/>
              </w:numPr>
              <w:spacing w:after="120"/>
              <w:jc w:val="both"/>
              <w:rPr>
                <w:rFonts w:ascii="Times New Roman" w:hAnsi="Times New Roman" w:cs="Times New Roman"/>
                <w:noProof/>
                <w:sz w:val="24"/>
                <w:szCs w:val="24"/>
              </w:rPr>
            </w:pPr>
            <w:r>
              <w:rPr>
                <w:rFonts w:ascii="Times New Roman" w:hAnsi="Times New Roman"/>
                <w:noProof/>
                <w:sz w:val="24"/>
              </w:rPr>
              <w:t>razviju i provedu strategije za povećanje broja žena na položajima na kojima se donose odluke u politici i oblikovanju politika.</w:t>
            </w:r>
          </w:p>
          <w:p>
            <w:pPr>
              <w:pStyle w:val="ListParagraph"/>
              <w:spacing w:after="120"/>
              <w:jc w:val="both"/>
              <w:rPr>
                <w:noProof/>
              </w:rPr>
            </w:pPr>
          </w:p>
        </w:tc>
      </w:tr>
    </w:tbl>
    <w:p>
      <w:pPr>
        <w:spacing w:line="100" w:lineRule="atLeast"/>
        <w:ind w:left="709" w:hanging="709"/>
        <w:jc w:val="both"/>
        <w:rPr>
          <w:rFonts w:ascii="Times New Roman" w:hAnsi="Times New Roman" w:cs="Times New Roman"/>
          <w:b/>
          <w:noProof/>
          <w:sz w:val="28"/>
          <w:szCs w:val="28"/>
        </w:rPr>
      </w:pPr>
      <w:r>
        <w:rPr>
          <w:rFonts w:ascii="Times New Roman" w:hAnsi="Times New Roman"/>
          <w:b/>
          <w:noProof/>
          <w:sz w:val="28"/>
          <w:szCs w:val="28"/>
        </w:rPr>
        <w:t xml:space="preserve">4. </w:t>
      </w:r>
      <w:r>
        <w:rPr>
          <w:rFonts w:ascii="Times New Roman" w:hAnsi="Times New Roman"/>
          <w:b/>
          <w:noProof/>
          <w:sz w:val="28"/>
          <w:szCs w:val="28"/>
        </w:rPr>
        <w:tab/>
        <w:t>Rodno osviještena politika i intersekcionalna perspektiva u politikama EU-a</w:t>
      </w:r>
    </w:p>
    <w:p>
      <w:pPr>
        <w:spacing w:line="240" w:lineRule="auto"/>
        <w:jc w:val="both"/>
        <w:rPr>
          <w:rFonts w:ascii="Times New Roman" w:hAnsi="Times New Roman" w:cs="Times New Roman"/>
          <w:noProof/>
          <w:sz w:val="28"/>
          <w:szCs w:val="24"/>
        </w:rPr>
      </w:pPr>
      <w:r>
        <w:rPr>
          <w:rFonts w:ascii="Times New Roman" w:hAnsi="Times New Roman"/>
          <w:b/>
          <w:noProof/>
          <w:sz w:val="24"/>
        </w:rPr>
        <w:t>Glavni izazovi s kojima se EU danas suočava – uključujući prelazak na zelene i digitalne tehnologije te demografske promjene – svi imaju rodnu dimenziju.</w:t>
      </w:r>
      <w:r>
        <w:rPr>
          <w:rFonts w:ascii="Times New Roman" w:hAnsi="Times New Roman"/>
          <w:noProof/>
          <w:sz w:val="24"/>
        </w:rPr>
        <w:t xml:space="preserve"> Uključivanje rodne perspektive u sve politike i procese EU-a ključno je za postizanje cilja rodne ravnopravnosti.</w:t>
      </w:r>
    </w:p>
    <w:p>
      <w:pPr>
        <w:spacing w:line="240" w:lineRule="auto"/>
        <w:jc w:val="both"/>
        <w:rPr>
          <w:rFonts w:ascii="Times New Roman" w:hAnsi="Times New Roman" w:cs="Times New Roman"/>
          <w:noProof/>
          <w:sz w:val="28"/>
          <w:szCs w:val="24"/>
        </w:rPr>
      </w:pPr>
      <w:r>
        <w:rPr>
          <w:rFonts w:ascii="Times New Roman" w:hAnsi="Times New Roman"/>
          <w:noProof/>
          <w:sz w:val="24"/>
        </w:rPr>
        <w:t xml:space="preserve">Rodno osviještenom politikom osigurava se da se politikama i programima maksimalno iskoristi potencijal svih – žena i muškaraca, djevojčica i dječaka, u svoj njihovoj raznolikosti. Cilj je preraspodijeliti moć, utjecaj i resurse na pošten i rodno ravnopravan način, uklanjajući neravnopravnost, promičući poštenje i stvarajući prilike. </w:t>
      </w:r>
    </w:p>
    <w:p>
      <w:pPr>
        <w:spacing w:line="100" w:lineRule="atLeast"/>
        <w:jc w:val="both"/>
        <w:rPr>
          <w:rFonts w:ascii="Times New Roman" w:hAnsi="Times New Roman" w:cs="Times New Roman"/>
          <w:noProof/>
          <w:sz w:val="28"/>
          <w:szCs w:val="24"/>
        </w:rPr>
      </w:pPr>
      <w:r>
        <w:rPr>
          <w:rFonts w:ascii="Times New Roman" w:hAnsi="Times New Roman"/>
          <w:b/>
          <w:noProof/>
          <w:sz w:val="24"/>
        </w:rPr>
        <w:t>Komisija će integrirati rodnu perspektivu u sve svoje glavne inicijative tijekom tekućeg mandata</w:t>
      </w:r>
      <w:r>
        <w:rPr>
          <w:rFonts w:ascii="Times New Roman" w:hAnsi="Times New Roman"/>
          <w:noProof/>
          <w:sz w:val="24"/>
        </w:rPr>
        <w:t>,</w:t>
      </w:r>
      <w:r>
        <w:rPr>
          <w:rFonts w:ascii="Times New Roman" w:hAnsi="Times New Roman"/>
          <w:b/>
          <w:noProof/>
          <w:sz w:val="24"/>
        </w:rPr>
        <w:t xml:space="preserve"> </w:t>
      </w:r>
      <w:r>
        <w:rPr>
          <w:rFonts w:ascii="Times New Roman" w:hAnsi="Times New Roman"/>
          <w:noProof/>
          <w:sz w:val="24"/>
        </w:rPr>
        <w:t xml:space="preserve">u čemu će pomoći imenovanje prvog povjerenika za ravnopravnost kao zaseban portfelj te osnivanje </w:t>
      </w:r>
      <w:r>
        <w:rPr>
          <w:rFonts w:ascii="Times New Roman" w:hAnsi="Times New Roman"/>
          <w:b/>
          <w:noProof/>
          <w:sz w:val="24"/>
        </w:rPr>
        <w:t>Radne skupine za ravnopravnost</w:t>
      </w:r>
      <w:r>
        <w:rPr>
          <w:rStyle w:val="FootnoteReference"/>
          <w:rFonts w:ascii="Times New Roman" w:hAnsi="Times New Roman" w:cs="Times New Roman"/>
          <w:noProof/>
          <w:sz w:val="24"/>
        </w:rPr>
        <w:footnoteReference w:id="79"/>
      </w:r>
      <w:r>
        <w:rPr>
          <w:rFonts w:ascii="Times New Roman" w:hAnsi="Times New Roman"/>
          <w:noProof/>
          <w:sz w:val="24"/>
        </w:rPr>
        <w:t>, koju čine predstavnici svih službi Komisije i Europske službe za vanjsko djelovanje. Radna skupina osigurat će provedbu politike osviještene u smislu ravnopravnosti, među ostalim rodne ravnopravnosti, na operativnoj i tehničkoj razini.</w:t>
      </w:r>
    </w:p>
    <w:p>
      <w:pPr>
        <w:spacing w:after="0" w:line="240" w:lineRule="auto"/>
        <w:jc w:val="both"/>
        <w:rPr>
          <w:rFonts w:ascii="Times New Roman" w:hAnsi="Times New Roman" w:cs="Times New Roman"/>
          <w:noProof/>
          <w:sz w:val="28"/>
          <w:szCs w:val="24"/>
        </w:rPr>
      </w:pPr>
      <w:r>
        <w:rPr>
          <w:rFonts w:ascii="Times New Roman" w:hAnsi="Times New Roman"/>
          <w:noProof/>
          <w:sz w:val="24"/>
        </w:rPr>
        <w:t xml:space="preserve">Primjerice, nove politike u okviru </w:t>
      </w:r>
      <w:r>
        <w:rPr>
          <w:rFonts w:ascii="Times New Roman" w:hAnsi="Times New Roman"/>
          <w:b/>
          <w:noProof/>
          <w:sz w:val="24"/>
        </w:rPr>
        <w:t>europskog zelenog plana</w:t>
      </w:r>
      <w:r>
        <w:rPr>
          <w:rFonts w:ascii="Times New Roman" w:hAnsi="Times New Roman"/>
          <w:noProof/>
          <w:sz w:val="24"/>
        </w:rPr>
        <w:t>, kao što su</w:t>
      </w:r>
      <w:r>
        <w:rPr>
          <w:rFonts w:ascii="Times New Roman" w:hAnsi="Times New Roman"/>
          <w:b/>
          <w:noProof/>
          <w:sz w:val="24"/>
        </w:rPr>
        <w:t xml:space="preserve"> val obnove zgrada</w:t>
      </w:r>
      <w:r>
        <w:rPr>
          <w:rFonts w:ascii="Times New Roman" w:hAnsi="Times New Roman"/>
          <w:noProof/>
          <w:sz w:val="24"/>
        </w:rPr>
        <w:t xml:space="preserve"> ili</w:t>
      </w:r>
      <w:r>
        <w:rPr>
          <w:rFonts w:ascii="Times New Roman" w:hAnsi="Times New Roman"/>
          <w:b/>
          <w:noProof/>
          <w:sz w:val="24"/>
        </w:rPr>
        <w:t xml:space="preserve"> strategija EU-a za prilagodbu klimatskim promjenama</w:t>
      </w:r>
      <w:r>
        <w:rPr>
          <w:rFonts w:ascii="Times New Roman" w:hAnsi="Times New Roman"/>
          <w:noProof/>
          <w:sz w:val="24"/>
        </w:rPr>
        <w:t>, mogu utjecati na žene drugačije nego na muškarce</w:t>
      </w:r>
      <w:r>
        <w:rPr>
          <w:rStyle w:val="FootnoteReference"/>
          <w:rFonts w:ascii="Times New Roman" w:hAnsi="Times New Roman" w:cs="Times New Roman"/>
          <w:noProof/>
          <w:sz w:val="24"/>
        </w:rPr>
        <w:footnoteReference w:id="80"/>
      </w:r>
      <w:r>
        <w:rPr>
          <w:rFonts w:ascii="Times New Roman" w:hAnsi="Times New Roman"/>
          <w:noProof/>
          <w:sz w:val="24"/>
        </w:rPr>
        <w:t xml:space="preserve">. Kad je riječ o </w:t>
      </w:r>
      <w:r>
        <w:rPr>
          <w:rFonts w:ascii="Times New Roman" w:hAnsi="Times New Roman"/>
          <w:b/>
          <w:noProof/>
          <w:sz w:val="24"/>
        </w:rPr>
        <w:t>klimatskim promjenama</w:t>
      </w:r>
      <w:r>
        <w:rPr>
          <w:rFonts w:ascii="Times New Roman" w:hAnsi="Times New Roman"/>
          <w:noProof/>
          <w:sz w:val="24"/>
        </w:rPr>
        <w:t>, posebno je velika uloga mladih žena u poticanju promjena. Žene i muškarci različito će osjetiti učinke zelenih politika koje se odnose na klimatske promjene (manje je mogućnosti za žene kao izbjeglice zbog klimatskih uvjeta), prelazak na čiste tehnologije (više je žena pogođeno energetskim siromaštvom) ili promet bez emisija (više žena koristi se javnim prijevozom). Razmatranje rodne dimenzije stoga može biti ključno u iskorištavanju punog potencijala tih politika.</w:t>
      </w:r>
    </w:p>
    <w:p>
      <w:pPr>
        <w:spacing w:after="0" w:line="240" w:lineRule="auto"/>
        <w:jc w:val="both"/>
        <w:rPr>
          <w:rFonts w:ascii="Times New Roman" w:hAnsi="Times New Roman" w:cs="Times New Roman"/>
          <w:noProof/>
          <w:sz w:val="28"/>
          <w:szCs w:val="24"/>
        </w:rPr>
      </w:pPr>
    </w:p>
    <w:p>
      <w:pPr>
        <w:spacing w:line="240" w:lineRule="auto"/>
        <w:jc w:val="both"/>
        <w:rPr>
          <w:rFonts w:ascii="Times New Roman" w:hAnsi="Times New Roman" w:cs="Times New Roman"/>
          <w:noProof/>
          <w:sz w:val="28"/>
          <w:szCs w:val="24"/>
        </w:rPr>
      </w:pPr>
      <w:r>
        <w:rPr>
          <w:rFonts w:ascii="Times New Roman" w:hAnsi="Times New Roman"/>
          <w:noProof/>
          <w:sz w:val="24"/>
        </w:rPr>
        <w:t xml:space="preserve">Još jedan primjer je </w:t>
      </w:r>
      <w:r>
        <w:rPr>
          <w:rFonts w:ascii="Times New Roman" w:hAnsi="Times New Roman"/>
          <w:b/>
          <w:noProof/>
          <w:sz w:val="24"/>
        </w:rPr>
        <w:t>digitalizacija</w:t>
      </w:r>
      <w:r>
        <w:rPr>
          <w:rFonts w:ascii="Times New Roman" w:hAnsi="Times New Roman"/>
          <w:noProof/>
          <w:sz w:val="24"/>
        </w:rPr>
        <w:t>, koja će iz temelja promijeniti naše živote i živote naše djece. U digitalnoj tranziciji presudno je da žene pomognu u izgradnji te budućnosti i da znatno više djevojčica nego danas stječe informatičke vještine kako bi mogle sudjelovati u oblikovanju digitalnog svijeta sutrašnjice.</w:t>
      </w:r>
    </w:p>
    <w:p>
      <w:pPr>
        <w:spacing w:line="240" w:lineRule="auto"/>
        <w:jc w:val="both"/>
        <w:rPr>
          <w:rFonts w:ascii="Times New Roman" w:eastAsia="Calibri" w:hAnsi="Times New Roman" w:cs="Times New Roman"/>
          <w:noProof/>
          <w:sz w:val="28"/>
          <w:szCs w:val="24"/>
        </w:rPr>
      </w:pPr>
      <w:r>
        <w:rPr>
          <w:rFonts w:ascii="Times New Roman" w:hAnsi="Times New Roman"/>
          <w:bCs/>
          <w:noProof/>
          <w:sz w:val="24"/>
        </w:rPr>
        <w:t xml:space="preserve">Kad je riječ o </w:t>
      </w:r>
      <w:r>
        <w:rPr>
          <w:rFonts w:ascii="Times New Roman" w:hAnsi="Times New Roman"/>
          <w:b/>
          <w:bCs/>
          <w:noProof/>
          <w:sz w:val="24"/>
        </w:rPr>
        <w:t>zdravlju</w:t>
      </w:r>
      <w:r>
        <w:rPr>
          <w:rFonts w:ascii="Times New Roman" w:hAnsi="Times New Roman"/>
          <w:bCs/>
          <w:noProof/>
          <w:sz w:val="24"/>
        </w:rPr>
        <w:t xml:space="preserve">, žene i muškarci suočavaju se s rodno specifičnim zdravstvenim rizicima. Rodna dimenzija bit će uključena u plan EU-a za borbu protiv raka koji će biti pokrenut 2020. </w:t>
      </w:r>
      <w:r>
        <w:rPr>
          <w:rFonts w:ascii="Times New Roman" w:hAnsi="Times New Roman"/>
          <w:noProof/>
          <w:sz w:val="24"/>
        </w:rPr>
        <w:t xml:space="preserve">Olakšat će se </w:t>
      </w:r>
      <w:r>
        <w:rPr>
          <w:rFonts w:ascii="Times New Roman" w:hAnsi="Times New Roman"/>
          <w:bCs/>
          <w:noProof/>
          <w:sz w:val="24"/>
        </w:rPr>
        <w:t xml:space="preserve">redovite </w:t>
      </w:r>
      <w:r>
        <w:rPr>
          <w:rFonts w:ascii="Times New Roman" w:hAnsi="Times New Roman"/>
          <w:noProof/>
          <w:sz w:val="24"/>
        </w:rPr>
        <w:t xml:space="preserve">razmjene dobrih praksa između država članica i dionika u pogledu rodnih aspekata zdravlja, uključujući spolno i reproduktivno zdravlje te seksualna i reproduktivna prava. </w:t>
      </w:r>
    </w:p>
    <w:p>
      <w:pPr>
        <w:spacing w:line="240" w:lineRule="auto"/>
        <w:jc w:val="both"/>
        <w:rPr>
          <w:rFonts w:ascii="Times New Roman" w:eastAsia="Calibri" w:hAnsi="Times New Roman" w:cs="Times New Roman"/>
          <w:noProof/>
          <w:sz w:val="28"/>
          <w:szCs w:val="24"/>
        </w:rPr>
      </w:pPr>
      <w:r>
        <w:rPr>
          <w:rFonts w:ascii="Times New Roman" w:hAnsi="Times New Roman"/>
          <w:b/>
          <w:noProof/>
          <w:sz w:val="24"/>
        </w:rPr>
        <w:t>Plan EU-a za borbu protiv droga</w:t>
      </w:r>
      <w:r>
        <w:rPr>
          <w:rFonts w:ascii="Times New Roman" w:hAnsi="Times New Roman"/>
          <w:noProof/>
          <w:sz w:val="24"/>
        </w:rPr>
        <w:t xml:space="preserve"> 2021.–2025. bit će donesen 2020., a u njemu će biti riječ o rodno specifičnim problemima s kojima se žene i djevojčice suočavaju u zlouporabi droga. </w:t>
      </w:r>
    </w:p>
    <w:p>
      <w:pPr>
        <w:spacing w:line="240" w:lineRule="auto"/>
        <w:jc w:val="both"/>
        <w:rPr>
          <w:rFonts w:ascii="Times New Roman" w:hAnsi="Times New Roman" w:cs="Times New Roman"/>
          <w:noProof/>
          <w:sz w:val="24"/>
          <w:szCs w:val="24"/>
        </w:rPr>
      </w:pPr>
      <w:r>
        <w:rPr>
          <w:rFonts w:ascii="Times New Roman" w:hAnsi="Times New Roman"/>
          <w:b/>
          <w:noProof/>
          <w:sz w:val="24"/>
        </w:rPr>
        <w:t>Intersekcionalnost roda s drugim osnovama za diskriminaciju uzet će se u obzir u svim politikama EU-a</w:t>
      </w:r>
      <w:r>
        <w:rPr>
          <w:rFonts w:ascii="Times New Roman" w:hAnsi="Times New Roman"/>
          <w:noProof/>
          <w:sz w:val="24"/>
        </w:rPr>
        <w:t>. Žene su heterogena skupina, a mogu se suočiti s intersekcionalnom diskriminacijom na temelju nekoliko osobina. Na primjer, migrantica s invaliditetom može se suočiti s diskriminacijom na tri osnove ili više njih. Zakonodavstvo i politike EU-a te njihova provedba trebali bi stoga odgovarati specifičnim potrebama i okolnostima žena i djevojčica u različitim skupinama. Skori akcijski plan za integraciju i uključivanje te</w:t>
      </w:r>
      <w:r>
        <w:rPr>
          <w:noProof/>
          <w:sz w:val="24"/>
        </w:rPr>
        <w:t xml:space="preserve"> </w:t>
      </w:r>
      <w:r>
        <w:rPr>
          <w:rFonts w:ascii="Times New Roman" w:hAnsi="Times New Roman"/>
          <w:noProof/>
          <w:sz w:val="24"/>
        </w:rPr>
        <w:t xml:space="preserve">strateški okviri EU-a za invaliditet, LGBTI+, uključivanje Roma i prava djece bit će povezani s ovom strategijom te međusobno. Usto, u </w:t>
      </w:r>
      <w:r>
        <w:rPr>
          <w:rFonts w:ascii="Times New Roman" w:hAnsi="Times New Roman"/>
          <w:bCs/>
          <w:noProof/>
          <w:sz w:val="24"/>
        </w:rPr>
        <w:t>politikama rodne ravnopravnosti</w:t>
      </w:r>
      <w:r>
        <w:rPr>
          <w:rFonts w:ascii="Times New Roman" w:hAnsi="Times New Roman"/>
          <w:noProof/>
          <w:sz w:val="24"/>
        </w:rPr>
        <w:t xml:space="preserve"> uvijek će se razmatrati intersekcionalna perspektiva</w:t>
      </w:r>
      <w:r>
        <w:rPr>
          <w:noProof/>
          <w:sz w:val="24"/>
        </w:rPr>
        <w:t>.</w:t>
      </w:r>
    </w:p>
    <w:p>
      <w:pPr>
        <w:spacing w:line="100" w:lineRule="atLeast"/>
        <w:jc w:val="both"/>
        <w:rPr>
          <w:rFonts w:ascii="Times New Roman" w:hAnsi="Times New Roman" w:cs="Times New Roman"/>
          <w:b/>
          <w:noProof/>
          <w:sz w:val="28"/>
          <w:szCs w:val="28"/>
        </w:rPr>
      </w:pPr>
      <w:r>
        <w:rPr>
          <w:rFonts w:ascii="Times New Roman" w:hAnsi="Times New Roman"/>
          <w:b/>
          <w:noProof/>
          <w:sz w:val="28"/>
          <w:szCs w:val="28"/>
        </w:rPr>
        <w:t xml:space="preserve">5. </w:t>
      </w:r>
      <w:r>
        <w:rPr>
          <w:rFonts w:ascii="Times New Roman" w:hAnsi="Times New Roman"/>
          <w:b/>
          <w:noProof/>
          <w:sz w:val="28"/>
          <w:szCs w:val="28"/>
        </w:rPr>
        <w:tab/>
        <w:t>Financiranje mjera za napredak u rodnoj ravnopravnosti u EU-u</w:t>
      </w:r>
    </w:p>
    <w:p>
      <w:pPr>
        <w:spacing w:line="100" w:lineRule="atLeast"/>
        <w:jc w:val="both"/>
        <w:rPr>
          <w:rFonts w:ascii="Times New Roman" w:hAnsi="Times New Roman" w:cs="Times New Roman"/>
          <w:noProof/>
          <w:sz w:val="28"/>
          <w:szCs w:val="24"/>
        </w:rPr>
      </w:pPr>
      <w:r>
        <w:rPr>
          <w:rFonts w:ascii="Times New Roman" w:hAnsi="Times New Roman"/>
          <w:noProof/>
          <w:sz w:val="24"/>
        </w:rPr>
        <w:t xml:space="preserve">Komisijinim prijedlozima višegodišnjeg financijskog okvira (VFO) osigurava se integracija rodne dimenzije u cijeli financijski okvir, konkretno u različite instrumente EU-a za financiranje i proračunska jamstva, posebno </w:t>
      </w:r>
      <w:r>
        <w:rPr>
          <w:rFonts w:ascii="Times New Roman" w:hAnsi="Times New Roman"/>
          <w:b/>
          <w:noProof/>
          <w:sz w:val="24"/>
        </w:rPr>
        <w:t>Europski socijalni fond plus</w:t>
      </w:r>
      <w:r>
        <w:rPr>
          <w:rFonts w:ascii="Times New Roman" w:hAnsi="Times New Roman"/>
          <w:noProof/>
          <w:sz w:val="24"/>
        </w:rPr>
        <w:t>,</w:t>
      </w:r>
      <w:r>
        <w:rPr>
          <w:rFonts w:ascii="Times New Roman" w:hAnsi="Times New Roman"/>
          <w:b/>
          <w:noProof/>
          <w:sz w:val="24"/>
        </w:rPr>
        <w:t xml:space="preserve"> Europski fond za regionalni razvoj</w:t>
      </w:r>
      <w:r>
        <w:rPr>
          <w:rFonts w:ascii="Times New Roman" w:hAnsi="Times New Roman"/>
          <w:noProof/>
          <w:sz w:val="24"/>
        </w:rPr>
        <w:t>,</w:t>
      </w:r>
      <w:r>
        <w:rPr>
          <w:rFonts w:ascii="Times New Roman" w:hAnsi="Times New Roman"/>
          <w:b/>
          <w:noProof/>
          <w:sz w:val="24"/>
        </w:rPr>
        <w:t xml:space="preserve"> program Kreativna Europa</w:t>
      </w:r>
      <w:r>
        <w:rPr>
          <w:rFonts w:ascii="Times New Roman" w:hAnsi="Times New Roman"/>
          <w:noProof/>
          <w:sz w:val="24"/>
        </w:rPr>
        <w:t>,</w:t>
      </w:r>
      <w:r>
        <w:rPr>
          <w:rFonts w:ascii="Times New Roman" w:hAnsi="Times New Roman"/>
          <w:b/>
          <w:noProof/>
          <w:sz w:val="24"/>
        </w:rPr>
        <w:t xml:space="preserve"> Europski fond za pomorstvo i ribarstvo</w:t>
      </w:r>
      <w:r>
        <w:rPr>
          <w:rFonts w:ascii="Times New Roman" w:hAnsi="Times New Roman"/>
          <w:noProof/>
          <w:sz w:val="24"/>
        </w:rPr>
        <w:t>,</w:t>
      </w:r>
      <w:r>
        <w:rPr>
          <w:rFonts w:ascii="Times New Roman" w:hAnsi="Times New Roman"/>
          <w:b/>
          <w:noProof/>
          <w:sz w:val="24"/>
        </w:rPr>
        <w:t xml:space="preserve"> Kohezijski fond </w:t>
      </w:r>
      <w:r>
        <w:rPr>
          <w:rFonts w:ascii="Times New Roman" w:hAnsi="Times New Roman"/>
          <w:noProof/>
          <w:sz w:val="24"/>
        </w:rPr>
        <w:t xml:space="preserve">i </w:t>
      </w:r>
      <w:r>
        <w:rPr>
          <w:rFonts w:ascii="Times New Roman" w:hAnsi="Times New Roman"/>
          <w:b/>
          <w:noProof/>
          <w:sz w:val="24"/>
        </w:rPr>
        <w:t>program</w:t>
      </w:r>
      <w:r>
        <w:rPr>
          <w:rFonts w:ascii="Times New Roman" w:hAnsi="Times New Roman"/>
          <w:noProof/>
          <w:sz w:val="24"/>
        </w:rPr>
        <w:t xml:space="preserve"> </w:t>
      </w:r>
      <w:r>
        <w:rPr>
          <w:rFonts w:ascii="Times New Roman" w:hAnsi="Times New Roman"/>
          <w:b/>
          <w:noProof/>
          <w:sz w:val="24"/>
        </w:rPr>
        <w:t>InvestEU</w:t>
      </w:r>
      <w:r>
        <w:rPr>
          <w:rFonts w:ascii="Times New Roman" w:hAnsi="Times New Roman"/>
          <w:noProof/>
          <w:sz w:val="24"/>
        </w:rPr>
        <w:t>. Tim će se sredstvima podupirati mjere za promicanje sudjelovanja žena na tržištu rada i ravnoteže između poslovnog i privatnog života, ulagati u ustanove za skrb, podupirati žensko poduzetništvo, suzbijati rodna segregacija u određenim zanimanjima te mijenjati neuravnotežena zastupljenost djevojčica i dječaka u nekim područjima obrazovanja i osposobljavanja.</w:t>
      </w:r>
    </w:p>
    <w:p>
      <w:pPr>
        <w:spacing w:line="100" w:lineRule="atLeast"/>
        <w:jc w:val="both"/>
        <w:rPr>
          <w:rFonts w:ascii="Times New Roman" w:hAnsi="Times New Roman" w:cs="Times New Roman"/>
          <w:noProof/>
          <w:sz w:val="28"/>
          <w:szCs w:val="24"/>
        </w:rPr>
      </w:pPr>
      <w:r>
        <w:rPr>
          <w:rFonts w:ascii="Times New Roman" w:hAnsi="Times New Roman"/>
          <w:noProof/>
          <w:sz w:val="24"/>
        </w:rPr>
        <w:t>Predloženom Uredbom o zajedničkim odredbama</w:t>
      </w:r>
      <w:r>
        <w:rPr>
          <w:rStyle w:val="FootnoteReference"/>
          <w:rFonts w:ascii="Times New Roman" w:hAnsi="Times New Roman" w:cs="Times New Roman"/>
          <w:noProof/>
          <w:sz w:val="24"/>
        </w:rPr>
        <w:footnoteReference w:id="81"/>
      </w:r>
      <w:r>
        <w:rPr>
          <w:rFonts w:ascii="Times New Roman" w:hAnsi="Times New Roman"/>
          <w:noProof/>
          <w:sz w:val="24"/>
        </w:rPr>
        <w:t xml:space="preserve"> obuhvaćeni su </w:t>
      </w:r>
      <w:r>
        <w:rPr>
          <w:rFonts w:ascii="Times New Roman" w:hAnsi="Times New Roman"/>
          <w:b/>
          <w:noProof/>
          <w:sz w:val="24"/>
        </w:rPr>
        <w:t>posebni „uvjeti koji omogućuju provedbu”</w:t>
      </w:r>
      <w:r>
        <w:rPr>
          <w:rFonts w:ascii="Times New Roman" w:hAnsi="Times New Roman"/>
          <w:noProof/>
          <w:sz w:val="24"/>
        </w:rPr>
        <w:t xml:space="preserve">, kojima se od država članica zahtijeva da uspostave </w:t>
      </w:r>
      <w:r>
        <w:rPr>
          <w:rFonts w:ascii="Times New Roman" w:hAnsi="Times New Roman"/>
          <w:b/>
          <w:noProof/>
          <w:sz w:val="24"/>
        </w:rPr>
        <w:t>nacionalne strateške okvire za rodnu ravnopravnost</w:t>
      </w:r>
      <w:r>
        <w:rPr>
          <w:rFonts w:ascii="Times New Roman" w:hAnsi="Times New Roman"/>
          <w:noProof/>
          <w:sz w:val="24"/>
        </w:rPr>
        <w:t xml:space="preserve"> kao preduvjet za iskorištavanje sredstava pri ulaganju u poboljšanje rodne ravnoteže na tržištu rada, ravnoteže između privatnog i poslovnog života ili infrastrukture za skrb o djeci. Još jedan </w:t>
      </w:r>
      <w:r>
        <w:rPr>
          <w:rFonts w:ascii="Times New Roman" w:hAnsi="Times New Roman"/>
          <w:b/>
          <w:noProof/>
          <w:sz w:val="24"/>
        </w:rPr>
        <w:t>horizontalni „uvjet koji omogućuje provedbu”</w:t>
      </w:r>
      <w:r>
        <w:rPr>
          <w:rFonts w:ascii="Times New Roman" w:hAnsi="Times New Roman"/>
          <w:noProof/>
          <w:sz w:val="24"/>
        </w:rPr>
        <w:t xml:space="preserve">, o djelotvornoj provedbi </w:t>
      </w:r>
      <w:r>
        <w:rPr>
          <w:rFonts w:ascii="Times New Roman" w:hAnsi="Times New Roman"/>
          <w:b/>
          <w:noProof/>
          <w:sz w:val="24"/>
        </w:rPr>
        <w:t>Povelje o temeljnim pravima</w:t>
      </w:r>
      <w:r>
        <w:rPr>
          <w:rFonts w:ascii="Times New Roman" w:hAnsi="Times New Roman"/>
          <w:noProof/>
          <w:sz w:val="24"/>
        </w:rPr>
        <w:t>, uključuje ravnopravnost spolova kao jedno od ključnih načela i primjenjuje se na sva ulaganja na temelju te uredbe.</w:t>
      </w:r>
    </w:p>
    <w:p>
      <w:pPr>
        <w:spacing w:line="100" w:lineRule="atLeast"/>
        <w:jc w:val="both"/>
        <w:rPr>
          <w:rFonts w:ascii="Times New Roman" w:hAnsi="Times New Roman" w:cs="Times New Roman"/>
          <w:noProof/>
          <w:sz w:val="28"/>
          <w:szCs w:val="24"/>
        </w:rPr>
      </w:pPr>
      <w:r>
        <w:rPr>
          <w:rFonts w:ascii="Times New Roman" w:hAnsi="Times New Roman"/>
          <w:noProof/>
          <w:sz w:val="24"/>
        </w:rPr>
        <w:t xml:space="preserve">Posebna financijska sredstva za projekte od kojih koristi imaju organizacije civilnog društva i javne ustanove koje provode posebne aktivnosti, uključujući sprečavanje i borbu protiv rodno uvjetovanog nasilja, bit će dostupna iz </w:t>
      </w:r>
      <w:r>
        <w:rPr>
          <w:rFonts w:ascii="Times New Roman" w:hAnsi="Times New Roman"/>
          <w:b/>
          <w:noProof/>
          <w:sz w:val="24"/>
        </w:rPr>
        <w:t>programa Građani, ravnopravnost, prava i vrijednosti</w:t>
      </w:r>
      <w:r>
        <w:rPr>
          <w:rFonts w:ascii="Times New Roman" w:hAnsi="Times New Roman"/>
          <w:noProof/>
          <w:sz w:val="24"/>
        </w:rPr>
        <w:t xml:space="preserve">. Posebnu pozornost treba posvetiti ženama i djevojčicama u azilu i migracijama. Putem </w:t>
      </w:r>
      <w:r>
        <w:rPr>
          <w:rFonts w:ascii="Times New Roman" w:hAnsi="Times New Roman"/>
          <w:b/>
          <w:noProof/>
          <w:sz w:val="24"/>
        </w:rPr>
        <w:t xml:space="preserve">Fonda za azil i migracije </w:t>
      </w:r>
      <w:r>
        <w:rPr>
          <w:rFonts w:ascii="Times New Roman" w:hAnsi="Times New Roman"/>
          <w:noProof/>
          <w:sz w:val="24"/>
        </w:rPr>
        <w:t>Komisija će poticati države članice da poduzimaju mjere kojima se podupiru posebne potrebe žena u postupku azila te mjere kojima se podupire integracija žena u novo društvo. Usto, s pomoću tog fonda omogućit će se jačanje zaštite ranjivih skupina, uključujući žene koje su žrtve rodno uvjetovanog nasilja u kontekstu azila i migracija.</w:t>
      </w:r>
    </w:p>
    <w:p>
      <w:pPr>
        <w:spacing w:line="100" w:lineRule="atLeast"/>
        <w:jc w:val="both"/>
        <w:rPr>
          <w:rFonts w:ascii="Times New Roman" w:hAnsi="Times New Roman" w:cs="Times New Roman"/>
          <w:noProof/>
          <w:sz w:val="28"/>
          <w:szCs w:val="24"/>
        </w:rPr>
      </w:pPr>
      <w:r>
        <w:rPr>
          <w:rFonts w:ascii="Times New Roman" w:hAnsi="Times New Roman"/>
          <w:noProof/>
          <w:sz w:val="24"/>
        </w:rPr>
        <w:t xml:space="preserve">U području istraživanja i inovacija Komisija će uvesti nove mjere za jačanje rodne ravnopravnosti u sklopu programa </w:t>
      </w:r>
      <w:r>
        <w:rPr>
          <w:rFonts w:ascii="Times New Roman" w:hAnsi="Times New Roman"/>
          <w:b/>
          <w:noProof/>
          <w:sz w:val="24"/>
        </w:rPr>
        <w:t>Obzor Europa</w:t>
      </w:r>
      <w:r>
        <w:rPr>
          <w:rFonts w:ascii="Times New Roman" w:hAnsi="Times New Roman"/>
          <w:noProof/>
          <w:sz w:val="24"/>
        </w:rPr>
        <w:t xml:space="preserve">, na primjer mogućnost da se </w:t>
      </w:r>
      <w:r>
        <w:rPr>
          <w:rFonts w:ascii="Times New Roman" w:hAnsi="Times New Roman"/>
          <w:b/>
          <w:noProof/>
          <w:sz w:val="24"/>
        </w:rPr>
        <w:t>od podnositelja zahtjeva traži plan za rodnu ravnopravnost</w:t>
      </w:r>
      <w:r>
        <w:rPr>
          <w:rFonts w:ascii="Times New Roman" w:hAnsi="Times New Roman"/>
          <w:noProof/>
          <w:sz w:val="24"/>
        </w:rPr>
        <w:t xml:space="preserve"> i inicijativu za povećanje broja novoosnovanih tehnoloških poduzeća sa ženskim rukovodstvom. Bit će dostupno i financiranje za rodna i intersekcionalna istraživanja. </w:t>
      </w:r>
    </w:p>
    <w:p>
      <w:pPr>
        <w:spacing w:line="100" w:lineRule="atLeast"/>
        <w:jc w:val="both"/>
        <w:rPr>
          <w:rFonts w:ascii="Times New Roman" w:hAnsi="Times New Roman" w:cs="Times New Roman"/>
          <w:noProof/>
          <w:sz w:val="28"/>
          <w:szCs w:val="24"/>
        </w:rPr>
      </w:pPr>
      <w:r>
        <w:rPr>
          <w:rFonts w:ascii="Times New Roman" w:hAnsi="Times New Roman"/>
          <w:noProof/>
          <w:sz w:val="24"/>
        </w:rPr>
        <w:t xml:space="preserve">Nudit će se mogućnosti financiranja i za proširenje poduzetničkog znanja žena, povećanje njihova sudjelovanja u donošenju odluka te ulaganje u razvoj osnovnih usluga u ruralnim područjima u okviru </w:t>
      </w:r>
      <w:r>
        <w:rPr>
          <w:rFonts w:ascii="Times New Roman" w:hAnsi="Times New Roman"/>
          <w:b/>
          <w:noProof/>
          <w:sz w:val="24"/>
        </w:rPr>
        <w:t>zajedničke poljoprivredne politike</w:t>
      </w:r>
      <w:r>
        <w:rPr>
          <w:rFonts w:ascii="Times New Roman" w:hAnsi="Times New Roman"/>
          <w:noProof/>
          <w:sz w:val="24"/>
        </w:rPr>
        <w:t>. U cilju osnaživanja žena planira se novi poziv za žene u plavom gospodarstvu</w:t>
      </w:r>
      <w:r>
        <w:rPr>
          <w:rStyle w:val="FootnoteReference"/>
          <w:rFonts w:ascii="Times New Roman" w:hAnsi="Times New Roman" w:cs="Times New Roman"/>
          <w:noProof/>
          <w:sz w:val="24"/>
        </w:rPr>
        <w:footnoteReference w:id="82"/>
      </w:r>
      <w:r>
        <w:rPr>
          <w:rFonts w:ascii="Times New Roman" w:hAnsi="Times New Roman"/>
          <w:noProof/>
          <w:sz w:val="24"/>
        </w:rPr>
        <w:t xml:space="preserve"> u okviru sljedećeg </w:t>
      </w:r>
      <w:r>
        <w:rPr>
          <w:rFonts w:ascii="Times New Roman" w:hAnsi="Times New Roman"/>
          <w:b/>
          <w:noProof/>
          <w:sz w:val="24"/>
        </w:rPr>
        <w:t>Europskog fonda za pomorstvo i ribarstvo</w:t>
      </w:r>
      <w:r>
        <w:rPr>
          <w:rFonts w:ascii="Times New Roman" w:hAnsi="Times New Roman"/>
          <w:noProof/>
          <w:sz w:val="24"/>
        </w:rPr>
        <w:t xml:space="preserve"> za razdoblje 2021.–2027.</w:t>
      </w:r>
    </w:p>
    <w:p>
      <w:pPr>
        <w:spacing w:line="100" w:lineRule="atLeast"/>
        <w:jc w:val="both"/>
        <w:rPr>
          <w:rFonts w:ascii="Times New Roman" w:hAnsi="Times New Roman" w:cs="Times New Roman"/>
          <w:noProof/>
          <w:sz w:val="28"/>
          <w:szCs w:val="24"/>
        </w:rPr>
      </w:pPr>
      <w:r>
        <w:rPr>
          <w:rFonts w:ascii="Times New Roman" w:hAnsi="Times New Roman"/>
          <w:noProof/>
          <w:sz w:val="24"/>
        </w:rPr>
        <w:t xml:space="preserve">Strategija za uključivanje i raznolikost za budući </w:t>
      </w:r>
      <w:r>
        <w:rPr>
          <w:rFonts w:ascii="Times New Roman" w:hAnsi="Times New Roman"/>
          <w:b/>
          <w:noProof/>
          <w:sz w:val="24"/>
        </w:rPr>
        <w:t>program Erasmus+</w:t>
      </w:r>
      <w:r>
        <w:rPr>
          <w:rFonts w:ascii="Times New Roman" w:hAnsi="Times New Roman"/>
          <w:noProof/>
          <w:sz w:val="24"/>
        </w:rPr>
        <w:t xml:space="preserve"> sadržavat će smjernice o tome kako taj program može doprinijeti uklanjanju rodnih nejednakosti u svim područjima obrazovanja, osposobljavanja, mladih i sporta.</w:t>
      </w:r>
    </w:p>
    <w:p>
      <w:pPr>
        <w:spacing w:line="100" w:lineRule="atLeast"/>
        <w:jc w:val="both"/>
        <w:rPr>
          <w:rFonts w:ascii="Times New Roman" w:hAnsi="Times New Roman" w:cs="Times New Roman"/>
          <w:noProof/>
          <w:sz w:val="28"/>
          <w:szCs w:val="24"/>
        </w:rPr>
      </w:pPr>
      <w:r>
        <w:rPr>
          <w:rFonts w:ascii="Times New Roman" w:hAnsi="Times New Roman"/>
          <w:noProof/>
          <w:sz w:val="24"/>
        </w:rPr>
        <w:t>Smjernicama Komisije o</w:t>
      </w:r>
      <w:r>
        <w:rPr>
          <w:rFonts w:ascii="Times New Roman" w:hAnsi="Times New Roman"/>
          <w:b/>
          <w:noProof/>
          <w:sz w:val="24"/>
        </w:rPr>
        <w:t xml:space="preserve"> društveno odgovornoj javnoj nabavi</w:t>
      </w:r>
      <w:r>
        <w:rPr>
          <w:rFonts w:ascii="Times New Roman" w:hAnsi="Times New Roman"/>
          <w:noProof/>
          <w:sz w:val="24"/>
        </w:rPr>
        <w:t xml:space="preserve"> suzbijat će se diskriminacija i promicati rodna ravnopravnost u javnim natječajima.</w:t>
      </w:r>
    </w:p>
    <w:p>
      <w:pPr>
        <w:spacing w:line="240" w:lineRule="auto"/>
        <w:jc w:val="both"/>
        <w:rPr>
          <w:rFonts w:ascii="Times New Roman" w:hAnsi="Times New Roman" w:cs="Times New Roman"/>
          <w:noProof/>
          <w:sz w:val="24"/>
          <w:szCs w:val="24"/>
        </w:rPr>
      </w:pPr>
      <w:r>
        <w:rPr>
          <w:rFonts w:ascii="Times New Roman" w:hAnsi="Times New Roman"/>
          <w:noProof/>
          <w:sz w:val="24"/>
        </w:rPr>
        <w:t>U skladu s opetovanim pozivima nekoliko država članica i Europskog parlamenta</w:t>
      </w:r>
      <w:r>
        <w:rPr>
          <w:rStyle w:val="FootnoteReference"/>
          <w:rFonts w:ascii="Times New Roman" w:hAnsi="Times New Roman" w:cs="Times New Roman"/>
          <w:noProof/>
          <w:sz w:val="24"/>
        </w:rPr>
        <w:footnoteReference w:id="83"/>
      </w:r>
      <w:r>
        <w:rPr>
          <w:rFonts w:ascii="Times New Roman" w:hAnsi="Times New Roman"/>
          <w:noProof/>
          <w:sz w:val="24"/>
        </w:rPr>
        <w:t xml:space="preserve"> </w:t>
      </w:r>
      <w:r>
        <w:rPr>
          <w:rFonts w:ascii="Times New Roman" w:hAnsi="Times New Roman"/>
          <w:b/>
          <w:noProof/>
          <w:sz w:val="24"/>
        </w:rPr>
        <w:t>Komisija će razmotriti utjecaj svojih aktivnosti na rodnu ravnopravnost i način mjerenja rashoda povezanih s rodnom ravnopravnošću na razini programa</w:t>
      </w:r>
      <w:r>
        <w:rPr>
          <w:rFonts w:ascii="Times New Roman" w:hAnsi="Times New Roman"/>
          <w:noProof/>
          <w:sz w:val="24"/>
        </w:rPr>
        <w:t xml:space="preserve"> u VFO-u za razdoblje 2021.–2027. U tom će pomoći rezultati nedavno pokrenute revizije Europskog revizorskog suda o </w:t>
      </w:r>
      <w:r>
        <w:rPr>
          <w:rFonts w:ascii="Times New Roman" w:hAnsi="Times New Roman"/>
          <w:b/>
          <w:noProof/>
          <w:sz w:val="24"/>
        </w:rPr>
        <w:t>rodno osviještenoj politici u proračunu EU-a</w:t>
      </w:r>
      <w:r>
        <w:rPr>
          <w:rFonts w:ascii="Times New Roman" w:hAnsi="Times New Roman"/>
          <w:noProof/>
          <w:sz w:val="24"/>
        </w:rPr>
        <w:t xml:space="preserve"> u cilju promicanja ravnopravnosti. Time će se poboljšati osvještavanje rodne perspektive u proračunskom postupku Komisije te tako dodatno povećati doprinos oblikovanja politika i dodjele sredstava ciljevima rodne ravnopravnosti.</w:t>
      </w:r>
    </w:p>
    <w:p>
      <w:pPr>
        <w:spacing w:line="100" w:lineRule="atLeast"/>
        <w:ind w:left="709" w:hanging="709"/>
        <w:jc w:val="both"/>
        <w:rPr>
          <w:rFonts w:ascii="Times New Roman" w:hAnsi="Times New Roman" w:cs="Times New Roman"/>
          <w:b/>
          <w:noProof/>
          <w:sz w:val="28"/>
          <w:szCs w:val="28"/>
        </w:rPr>
      </w:pPr>
      <w:r>
        <w:rPr>
          <w:rFonts w:ascii="Times New Roman" w:hAnsi="Times New Roman"/>
          <w:b/>
          <w:noProof/>
          <w:sz w:val="28"/>
          <w:szCs w:val="28"/>
        </w:rPr>
        <w:t>6.</w:t>
      </w:r>
      <w:r>
        <w:rPr>
          <w:rFonts w:ascii="Times New Roman" w:hAnsi="Times New Roman"/>
          <w:b/>
          <w:noProof/>
          <w:sz w:val="28"/>
          <w:szCs w:val="28"/>
        </w:rPr>
        <w:tab/>
        <w:t>Zauzimanje za rodnu ravnopravnost i osnaživanje žena diljem svijeta</w:t>
      </w:r>
    </w:p>
    <w:p>
      <w:pPr>
        <w:spacing w:line="100" w:lineRule="atLeast"/>
        <w:jc w:val="both"/>
        <w:rPr>
          <w:rFonts w:ascii="Times New Roman" w:hAnsi="Times New Roman" w:cs="Times New Roman"/>
          <w:noProof/>
          <w:sz w:val="28"/>
          <w:szCs w:val="24"/>
        </w:rPr>
      </w:pPr>
      <w:r>
        <w:rPr>
          <w:rFonts w:ascii="Times New Roman" w:hAnsi="Times New Roman"/>
          <w:b/>
          <w:noProof/>
          <w:sz w:val="24"/>
        </w:rPr>
        <w:t>Rodna neravnopravnost globalni je problem.</w:t>
      </w:r>
      <w:r>
        <w:rPr>
          <w:rFonts w:ascii="Times New Roman" w:hAnsi="Times New Roman"/>
          <w:noProof/>
          <w:sz w:val="24"/>
        </w:rPr>
        <w:t xml:space="preserve"> </w:t>
      </w:r>
      <w:r>
        <w:rPr>
          <w:rFonts w:ascii="Times New Roman" w:hAnsi="Times New Roman"/>
          <w:b/>
          <w:noProof/>
          <w:sz w:val="24"/>
        </w:rPr>
        <w:t xml:space="preserve">Rodna ravnopravnost i osnaživanje žena među glavnim su ciljevima vanjskog djelovanja EU-a. </w:t>
      </w:r>
      <w:r>
        <w:rPr>
          <w:rFonts w:ascii="Times New Roman" w:hAnsi="Times New Roman"/>
          <w:noProof/>
          <w:sz w:val="24"/>
        </w:rPr>
        <w:t>Važno je da unutarnje i vanjske mjere EU-a u tom području budu usklađene i uzajamno se osnažuju.</w:t>
      </w:r>
      <w:r>
        <w:rPr>
          <w:rFonts w:ascii="Times New Roman" w:hAnsi="Times New Roman"/>
          <w:b/>
          <w:noProof/>
          <w:sz w:val="24"/>
        </w:rPr>
        <w:t xml:space="preserve"> </w:t>
      </w:r>
      <w:r>
        <w:rPr>
          <w:rFonts w:ascii="Times New Roman" w:hAnsi="Times New Roman"/>
          <w:noProof/>
          <w:sz w:val="24"/>
        </w:rPr>
        <w:t xml:space="preserve">EU promiče rodnu ravnopravnost i osnaživanje žena u svojim međunarodnim partnerstvima, dijalozima s trećim zemljama o političkim i ljudskim pravima, svojoj trgovinskoj politici te politici susjedstva i politici proširenja, među ostalim u kontekstu pristupnih pregovora i procesa stabilizacije i pridruživanja. </w:t>
      </w:r>
      <w:r>
        <w:rPr>
          <w:rFonts w:ascii="Times New Roman" w:hAnsi="Times New Roman"/>
          <w:bCs/>
          <w:noProof/>
          <w:sz w:val="24"/>
        </w:rPr>
        <w:t>Usto, mjere povezane s rodnim pitanjima uključene su u djelovanja EU-a u nestabilnim prilikama, sukobima i kriznim situacijama.</w:t>
      </w:r>
    </w:p>
    <w:p>
      <w:pPr>
        <w:spacing w:line="100" w:lineRule="atLeast"/>
        <w:jc w:val="both"/>
        <w:rPr>
          <w:rFonts w:ascii="Times New Roman" w:hAnsi="Times New Roman" w:cs="Times New Roman"/>
          <w:noProof/>
          <w:sz w:val="28"/>
          <w:szCs w:val="24"/>
        </w:rPr>
      </w:pPr>
      <w:r>
        <w:rPr>
          <w:rFonts w:ascii="Times New Roman" w:hAnsi="Times New Roman"/>
          <w:b/>
          <w:noProof/>
          <w:sz w:val="24"/>
        </w:rPr>
        <w:t xml:space="preserve">Akcijski plan za rodnu ravnopravnost i osnaživanje žena u vanjskim odnosima </w:t>
      </w:r>
      <w:r>
        <w:rPr>
          <w:rFonts w:ascii="Times New Roman" w:hAnsi="Times New Roman"/>
          <w:noProof/>
          <w:sz w:val="24"/>
        </w:rPr>
        <w:t>(2016.–2020.) (GAP II)</w:t>
      </w:r>
      <w:r>
        <w:rPr>
          <w:rStyle w:val="FootnoteReference"/>
          <w:rFonts w:ascii="Times New Roman" w:hAnsi="Times New Roman" w:cs="Times New Roman"/>
          <w:noProof/>
          <w:sz w:val="24"/>
        </w:rPr>
        <w:footnoteReference w:id="84"/>
      </w:r>
      <w:r>
        <w:rPr>
          <w:rFonts w:ascii="Times New Roman" w:hAnsi="Times New Roman"/>
          <w:noProof/>
          <w:sz w:val="24"/>
        </w:rPr>
        <w:t xml:space="preserve"> usmjeren je na iskorjenjivanje nasilja nad ženama i djevojčicama, promicanje ekonomskog i socijalnog osnaživanja žena te jamčenje ostvarenja njihovih ljudskih, političkih i građanskih prava. Na temelju postignuća i stečenih iskustava </w:t>
      </w:r>
      <w:r>
        <w:rPr>
          <w:rFonts w:ascii="Times New Roman" w:hAnsi="Times New Roman"/>
          <w:b/>
          <w:noProof/>
          <w:sz w:val="24"/>
        </w:rPr>
        <w:t>tijekom 2020. pokrenut će se GAP III</w:t>
      </w:r>
      <w:r>
        <w:rPr>
          <w:rFonts w:ascii="Times New Roman" w:hAnsi="Times New Roman"/>
          <w:noProof/>
          <w:sz w:val="24"/>
        </w:rPr>
        <w:t>, koji će uključivati sveobuhvatan pristup i biti usklađen s prioritetima ove strategije integriranjem svih njezinih relevantnih elemenata u vanjsko djelovanje EU-a.</w:t>
      </w:r>
    </w:p>
    <w:p>
      <w:pPr>
        <w:spacing w:line="100" w:lineRule="atLeast"/>
        <w:jc w:val="both"/>
        <w:rPr>
          <w:rFonts w:ascii="Times New Roman" w:hAnsi="Times New Roman" w:cs="Times New Roman"/>
          <w:noProof/>
          <w:sz w:val="28"/>
          <w:szCs w:val="24"/>
        </w:rPr>
      </w:pPr>
      <w:r>
        <w:rPr>
          <w:rFonts w:ascii="Times New Roman" w:hAnsi="Times New Roman"/>
          <w:noProof/>
          <w:sz w:val="24"/>
        </w:rPr>
        <w:t xml:space="preserve">EU će i dalje podupirati ljudska prava žena, branitelje tih prava, spolno i reproduktivno zdravlje te seksualna i reproduktivna prava, kao i rad na suzbijanju seksualnog i rodno uvjetovanog nasilja diljem svijeta, među ostalim u nestabilnim prilikama, sukobima i kriznim situacijama. Pokrenuo je </w:t>
      </w:r>
      <w:r>
        <w:rPr>
          <w:rFonts w:ascii="Times New Roman" w:hAnsi="Times New Roman"/>
          <w:b/>
          <w:noProof/>
          <w:sz w:val="24"/>
        </w:rPr>
        <w:t>inicijativu Spotlight</w:t>
      </w:r>
      <w:r>
        <w:rPr>
          <w:rFonts w:ascii="Times New Roman" w:hAnsi="Times New Roman"/>
          <w:noProof/>
          <w:sz w:val="24"/>
        </w:rPr>
        <w:t xml:space="preserve">, zajednički globalni program EU-a i UN-a s ukupnim dodijeljenim sredstvima EU-a u iznosu od 500 milijuna EUR, kako bi se suzbili svi oblici nasilja nad ženama i djevojčicama. Tijekom 2020. će pokrenuti </w:t>
      </w:r>
      <w:r>
        <w:rPr>
          <w:rFonts w:ascii="Times New Roman" w:hAnsi="Times New Roman"/>
          <w:b/>
          <w:noProof/>
          <w:sz w:val="24"/>
        </w:rPr>
        <w:t>kampanju #WithHer</w:t>
      </w:r>
      <w:r>
        <w:rPr>
          <w:rFonts w:ascii="Times New Roman" w:hAnsi="Times New Roman"/>
          <w:noProof/>
          <w:sz w:val="24"/>
        </w:rPr>
        <w:t xml:space="preserve"> namijenjenu osporavanju štetnih rodnih normi i stereotipa, koji doprinose nasilju nad ženama diljem svijeta. U 2020. će donijeti i </w:t>
      </w:r>
      <w:r>
        <w:rPr>
          <w:rFonts w:ascii="Times New Roman" w:hAnsi="Times New Roman"/>
          <w:b/>
          <w:noProof/>
          <w:sz w:val="24"/>
        </w:rPr>
        <w:t>Akcijski plan EU-a za ljudska prava i demokraciju (2020.–2024.)</w:t>
      </w:r>
      <w:r>
        <w:rPr>
          <w:rFonts w:ascii="Times New Roman" w:hAnsi="Times New Roman"/>
          <w:noProof/>
          <w:sz w:val="24"/>
        </w:rPr>
        <w:t xml:space="preserve">. EU će i dalje provoditi </w:t>
      </w:r>
      <w:r>
        <w:rPr>
          <w:rFonts w:ascii="Times New Roman" w:hAnsi="Times New Roman"/>
          <w:b/>
          <w:noProof/>
          <w:sz w:val="24"/>
        </w:rPr>
        <w:t>Strateški pristup EU-a ženama, miru i sigurnosti te Akcijski plan za žene, mir i sigurnost</w:t>
      </w:r>
      <w:r>
        <w:rPr>
          <w:rFonts w:ascii="Times New Roman" w:hAnsi="Times New Roman"/>
          <w:noProof/>
          <w:sz w:val="24"/>
        </w:rPr>
        <w:t xml:space="preserve"> 2019.–2024.</w:t>
      </w:r>
      <w:r>
        <w:rPr>
          <w:rStyle w:val="FootnoteReference"/>
          <w:rFonts w:ascii="Times New Roman" w:hAnsi="Times New Roman" w:cs="Times New Roman"/>
          <w:noProof/>
          <w:sz w:val="24"/>
        </w:rPr>
        <w:footnoteReference w:id="85"/>
      </w:r>
      <w:r>
        <w:rPr>
          <w:rFonts w:ascii="Times New Roman" w:hAnsi="Times New Roman"/>
          <w:noProof/>
          <w:sz w:val="24"/>
        </w:rPr>
        <w:t xml:space="preserve"> </w:t>
      </w:r>
    </w:p>
    <w:p>
      <w:pPr>
        <w:tabs>
          <w:tab w:val="left" w:pos="7655"/>
        </w:tabs>
        <w:spacing w:line="100" w:lineRule="atLeast"/>
        <w:jc w:val="both"/>
        <w:rPr>
          <w:rFonts w:ascii="Times New Roman" w:hAnsi="Times New Roman" w:cs="Times New Roman"/>
          <w:noProof/>
          <w:sz w:val="28"/>
          <w:szCs w:val="24"/>
        </w:rPr>
      </w:pPr>
      <w:r>
        <w:rPr>
          <w:rFonts w:ascii="Times New Roman" w:hAnsi="Times New Roman"/>
          <w:noProof/>
          <w:sz w:val="24"/>
        </w:rPr>
        <w:t xml:space="preserve">Komisija će i dalje aktivno promicati rodnu ravnopravnost u okviru svoje </w:t>
      </w:r>
      <w:r>
        <w:rPr>
          <w:rFonts w:ascii="Times New Roman" w:hAnsi="Times New Roman"/>
          <w:b/>
          <w:noProof/>
          <w:sz w:val="24"/>
        </w:rPr>
        <w:t>trgovinske politike</w:t>
      </w:r>
      <w:r>
        <w:rPr>
          <w:rFonts w:ascii="Times New Roman" w:hAnsi="Times New Roman"/>
          <w:noProof/>
          <w:sz w:val="24"/>
        </w:rPr>
        <w:t xml:space="preserve">, među ostalim aktivnim sudjelovanjem u tom području u okviru Svjetske trgovinske organizacije. Nastavit će prikupljati podatke razvrstane po spolu kako bi osigurala da aspekti rodnih pitanja povezani s trgovinom budu na odgovarajući način obuhvaćeni u trgovinskim sporazumima te da se u trgovinskim inicijativama razmotri utjecaj na rodnu ravnopravnost. </w:t>
      </w:r>
    </w:p>
    <w:p>
      <w:pPr>
        <w:spacing w:line="100" w:lineRule="atLeast"/>
        <w:jc w:val="both"/>
        <w:rPr>
          <w:rFonts w:ascii="Times New Roman" w:hAnsi="Times New Roman" w:cs="Times New Roman"/>
          <w:noProof/>
          <w:sz w:val="28"/>
          <w:szCs w:val="24"/>
        </w:rPr>
      </w:pPr>
      <w:r>
        <w:rPr>
          <w:rFonts w:ascii="Times New Roman" w:hAnsi="Times New Roman"/>
          <w:noProof/>
          <w:sz w:val="24"/>
        </w:rPr>
        <w:t xml:space="preserve">U partnerskim zemljama EU će iskoristiti </w:t>
      </w:r>
      <w:r>
        <w:rPr>
          <w:rFonts w:ascii="Times New Roman" w:hAnsi="Times New Roman"/>
          <w:b/>
          <w:noProof/>
          <w:sz w:val="24"/>
        </w:rPr>
        <w:t>plan za vanjska ulaganja</w:t>
      </w:r>
      <w:r>
        <w:rPr>
          <w:rFonts w:ascii="Times New Roman" w:hAnsi="Times New Roman"/>
          <w:noProof/>
          <w:sz w:val="24"/>
        </w:rPr>
        <w:t xml:space="preserve"> za promicanje poduzetništva žena i njihova sudjelovanja na tržištu rada. Na primjer, samo iz Instrumenta za financijsko uključivanje žena planira se mobilizirati 100 milijuna EUR za pristup žena financiranju. </w:t>
      </w:r>
      <w:r>
        <w:rPr>
          <w:rFonts w:ascii="Times New Roman" w:hAnsi="Times New Roman"/>
          <w:b/>
          <w:noProof/>
          <w:sz w:val="24"/>
        </w:rPr>
        <w:t>Strategija EU-a s Afrikom</w:t>
      </w:r>
      <w:r>
        <w:rPr>
          <w:rFonts w:ascii="Times New Roman" w:hAnsi="Times New Roman"/>
          <w:noProof/>
          <w:sz w:val="24"/>
        </w:rPr>
        <w:t xml:space="preserve"> 2020. također će biti usmjerena na rodnu ravnopravnost i osnaživanje žena.</w:t>
      </w:r>
    </w:p>
    <w:p>
      <w:pPr>
        <w:spacing w:line="100" w:lineRule="atLeast"/>
        <w:jc w:val="both"/>
        <w:rPr>
          <w:rFonts w:ascii="Times New Roman" w:hAnsi="Times New Roman" w:cs="Times New Roman"/>
          <w:noProof/>
          <w:sz w:val="24"/>
          <w:szCs w:val="24"/>
        </w:rPr>
      </w:pPr>
      <w:r>
        <w:rPr>
          <w:rFonts w:ascii="Times New Roman" w:hAnsi="Times New Roman"/>
          <w:b/>
          <w:noProof/>
          <w:sz w:val="24"/>
        </w:rPr>
        <w:t>U vanjskim politikama EU-a rodno osviještena politika koristi se u proračunskom postupku</w:t>
      </w:r>
      <w:r>
        <w:rPr>
          <w:rFonts w:ascii="Times New Roman" w:hAnsi="Times New Roman"/>
          <w:noProof/>
          <w:sz w:val="24"/>
        </w:rPr>
        <w:t xml:space="preserve"> u obliku obveze osiguravanja da 85 % svih novih programa doprinosi rodnoj ravnopravnosti i osnaživanju žena</w:t>
      </w:r>
      <w:r>
        <w:rPr>
          <w:rStyle w:val="FootnoteReference"/>
          <w:rFonts w:ascii="Times New Roman" w:hAnsi="Times New Roman" w:cs="Times New Roman"/>
          <w:noProof/>
          <w:sz w:val="24"/>
        </w:rPr>
        <w:footnoteReference w:id="86"/>
      </w:r>
      <w:r>
        <w:rPr>
          <w:rFonts w:ascii="Times New Roman" w:hAnsi="Times New Roman"/>
          <w:noProof/>
          <w:sz w:val="24"/>
        </w:rPr>
        <w:t>.</w:t>
      </w:r>
    </w:p>
    <w:p>
      <w:pPr>
        <w:rPr>
          <w:rFonts w:ascii="Times New Roman" w:hAnsi="Times New Roman" w:cs="Times New Roman"/>
          <w:b/>
          <w:noProof/>
          <w:sz w:val="28"/>
          <w:szCs w:val="28"/>
        </w:rPr>
      </w:pPr>
      <w:r>
        <w:rPr>
          <w:noProof/>
        </w:rPr>
        <w:br w:type="page"/>
      </w:r>
    </w:p>
    <w:p>
      <w:pPr>
        <w:spacing w:line="100" w:lineRule="atLeast"/>
        <w:jc w:val="both"/>
        <w:rPr>
          <w:rFonts w:ascii="Times New Roman" w:hAnsi="Times New Roman" w:cs="Times New Roman"/>
          <w:b/>
          <w:noProof/>
          <w:sz w:val="28"/>
          <w:szCs w:val="28"/>
        </w:rPr>
      </w:pPr>
      <w:r>
        <w:rPr>
          <w:rFonts w:ascii="Times New Roman" w:hAnsi="Times New Roman"/>
          <w:b/>
          <w:noProof/>
          <w:sz w:val="28"/>
          <w:szCs w:val="28"/>
        </w:rPr>
        <w:t>ZAJEDNIČKI RAD ZA RODNO RAVNOPRAVNU EUROPU</w:t>
      </w:r>
    </w:p>
    <w:p>
      <w:pPr>
        <w:spacing w:line="100" w:lineRule="atLeast"/>
        <w:jc w:val="both"/>
        <w:rPr>
          <w:rFonts w:ascii="Times New Roman" w:hAnsi="Times New Roman" w:cs="Times New Roman"/>
          <w:noProof/>
          <w:sz w:val="28"/>
          <w:szCs w:val="24"/>
        </w:rPr>
      </w:pPr>
      <w:r>
        <w:rPr>
          <w:rFonts w:ascii="Times New Roman" w:hAnsi="Times New Roman"/>
          <w:b/>
          <w:noProof/>
          <w:sz w:val="24"/>
        </w:rPr>
        <w:t xml:space="preserve">Postizanje rodne ravnopravnosti u Europskoj uniji zajednička je odgovornost. </w:t>
      </w:r>
      <w:r>
        <w:rPr>
          <w:rFonts w:ascii="Times New Roman" w:hAnsi="Times New Roman"/>
          <w:noProof/>
          <w:sz w:val="24"/>
        </w:rPr>
        <w:t xml:space="preserve">Iziskuje udruživanje i djelovanje svih institucija, država članica i agencija EU-a, u partnerstvu s civilnim društvom i organizacijama žena, socijalnim partnerima i privatnim sektorom. </w:t>
      </w:r>
    </w:p>
    <w:p>
      <w:pPr>
        <w:spacing w:line="100" w:lineRule="atLeast"/>
        <w:jc w:val="both"/>
        <w:rPr>
          <w:rFonts w:ascii="Times New Roman" w:hAnsi="Times New Roman" w:cs="Times New Roman"/>
          <w:noProof/>
          <w:sz w:val="28"/>
          <w:szCs w:val="24"/>
        </w:rPr>
      </w:pPr>
      <w:r>
        <w:rPr>
          <w:rFonts w:ascii="Times New Roman" w:hAnsi="Times New Roman"/>
          <w:b/>
          <w:noProof/>
          <w:sz w:val="24"/>
        </w:rPr>
        <w:t>Europski parlament</w:t>
      </w:r>
      <w:r>
        <w:rPr>
          <w:rStyle w:val="FootnoteReference"/>
          <w:rFonts w:ascii="Times New Roman" w:hAnsi="Times New Roman" w:cs="Times New Roman"/>
          <w:noProof/>
          <w:sz w:val="24"/>
        </w:rPr>
        <w:footnoteReference w:id="87"/>
      </w:r>
      <w:r>
        <w:rPr>
          <w:rFonts w:ascii="Times New Roman" w:hAnsi="Times New Roman"/>
          <w:noProof/>
          <w:sz w:val="24"/>
        </w:rPr>
        <w:t xml:space="preserve"> i </w:t>
      </w:r>
      <w:r>
        <w:rPr>
          <w:rFonts w:ascii="Times New Roman" w:hAnsi="Times New Roman"/>
          <w:b/>
          <w:noProof/>
          <w:sz w:val="24"/>
        </w:rPr>
        <w:t>Vijeće</w:t>
      </w:r>
      <w:r>
        <w:rPr>
          <w:rStyle w:val="FootnoteReference"/>
          <w:rFonts w:ascii="Times New Roman" w:hAnsi="Times New Roman" w:cs="Times New Roman"/>
          <w:noProof/>
          <w:sz w:val="24"/>
        </w:rPr>
        <w:footnoteReference w:id="88"/>
      </w:r>
      <w:r>
        <w:rPr>
          <w:rFonts w:ascii="Times New Roman" w:hAnsi="Times New Roman"/>
          <w:noProof/>
          <w:sz w:val="24"/>
        </w:rPr>
        <w:t xml:space="preserve"> iskazali su svoju predanost rodnoj ravnopravnosti u nekoliko rezolucija i zaključaka, u kojima pozivaju Komisiju da donese europsku strategiju za rodnu ravnopravnost i intenzivira osvještavanje rodne perspektive u svim područjima politike. </w:t>
      </w:r>
    </w:p>
    <w:p>
      <w:pPr>
        <w:spacing w:line="100" w:lineRule="atLeast"/>
        <w:jc w:val="both"/>
        <w:rPr>
          <w:rFonts w:ascii="Times New Roman" w:hAnsi="Times New Roman" w:cs="Times New Roman"/>
          <w:noProof/>
          <w:sz w:val="28"/>
          <w:szCs w:val="24"/>
        </w:rPr>
      </w:pPr>
      <w:r>
        <w:rPr>
          <w:rFonts w:ascii="Times New Roman" w:hAnsi="Times New Roman"/>
          <w:noProof/>
          <w:sz w:val="24"/>
        </w:rPr>
        <w:t>Radeći zajedno, institucije i države članice EU-a trebaju produbiti svoju suradnju s civilnim društvom, uključujući pokrete i organizacije žena, te s međunarodnom organizacijama i vladama kako bi ostvarile napredak u rodnoj ravnopravnosti te i dalje bile globalni predvodnici u tom području.</w:t>
      </w:r>
    </w:p>
    <w:p>
      <w:pPr>
        <w:spacing w:line="100" w:lineRule="atLeast"/>
        <w:jc w:val="both"/>
        <w:rPr>
          <w:rFonts w:ascii="Times New Roman" w:hAnsi="Times New Roman" w:cs="Times New Roman"/>
          <w:noProof/>
          <w:sz w:val="28"/>
          <w:szCs w:val="24"/>
        </w:rPr>
      </w:pPr>
      <w:r>
        <w:rPr>
          <w:rFonts w:ascii="Times New Roman" w:hAnsi="Times New Roman"/>
          <w:noProof/>
          <w:sz w:val="24"/>
        </w:rPr>
        <w:t xml:space="preserve">Komisija poziva Europski parlament i Vijeće da nastave s pravodobnim radom na postojećim i predstojećim prijedlozima Komisije. Države članice trebale bi upotrijebiti sve alate koji su im na raspolaganju, pogotovo mogućnosti za financijsku potporu EU-a, i osigurati povećanje rodne ravnopravnosti. </w:t>
      </w:r>
    </w:p>
    <w:p>
      <w:pPr>
        <w:spacing w:line="100" w:lineRule="atLeast"/>
        <w:jc w:val="both"/>
        <w:rPr>
          <w:rFonts w:ascii="Times New Roman" w:hAnsi="Times New Roman" w:cs="Times New Roman"/>
          <w:noProof/>
          <w:sz w:val="28"/>
          <w:szCs w:val="24"/>
        </w:rPr>
      </w:pPr>
      <w:r>
        <w:rPr>
          <w:rFonts w:ascii="Times New Roman" w:hAnsi="Times New Roman"/>
          <w:noProof/>
          <w:sz w:val="24"/>
        </w:rPr>
        <w:t xml:space="preserve">Glavne mjere predstavljene u ovoj strategiji redovito će se ažurirati i nadopunjavati. Pratit će se njihova provedba te će se izvješćivati o napretku na godišnjoj osnovi. Izvješća će služiti kao </w:t>
      </w:r>
      <w:r>
        <w:rPr>
          <w:rFonts w:ascii="Times New Roman" w:hAnsi="Times New Roman"/>
          <w:b/>
          <w:noProof/>
          <w:sz w:val="24"/>
        </w:rPr>
        <w:t>godišnja politička procjena napretka</w:t>
      </w:r>
      <w:r>
        <w:rPr>
          <w:rFonts w:ascii="Times New Roman" w:hAnsi="Times New Roman"/>
          <w:noProof/>
          <w:sz w:val="24"/>
        </w:rPr>
        <w:t>. Uz primjere dobre prakse u državama članicama, izvješća će sadržavati i bitne podatke, među ostalim Eurostata i Eurofounda, te pokazatelje za mjerenje napretka, koji će se temeljiti na indeksu rodne ravnopravnosti EU-a Europskog instituta za ravnopravnost spolova. Europski institut za ravnopravnost spolova osigurat će i podatke i istraživanja koji će se uzeti u obzir pri oblikovanju politika na temelju dokaza u institucijama EU-a i državama članicama.</w:t>
      </w:r>
    </w:p>
    <w:p>
      <w:pPr>
        <w:spacing w:line="100" w:lineRule="atLeast"/>
        <w:jc w:val="both"/>
        <w:rPr>
          <w:rFonts w:ascii="Times New Roman" w:hAnsi="Times New Roman" w:cs="Times New Roman"/>
          <w:b/>
          <w:noProof/>
          <w:sz w:val="24"/>
          <w:szCs w:val="24"/>
        </w:rPr>
      </w:pPr>
      <w:r>
        <w:rPr>
          <w:rFonts w:ascii="Times New Roman" w:hAnsi="Times New Roman"/>
          <w:b/>
          <w:noProof/>
          <w:sz w:val="24"/>
        </w:rPr>
        <w:t>Radeći zajedno, možemo do 2025. postići konkretan napredak u ostvarivanju Europe u kojoj su žene i muškarci, djevojčice i dječaci, u svoj svojoj raznolikosti, ravnopravni – mogu slobodno kročiti putem koji su odabrali i ostvariti svoj puni potencijal, imaju jednake mogućnosti za uspjeh te mogu ravnopravno sudjelovati u našem europskom društvu i voditi ga.</w:t>
      </w:r>
    </w:p>
    <w:p>
      <w:pPr>
        <w:spacing w:line="100" w:lineRule="atLeast"/>
        <w:jc w:val="both"/>
        <w:rPr>
          <w:rFonts w:ascii="Times New Roman" w:hAnsi="Times New Roman" w:cs="Times New Roman"/>
          <w:b/>
          <w:noProof/>
          <w:sz w:val="24"/>
          <w:szCs w:val="24"/>
        </w:rPr>
      </w:pPr>
    </w:p>
    <w:sectPr>
      <w:headerReference w:type="even" r:id="rId29"/>
      <w:headerReference w:type="default" r:id="rId30"/>
      <w:footerReference w:type="even" r:id="rId31"/>
      <w:footerReference w:type="default" r:id="rId32"/>
      <w:headerReference w:type="first" r:id="rId33"/>
      <w:footerReference w:type="first" r:id="rId34"/>
      <w:pgSz w:w="11906" w:h="16838"/>
      <w:pgMar w:top="1418" w:right="1418" w:bottom="1418" w:left="1418" w:header="709" w:footer="709"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after="0" w:line="240" w:lineRule="auto"/>
      </w:pPr>
      <w:r>
        <w:separator/>
      </w:r>
    </w:p>
  </w:endnote>
  <w:endnote w:type="continuationSeparator" w:id="0">
    <w:p>
      <w:pPr>
        <w:spacing w:after="0" w:line="240" w:lineRule="auto"/>
      </w:pPr>
      <w:r>
        <w:continuationSeparator/>
      </w:r>
    </w:p>
  </w:endnote>
  <w:endnote w:type="continuationNotice" w:id="1">
    <w:p>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EUAlbertina">
    <w:altName w:val="EU Albertina"/>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HR</w:t>
    </w:r>
    <w:r>
      <w:rPr>
        <w:rFonts w:ascii="Arial" w:hAnsi="Arial" w:cs="Arial"/>
        <w:b/>
        <w:sz w:val="48"/>
      </w:rPr>
      <w:tab/>
    </w:r>
    <w:r>
      <w:rPr>
        <w:rFonts w:ascii="Arial" w:hAnsi="Arial" w:cs="Arial"/>
        <w:b/>
        <w:sz w:val="48"/>
      </w:rPr>
      <w:tab/>
    </w:r>
    <w:r>
      <w:tab/>
    </w:r>
    <w:r>
      <w:rPr>
        <w:rFonts w:ascii="Arial" w:hAnsi="Arial" w:cs="Arial"/>
        <w:b/>
        <w:sz w:val="48"/>
      </w:rPr>
      <w:t>HR</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56147577"/>
      <w:docPartObj>
        <w:docPartGallery w:val="Page Numbers (Bottom of Page)"/>
        <w:docPartUnique/>
      </w:docPartObj>
    </w:sdtPr>
    <w:sdtEndPr>
      <w:rPr>
        <w:noProof/>
      </w:rPr>
    </w:sdtEndPr>
    <w:sdtContent>
      <w:p>
        <w:pPr>
          <w:pStyle w:val="Footer"/>
          <w:jc w:val="right"/>
        </w:pPr>
        <w:r>
          <w:fldChar w:fldCharType="begin"/>
        </w:r>
        <w:r>
          <w:instrText xml:space="preserve"> PAGE   \* MERGEFORMAT </w:instrText>
        </w:r>
        <w:r>
          <w:fldChar w:fldCharType="separate"/>
        </w:r>
        <w:r>
          <w:rPr>
            <w:noProof/>
          </w:rPr>
          <w:t>1</w:t>
        </w:r>
        <w:r>
          <w:fldChar w:fldCharType="end"/>
        </w:r>
      </w:p>
    </w:sdtContent>
  </w:sdt>
  <w:p>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after="0" w:line="240" w:lineRule="auto"/>
      </w:pPr>
      <w:r>
        <w:separator/>
      </w:r>
    </w:p>
  </w:footnote>
  <w:footnote w:type="continuationSeparator" w:id="0">
    <w:p>
      <w:pPr>
        <w:spacing w:after="0" w:line="240" w:lineRule="auto"/>
      </w:pPr>
      <w:r>
        <w:continuationSeparator/>
      </w:r>
    </w:p>
  </w:footnote>
  <w:footnote w:type="continuationNotice" w:id="1">
    <w:p>
      <w:pPr>
        <w:spacing w:after="0" w:line="240" w:lineRule="auto"/>
      </w:pPr>
    </w:p>
  </w:footnote>
  <w:footnote w:id="2">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Vidjeti članak 2. i članak 3. stavak 3. UEU-a, članke 8., 10., 19. i 157. UFEU-a te članke 21. i 23. Povelje EU-a o temeljnim pravima.</w:t>
      </w:r>
    </w:p>
  </w:footnote>
  <w:footnote w:id="3">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w:t>
      </w:r>
      <w:hyperlink r:id="rId1" w:history="1">
        <w:r>
          <w:rPr>
            <w:rStyle w:val="Hyperlink"/>
            <w:rFonts w:ascii="Times New Roman" w:hAnsi="Times New Roman"/>
            <w:u w:val="none"/>
          </w:rPr>
          <w:t>https://ec.europa.eu/commission/sites/beta-political/files/social-summit-european-pillar-social-rights-booklet_hr.pdf</w:t>
        </w:r>
      </w:hyperlink>
      <w:r>
        <w:rPr>
          <w:rFonts w:ascii="Times New Roman" w:hAnsi="Times New Roman"/>
        </w:rPr>
        <w:t>.</w:t>
      </w:r>
    </w:p>
  </w:footnote>
  <w:footnote w:id="4">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Do 2050. bi veća rodna ravnopravnost dovela do povećanja BDP-a po stanovniku u EU-u za 6,1 %–9,6 %, što iznosi 1,95–3,15 bilijuna eura: </w:t>
      </w:r>
      <w:hyperlink r:id="rId2" w:history="1">
        <w:r>
          <w:rPr>
            <w:rStyle w:val="Hyperlink"/>
            <w:rFonts w:ascii="Times New Roman" w:hAnsi="Times New Roman"/>
            <w:u w:val="none"/>
          </w:rPr>
          <w:t>https://eige.europa.eu/gender-mainstreaming/policy-areas/economic-and-financial-affairs/economic-benefits-gender-equality</w:t>
        </w:r>
      </w:hyperlink>
      <w:r>
        <w:rPr>
          <w:rFonts w:ascii="Times New Roman" w:hAnsi="Times New Roman"/>
        </w:rPr>
        <w:t>.</w:t>
      </w:r>
    </w:p>
  </w:footnote>
  <w:footnote w:id="5">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U smislu provedbe cilja održivog razvoja br. 5 – „Rodna ravnopravnost”, prema indeksu organizacije Equal Measures 2030 za cilj održivog razvoja „Rodna ravnopravnost” za 2019.:</w:t>
      </w:r>
      <w:r>
        <w:rPr>
          <w:rFonts w:ascii="Times New Roman" w:hAnsi="Times New Roman"/>
          <w:sz w:val="16"/>
        </w:rPr>
        <w:t xml:space="preserve"> </w:t>
      </w:r>
      <w:hyperlink r:id="rId3" w:history="1">
        <w:r>
          <w:rPr>
            <w:rStyle w:val="Hyperlink"/>
            <w:rFonts w:ascii="Times New Roman" w:hAnsi="Times New Roman"/>
            <w:u w:val="none"/>
          </w:rPr>
          <w:t>https://data.em2030.org/em2030-sdg-gender-index/</w:t>
        </w:r>
      </w:hyperlink>
      <w:r>
        <w:rPr>
          <w:rFonts w:ascii="Times New Roman" w:hAnsi="Times New Roman"/>
        </w:rPr>
        <w:t>.</w:t>
      </w:r>
    </w:p>
  </w:footnote>
  <w:footnote w:id="6">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EU je donio šest direktiva o ravnopravnosti žena i muškaraca na radnom mjestu, u samozapošljavanju, u pristupu robi i uslugama, u socijalnoj sigurnosti, u trudnoći i majčinstvu, na dopustu zbog obiteljskih razloga te u fleksibilnim radnim uvjetima za roditelje i pružatelje skrbi. Zajedno je tim aktima za cijelu Europu postavljen pravni standard kojim se osigurava znatna zaštita od diskriminacije. Brojnim postupcima na Sudu Europske unije dodatno je ojačano načelo ravnopravnosti i ostvarena pravda za žrtve diskriminacije.</w:t>
      </w:r>
    </w:p>
  </w:footnote>
  <w:footnote w:id="7">
    <w:p>
      <w:pPr>
        <w:pStyle w:val="FootnoteText"/>
        <w:jc w:val="both"/>
      </w:pPr>
      <w:r>
        <w:rPr>
          <w:rStyle w:val="FootnoteReference"/>
          <w:rFonts w:ascii="Times New Roman" w:hAnsi="Times New Roman" w:cs="Times New Roman"/>
        </w:rPr>
        <w:footnoteRef/>
      </w:r>
      <w:r>
        <w:rPr>
          <w:rFonts w:ascii="Times New Roman" w:hAnsi="Times New Roman"/>
        </w:rPr>
        <w:t xml:space="preserve"> „Rod” znači društveno oblikovane uloge, ponašanja, aktivnosti i osobine koje određeno društvo smatra prikladnima za žene odnosno muškarce; vidjeti članak 3. stavak (c) Konvencije Vijeća Europe o sprečavanju i borbi protiv nasilja nad ženama i nasilja u obitelji.  </w:t>
      </w:r>
    </w:p>
  </w:footnote>
  <w:footnote w:id="8">
    <w:p>
      <w:pPr>
        <w:pStyle w:val="FootnoteText"/>
        <w:contextualSpacing/>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Vidjeti Europski institut za ravnopravnost spolova (EIGE): </w:t>
      </w:r>
      <w:hyperlink r:id="rId4" w:history="1">
        <w:r>
          <w:rPr>
            <w:rStyle w:val="Hyperlink"/>
            <w:rFonts w:ascii="Times New Roman" w:hAnsi="Times New Roman"/>
            <w:u w:val="none"/>
          </w:rPr>
          <w:t>https://eige.europa.eu/gender-equality-index/2019</w:t>
        </w:r>
      </w:hyperlink>
      <w:r>
        <w:rPr>
          <w:rFonts w:ascii="Times New Roman" w:hAnsi="Times New Roman"/>
        </w:rPr>
        <w:t xml:space="preserve">. </w:t>
      </w:r>
    </w:p>
  </w:footnote>
  <w:footnote w:id="9">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Nastavno na strateški angažman Komisije za rodnu ravnopravnost u razdoblju 2016.–2019.</w:t>
      </w:r>
    </w:p>
  </w:footnote>
  <w:footnote w:id="10">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Izraz „u svoj svojoj raznolikosti” koristi se u ovoj strategiji kako bi se naznačilo da je, kad se spominju žene ili muškarci, riječ o heterogenim kategorijama, među ostalim u pogledu spola, rodnog identiteta, rodnog izražavanja i spolnih obilježja. Time se potvrđuje čvrsta namjera da nitko ne bude izostavljen i da se ostvari rodno ravnopravna Europa za sve, neovisno o spolu, rasnom ili etničkom podrijetlu, vjeri ili uvjerenju, invaliditetu, dobi ili seksualnoj orijentaciji.</w:t>
      </w:r>
    </w:p>
  </w:footnote>
  <w:footnote w:id="11">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Europski institut za ravnopravnost spolova definira „intersekcionalnost” kao „analitički alat za proučavanje, razumijevanje i reagiranje na načine na koje se spol i rod preklapaju s ostalim osobinama ili identitetima pojedinca i kako ta preklapanja doprinose jedinstvenom iskustvu diskriminacije” (Vidjeti </w:t>
      </w:r>
      <w:hyperlink r:id="rId5" w:history="1">
        <w:r>
          <w:rPr>
            <w:rStyle w:val="Hyperlink"/>
            <w:rFonts w:ascii="Times New Roman" w:hAnsi="Times New Roman"/>
            <w:u w:val="none"/>
          </w:rPr>
          <w:t>https://eige.europa.eu/thesaurus/terms/1263?lang=hr</w:t>
        </w:r>
      </w:hyperlink>
      <w:r>
        <w:rPr>
          <w:rFonts w:ascii="Times New Roman" w:hAnsi="Times New Roman"/>
        </w:rPr>
        <w:t>). Prema članku 10. UFEU-a pri „utvrđivanju i provedbi svojih politika i aktivnosti, Unija je usmjerena borbi protiv diskriminacije na temelju spola, rase, etničkog podrijetla, vjere ili uvjerenja, invaliditeta, dobi ili spolne orijentacije”.</w:t>
      </w:r>
    </w:p>
  </w:footnote>
  <w:footnote w:id="12">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t>
      </w:r>
      <w:hyperlink r:id="rId6" w:history="1">
        <w:r>
          <w:rPr>
            <w:rStyle w:val="Hyperlink"/>
            <w:rFonts w:ascii="Times New Roman" w:hAnsi="Times New Roman"/>
            <w:u w:val="none"/>
          </w:rPr>
          <w:t>https://beijing20.unwomen.org/en/about</w:t>
        </w:r>
      </w:hyperlink>
      <w:r>
        <w:rPr>
          <w:rFonts w:ascii="Times New Roman" w:hAnsi="Times New Roman"/>
        </w:rPr>
        <w:t>.</w:t>
      </w:r>
    </w:p>
  </w:footnote>
  <w:footnote w:id="13">
    <w:p>
      <w:pPr>
        <w:pStyle w:val="End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t>
      </w:r>
      <w:hyperlink r:id="rId7" w:history="1">
        <w:r>
          <w:rPr>
            <w:rStyle w:val="Hyperlink"/>
            <w:rFonts w:ascii="Times New Roman" w:hAnsi="Times New Roman"/>
            <w:u w:val="none"/>
          </w:rPr>
          <w:t>https://ec.europa.eu/europeaid/policies/sustainable-development-goals_en</w:t>
        </w:r>
      </w:hyperlink>
      <w:r>
        <w:rPr>
          <w:rFonts w:ascii="Times New Roman" w:hAnsi="Times New Roman"/>
        </w:rPr>
        <w:t>.</w:t>
      </w:r>
    </w:p>
  </w:footnote>
  <w:footnote w:id="14">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Članak 3. stavak (d) Istanbulske konvencije.</w:t>
      </w:r>
    </w:p>
  </w:footnote>
  <w:footnote w:id="15">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Agencija Europske unije za temeljna prava (FRA), </w:t>
      </w:r>
      <w:r>
        <w:rPr>
          <w:rFonts w:ascii="Times New Roman" w:hAnsi="Times New Roman"/>
          <w:i/>
          <w:iCs/>
        </w:rPr>
        <w:t>Violence against women: an EU-wide survey</w:t>
      </w:r>
      <w:r>
        <w:rPr>
          <w:rFonts w:ascii="Times New Roman" w:hAnsi="Times New Roman"/>
        </w:rPr>
        <w:t xml:space="preserve"> (Nasilje nad ženama: istraživanje na razini EU-a), 2014. – vidjeti infografike.</w:t>
      </w:r>
    </w:p>
  </w:footnote>
  <w:footnote w:id="16">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Zahtjev za mišljenje koji je podnio Europski parlament na temelju članka 218. stavka 11. UFEU-a (mišljenje 1/19).</w:t>
      </w:r>
    </w:p>
  </w:footnote>
  <w:footnote w:id="17">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Brojke u infografici su iz novijih istraživanja Europske mreže End FGM, vidjeti: </w:t>
      </w:r>
      <w:hyperlink r:id="rId8" w:history="1">
        <w:r>
          <w:rPr>
            <w:rStyle w:val="Hyperlink"/>
            <w:rFonts w:ascii="Times New Roman" w:hAnsi="Times New Roman"/>
            <w:u w:val="none"/>
          </w:rPr>
          <w:t>https://www.endfgm.eu/female-genital-mutilation/fgm-in-europe</w:t>
        </w:r>
      </w:hyperlink>
      <w:r>
        <w:rPr>
          <w:rFonts w:ascii="Times New Roman" w:hAnsi="Times New Roman"/>
        </w:rPr>
        <w:t>.</w:t>
      </w:r>
    </w:p>
  </w:footnote>
  <w:footnote w:id="18">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Direktiva 2012/29/EU o uspostavi minimalnih standarda za prava, potporu i zaštitu žrtava kaznenih djela.</w:t>
      </w:r>
    </w:p>
  </w:footnote>
  <w:footnote w:id="19">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Na primjer, 34 % žena sa zdravstvenim problemom ili s invaliditetom doživjele su fizičko ili seksualno nasilje od partnera, dok je od žena koje nemaju zdravstveni problem ni invaliditet njih 19 % doživjelo takvo nasilje. FRA, </w:t>
      </w:r>
      <w:r>
        <w:rPr>
          <w:rFonts w:ascii="Times New Roman" w:hAnsi="Times New Roman"/>
          <w:i/>
        </w:rPr>
        <w:t>Violence against women: an EU-wide survey</w:t>
      </w:r>
      <w:r>
        <w:rPr>
          <w:rFonts w:ascii="Times New Roman" w:hAnsi="Times New Roman"/>
        </w:rPr>
        <w:t xml:space="preserve"> (Nasilje nad ženama: istraživanje na razini EU-a), 2014.</w:t>
      </w:r>
    </w:p>
  </w:footnote>
  <w:footnote w:id="20">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Za provedbu preporuka Odbora UN-a za prava osoba s invaliditetom za EU, posebno u vezi s člankom 6. (Žene s invaliditetom) i člankom 16. (Sloboda od izrabljivanja, nasilja i zlostavljanja).</w:t>
      </w:r>
    </w:p>
  </w:footnote>
  <w:footnote w:id="21">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Prema Europskom institutu za ravnopravnost spolova „maskulinitet” znači „različiti pojmovi o tome što znači biti muškarac, uključujući obrasce ponašanja povezane s mjestom koje muškarac zauzima u određenom skupu rodnih uloga i odnosa”, vidjeti: </w:t>
      </w:r>
      <w:hyperlink r:id="rId9" w:history="1">
        <w:r>
          <w:rPr>
            <w:rStyle w:val="Hyperlink"/>
            <w:rFonts w:ascii="Times New Roman" w:hAnsi="Times New Roman"/>
            <w:u w:val="none"/>
          </w:rPr>
          <w:t>https://eige.europa.eu/thesaurus/terms/1285?lang=hr</w:t>
        </w:r>
      </w:hyperlink>
      <w:r>
        <w:rPr>
          <w:rFonts w:ascii="Times New Roman" w:hAnsi="Times New Roman"/>
        </w:rPr>
        <w:t>.</w:t>
      </w:r>
    </w:p>
  </w:footnote>
  <w:footnote w:id="22">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Međunarodna organizacija rada, Konvencija o nasilju i uznemiravanju (br. 190) i Preporuka (br. 206).</w:t>
      </w:r>
    </w:p>
  </w:footnote>
  <w:footnote w:id="23">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Direktiva 2006/54/EZ o provedbi načela jednakih mogućnosti i jednakog postupanja prema muškarcima i ženama u pitanjima zapošljavanja i rada (preinaka).</w:t>
      </w:r>
    </w:p>
  </w:footnote>
  <w:footnote w:id="24">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t>
      </w:r>
      <w:hyperlink r:id="rId10" w:history="1">
        <w:r>
          <w:rPr>
            <w:rStyle w:val="Hyperlink"/>
            <w:rFonts w:ascii="Times New Roman" w:hAnsi="Times New Roman"/>
            <w:u w:val="none"/>
          </w:rPr>
          <w:t>https://ec.europa.eu/digital-single-market/en/new-eu-rules-e-commerce</w:t>
        </w:r>
      </w:hyperlink>
      <w:r>
        <w:t>.</w:t>
      </w:r>
    </w:p>
  </w:footnote>
  <w:footnote w:id="25">
    <w:p>
      <w:pPr>
        <w:pStyle w:val="FootnoteText"/>
        <w:keepLines/>
        <w:widowControl w:val="0"/>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Na temelju suradnje u okviru internetskog foruma EU-a, iz koje je proizišao Kodeks postupanja EU-a za borbu protiv nezakonitog govora mržnje na internetu.</w:t>
      </w:r>
    </w:p>
  </w:footnote>
  <w:footnote w:id="26">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Trgovanje ljudima prepoznato je kao nasilje nad ženama i djevojčicama u skladu s člankom 6. Konvencije UN-a o uklanjanju svih oblika diskriminacije žena.</w:t>
      </w:r>
    </w:p>
  </w:footnote>
  <w:footnote w:id="27">
    <w:p>
      <w:pPr>
        <w:pStyle w:val="FootnoteText"/>
      </w:pPr>
      <w:r>
        <w:rPr>
          <w:rStyle w:val="FootnoteReference"/>
          <w:rFonts w:ascii="Times New Roman" w:hAnsi="Times New Roman" w:cs="Times New Roman"/>
        </w:rPr>
        <w:footnoteRef/>
      </w:r>
      <w:r>
        <w:rPr>
          <w:rFonts w:ascii="Times New Roman" w:hAnsi="Times New Roman"/>
        </w:rPr>
        <w:t xml:space="preserve"> Na temelju Direktive 2011/36/EU o sprečavanju i suzbijanju trgovanja ljudima i zaštiti njegovih žrtava.</w:t>
      </w:r>
    </w:p>
  </w:footnote>
  <w:footnote w:id="28">
    <w:p>
      <w:pPr>
        <w:pStyle w:val="FootnoteText"/>
        <w:jc w:val="both"/>
      </w:pPr>
      <w:r>
        <w:rPr>
          <w:rStyle w:val="FootnoteReference"/>
          <w:rFonts w:ascii="Times New Roman" w:hAnsi="Times New Roman" w:cs="Times New Roman"/>
        </w:rPr>
        <w:footnoteRef/>
      </w:r>
      <w:r>
        <w:rPr>
          <w:rFonts w:ascii="Times New Roman" w:hAnsi="Times New Roman"/>
        </w:rPr>
        <w:t xml:space="preserve"> Posebno istraživanje Eurobarometra br. 465, lipanj 2017. – vidjeti infografike.</w:t>
      </w:r>
      <w:r>
        <w:t xml:space="preserve"> </w:t>
      </w:r>
    </w:p>
  </w:footnote>
  <w:footnote w:id="29">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Europska komisija, Bijela knjiga o umjetnoj inteligenciji – europski pristup izvrsnosti i izgradnji povjerenja, COM(2020) 65 final: </w:t>
      </w:r>
      <w:hyperlink r:id="rId11" w:history="1">
        <w:r>
          <w:rPr>
            <w:rStyle w:val="Hyperlink"/>
            <w:rFonts w:ascii="Times New Roman" w:hAnsi="Times New Roman"/>
            <w:u w:val="none"/>
          </w:rPr>
          <w:t>https://ec.europa.eu/info/sites/info/files/commission-white-paper-artificial-intelligence-feb2020_en.pdf</w:t>
        </w:r>
      </w:hyperlink>
      <w:r>
        <w:rPr>
          <w:rFonts w:ascii="Times New Roman" w:hAnsi="Times New Roman"/>
        </w:rPr>
        <w:t>.</w:t>
      </w:r>
    </w:p>
  </w:footnote>
  <w:footnote w:id="30">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t>
      </w:r>
      <w:hyperlink r:id="rId12" w:history="1">
        <w:r>
          <w:rPr>
            <w:rStyle w:val="Hyperlink"/>
            <w:rFonts w:ascii="Times New Roman" w:hAnsi="Times New Roman"/>
            <w:u w:val="none"/>
          </w:rPr>
          <w:t>https://ec.europa.eu/info/horizon-europe-next-research-and-innovation-framework-programme_en</w:t>
        </w:r>
      </w:hyperlink>
      <w:r>
        <w:rPr>
          <w:rFonts w:ascii="Times New Roman" w:hAnsi="Times New Roman"/>
        </w:rPr>
        <w:t>.</w:t>
      </w:r>
    </w:p>
  </w:footnote>
  <w:footnote w:id="31">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Vidjeti primjerice studiju </w:t>
      </w:r>
      <w:r>
        <w:rPr>
          <w:rFonts w:ascii="Times New Roman" w:hAnsi="Times New Roman"/>
          <w:i/>
        </w:rPr>
        <w:t>Gender equality in the media sector</w:t>
      </w:r>
      <w:r>
        <w:rPr>
          <w:rFonts w:ascii="Times New Roman" w:hAnsi="Times New Roman"/>
        </w:rPr>
        <w:t xml:space="preserve"> (Rodna ravnopravnost u medijskom sektoru), koja je provedena za Odbor za prava žena i jednakost spolova (FEMM), Europski parlament, 2018.  </w:t>
      </w:r>
    </w:p>
  </w:footnote>
  <w:footnote w:id="32">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t>
      </w:r>
      <w:hyperlink r:id="rId13" w:history="1">
        <w:r>
          <w:rPr>
            <w:rStyle w:val="Hyperlink"/>
            <w:rFonts w:ascii="Times New Roman" w:hAnsi="Times New Roman"/>
            <w:u w:val="none"/>
          </w:rPr>
          <w:t>https://ec.europa.eu/programmes/creative-europe/node_en</w:t>
        </w:r>
      </w:hyperlink>
      <w:r>
        <w:rPr>
          <w:rFonts w:ascii="Times New Roman" w:hAnsi="Times New Roman"/>
        </w:rPr>
        <w:t>.</w:t>
      </w:r>
    </w:p>
  </w:footnote>
  <w:footnote w:id="33">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t>
      </w:r>
      <w:hyperlink r:id="rId14" w:history="1">
        <w:r>
          <w:rPr>
            <w:rStyle w:val="Hyperlink"/>
            <w:rFonts w:ascii="Times New Roman" w:hAnsi="Times New Roman"/>
            <w:u w:val="none"/>
          </w:rPr>
          <w:t>https://ec.europa.eu/digital-single-market/en/media-sub-programme-creative-europe</w:t>
        </w:r>
      </w:hyperlink>
      <w:r>
        <w:rPr>
          <w:rFonts w:ascii="Times New Roman" w:hAnsi="Times New Roman"/>
        </w:rPr>
        <w:t>.</w:t>
      </w:r>
    </w:p>
  </w:footnote>
  <w:footnote w:id="34">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Direktiva 2011/93/EU o suzbijanju seksualnog zlostavljanja i seksualnog iskorištavanja djece i dječje pornografije</w:t>
      </w:r>
      <w:r>
        <w:t>.</w:t>
      </w:r>
    </w:p>
  </w:footnote>
  <w:footnote w:id="35">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Posebno Direktivu 2011/36/EU o sprečavanju i suzbijanju trgovanja ljudima i zaštiti njegovih žrtava, Direktivu 2011/99/EU o europskom nalogu za zaštitu, Uredbu (EU) br. 606/2013 o uzajamnom priznavanju zaštitnih mjera u građanskim stvarima i Direktivu Vijeća 2004/80/EZ o naknadi žrtvama kaznenih djela.</w:t>
      </w:r>
    </w:p>
  </w:footnote>
  <w:footnote w:id="36">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Eurostat, 2019., </w:t>
      </w:r>
      <w:hyperlink r:id="rId15" w:history="1">
        <w:r>
          <w:rPr>
            <w:rStyle w:val="Hyperlink"/>
            <w:rFonts w:ascii="Times New Roman" w:hAnsi="Times New Roman"/>
            <w:u w:val="none"/>
          </w:rPr>
          <w:t>https://ec.europa.eu/eurostat/web/products-datasets/product?code=sdg_05_30</w:t>
        </w:r>
      </w:hyperlink>
      <w:r>
        <w:rPr>
          <w:rFonts w:ascii="Times New Roman" w:hAnsi="Times New Roman"/>
        </w:rPr>
        <w:t xml:space="preserve"> i </w:t>
      </w:r>
      <w:hyperlink r:id="rId16" w:history="1">
        <w:r>
          <w:rPr>
            <w:rStyle w:val="Hyperlink"/>
            <w:rFonts w:ascii="Times New Roman" w:hAnsi="Times New Roman"/>
            <w:u w:val="none"/>
          </w:rPr>
          <w:t>https://appsso.eurostat.ec.europa.eu/nui/show.do?dataset=lfsi_emp_a&amp;lang=en</w:t>
        </w:r>
      </w:hyperlink>
      <w:r>
        <w:t xml:space="preserve"> </w:t>
      </w:r>
      <w:r>
        <w:rPr>
          <w:rFonts w:ascii="Times New Roman" w:hAnsi="Times New Roman"/>
        </w:rPr>
        <w:t>– vidjeti infografiku.</w:t>
      </w:r>
    </w:p>
  </w:footnote>
  <w:footnote w:id="37">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t>
      </w:r>
      <w:hyperlink r:id="rId17" w:history="1">
        <w:r>
          <w:rPr>
            <w:rStyle w:val="Hyperlink"/>
            <w:rFonts w:ascii="Times New Roman" w:hAnsi="Times New Roman"/>
            <w:u w:val="none"/>
          </w:rPr>
          <w:t>https://ec.europa.eu/eurostat/statistics-explained/pdfscache/35409.pdf</w:t>
        </w:r>
      </w:hyperlink>
      <w:r>
        <w:t xml:space="preserve"> </w:t>
      </w:r>
      <w:r>
        <w:rPr>
          <w:rFonts w:ascii="Times New Roman" w:hAnsi="Times New Roman"/>
        </w:rPr>
        <w:t xml:space="preserve">i Agencija za temeljna prava (FRA), </w:t>
      </w:r>
      <w:r>
        <w:rPr>
          <w:rFonts w:ascii="Times New Roman" w:hAnsi="Times New Roman"/>
          <w:i/>
          <w:iCs/>
        </w:rPr>
        <w:t>Roma women in nine EU Member States</w:t>
      </w:r>
      <w:r>
        <w:rPr>
          <w:rFonts w:ascii="Times New Roman" w:hAnsi="Times New Roman"/>
        </w:rPr>
        <w:t xml:space="preserve"> (Romkinje u devet država članica EU-a), 2019. – vidjeti infografiku.</w:t>
      </w:r>
    </w:p>
  </w:footnote>
  <w:footnote w:id="38">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Eurostat, </w:t>
      </w:r>
      <w:r>
        <w:rPr>
          <w:rFonts w:ascii="Times New Roman" w:hAnsi="Times New Roman"/>
          <w:i/>
          <w:iCs/>
        </w:rPr>
        <w:t>Labour Force Survey</w:t>
      </w:r>
      <w:r>
        <w:rPr>
          <w:rFonts w:ascii="Times New Roman" w:hAnsi="Times New Roman"/>
        </w:rPr>
        <w:t xml:space="preserve"> (Istraživanje o radnoj snazi), izračuni na temelju </w:t>
      </w:r>
      <w:r>
        <w:rPr>
          <w:rFonts w:ascii="Times New Roman" w:hAnsi="Times New Roman"/>
          <w:i/>
          <w:iCs/>
        </w:rPr>
        <w:t>lfsa_eegan2</w:t>
      </w:r>
      <w:r>
        <w:rPr>
          <w:rFonts w:ascii="Times New Roman" w:hAnsi="Times New Roman"/>
          <w:iCs/>
        </w:rPr>
        <w:t xml:space="preserve"> – vidjeti infografiku.</w:t>
      </w:r>
    </w:p>
  </w:footnote>
  <w:footnote w:id="39">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Vidjeti, na primjer, ENAR, </w:t>
      </w:r>
      <w:r>
        <w:rPr>
          <w:rFonts w:ascii="Times New Roman" w:hAnsi="Times New Roman"/>
          <w:i/>
          <w:iCs/>
        </w:rPr>
        <w:t>Racism and discrimination in Employment in Europe 2013-2017</w:t>
      </w:r>
      <w:r>
        <w:rPr>
          <w:rFonts w:ascii="Times New Roman" w:hAnsi="Times New Roman"/>
        </w:rPr>
        <w:t xml:space="preserve"> (Rasizam i diskriminacija u zapošljavanju u Europi 2013.–2017.), 2017. </w:t>
      </w:r>
    </w:p>
  </w:footnote>
  <w:footnote w:id="40">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Direktiva (EU) 2019/1158 o ravnoteži između poslovnog i privatnog života roditelja i pružatelja skrbi.</w:t>
      </w:r>
    </w:p>
  </w:footnote>
  <w:footnote w:id="41">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Države članice do 2. kolovoza 2022. moraju prenijeti Direktivu o ravnoteži između poslovnog i privatnog života (do 2. kolovoza 2024. odredbe o plaći za posljednja dva tjedna minimalnog razdoblja od dva mjeseca roditeljskog dopusta).</w:t>
      </w:r>
    </w:p>
  </w:footnote>
  <w:footnote w:id="42">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Za postojeće mjere vidjeti Izvješće Europske komisije o raznolikosti i rodnoj ravnopravnosti 2019. (interni dokument).</w:t>
      </w:r>
    </w:p>
  </w:footnote>
  <w:footnote w:id="43">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t>
      </w:r>
      <w:hyperlink r:id="rId18" w:history="1">
        <w:r>
          <w:rPr>
            <w:rStyle w:val="Hyperlink"/>
            <w:rFonts w:ascii="Times New Roman" w:hAnsi="Times New Roman"/>
            <w:u w:val="none"/>
          </w:rPr>
          <w:t>https://ec.europa.eu/info/business-economy-euro/economic-and-fiscal-policy-coordination/eu-economic-governance-monitoring-prevention-correction/european-semester_hr</w:t>
        </w:r>
      </w:hyperlink>
      <w:r>
        <w:rPr>
          <w:rFonts w:ascii="Times New Roman" w:hAnsi="Times New Roman"/>
        </w:rPr>
        <w:t>.</w:t>
      </w:r>
    </w:p>
  </w:footnote>
  <w:footnote w:id="44">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t>
      </w:r>
      <w:r>
        <w:rPr>
          <w:rFonts w:ascii="Times New Roman" w:hAnsi="Times New Roman"/>
          <w:bCs/>
        </w:rPr>
        <w:t>Načelo br. 2 stupa odnosi se na rodnu ravnopravnost, dok se nekoliko drugih načela odnosi na pitanja povezana s rodom, među ostalim načela o jednakim mogućnostima (načelo br. 3), ravnoteži između poslovnog i privatnog života (načelo br. 9), skrbi o djeci i potpori djeci (načelo br. 11), dohotku u starosti i mirovinama (načelo br. 15) i dugoročnoj skrbi (načelo br. 18).</w:t>
      </w:r>
    </w:p>
  </w:footnote>
  <w:footnote w:id="45">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Međunarodna financijska korporacija, </w:t>
      </w:r>
      <w:r>
        <w:rPr>
          <w:rFonts w:ascii="Times New Roman" w:hAnsi="Times New Roman"/>
          <w:i/>
        </w:rPr>
        <w:t>Moving toward gender balance in private equity and venture capital</w:t>
      </w:r>
      <w:r>
        <w:rPr>
          <w:rFonts w:ascii="Times New Roman" w:hAnsi="Times New Roman"/>
        </w:rPr>
        <w:t xml:space="preserve"> (Prema rodnoj ravnoteži u privatnom i rizičnom kapitalu), 2019.; Biegel, S., Hunt, S. M., Kuhlman, S., </w:t>
      </w:r>
      <w:r>
        <w:rPr>
          <w:rFonts w:ascii="Times New Roman" w:hAnsi="Times New Roman"/>
          <w:i/>
        </w:rPr>
        <w:t>Project Sage 2.0 Tracking venture capital with a gender lens</w:t>
      </w:r>
      <w:r>
        <w:rPr>
          <w:rFonts w:ascii="Times New Roman" w:hAnsi="Times New Roman"/>
        </w:rPr>
        <w:t xml:space="preserve"> (Projekt Sage2.0: Praćenje rizičnog kapitala s rodnom dimenzijom), 2019.; i Atomico, </w:t>
      </w:r>
      <w:r>
        <w:rPr>
          <w:rFonts w:ascii="Times New Roman" w:hAnsi="Times New Roman"/>
          <w:i/>
          <w:iCs/>
        </w:rPr>
        <w:t>State of European Tech 2019 Report</w:t>
      </w:r>
      <w:r>
        <w:rPr>
          <w:rFonts w:ascii="Times New Roman" w:hAnsi="Times New Roman"/>
        </w:rPr>
        <w:t xml:space="preserve"> (Stanje europske tehnologije – izvješće za 2019.), </w:t>
      </w:r>
      <w:hyperlink r:id="rId19" w:history="1">
        <w:r>
          <w:rPr>
            <w:rStyle w:val="Hyperlink"/>
            <w:rFonts w:ascii="Times New Roman" w:hAnsi="Times New Roman"/>
            <w:u w:val="none"/>
          </w:rPr>
          <w:t>https://2019.stateofeuropeantech.com/chapter/state-european-tech-2019/article/executive-summary</w:t>
        </w:r>
      </w:hyperlink>
      <w:r>
        <w:rPr>
          <w:rFonts w:ascii="Times New Roman" w:hAnsi="Times New Roman"/>
        </w:rPr>
        <w:t xml:space="preserve"> – vidjeti infografike.</w:t>
      </w:r>
    </w:p>
  </w:footnote>
  <w:footnote w:id="46">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t>
      </w:r>
      <w:hyperlink r:id="rId20" w:history="1">
        <w:r>
          <w:rPr>
            <w:rStyle w:val="Hyperlink"/>
            <w:rFonts w:ascii="Times New Roman" w:hAnsi="Times New Roman"/>
            <w:u w:val="none"/>
          </w:rPr>
          <w:t>https://ec.europa.eu/research/eic/index.cfm</w:t>
        </w:r>
      </w:hyperlink>
      <w:r>
        <w:rPr>
          <w:rFonts w:ascii="Times New Roman" w:hAnsi="Times New Roman"/>
        </w:rPr>
        <w:t xml:space="preserve">. </w:t>
      </w:r>
    </w:p>
  </w:footnote>
  <w:footnote w:id="47">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Izvješće PISA-e 2019., </w:t>
      </w:r>
      <w:hyperlink r:id="rId21" w:history="1">
        <w:r>
          <w:rPr>
            <w:rStyle w:val="Hyperlink"/>
            <w:rFonts w:ascii="Times New Roman" w:hAnsi="Times New Roman"/>
            <w:u w:val="none"/>
          </w:rPr>
          <w:t>http://www.oecd.org/pisa/PISA%202018%20Insights%20and%20Interpretations%20FINAL%20PDF.pdf</w:t>
        </w:r>
      </w:hyperlink>
      <w:r>
        <w:rPr>
          <w:rFonts w:ascii="Times New Roman" w:hAnsi="Times New Roman"/>
        </w:rPr>
        <w:t xml:space="preserve">; Europska komisija, Žene u digitalnom dobu – konačno izvješće, 2018.; i Svjetski ekonomski forum, </w:t>
      </w:r>
      <w:r>
        <w:rPr>
          <w:rFonts w:ascii="Times New Roman" w:hAnsi="Times New Roman"/>
          <w:i/>
        </w:rPr>
        <w:t>Global Gender Gap Report</w:t>
      </w:r>
      <w:r>
        <w:rPr>
          <w:rFonts w:ascii="Times New Roman" w:hAnsi="Times New Roman"/>
        </w:rPr>
        <w:t xml:space="preserve"> (Globalno izvješće o razlikama na temelju spola), 2020. – vidjeti infografike.</w:t>
      </w:r>
    </w:p>
  </w:footnote>
  <w:footnote w:id="48">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Eurostat, </w:t>
      </w:r>
      <w:r>
        <w:rPr>
          <w:rFonts w:ascii="Times New Roman" w:hAnsi="Times New Roman"/>
          <w:i/>
        </w:rPr>
        <w:t>A decomposition of the unadjusted gender pay gap using Structure of Earnings Survey data</w:t>
      </w:r>
      <w:r>
        <w:rPr>
          <w:rFonts w:ascii="Times New Roman" w:hAnsi="Times New Roman"/>
        </w:rPr>
        <w:t xml:space="preserve"> (Analiza neprilagođene razlike u plaći na temelju spola s pomoću podataka iz ankete o strukturi dohotka), statistički radni dokument, 2018.</w:t>
      </w:r>
    </w:p>
  </w:footnote>
  <w:footnote w:id="49">
    <w:p>
      <w:pPr>
        <w:pStyle w:val="NoSpacing"/>
        <w:rPr>
          <w:rFonts w:ascii="Times New Roman" w:hAnsi="Times New Roman" w:cs="Times New Roman"/>
          <w:sz w:val="20"/>
          <w:szCs w:val="20"/>
        </w:rPr>
      </w:pPr>
      <w:r>
        <w:rPr>
          <w:rFonts w:ascii="Times New Roman" w:hAnsi="Times New Roman" w:cs="Times New Roman"/>
          <w:sz w:val="20"/>
          <w:szCs w:val="20"/>
          <w:vertAlign w:val="superscript"/>
        </w:rPr>
        <w:footnoteRef/>
      </w:r>
      <w:r>
        <w:rPr>
          <w:rFonts w:ascii="Times New Roman" w:hAnsi="Times New Roman"/>
          <w:sz w:val="20"/>
          <w:szCs w:val="20"/>
        </w:rPr>
        <w:t xml:space="preserve"> Europska komisija, IKT za rad: digitalne vještine na radnom mjestu, 2017. </w:t>
      </w:r>
    </w:p>
  </w:footnote>
  <w:footnote w:id="50">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Informacijska i komunikacijska tehnologija.</w:t>
      </w:r>
    </w:p>
  </w:footnote>
  <w:footnote w:id="51">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t>
      </w:r>
      <w:hyperlink r:id="rId22" w:history="1">
        <w:r>
          <w:rPr>
            <w:rStyle w:val="Hyperlink"/>
            <w:rFonts w:ascii="Times New Roman" w:hAnsi="Times New Roman"/>
            <w:u w:val="none"/>
          </w:rPr>
          <w:t>https://ec.europa.eu/eurostat/web/products-eurostat-news/-/EDN-20180425-1</w:t>
        </w:r>
      </w:hyperlink>
      <w:r>
        <w:rPr>
          <w:rFonts w:ascii="Times New Roman" w:hAnsi="Times New Roman"/>
        </w:rPr>
        <w:t>.</w:t>
      </w:r>
    </w:p>
  </w:footnote>
  <w:footnote w:id="52">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Prirodne znanosti, tehnologija, inženjerstvo i matematika.</w:t>
      </w:r>
    </w:p>
  </w:footnote>
  <w:footnote w:id="53">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t>
      </w:r>
      <w:hyperlink r:id="rId23" w:history="1">
        <w:r>
          <w:rPr>
            <w:rStyle w:val="Hyperlink"/>
            <w:rFonts w:ascii="Times New Roman" w:hAnsi="Times New Roman"/>
            <w:u w:val="none"/>
          </w:rPr>
          <w:t>https://op.europa.eu/hr/publication-detail/-/publication/9540ffa1-4478-11e9-a8ed-01aa75ed71a1</w:t>
        </w:r>
      </w:hyperlink>
      <w:r>
        <w:rPr>
          <w:rFonts w:ascii="Times New Roman" w:hAnsi="Times New Roman"/>
        </w:rPr>
        <w:t>.</w:t>
      </w:r>
    </w:p>
  </w:footnote>
  <w:footnote w:id="54">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t>
      </w:r>
      <w:r>
        <w:rPr>
          <w:rFonts w:ascii="Times New Roman" w:hAnsi="Times New Roman"/>
          <w:i/>
        </w:rPr>
        <w:t>International Computer and Information Literacy Study 2018</w:t>
      </w:r>
      <w:r>
        <w:rPr>
          <w:rFonts w:ascii="Times New Roman" w:hAnsi="Times New Roman"/>
        </w:rPr>
        <w:t xml:space="preserve"> (ICILS) (Međunarodno istraživanje računalne i informacijske pismenosti 2018.).</w:t>
      </w:r>
    </w:p>
  </w:footnote>
  <w:footnote w:id="55">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t>
      </w:r>
      <w:hyperlink r:id="rId24" w:history="1">
        <w:r>
          <w:rPr>
            <w:rStyle w:val="Hyperlink"/>
            <w:rFonts w:ascii="Times New Roman" w:hAnsi="Times New Roman"/>
            <w:u w:val="none"/>
          </w:rPr>
          <w:t>https://ec.europa.eu/digital-single-market/en/news/eu-countries-commit-boost-participation-women-digital</w:t>
        </w:r>
      </w:hyperlink>
      <w:r>
        <w:rPr>
          <w:rFonts w:ascii="Times New Roman" w:hAnsi="Times New Roman"/>
        </w:rPr>
        <w:t>.</w:t>
      </w:r>
    </w:p>
  </w:footnote>
  <w:footnote w:id="56">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Eurostat, 2018., na </w:t>
      </w:r>
      <w:hyperlink r:id="rId25" w:history="1">
        <w:r>
          <w:rPr>
            <w:rFonts w:ascii="Times New Roman" w:hAnsi="Times New Roman"/>
            <w:color w:val="0000FF"/>
          </w:rPr>
          <w:t>https://ec.europa.eu/eurostat/databrowser/product/view/SDG_05_20?lang=en</w:t>
        </w:r>
      </w:hyperlink>
      <w:r>
        <w:rPr>
          <w:rFonts w:ascii="Times New Roman" w:hAnsi="Times New Roman"/>
        </w:rPr>
        <w:t xml:space="preserve">; </w:t>
      </w:r>
      <w:hyperlink r:id="rId26" w:history="1">
        <w:r>
          <w:rPr>
            <w:rFonts w:ascii="Times New Roman" w:hAnsi="Times New Roman"/>
            <w:color w:val="0000FF"/>
          </w:rPr>
          <w:t>https://appsso.eurostat.ec.europa.eu/nui/show.do?dataset=ilc_pnp13&amp;lang=en</w:t>
        </w:r>
      </w:hyperlink>
      <w:r>
        <w:rPr>
          <w:rFonts w:ascii="Times New Roman" w:hAnsi="Times New Roman"/>
        </w:rPr>
        <w:t xml:space="preserve"> i </w:t>
      </w:r>
      <w:hyperlink r:id="rId27" w:history="1">
        <w:r>
          <w:rPr>
            <w:rFonts w:ascii="Times New Roman" w:hAnsi="Times New Roman"/>
            <w:color w:val="0000FF"/>
          </w:rPr>
          <w:t>https://appsso.eurostat.ec.europa.eu/nui/show.do?dataset=ilc_pnp14&amp;lang=en</w:t>
        </w:r>
      </w:hyperlink>
      <w:r>
        <w:rPr>
          <w:rFonts w:ascii="Times New Roman" w:hAnsi="Times New Roman"/>
        </w:rPr>
        <w:t xml:space="preserve"> – vidjeti infografike.</w:t>
      </w:r>
    </w:p>
  </w:footnote>
  <w:footnote w:id="57">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Jedan je od razloga činjenica da žene u prosjeku provode manje sati u plaćenom radu nego muškarci: u EU-u samo 8 % muškaraca radi u nepunom radnom vremenu, a gotovo trećina žena (31 %) – vidjeti Eurostat, 2018., </w:t>
      </w:r>
      <w:hyperlink r:id="rId28" w:history="1">
        <w:r>
          <w:rPr>
            <w:rStyle w:val="Hyperlink"/>
            <w:rFonts w:ascii="Times New Roman" w:hAnsi="Times New Roman"/>
            <w:u w:val="none"/>
          </w:rPr>
          <w:t>https://ec.europa.eu/eurostat/web/products-eurostat-news/-/DDN-20190621-1</w:t>
        </w:r>
      </w:hyperlink>
      <w:r>
        <w:rPr>
          <w:rFonts w:ascii="Times New Roman" w:hAnsi="Times New Roman"/>
        </w:rPr>
        <w:t>.</w:t>
      </w:r>
    </w:p>
  </w:footnote>
  <w:footnote w:id="58">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Evaluacija relevantne odredbe iz Direktive 2006/54/EZ kojom se provodi načelo „jednake plaće za jednak rad ili rad jednake vrijednosti” iz Ugovora, SWD(2020) 50; Izvješće o provedbi Akcijskog plana EU-a za razdoblje 2017.–2019. za uklanjanje razlike u plaći na temelju spola, COM(2020) 101.</w:t>
      </w:r>
    </w:p>
  </w:footnote>
  <w:footnote w:id="59">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Bit će pokrenuto zajedno s ovom strategijom.</w:t>
      </w:r>
    </w:p>
  </w:footnote>
  <w:footnote w:id="60">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Završno izvješće Skupine stručnjaka na visokoj razini za mirovine, prosinac 2019.,</w:t>
      </w:r>
      <w:r>
        <w:rPr>
          <w:rFonts w:ascii="Times New Roman" w:hAnsi="Times New Roman"/>
        </w:rPr>
        <w:br/>
      </w:r>
      <w:hyperlink r:id="rId29" w:history="1">
        <w:r>
          <w:rPr>
            <w:rStyle w:val="Hyperlink"/>
            <w:rFonts w:ascii="Times New Roman" w:hAnsi="Times New Roman"/>
            <w:u w:val="none"/>
          </w:rPr>
          <w:t>https://ec.europa.eu/transparency/regexpert/index.cfm?do=groupDetail.groupDetail&amp;groupID=3589</w:t>
        </w:r>
      </w:hyperlink>
      <w:r>
        <w:rPr>
          <w:rFonts w:ascii="Times New Roman" w:hAnsi="Times New Roman"/>
        </w:rPr>
        <w:t>.</w:t>
      </w:r>
    </w:p>
  </w:footnote>
  <w:footnote w:id="61">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Maldonado, L. C. i Nieuwenhuis, R., </w:t>
      </w:r>
      <w:r>
        <w:rPr>
          <w:rFonts w:ascii="Times New Roman" w:hAnsi="Times New Roman"/>
          <w:i/>
        </w:rPr>
        <w:t>Family policies and single parent poverty in 18 OECD countries, 1978–2008</w:t>
      </w:r>
      <w:r>
        <w:rPr>
          <w:rFonts w:ascii="Times New Roman" w:hAnsi="Times New Roman"/>
        </w:rPr>
        <w:t xml:space="preserve"> (Obiteljska politika i siromaštvo samohranih roditelja u 18 zemalja OECD-a, 1978.–2008.), </w:t>
      </w:r>
      <w:r>
        <w:rPr>
          <w:rFonts w:ascii="Times New Roman" w:hAnsi="Times New Roman"/>
          <w:i/>
        </w:rPr>
        <w:t>Community, Work &amp; Family</w:t>
      </w:r>
      <w:r>
        <w:rPr>
          <w:rFonts w:ascii="Times New Roman" w:hAnsi="Times New Roman"/>
        </w:rPr>
        <w:t xml:space="preserve"> (Zajednica, posao i prijatelji), 18(4): 395–415.</w:t>
      </w:r>
    </w:p>
  </w:footnote>
  <w:footnote w:id="62">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t>
      </w:r>
      <w:hyperlink r:id="rId30" w:history="1">
        <w:r>
          <w:rPr>
            <w:rStyle w:val="Hyperlink"/>
            <w:rFonts w:ascii="Times New Roman" w:hAnsi="Times New Roman"/>
            <w:u w:val="none"/>
          </w:rPr>
          <w:t>https://www.ilo.org/wcmsp5/groups/public/---dgreports/---cabinet/documents/publication/wcms_713376.pdf</w:t>
        </w:r>
      </w:hyperlink>
      <w:r>
        <w:rPr>
          <w:rFonts w:ascii="Times New Roman" w:hAnsi="Times New Roman"/>
        </w:rPr>
        <w:t xml:space="preserve">. </w:t>
      </w:r>
    </w:p>
  </w:footnote>
  <w:footnote w:id="63">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Eurofound, </w:t>
      </w:r>
      <w:r>
        <w:rPr>
          <w:rFonts w:ascii="Times New Roman" w:hAnsi="Times New Roman"/>
          <w:i/>
        </w:rPr>
        <w:t>Striking a balance:</w:t>
      </w:r>
      <w:r>
        <w:rPr>
          <w:rFonts w:ascii="Times New Roman" w:hAnsi="Times New Roman"/>
        </w:rPr>
        <w:t xml:space="preserve"> </w:t>
      </w:r>
      <w:r>
        <w:rPr>
          <w:rFonts w:ascii="Times New Roman" w:hAnsi="Times New Roman"/>
          <w:i/>
          <w:iCs/>
        </w:rPr>
        <w:t>Reconciling work and life in the EU</w:t>
      </w:r>
      <w:r>
        <w:rPr>
          <w:rFonts w:ascii="Times New Roman" w:hAnsi="Times New Roman"/>
        </w:rPr>
        <w:t xml:space="preserve"> (Uspostava ravnoteže: usklađivanje poslovnog i privatnog života u EU-u), 2018. – vidjeti infografike.</w:t>
      </w:r>
    </w:p>
  </w:footnote>
  <w:footnote w:id="64">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Hoffmann, F., &amp; Rodrigues, R., </w:t>
      </w:r>
      <w:r>
        <w:rPr>
          <w:rFonts w:ascii="Times New Roman" w:hAnsi="Times New Roman"/>
          <w:i/>
        </w:rPr>
        <w:t>Informal carers: who takes care of them?</w:t>
      </w:r>
      <w:r>
        <w:rPr>
          <w:rFonts w:ascii="Times New Roman" w:hAnsi="Times New Roman"/>
        </w:rPr>
        <w:t xml:space="preserve"> (Neformalni pružatelji skrbi: tko skrbi za njih?), Izvješće o politici, travanj 2010., Europski centar za socijalnu politiku i istraživanje, Beč – vidjeti infografike.</w:t>
      </w:r>
    </w:p>
  </w:footnote>
  <w:footnote w:id="65">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t>
      </w:r>
      <w:hyperlink r:id="rId31" w:history="1">
        <w:r>
          <w:rPr>
            <w:rStyle w:val="Hyperlink"/>
            <w:rFonts w:ascii="Times New Roman" w:hAnsi="Times New Roman"/>
            <w:u w:val="none"/>
          </w:rPr>
          <w:t>https://ec.europa.eu/info/sites/info/files/bcn_objectives-report2018_web_en.pdf</w:t>
        </w:r>
      </w:hyperlink>
      <w:r>
        <w:rPr>
          <w:rFonts w:ascii="Times New Roman" w:hAnsi="Times New Roman"/>
        </w:rPr>
        <w:t>.</w:t>
      </w:r>
    </w:p>
  </w:footnote>
  <w:footnote w:id="66">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To uključuje preinaku Direktive o rodnoj ravnopravnosti u zapošljavanju i radu, direktive o rodnoj ravnopravnosti u samozapošljavanju, u pristupu robi i uslugama, u socijalnoj sigurnosti, u trudnoći i majčinstvu, Direktivu o radu u nepunom radnom vremenu, Direktivu o transparentnim i predvidivim radnim uvjetima, Preporuku o pristupu socijalnoj zaštiti i Preporuku o tijelima za jednakost.</w:t>
      </w:r>
    </w:p>
  </w:footnote>
  <w:footnote w:id="67">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Baza podataka EIGE-a za rodnu statistiku, </w:t>
      </w:r>
      <w:r>
        <w:rPr>
          <w:rFonts w:ascii="Times New Roman" w:hAnsi="Times New Roman"/>
          <w:i/>
          <w:iCs/>
        </w:rPr>
        <w:t>National parliaments:</w:t>
      </w:r>
      <w:r>
        <w:rPr>
          <w:rFonts w:ascii="Times New Roman" w:hAnsi="Times New Roman"/>
        </w:rPr>
        <w:t xml:space="preserve"> </w:t>
      </w:r>
      <w:r>
        <w:rPr>
          <w:rFonts w:ascii="Times New Roman" w:hAnsi="Times New Roman"/>
          <w:i/>
        </w:rPr>
        <w:t>Single/lower house</w:t>
      </w:r>
      <w:r>
        <w:rPr>
          <w:rFonts w:ascii="Times New Roman" w:hAnsi="Times New Roman"/>
        </w:rPr>
        <w:t xml:space="preserve"> (Nacionalni parlamenti: jedinstveni/donji domovi), 2019. – vidjeti infografiku.</w:t>
      </w:r>
    </w:p>
  </w:footnote>
  <w:footnote w:id="68">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ILO, </w:t>
      </w:r>
      <w:r>
        <w:rPr>
          <w:rFonts w:ascii="Times New Roman" w:hAnsi="Times New Roman"/>
          <w:i/>
        </w:rPr>
        <w:t>The business case for change</w:t>
      </w:r>
      <w:r>
        <w:rPr>
          <w:rFonts w:ascii="Times New Roman" w:hAnsi="Times New Roman"/>
        </w:rPr>
        <w:t xml:space="preserve"> (Poslovni argumenti za promjenu), 2019.; McKinsey, </w:t>
      </w:r>
      <w:r>
        <w:rPr>
          <w:rFonts w:ascii="Times New Roman" w:hAnsi="Times New Roman"/>
          <w:i/>
        </w:rPr>
        <w:t>Women Matter</w:t>
      </w:r>
      <w:r>
        <w:rPr>
          <w:rFonts w:ascii="Times New Roman" w:hAnsi="Times New Roman"/>
        </w:rPr>
        <w:t xml:space="preserve"> (Važnost žena), izvješće, 2017.; Catalyst, </w:t>
      </w:r>
      <w:r>
        <w:rPr>
          <w:rFonts w:ascii="Times New Roman" w:hAnsi="Times New Roman"/>
          <w:i/>
        </w:rPr>
        <w:t>Why Diversity and Inclusion Matter</w:t>
      </w:r>
      <w:r>
        <w:rPr>
          <w:rFonts w:ascii="Times New Roman" w:hAnsi="Times New Roman"/>
        </w:rPr>
        <w:t xml:space="preserve"> (Važnost raznolikosti i uključivanja), 2018.; Rohini Anand, </w:t>
      </w:r>
      <w:r>
        <w:rPr>
          <w:rFonts w:ascii="Times New Roman" w:hAnsi="Times New Roman"/>
          <w:i/>
        </w:rPr>
        <w:t>Gender-Balanced Teams Linked to Better Business Performance:</w:t>
      </w:r>
      <w:r>
        <w:rPr>
          <w:rFonts w:ascii="Times New Roman" w:hAnsi="Times New Roman"/>
        </w:rPr>
        <w:t xml:space="preserve"> </w:t>
      </w:r>
      <w:r>
        <w:rPr>
          <w:rFonts w:ascii="Times New Roman" w:hAnsi="Times New Roman"/>
          <w:i/>
        </w:rPr>
        <w:t>A Sodexo Study</w:t>
      </w:r>
      <w:r>
        <w:rPr>
          <w:rFonts w:ascii="Times New Roman" w:hAnsi="Times New Roman"/>
        </w:rPr>
        <w:t xml:space="preserve"> (Timovi s ravnomjernom rodnom zastupljenošću i uspješnije poslovanje: istraživanje Sodexoa), 2016.</w:t>
      </w:r>
    </w:p>
  </w:footnote>
  <w:footnote w:id="69">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Baza podataka EIGE-a za rodnu statistiku, </w:t>
      </w:r>
      <w:r>
        <w:rPr>
          <w:rFonts w:ascii="Times New Roman" w:hAnsi="Times New Roman"/>
          <w:i/>
          <w:iCs/>
        </w:rPr>
        <w:t>Women and men in decision-making</w:t>
      </w:r>
      <w:r>
        <w:rPr>
          <w:rFonts w:ascii="Times New Roman" w:hAnsi="Times New Roman"/>
        </w:rPr>
        <w:t xml:space="preserve"> (Žene i muškarci u donošenju odluka), 2019. – vidjeti infografiku.</w:t>
      </w:r>
    </w:p>
  </w:footnote>
  <w:footnote w:id="70">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COM(2012) 614 final.</w:t>
      </w:r>
    </w:p>
  </w:footnote>
  <w:footnote w:id="71">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Nekoliko zemalja koje su uvele relevantne zakonodavne mjere, uključujući Francusku, Italiju, Belgiju, Njemačku te nedavno Austriju i Portugal, imale su pozitivne rezultate. Vidjeti </w:t>
      </w:r>
      <w:hyperlink r:id="rId32" w:history="1">
        <w:r>
          <w:rPr>
            <w:rStyle w:val="Hyperlink"/>
            <w:rFonts w:ascii="Times New Roman" w:hAnsi="Times New Roman"/>
            <w:u w:val="none"/>
          </w:rPr>
          <w:t>https://eige.europa.eu/publications/gender-equality-index-2019-report/more-gender-equality-corporate-boards-only-few-member-states</w:t>
        </w:r>
      </w:hyperlink>
      <w:r>
        <w:rPr>
          <w:rFonts w:ascii="Times New Roman" w:hAnsi="Times New Roman"/>
        </w:rPr>
        <w:t>.</w:t>
      </w:r>
    </w:p>
  </w:footnote>
  <w:footnote w:id="72">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t>
      </w:r>
      <w:hyperlink r:id="rId33" w:history="1">
        <w:r>
          <w:rPr>
            <w:rStyle w:val="Hyperlink"/>
            <w:rFonts w:ascii="Times New Roman" w:hAnsi="Times New Roman"/>
            <w:u w:val="none"/>
          </w:rPr>
          <w:t>https://ec.europa.eu/info/policies/justice-and-fundamental-rights/combatting-discrimination/tackling-discrimination/diversity-management/eu-platform-diversity-charters_en</w:t>
        </w:r>
      </w:hyperlink>
      <w:r>
        <w:t>.</w:t>
      </w:r>
    </w:p>
  </w:footnote>
  <w:footnote w:id="73">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Među relevantnim projektima je </w:t>
      </w:r>
      <w:r>
        <w:rPr>
          <w:rFonts w:ascii="Times New Roman" w:hAnsi="Times New Roman"/>
          <w:i/>
          <w:iCs/>
        </w:rPr>
        <w:t>European Women on Boards</w:t>
      </w:r>
      <w:r>
        <w:rPr>
          <w:rFonts w:ascii="Times New Roman" w:hAnsi="Times New Roman"/>
        </w:rPr>
        <w:t xml:space="preserve"> (Europske žene u upravnim odborima): </w:t>
      </w:r>
      <w:hyperlink r:id="rId34" w:history="1">
        <w:r>
          <w:rPr>
            <w:rStyle w:val="Hyperlink"/>
            <w:rFonts w:ascii="Times New Roman" w:hAnsi="Times New Roman"/>
            <w:u w:val="none"/>
          </w:rPr>
          <w:t>https://europeanwomenonboards.eu/</w:t>
        </w:r>
      </w:hyperlink>
      <w:r>
        <w:rPr>
          <w:rFonts w:ascii="Times New Roman" w:hAnsi="Times New Roman"/>
        </w:rPr>
        <w:t>.</w:t>
      </w:r>
    </w:p>
  </w:footnote>
  <w:footnote w:id="74">
    <w:p>
      <w:pPr>
        <w:pStyle w:val="Default"/>
        <w:jc w:val="both"/>
        <w:rPr>
          <w:rFonts w:ascii="Times New Roman" w:hAnsi="Times New Roman" w:cs="Times New Roman"/>
          <w:sz w:val="20"/>
          <w:szCs w:val="20"/>
        </w:rPr>
      </w:pPr>
      <w:r>
        <w:rPr>
          <w:rStyle w:val="FootnoteReference"/>
          <w:rFonts w:ascii="Times New Roman" w:hAnsi="Times New Roman" w:cs="Times New Roman"/>
          <w:sz w:val="20"/>
          <w:szCs w:val="20"/>
        </w:rPr>
        <w:footnoteRef/>
      </w:r>
      <w:r>
        <w:rPr>
          <w:rFonts w:ascii="Times New Roman" w:hAnsi="Times New Roman"/>
          <w:sz w:val="20"/>
          <w:szCs w:val="20"/>
        </w:rPr>
        <w:t xml:space="preserve"> Uredba 2018/673 o izmjeni Uredbe (EU, Euratom) br. 1141/2014 o statutu i financiranju europskih političkih stranaka i europskih političkih zaklada, uvodna izjava 6.</w:t>
      </w:r>
    </w:p>
  </w:footnote>
  <w:footnote w:id="75">
    <w:p>
      <w:pPr>
        <w:pStyle w:val="FootnoteText"/>
        <w:jc w:val="both"/>
        <w:rPr>
          <w:rFonts w:ascii="Times New Roman" w:hAnsi="Times New Roman" w:cs="Times New Roman"/>
          <w:sz w:val="22"/>
        </w:rPr>
      </w:pPr>
      <w:r>
        <w:rPr>
          <w:rStyle w:val="FootnoteReference"/>
          <w:rFonts w:ascii="Times New Roman" w:hAnsi="Times New Roman" w:cs="Times New Roman"/>
        </w:rPr>
        <w:footnoteRef/>
      </w:r>
      <w:r>
        <w:rPr>
          <w:rFonts w:ascii="Times New Roman" w:hAnsi="Times New Roman"/>
        </w:rPr>
        <w:t xml:space="preserve"> Na rukovodećim mjestima u Komisiji 2019. je bilo 41 % žena (porast s 30 % 2014.). Tu je ubrojeno 37 % viših rukovoditelja (porast s 27 %) i 42 % srednjih rukovoditelja (porast s 31 %).</w:t>
      </w:r>
    </w:p>
  </w:footnote>
  <w:footnote w:id="76">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Za postojeće mjere vidjeti Izvješće Europske komisije o raznolikosti i rodnoj ravnopravnosti 2019., Bruxelles, 6. studenoga 2019.</w:t>
      </w:r>
    </w:p>
  </w:footnote>
  <w:footnote w:id="77">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Muškarci su trenutačno na čelu više od tri četvrtine agencija EU-a.</w:t>
      </w:r>
    </w:p>
  </w:footnote>
  <w:footnote w:id="78">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t>
      </w:r>
      <w:hyperlink r:id="rId35" w:history="1">
        <w:r>
          <w:rPr>
            <w:rStyle w:val="Hyperlink"/>
            <w:rFonts w:ascii="Times New Roman" w:hAnsi="Times New Roman"/>
            <w:u w:val="none"/>
          </w:rPr>
          <w:t>https://ec.europa.eu/info/policies/justice-and-fundamental-rights/gender-equality/who-we-work-gender-equality/mutual-learning-programme-gender-equality_en</w:t>
        </w:r>
      </w:hyperlink>
      <w:r>
        <w:rPr>
          <w:rFonts w:ascii="Times New Roman" w:hAnsi="Times New Roman"/>
        </w:rPr>
        <w:t>.</w:t>
      </w:r>
    </w:p>
  </w:footnote>
  <w:footnote w:id="79">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Radna skupina olakšat će osvještavanje ravnopravnosti u odnosu na šest osnova za diskriminaciju: spol, rasu ili etničko podrijetlo, vjeru ili uvjerenje, invaliditet, dob i seksualnu orijentaciju.</w:t>
      </w:r>
    </w:p>
  </w:footnote>
  <w:footnote w:id="80">
    <w:p>
      <w:pPr>
        <w:pStyle w:val="FootnoteText"/>
        <w:jc w:val="both"/>
      </w:pPr>
      <w:r>
        <w:rPr>
          <w:rStyle w:val="FootnoteReference"/>
          <w:rFonts w:ascii="Times New Roman" w:hAnsi="Times New Roman" w:cs="Times New Roman"/>
        </w:rPr>
        <w:footnoteRef/>
      </w:r>
      <w:r>
        <w:rPr>
          <w:rFonts w:ascii="Times New Roman" w:hAnsi="Times New Roman"/>
        </w:rPr>
        <w:t xml:space="preserve"> U oba će slučaja na primjer posebna pozornost koja se posvećuje starijim osobama (u smislu obnova otpornih na buduće promjene ili, kad su posrijedi politike prilagodbe klimatskim promjenama, u smislu mjera za bolju hidraciju tijekom toplinskih udara) pogotovo pozitivno djelovati na žene jer one čine većinu starijeg stanovništva.</w:t>
      </w:r>
    </w:p>
  </w:footnote>
  <w:footnote w:id="81">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COM(2018) 375 final.</w:t>
      </w:r>
    </w:p>
  </w:footnote>
  <w:footnote w:id="82">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t>
      </w:r>
      <w:hyperlink r:id="rId36" w:history="1">
        <w:r>
          <w:rPr>
            <w:rStyle w:val="Hyperlink"/>
            <w:rFonts w:ascii="Times New Roman" w:hAnsi="Times New Roman"/>
            <w:u w:val="none"/>
          </w:rPr>
          <w:t>https://ec.europa.eu/jrc/en/news/how-big-eus-blue-economy-eu-report-potential-coasts-and-oceans-provide-sustainable-economic-growth</w:t>
        </w:r>
      </w:hyperlink>
      <w:r>
        <w:rPr>
          <w:rFonts w:ascii="Times New Roman" w:hAnsi="Times New Roman"/>
        </w:rPr>
        <w:t>.</w:t>
      </w:r>
    </w:p>
  </w:footnote>
  <w:footnote w:id="83">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t>
      </w:r>
      <w:hyperlink r:id="rId37" w:history="1">
        <w:r>
          <w:rPr>
            <w:rStyle w:val="Hyperlink"/>
            <w:rFonts w:ascii="Times New Roman" w:hAnsi="Times New Roman"/>
            <w:u w:val="none"/>
          </w:rPr>
          <w:t>http://www.europarl.europa.eu/meetdocs/2014_2019/plmrep/COMMITTEES/FEMM/DV/2018/09-03/20180828DraftResolutionGenderBudgetingintheEUBudget-thewayforward_EN.pdf</w:t>
        </w:r>
      </w:hyperlink>
      <w:r>
        <w:rPr>
          <w:rFonts w:ascii="Times New Roman" w:hAnsi="Times New Roman"/>
        </w:rPr>
        <w:t>.</w:t>
      </w:r>
    </w:p>
  </w:footnote>
  <w:footnote w:id="84">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t>
      </w:r>
      <w:hyperlink r:id="rId38" w:history="1">
        <w:r>
          <w:rPr>
            <w:rStyle w:val="Hyperlink"/>
            <w:rFonts w:ascii="Times New Roman" w:hAnsi="Times New Roman"/>
            <w:u w:val="none"/>
          </w:rPr>
          <w:t>https://europa.eu/capacity4dev/articles/eu-gender-action-plan-ii-how-eu-delegations-contribute-gender-equality-worldwide</w:t>
        </w:r>
      </w:hyperlink>
      <w:r>
        <w:rPr>
          <w:rFonts w:ascii="Times New Roman" w:hAnsi="Times New Roman"/>
        </w:rPr>
        <w:t>.</w:t>
      </w:r>
    </w:p>
  </w:footnote>
  <w:footnote w:id="85">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Strateški pristup EU-a ženama, miru i sigurnosti priložen je zaključcima Vijeća za vanjske poslove o ženama, miru i sigurnosti donesenima 10. prosinca 2018. (dokument Vijeća 15086/18), </w:t>
      </w:r>
      <w:hyperlink r:id="rId39" w:history="1">
        <w:r>
          <w:rPr>
            <w:rStyle w:val="Hyperlink"/>
            <w:rFonts w:ascii="Times New Roman" w:hAnsi="Times New Roman"/>
            <w:u w:val="none"/>
          </w:rPr>
          <w:t>https://data.consilium.europa.eu/doc/document/ST-15086-2018-INIT/hr/pdf</w:t>
        </w:r>
      </w:hyperlink>
      <w:r>
        <w:rPr>
          <w:rFonts w:ascii="Times New Roman" w:hAnsi="Times New Roman"/>
        </w:rPr>
        <w:t xml:space="preserve">, </w:t>
      </w:r>
      <w:r>
        <w:rPr>
          <w:rFonts w:ascii="Times New Roman" w:hAnsi="Times New Roman"/>
        </w:rPr>
        <w:br/>
        <w:t xml:space="preserve">i Akcijskom planu EU-a za žene, mir i sigurnost 2019.–2024., od 4. srpnja 2019., EEAS(2019) 747, </w:t>
      </w:r>
      <w:hyperlink r:id="rId40" w:history="1">
        <w:r>
          <w:rPr>
            <w:rStyle w:val="Hyperlink"/>
            <w:rFonts w:ascii="Times New Roman" w:hAnsi="Times New Roman"/>
            <w:u w:val="none"/>
          </w:rPr>
          <w:t>https://www.consilium.europa.eu/register/en/content/out?&amp;typ=ENTRY&amp;i=ADV&amp;DOC_ID=ST-11031-2019-INIT</w:t>
        </w:r>
      </w:hyperlink>
      <w:r>
        <w:rPr>
          <w:rFonts w:ascii="Times New Roman" w:hAnsi="Times New Roman"/>
        </w:rPr>
        <w:t>.</w:t>
      </w:r>
    </w:p>
  </w:footnote>
  <w:footnote w:id="86">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Mjerenja se provode u skladu s pokazateljem politike rodne ravnopravnosti OECD-a. Za humanitarnu pomoć Komisija primjenjuje vlastito humanitarno mjerilo rodne i dobne ravnopravnosti.</w:t>
      </w:r>
    </w:p>
  </w:footnote>
  <w:footnote w:id="87">
    <w:p>
      <w:pPr>
        <w:pStyle w:val="NoSpacing"/>
        <w:jc w:val="both"/>
        <w:rPr>
          <w:rFonts w:ascii="Times New Roman" w:hAnsi="Times New Roman" w:cs="Times New Roman"/>
          <w:sz w:val="20"/>
          <w:szCs w:val="20"/>
        </w:rPr>
      </w:pPr>
      <w:r>
        <w:rPr>
          <w:rStyle w:val="FootnoteReference"/>
          <w:rFonts w:ascii="Times New Roman" w:hAnsi="Times New Roman" w:cs="Times New Roman"/>
          <w:sz w:val="20"/>
          <w:szCs w:val="20"/>
        </w:rPr>
        <w:footnoteRef/>
      </w:r>
      <w:r>
        <w:rPr>
          <w:rFonts w:ascii="Times New Roman" w:hAnsi="Times New Roman"/>
          <w:sz w:val="20"/>
          <w:szCs w:val="20"/>
        </w:rPr>
        <w:t xml:space="preserve"> Neke od novijih rezolucija Europskog parlamenta o rodnoj ravnopravnosti su: Rezolucija Europskog parlamenta </w:t>
      </w:r>
      <w:hyperlink r:id="rId41" w:history="1">
        <w:r>
          <w:rPr>
            <w:rStyle w:val="Hyperlink"/>
            <w:rFonts w:ascii="Times New Roman" w:hAnsi="Times New Roman"/>
            <w:sz w:val="20"/>
            <w:szCs w:val="20"/>
            <w:u w:val="none"/>
          </w:rPr>
          <w:t>2019/2870(RSP)</w:t>
        </w:r>
      </w:hyperlink>
      <w:r>
        <w:rPr>
          <w:rFonts w:ascii="Times New Roman" w:hAnsi="Times New Roman"/>
          <w:sz w:val="20"/>
          <w:szCs w:val="20"/>
        </w:rPr>
        <w:t xml:space="preserve"> od 30. siječnja 2020. o razlici u plaćama žena i muškaraca; Rezolucija Europskog parlamenta </w:t>
      </w:r>
      <w:hyperlink r:id="rId42" w:history="1">
        <w:r>
          <w:rPr>
            <w:rStyle w:val="Hyperlink"/>
            <w:rFonts w:ascii="Times New Roman" w:hAnsi="Times New Roman"/>
            <w:sz w:val="20"/>
            <w:szCs w:val="20"/>
            <w:u w:val="none"/>
          </w:rPr>
          <w:t>2019/2855(RSP)</w:t>
        </w:r>
      </w:hyperlink>
      <w:r>
        <w:rPr>
          <w:rFonts w:ascii="Times New Roman" w:hAnsi="Times New Roman"/>
          <w:sz w:val="20"/>
          <w:szCs w:val="20"/>
        </w:rPr>
        <w:t xml:space="preserve"> od 28. studenoga 2019. o pristupanju EU-a Istanbulskoj konvenciji i drugim mjerama za borbu protiv rodno uvjetovanog nasilja; Rezolucija Europskog parlamenta </w:t>
      </w:r>
      <w:hyperlink r:id="rId43" w:history="1">
        <w:r>
          <w:rPr>
            <w:rStyle w:val="Hyperlink"/>
            <w:rFonts w:ascii="Times New Roman" w:hAnsi="Times New Roman"/>
            <w:sz w:val="20"/>
            <w:szCs w:val="20"/>
            <w:u w:val="none"/>
          </w:rPr>
          <w:t>2016/2249(INI)</w:t>
        </w:r>
      </w:hyperlink>
      <w:r>
        <w:rPr>
          <w:rFonts w:ascii="Times New Roman" w:hAnsi="Times New Roman"/>
          <w:sz w:val="20"/>
          <w:szCs w:val="20"/>
        </w:rPr>
        <w:t xml:space="preserve"> od 14. ožujka 2017. o ravnopravnosti žena i muškaraca u Europskoj uniji 2014. – 2015. </w:t>
      </w:r>
    </w:p>
  </w:footnote>
  <w:footnote w:id="88">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Neki od novijih zaključaka Vijeća o rodnoj ravnopravnosti su: Zaključci Vijeća od 10. prosinca 2019. – „Rodno ravnopravna gospodarstva u EU-u: daljnji koraci – pregled stanja nakon 25 godina provedbe Pekinške platforme za djelovanje”; Zaključci Vijeća od 24. listopada 2019. – „Ekonomija dobrobiti”; </w:t>
      </w:r>
      <w:r>
        <w:rPr>
          <w:rFonts w:ascii="Times New Roman" w:hAnsi="Times New Roman"/>
          <w:bCs/>
        </w:rPr>
        <w:t>Zaključci Vijeća od 13. lipnja 2019. – „Uklanjanje rodnih razlika u plaćama: ključne politike i mjere”</w:t>
      </w:r>
      <w:r>
        <w:rPr>
          <w:rFonts w:ascii="Times New Roman" w:hAnsi="Times New Roman"/>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jc w:val="right"/>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F4E68"/>
    <w:multiLevelType w:val="hybridMultilevel"/>
    <w:tmpl w:val="616849BE"/>
    <w:lvl w:ilvl="0" w:tplc="2E943616">
      <w:numFmt w:val="bullet"/>
      <w:lvlText w:val="•"/>
      <w:lvlJc w:val="left"/>
      <w:pPr>
        <w:ind w:left="1440" w:hanging="720"/>
      </w:pPr>
      <w:rPr>
        <w:rFonts w:ascii="Times New Roman" w:eastAsiaTheme="minorHAnsi" w:hAnsi="Times New Roman"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nsid w:val="079E7893"/>
    <w:multiLevelType w:val="hybridMultilevel"/>
    <w:tmpl w:val="C4D23EE0"/>
    <w:lvl w:ilvl="0" w:tplc="080C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82D553C"/>
    <w:multiLevelType w:val="hybridMultilevel"/>
    <w:tmpl w:val="2B581C38"/>
    <w:lvl w:ilvl="0" w:tplc="080C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nsid w:val="0BF320AD"/>
    <w:multiLevelType w:val="hybridMultilevel"/>
    <w:tmpl w:val="92228780"/>
    <w:lvl w:ilvl="0" w:tplc="EAC8A79C">
      <w:numFmt w:val="bullet"/>
      <w:lvlText w:val="-"/>
      <w:lvlJc w:val="left"/>
      <w:pPr>
        <w:ind w:left="720" w:hanging="360"/>
      </w:pPr>
      <w:rPr>
        <w:rFonts w:ascii="Calibri" w:eastAsiaTheme="minorHAnsi" w:hAnsi="Calibri"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start w:val="1"/>
      <w:numFmt w:val="bullet"/>
      <w:lvlText w:val=""/>
      <w:lvlJc w:val="left"/>
      <w:pPr>
        <w:ind w:left="2880" w:hanging="360"/>
      </w:pPr>
      <w:rPr>
        <w:rFonts w:ascii="Symbol" w:hAnsi="Symbol" w:hint="default"/>
      </w:rPr>
    </w:lvl>
    <w:lvl w:ilvl="4" w:tplc="080C0003">
      <w:start w:val="1"/>
      <w:numFmt w:val="bullet"/>
      <w:lvlText w:val="o"/>
      <w:lvlJc w:val="left"/>
      <w:pPr>
        <w:ind w:left="3600" w:hanging="360"/>
      </w:pPr>
      <w:rPr>
        <w:rFonts w:ascii="Courier New" w:hAnsi="Courier New" w:cs="Courier New" w:hint="default"/>
      </w:rPr>
    </w:lvl>
    <w:lvl w:ilvl="5" w:tplc="080C0005">
      <w:start w:val="1"/>
      <w:numFmt w:val="bullet"/>
      <w:lvlText w:val=""/>
      <w:lvlJc w:val="left"/>
      <w:pPr>
        <w:ind w:left="4320" w:hanging="360"/>
      </w:pPr>
      <w:rPr>
        <w:rFonts w:ascii="Wingdings" w:hAnsi="Wingdings" w:hint="default"/>
      </w:rPr>
    </w:lvl>
    <w:lvl w:ilvl="6" w:tplc="080C0001">
      <w:start w:val="1"/>
      <w:numFmt w:val="bullet"/>
      <w:lvlText w:val=""/>
      <w:lvlJc w:val="left"/>
      <w:pPr>
        <w:ind w:left="5040" w:hanging="360"/>
      </w:pPr>
      <w:rPr>
        <w:rFonts w:ascii="Symbol" w:hAnsi="Symbol" w:hint="default"/>
      </w:rPr>
    </w:lvl>
    <w:lvl w:ilvl="7" w:tplc="080C0003">
      <w:start w:val="1"/>
      <w:numFmt w:val="bullet"/>
      <w:lvlText w:val="o"/>
      <w:lvlJc w:val="left"/>
      <w:pPr>
        <w:ind w:left="5760" w:hanging="360"/>
      </w:pPr>
      <w:rPr>
        <w:rFonts w:ascii="Courier New" w:hAnsi="Courier New" w:cs="Courier New" w:hint="default"/>
      </w:rPr>
    </w:lvl>
    <w:lvl w:ilvl="8" w:tplc="080C0005">
      <w:start w:val="1"/>
      <w:numFmt w:val="bullet"/>
      <w:lvlText w:val=""/>
      <w:lvlJc w:val="left"/>
      <w:pPr>
        <w:ind w:left="6480" w:hanging="360"/>
      </w:pPr>
      <w:rPr>
        <w:rFonts w:ascii="Wingdings" w:hAnsi="Wingdings" w:hint="default"/>
      </w:rPr>
    </w:lvl>
  </w:abstractNum>
  <w:abstractNum w:abstractNumId="4">
    <w:nsid w:val="0C596C70"/>
    <w:multiLevelType w:val="hybridMultilevel"/>
    <w:tmpl w:val="A322BAD0"/>
    <w:lvl w:ilvl="0" w:tplc="B886847A">
      <w:numFmt w:val="bullet"/>
      <w:lvlText w:val="-"/>
      <w:lvlJc w:val="left"/>
      <w:pPr>
        <w:ind w:left="720" w:hanging="360"/>
      </w:pPr>
      <w:rPr>
        <w:rFonts w:ascii="Garamond" w:eastAsiaTheme="minorHAnsi" w:hAnsi="Garamond"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
    <w:nsid w:val="0D6F10AA"/>
    <w:multiLevelType w:val="hybridMultilevel"/>
    <w:tmpl w:val="83AA851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nsid w:val="0DC744C2"/>
    <w:multiLevelType w:val="hybridMultilevel"/>
    <w:tmpl w:val="F19A644A"/>
    <w:lvl w:ilvl="0" w:tplc="080C000B">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7">
    <w:nsid w:val="0FD22664"/>
    <w:multiLevelType w:val="hybridMultilevel"/>
    <w:tmpl w:val="1FCE8004"/>
    <w:lvl w:ilvl="0" w:tplc="80409E2A">
      <w:numFmt w:val="bullet"/>
      <w:lvlText w:val="-"/>
      <w:lvlJc w:val="left"/>
      <w:pPr>
        <w:ind w:left="1788" w:hanging="360"/>
      </w:pPr>
      <w:rPr>
        <w:rFonts w:ascii="Calibri" w:eastAsia="Calibri" w:hAnsi="Calibri" w:cs="Calibri" w:hint="default"/>
      </w:rPr>
    </w:lvl>
    <w:lvl w:ilvl="1" w:tplc="080C0003">
      <w:start w:val="1"/>
      <w:numFmt w:val="bullet"/>
      <w:lvlText w:val="o"/>
      <w:lvlJc w:val="left"/>
      <w:pPr>
        <w:ind w:left="2508" w:hanging="360"/>
      </w:pPr>
      <w:rPr>
        <w:rFonts w:ascii="Courier New" w:hAnsi="Courier New" w:cs="Courier New" w:hint="default"/>
      </w:rPr>
    </w:lvl>
    <w:lvl w:ilvl="2" w:tplc="080C0005">
      <w:start w:val="1"/>
      <w:numFmt w:val="bullet"/>
      <w:lvlText w:val=""/>
      <w:lvlJc w:val="left"/>
      <w:pPr>
        <w:ind w:left="3228" w:hanging="360"/>
      </w:pPr>
      <w:rPr>
        <w:rFonts w:ascii="Wingdings" w:hAnsi="Wingdings" w:hint="default"/>
      </w:rPr>
    </w:lvl>
    <w:lvl w:ilvl="3" w:tplc="080C0001">
      <w:start w:val="1"/>
      <w:numFmt w:val="bullet"/>
      <w:lvlText w:val=""/>
      <w:lvlJc w:val="left"/>
      <w:pPr>
        <w:ind w:left="3948" w:hanging="360"/>
      </w:pPr>
      <w:rPr>
        <w:rFonts w:ascii="Symbol" w:hAnsi="Symbol" w:hint="default"/>
      </w:rPr>
    </w:lvl>
    <w:lvl w:ilvl="4" w:tplc="080C0003">
      <w:start w:val="1"/>
      <w:numFmt w:val="bullet"/>
      <w:lvlText w:val="o"/>
      <w:lvlJc w:val="left"/>
      <w:pPr>
        <w:ind w:left="4668" w:hanging="360"/>
      </w:pPr>
      <w:rPr>
        <w:rFonts w:ascii="Courier New" w:hAnsi="Courier New" w:cs="Courier New" w:hint="default"/>
      </w:rPr>
    </w:lvl>
    <w:lvl w:ilvl="5" w:tplc="080C0005">
      <w:start w:val="1"/>
      <w:numFmt w:val="bullet"/>
      <w:lvlText w:val=""/>
      <w:lvlJc w:val="left"/>
      <w:pPr>
        <w:ind w:left="5388" w:hanging="360"/>
      </w:pPr>
      <w:rPr>
        <w:rFonts w:ascii="Wingdings" w:hAnsi="Wingdings" w:hint="default"/>
      </w:rPr>
    </w:lvl>
    <w:lvl w:ilvl="6" w:tplc="080C0001">
      <w:start w:val="1"/>
      <w:numFmt w:val="bullet"/>
      <w:lvlText w:val=""/>
      <w:lvlJc w:val="left"/>
      <w:pPr>
        <w:ind w:left="6108" w:hanging="360"/>
      </w:pPr>
      <w:rPr>
        <w:rFonts w:ascii="Symbol" w:hAnsi="Symbol" w:hint="default"/>
      </w:rPr>
    </w:lvl>
    <w:lvl w:ilvl="7" w:tplc="080C0003">
      <w:start w:val="1"/>
      <w:numFmt w:val="bullet"/>
      <w:lvlText w:val="o"/>
      <w:lvlJc w:val="left"/>
      <w:pPr>
        <w:ind w:left="6828" w:hanging="360"/>
      </w:pPr>
      <w:rPr>
        <w:rFonts w:ascii="Courier New" w:hAnsi="Courier New" w:cs="Courier New" w:hint="default"/>
      </w:rPr>
    </w:lvl>
    <w:lvl w:ilvl="8" w:tplc="080C0005">
      <w:start w:val="1"/>
      <w:numFmt w:val="bullet"/>
      <w:lvlText w:val=""/>
      <w:lvlJc w:val="left"/>
      <w:pPr>
        <w:ind w:left="7548" w:hanging="360"/>
      </w:pPr>
      <w:rPr>
        <w:rFonts w:ascii="Wingdings" w:hAnsi="Wingdings" w:hint="default"/>
      </w:rPr>
    </w:lvl>
  </w:abstractNum>
  <w:abstractNum w:abstractNumId="8">
    <w:nsid w:val="113C65AB"/>
    <w:multiLevelType w:val="hybridMultilevel"/>
    <w:tmpl w:val="EF3EDC2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nsid w:val="115C3818"/>
    <w:multiLevelType w:val="hybridMultilevel"/>
    <w:tmpl w:val="4C9A0CAC"/>
    <w:lvl w:ilvl="0" w:tplc="080C0001">
      <w:start w:val="1"/>
      <w:numFmt w:val="bullet"/>
      <w:lvlText w:val=""/>
      <w:lvlJc w:val="left"/>
      <w:pPr>
        <w:ind w:left="1080" w:hanging="360"/>
      </w:pPr>
      <w:rPr>
        <w:rFonts w:ascii="Symbol" w:hAnsi="Symbol" w:hint="default"/>
      </w:rPr>
    </w:lvl>
    <w:lvl w:ilvl="1" w:tplc="080C0003">
      <w:start w:val="1"/>
      <w:numFmt w:val="bullet"/>
      <w:lvlText w:val="o"/>
      <w:lvlJc w:val="left"/>
      <w:pPr>
        <w:ind w:left="1800" w:hanging="360"/>
      </w:pPr>
      <w:rPr>
        <w:rFonts w:ascii="Courier New" w:hAnsi="Courier New" w:cs="Courier New" w:hint="default"/>
      </w:rPr>
    </w:lvl>
    <w:lvl w:ilvl="2" w:tplc="080C0005">
      <w:start w:val="1"/>
      <w:numFmt w:val="bullet"/>
      <w:lvlText w:val=""/>
      <w:lvlJc w:val="left"/>
      <w:pPr>
        <w:ind w:left="2520" w:hanging="360"/>
      </w:pPr>
      <w:rPr>
        <w:rFonts w:ascii="Wingdings" w:hAnsi="Wingdings" w:hint="default"/>
      </w:rPr>
    </w:lvl>
    <w:lvl w:ilvl="3" w:tplc="080C0001">
      <w:start w:val="1"/>
      <w:numFmt w:val="bullet"/>
      <w:lvlText w:val=""/>
      <w:lvlJc w:val="left"/>
      <w:pPr>
        <w:ind w:left="3240" w:hanging="360"/>
      </w:pPr>
      <w:rPr>
        <w:rFonts w:ascii="Symbol" w:hAnsi="Symbol" w:hint="default"/>
      </w:rPr>
    </w:lvl>
    <w:lvl w:ilvl="4" w:tplc="080C0003">
      <w:start w:val="1"/>
      <w:numFmt w:val="bullet"/>
      <w:lvlText w:val="o"/>
      <w:lvlJc w:val="left"/>
      <w:pPr>
        <w:ind w:left="3960" w:hanging="360"/>
      </w:pPr>
      <w:rPr>
        <w:rFonts w:ascii="Courier New" w:hAnsi="Courier New" w:cs="Courier New" w:hint="default"/>
      </w:rPr>
    </w:lvl>
    <w:lvl w:ilvl="5" w:tplc="080C0005">
      <w:start w:val="1"/>
      <w:numFmt w:val="bullet"/>
      <w:lvlText w:val=""/>
      <w:lvlJc w:val="left"/>
      <w:pPr>
        <w:ind w:left="4680" w:hanging="360"/>
      </w:pPr>
      <w:rPr>
        <w:rFonts w:ascii="Wingdings" w:hAnsi="Wingdings" w:hint="default"/>
      </w:rPr>
    </w:lvl>
    <w:lvl w:ilvl="6" w:tplc="080C0001">
      <w:start w:val="1"/>
      <w:numFmt w:val="bullet"/>
      <w:lvlText w:val=""/>
      <w:lvlJc w:val="left"/>
      <w:pPr>
        <w:ind w:left="5400" w:hanging="360"/>
      </w:pPr>
      <w:rPr>
        <w:rFonts w:ascii="Symbol" w:hAnsi="Symbol" w:hint="default"/>
      </w:rPr>
    </w:lvl>
    <w:lvl w:ilvl="7" w:tplc="080C0003">
      <w:start w:val="1"/>
      <w:numFmt w:val="bullet"/>
      <w:lvlText w:val="o"/>
      <w:lvlJc w:val="left"/>
      <w:pPr>
        <w:ind w:left="6120" w:hanging="360"/>
      </w:pPr>
      <w:rPr>
        <w:rFonts w:ascii="Courier New" w:hAnsi="Courier New" w:cs="Courier New" w:hint="default"/>
      </w:rPr>
    </w:lvl>
    <w:lvl w:ilvl="8" w:tplc="080C0005">
      <w:start w:val="1"/>
      <w:numFmt w:val="bullet"/>
      <w:lvlText w:val=""/>
      <w:lvlJc w:val="left"/>
      <w:pPr>
        <w:ind w:left="6840" w:hanging="360"/>
      </w:pPr>
      <w:rPr>
        <w:rFonts w:ascii="Wingdings" w:hAnsi="Wingdings" w:hint="default"/>
      </w:rPr>
    </w:lvl>
  </w:abstractNum>
  <w:abstractNum w:abstractNumId="10">
    <w:nsid w:val="12404624"/>
    <w:multiLevelType w:val="hybridMultilevel"/>
    <w:tmpl w:val="2CEEF0F4"/>
    <w:lvl w:ilvl="0" w:tplc="080C000B">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1">
    <w:nsid w:val="12A85C96"/>
    <w:multiLevelType w:val="hybridMultilevel"/>
    <w:tmpl w:val="750E1ACE"/>
    <w:lvl w:ilvl="0" w:tplc="080C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nsid w:val="14996626"/>
    <w:multiLevelType w:val="hybridMultilevel"/>
    <w:tmpl w:val="BA340CA4"/>
    <w:lvl w:ilvl="0" w:tplc="17BE2C34">
      <w:start w:val="1"/>
      <w:numFmt w:val="bullet"/>
      <w:pStyle w:val="B0List"/>
      <w:lvlText w:val=""/>
      <w:lvlJc w:val="left"/>
      <w:pPr>
        <w:tabs>
          <w:tab w:val="num" w:pos="284"/>
        </w:tabs>
        <w:ind w:left="284" w:hanging="284"/>
      </w:pPr>
      <w:rPr>
        <w:rFonts w:ascii="Symbol" w:hAnsi="Symbol" w:hint="default"/>
        <w:b w:val="0"/>
        <w:i w:val="0"/>
        <w:color w:val="auto"/>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nsid w:val="1589625A"/>
    <w:multiLevelType w:val="hybridMultilevel"/>
    <w:tmpl w:val="CAB4EA9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6A565CC"/>
    <w:multiLevelType w:val="hybridMultilevel"/>
    <w:tmpl w:val="7C927AF6"/>
    <w:lvl w:ilvl="0" w:tplc="A202B042">
      <w:start w:val="1"/>
      <w:numFmt w:val="decimal"/>
      <w:lvlText w:val="%1."/>
      <w:lvlJc w:val="left"/>
      <w:pPr>
        <w:ind w:left="360" w:hanging="360"/>
      </w:pPr>
      <w:rPr>
        <w:b/>
        <w:i w:val="0"/>
        <w:sz w:val="28"/>
        <w:szCs w:val="28"/>
      </w:rPr>
    </w:lvl>
    <w:lvl w:ilvl="1" w:tplc="080C0019">
      <w:start w:val="1"/>
      <w:numFmt w:val="lowerLetter"/>
      <w:lvlText w:val="%2."/>
      <w:lvlJc w:val="left"/>
      <w:pPr>
        <w:ind w:left="1440" w:hanging="360"/>
      </w:pPr>
    </w:lvl>
    <w:lvl w:ilvl="2" w:tplc="080C001B">
      <w:start w:val="1"/>
      <w:numFmt w:val="lowerRoman"/>
      <w:lvlText w:val="%3."/>
      <w:lvlJc w:val="right"/>
      <w:pPr>
        <w:ind w:left="2160" w:hanging="180"/>
      </w:pPr>
    </w:lvl>
    <w:lvl w:ilvl="3" w:tplc="080C000F">
      <w:start w:val="1"/>
      <w:numFmt w:val="decimal"/>
      <w:lvlText w:val="%4."/>
      <w:lvlJc w:val="left"/>
      <w:pPr>
        <w:ind w:left="2880" w:hanging="360"/>
      </w:pPr>
    </w:lvl>
    <w:lvl w:ilvl="4" w:tplc="080C0019">
      <w:start w:val="1"/>
      <w:numFmt w:val="lowerLetter"/>
      <w:lvlText w:val="%5."/>
      <w:lvlJc w:val="left"/>
      <w:pPr>
        <w:ind w:left="3600" w:hanging="360"/>
      </w:pPr>
    </w:lvl>
    <w:lvl w:ilvl="5" w:tplc="080C001B">
      <w:start w:val="1"/>
      <w:numFmt w:val="lowerRoman"/>
      <w:lvlText w:val="%6."/>
      <w:lvlJc w:val="right"/>
      <w:pPr>
        <w:ind w:left="4320" w:hanging="180"/>
      </w:pPr>
    </w:lvl>
    <w:lvl w:ilvl="6" w:tplc="080C000F">
      <w:start w:val="1"/>
      <w:numFmt w:val="decimal"/>
      <w:lvlText w:val="%7."/>
      <w:lvlJc w:val="left"/>
      <w:pPr>
        <w:ind w:left="5040" w:hanging="360"/>
      </w:pPr>
    </w:lvl>
    <w:lvl w:ilvl="7" w:tplc="080C0019">
      <w:start w:val="1"/>
      <w:numFmt w:val="lowerLetter"/>
      <w:lvlText w:val="%8."/>
      <w:lvlJc w:val="left"/>
      <w:pPr>
        <w:ind w:left="5760" w:hanging="360"/>
      </w:pPr>
    </w:lvl>
    <w:lvl w:ilvl="8" w:tplc="080C001B">
      <w:start w:val="1"/>
      <w:numFmt w:val="lowerRoman"/>
      <w:lvlText w:val="%9."/>
      <w:lvlJc w:val="right"/>
      <w:pPr>
        <w:ind w:left="6480" w:hanging="180"/>
      </w:pPr>
    </w:lvl>
  </w:abstractNum>
  <w:abstractNum w:abstractNumId="15">
    <w:nsid w:val="17374086"/>
    <w:multiLevelType w:val="hybridMultilevel"/>
    <w:tmpl w:val="C2C6B0C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nsid w:val="193B1969"/>
    <w:multiLevelType w:val="hybridMultilevel"/>
    <w:tmpl w:val="7C72AF7E"/>
    <w:lvl w:ilvl="0" w:tplc="E4982400">
      <w:start w:val="1"/>
      <w:numFmt w:val="decimal"/>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C343241"/>
    <w:multiLevelType w:val="hybridMultilevel"/>
    <w:tmpl w:val="3F64287C"/>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8">
    <w:nsid w:val="1FB76495"/>
    <w:multiLevelType w:val="hybridMultilevel"/>
    <w:tmpl w:val="9AC6131E"/>
    <w:lvl w:ilvl="0" w:tplc="2F2287C8">
      <w:start w:val="1"/>
      <w:numFmt w:val="bullet"/>
      <w:lvlText w:val="-"/>
      <w:lvlJc w:val="left"/>
      <w:pPr>
        <w:ind w:left="720" w:hanging="360"/>
      </w:pPr>
      <w:rPr>
        <w:rFonts w:ascii="Times New Roman" w:eastAsiaTheme="minorHAnsi" w:hAnsi="Times New Roman" w:cs="Times New Roman"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9">
    <w:nsid w:val="21185CAF"/>
    <w:multiLevelType w:val="hybridMultilevel"/>
    <w:tmpl w:val="BD7CC05C"/>
    <w:lvl w:ilvl="0" w:tplc="080C0001">
      <w:start w:val="1"/>
      <w:numFmt w:val="bullet"/>
      <w:lvlText w:val=""/>
      <w:lvlJc w:val="left"/>
      <w:pPr>
        <w:ind w:left="777" w:hanging="360"/>
      </w:pPr>
      <w:rPr>
        <w:rFonts w:ascii="Symbol" w:hAnsi="Symbol" w:hint="default"/>
      </w:rPr>
    </w:lvl>
    <w:lvl w:ilvl="1" w:tplc="080C0003" w:tentative="1">
      <w:start w:val="1"/>
      <w:numFmt w:val="bullet"/>
      <w:lvlText w:val="o"/>
      <w:lvlJc w:val="left"/>
      <w:pPr>
        <w:ind w:left="1497" w:hanging="360"/>
      </w:pPr>
      <w:rPr>
        <w:rFonts w:ascii="Courier New" w:hAnsi="Courier New" w:cs="Courier New" w:hint="default"/>
      </w:rPr>
    </w:lvl>
    <w:lvl w:ilvl="2" w:tplc="080C0005" w:tentative="1">
      <w:start w:val="1"/>
      <w:numFmt w:val="bullet"/>
      <w:lvlText w:val=""/>
      <w:lvlJc w:val="left"/>
      <w:pPr>
        <w:ind w:left="2217" w:hanging="360"/>
      </w:pPr>
      <w:rPr>
        <w:rFonts w:ascii="Wingdings" w:hAnsi="Wingdings" w:hint="default"/>
      </w:rPr>
    </w:lvl>
    <w:lvl w:ilvl="3" w:tplc="080C0001" w:tentative="1">
      <w:start w:val="1"/>
      <w:numFmt w:val="bullet"/>
      <w:lvlText w:val=""/>
      <w:lvlJc w:val="left"/>
      <w:pPr>
        <w:ind w:left="2937" w:hanging="360"/>
      </w:pPr>
      <w:rPr>
        <w:rFonts w:ascii="Symbol" w:hAnsi="Symbol" w:hint="default"/>
      </w:rPr>
    </w:lvl>
    <w:lvl w:ilvl="4" w:tplc="080C0003" w:tentative="1">
      <w:start w:val="1"/>
      <w:numFmt w:val="bullet"/>
      <w:lvlText w:val="o"/>
      <w:lvlJc w:val="left"/>
      <w:pPr>
        <w:ind w:left="3657" w:hanging="360"/>
      </w:pPr>
      <w:rPr>
        <w:rFonts w:ascii="Courier New" w:hAnsi="Courier New" w:cs="Courier New" w:hint="default"/>
      </w:rPr>
    </w:lvl>
    <w:lvl w:ilvl="5" w:tplc="080C0005" w:tentative="1">
      <w:start w:val="1"/>
      <w:numFmt w:val="bullet"/>
      <w:lvlText w:val=""/>
      <w:lvlJc w:val="left"/>
      <w:pPr>
        <w:ind w:left="4377" w:hanging="360"/>
      </w:pPr>
      <w:rPr>
        <w:rFonts w:ascii="Wingdings" w:hAnsi="Wingdings" w:hint="default"/>
      </w:rPr>
    </w:lvl>
    <w:lvl w:ilvl="6" w:tplc="080C0001" w:tentative="1">
      <w:start w:val="1"/>
      <w:numFmt w:val="bullet"/>
      <w:lvlText w:val=""/>
      <w:lvlJc w:val="left"/>
      <w:pPr>
        <w:ind w:left="5097" w:hanging="360"/>
      </w:pPr>
      <w:rPr>
        <w:rFonts w:ascii="Symbol" w:hAnsi="Symbol" w:hint="default"/>
      </w:rPr>
    </w:lvl>
    <w:lvl w:ilvl="7" w:tplc="080C0003" w:tentative="1">
      <w:start w:val="1"/>
      <w:numFmt w:val="bullet"/>
      <w:lvlText w:val="o"/>
      <w:lvlJc w:val="left"/>
      <w:pPr>
        <w:ind w:left="5817" w:hanging="360"/>
      </w:pPr>
      <w:rPr>
        <w:rFonts w:ascii="Courier New" w:hAnsi="Courier New" w:cs="Courier New" w:hint="default"/>
      </w:rPr>
    </w:lvl>
    <w:lvl w:ilvl="8" w:tplc="080C0005" w:tentative="1">
      <w:start w:val="1"/>
      <w:numFmt w:val="bullet"/>
      <w:lvlText w:val=""/>
      <w:lvlJc w:val="left"/>
      <w:pPr>
        <w:ind w:left="6537" w:hanging="360"/>
      </w:pPr>
      <w:rPr>
        <w:rFonts w:ascii="Wingdings" w:hAnsi="Wingdings" w:hint="default"/>
      </w:rPr>
    </w:lvl>
  </w:abstractNum>
  <w:abstractNum w:abstractNumId="20">
    <w:nsid w:val="2200208C"/>
    <w:multiLevelType w:val="hybridMultilevel"/>
    <w:tmpl w:val="C2467B6C"/>
    <w:lvl w:ilvl="0" w:tplc="9DB4B2B0">
      <w:start w:val="1"/>
      <w:numFmt w:val="decimal"/>
      <w:lvlText w:val="%1."/>
      <w:lvlJc w:val="left"/>
      <w:pPr>
        <w:ind w:left="1080" w:hanging="360"/>
      </w:pPr>
      <w:rPr>
        <w:rFonts w:hint="default"/>
        <w:b/>
      </w:r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21">
    <w:nsid w:val="223A5309"/>
    <w:multiLevelType w:val="hybridMultilevel"/>
    <w:tmpl w:val="78DCEC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23676A38"/>
    <w:multiLevelType w:val="hybridMultilevel"/>
    <w:tmpl w:val="60F64C8E"/>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3">
    <w:nsid w:val="25835334"/>
    <w:multiLevelType w:val="hybridMultilevel"/>
    <w:tmpl w:val="72BCF7FA"/>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260A7454"/>
    <w:multiLevelType w:val="hybridMultilevel"/>
    <w:tmpl w:val="1160F598"/>
    <w:lvl w:ilvl="0" w:tplc="080C0001">
      <w:start w:val="1"/>
      <w:numFmt w:val="bullet"/>
      <w:lvlText w:val=""/>
      <w:lvlJc w:val="left"/>
      <w:pPr>
        <w:ind w:left="720" w:hanging="360"/>
      </w:pPr>
      <w:rPr>
        <w:rFonts w:ascii="Symbol" w:hAnsi="Symbol" w:hint="default"/>
      </w:rPr>
    </w:lvl>
    <w:lvl w:ilvl="1" w:tplc="080C0019">
      <w:start w:val="1"/>
      <w:numFmt w:val="lowerLetter"/>
      <w:lvlText w:val="%2."/>
      <w:lvlJc w:val="left"/>
      <w:pPr>
        <w:ind w:left="1440" w:hanging="360"/>
      </w:pPr>
    </w:lvl>
    <w:lvl w:ilvl="2" w:tplc="080C001B">
      <w:start w:val="1"/>
      <w:numFmt w:val="lowerRoman"/>
      <w:lvlText w:val="%3."/>
      <w:lvlJc w:val="right"/>
      <w:pPr>
        <w:ind w:left="2160" w:hanging="180"/>
      </w:pPr>
    </w:lvl>
    <w:lvl w:ilvl="3" w:tplc="080C000F">
      <w:start w:val="1"/>
      <w:numFmt w:val="decimal"/>
      <w:lvlText w:val="%4."/>
      <w:lvlJc w:val="left"/>
      <w:pPr>
        <w:ind w:left="2880" w:hanging="360"/>
      </w:pPr>
    </w:lvl>
    <w:lvl w:ilvl="4" w:tplc="080C0019">
      <w:start w:val="1"/>
      <w:numFmt w:val="lowerLetter"/>
      <w:lvlText w:val="%5."/>
      <w:lvlJc w:val="left"/>
      <w:pPr>
        <w:ind w:left="3600" w:hanging="360"/>
      </w:pPr>
    </w:lvl>
    <w:lvl w:ilvl="5" w:tplc="080C001B">
      <w:start w:val="1"/>
      <w:numFmt w:val="lowerRoman"/>
      <w:lvlText w:val="%6."/>
      <w:lvlJc w:val="right"/>
      <w:pPr>
        <w:ind w:left="4320" w:hanging="180"/>
      </w:pPr>
    </w:lvl>
    <w:lvl w:ilvl="6" w:tplc="080C000F">
      <w:start w:val="1"/>
      <w:numFmt w:val="decimal"/>
      <w:lvlText w:val="%7."/>
      <w:lvlJc w:val="left"/>
      <w:pPr>
        <w:ind w:left="5040" w:hanging="360"/>
      </w:pPr>
    </w:lvl>
    <w:lvl w:ilvl="7" w:tplc="080C0019">
      <w:start w:val="1"/>
      <w:numFmt w:val="lowerLetter"/>
      <w:lvlText w:val="%8."/>
      <w:lvlJc w:val="left"/>
      <w:pPr>
        <w:ind w:left="5760" w:hanging="360"/>
      </w:pPr>
    </w:lvl>
    <w:lvl w:ilvl="8" w:tplc="080C001B">
      <w:start w:val="1"/>
      <w:numFmt w:val="lowerRoman"/>
      <w:lvlText w:val="%9."/>
      <w:lvlJc w:val="right"/>
      <w:pPr>
        <w:ind w:left="6480" w:hanging="180"/>
      </w:pPr>
    </w:lvl>
  </w:abstractNum>
  <w:abstractNum w:abstractNumId="25">
    <w:nsid w:val="266110FB"/>
    <w:multiLevelType w:val="hybridMultilevel"/>
    <w:tmpl w:val="3D70678A"/>
    <w:lvl w:ilvl="0" w:tplc="080C0001">
      <w:start w:val="1"/>
      <w:numFmt w:val="bullet"/>
      <w:lvlText w:val=""/>
      <w:lvlJc w:val="left"/>
      <w:pPr>
        <w:ind w:left="108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nsid w:val="27E7086D"/>
    <w:multiLevelType w:val="hybridMultilevel"/>
    <w:tmpl w:val="C0B09396"/>
    <w:lvl w:ilvl="0" w:tplc="080C0001">
      <w:start w:val="1"/>
      <w:numFmt w:val="bullet"/>
      <w:lvlText w:val=""/>
      <w:lvlJc w:val="left"/>
      <w:pPr>
        <w:ind w:left="1440" w:hanging="360"/>
      </w:pPr>
      <w:rPr>
        <w:rFonts w:ascii="Symbol" w:hAnsi="Symbol" w:hint="default"/>
      </w:rPr>
    </w:lvl>
    <w:lvl w:ilvl="1" w:tplc="080C0003" w:tentative="1">
      <w:start w:val="1"/>
      <w:numFmt w:val="bullet"/>
      <w:lvlText w:val="o"/>
      <w:lvlJc w:val="left"/>
      <w:pPr>
        <w:ind w:left="2160" w:hanging="360"/>
      </w:pPr>
      <w:rPr>
        <w:rFonts w:ascii="Courier New" w:hAnsi="Courier New" w:cs="Courier New" w:hint="default"/>
      </w:rPr>
    </w:lvl>
    <w:lvl w:ilvl="2" w:tplc="080C0005" w:tentative="1">
      <w:start w:val="1"/>
      <w:numFmt w:val="bullet"/>
      <w:lvlText w:val=""/>
      <w:lvlJc w:val="left"/>
      <w:pPr>
        <w:ind w:left="2880" w:hanging="360"/>
      </w:pPr>
      <w:rPr>
        <w:rFonts w:ascii="Wingdings" w:hAnsi="Wingdings" w:hint="default"/>
      </w:rPr>
    </w:lvl>
    <w:lvl w:ilvl="3" w:tplc="080C0001" w:tentative="1">
      <w:start w:val="1"/>
      <w:numFmt w:val="bullet"/>
      <w:lvlText w:val=""/>
      <w:lvlJc w:val="left"/>
      <w:pPr>
        <w:ind w:left="3600" w:hanging="360"/>
      </w:pPr>
      <w:rPr>
        <w:rFonts w:ascii="Symbol" w:hAnsi="Symbol" w:hint="default"/>
      </w:rPr>
    </w:lvl>
    <w:lvl w:ilvl="4" w:tplc="080C0003" w:tentative="1">
      <w:start w:val="1"/>
      <w:numFmt w:val="bullet"/>
      <w:lvlText w:val="o"/>
      <w:lvlJc w:val="left"/>
      <w:pPr>
        <w:ind w:left="4320" w:hanging="360"/>
      </w:pPr>
      <w:rPr>
        <w:rFonts w:ascii="Courier New" w:hAnsi="Courier New" w:cs="Courier New" w:hint="default"/>
      </w:rPr>
    </w:lvl>
    <w:lvl w:ilvl="5" w:tplc="080C0005" w:tentative="1">
      <w:start w:val="1"/>
      <w:numFmt w:val="bullet"/>
      <w:lvlText w:val=""/>
      <w:lvlJc w:val="left"/>
      <w:pPr>
        <w:ind w:left="5040" w:hanging="360"/>
      </w:pPr>
      <w:rPr>
        <w:rFonts w:ascii="Wingdings" w:hAnsi="Wingdings" w:hint="default"/>
      </w:rPr>
    </w:lvl>
    <w:lvl w:ilvl="6" w:tplc="080C0001" w:tentative="1">
      <w:start w:val="1"/>
      <w:numFmt w:val="bullet"/>
      <w:lvlText w:val=""/>
      <w:lvlJc w:val="left"/>
      <w:pPr>
        <w:ind w:left="5760" w:hanging="360"/>
      </w:pPr>
      <w:rPr>
        <w:rFonts w:ascii="Symbol" w:hAnsi="Symbol" w:hint="default"/>
      </w:rPr>
    </w:lvl>
    <w:lvl w:ilvl="7" w:tplc="080C0003" w:tentative="1">
      <w:start w:val="1"/>
      <w:numFmt w:val="bullet"/>
      <w:lvlText w:val="o"/>
      <w:lvlJc w:val="left"/>
      <w:pPr>
        <w:ind w:left="6480" w:hanging="360"/>
      </w:pPr>
      <w:rPr>
        <w:rFonts w:ascii="Courier New" w:hAnsi="Courier New" w:cs="Courier New" w:hint="default"/>
      </w:rPr>
    </w:lvl>
    <w:lvl w:ilvl="8" w:tplc="080C0005" w:tentative="1">
      <w:start w:val="1"/>
      <w:numFmt w:val="bullet"/>
      <w:lvlText w:val=""/>
      <w:lvlJc w:val="left"/>
      <w:pPr>
        <w:ind w:left="7200" w:hanging="360"/>
      </w:pPr>
      <w:rPr>
        <w:rFonts w:ascii="Wingdings" w:hAnsi="Wingdings" w:hint="default"/>
      </w:rPr>
    </w:lvl>
  </w:abstractNum>
  <w:abstractNum w:abstractNumId="27">
    <w:nsid w:val="294564D6"/>
    <w:multiLevelType w:val="hybridMultilevel"/>
    <w:tmpl w:val="7E0C06CC"/>
    <w:lvl w:ilvl="0" w:tplc="59D008A0">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8">
    <w:nsid w:val="2CD77D49"/>
    <w:multiLevelType w:val="hybridMultilevel"/>
    <w:tmpl w:val="63B695E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2E4F470A"/>
    <w:multiLevelType w:val="hybridMultilevel"/>
    <w:tmpl w:val="48EAAB0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0">
    <w:nsid w:val="2E732AF8"/>
    <w:multiLevelType w:val="hybridMultilevel"/>
    <w:tmpl w:val="5B9036FA"/>
    <w:lvl w:ilvl="0" w:tplc="BE6E0852">
      <w:numFmt w:val="bullet"/>
      <w:lvlText w:val="-"/>
      <w:lvlJc w:val="left"/>
      <w:pPr>
        <w:ind w:left="720" w:hanging="360"/>
      </w:pPr>
      <w:rPr>
        <w:rFonts w:ascii="Calibri" w:eastAsiaTheme="minorHAnsi" w:hAnsi="Calibri" w:cs="Calibr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1">
    <w:nsid w:val="2E8A0F5D"/>
    <w:multiLevelType w:val="hybridMultilevel"/>
    <w:tmpl w:val="43823276"/>
    <w:lvl w:ilvl="0" w:tplc="080C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313864C4"/>
    <w:multiLevelType w:val="hybridMultilevel"/>
    <w:tmpl w:val="DB0AC8C8"/>
    <w:lvl w:ilvl="0" w:tplc="5B46068A">
      <w:numFmt w:val="bullet"/>
      <w:lvlText w:val="-"/>
      <w:lvlJc w:val="left"/>
      <w:pPr>
        <w:ind w:left="720" w:hanging="360"/>
      </w:pPr>
      <w:rPr>
        <w:rFonts w:ascii="Calibri" w:eastAsiaTheme="minorHAnsi" w:hAnsi="Calibri" w:cs="Calibr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32DA19EA"/>
    <w:multiLevelType w:val="hybridMultilevel"/>
    <w:tmpl w:val="AD6C9A22"/>
    <w:lvl w:ilvl="0" w:tplc="080C000B">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4">
    <w:nsid w:val="33AC1498"/>
    <w:multiLevelType w:val="hybridMultilevel"/>
    <w:tmpl w:val="2C2E4D4E"/>
    <w:lvl w:ilvl="0" w:tplc="16B46DF0">
      <w:start w:val="6"/>
      <w:numFmt w:val="bullet"/>
      <w:lvlText w:val="-"/>
      <w:lvlJc w:val="left"/>
      <w:pPr>
        <w:ind w:left="720" w:hanging="360"/>
      </w:pPr>
      <w:rPr>
        <w:rFonts w:ascii="Calibri" w:eastAsia="Times New Roman" w:hAnsi="Calibri" w:cs="Times New Roman"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35">
    <w:nsid w:val="37CF35FE"/>
    <w:multiLevelType w:val="hybridMultilevel"/>
    <w:tmpl w:val="D63C42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39EE1B06"/>
    <w:multiLevelType w:val="hybridMultilevel"/>
    <w:tmpl w:val="9D680D5E"/>
    <w:lvl w:ilvl="0" w:tplc="02A016C4">
      <w:numFmt w:val="bullet"/>
      <w:lvlText w:val="-"/>
      <w:lvlJc w:val="left"/>
      <w:pPr>
        <w:ind w:left="720" w:hanging="360"/>
      </w:pPr>
      <w:rPr>
        <w:rFonts w:ascii="Garamond" w:eastAsiaTheme="minorHAnsi" w:hAnsi="Garamond"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7">
    <w:nsid w:val="3A7730C4"/>
    <w:multiLevelType w:val="singleLevel"/>
    <w:tmpl w:val="456C96DE"/>
    <w:lvl w:ilvl="0">
      <w:start w:val="1"/>
      <w:numFmt w:val="bullet"/>
      <w:lvlText w:val=""/>
      <w:lvlJc w:val="left"/>
      <w:pPr>
        <w:tabs>
          <w:tab w:val="num" w:pos="765"/>
        </w:tabs>
        <w:ind w:left="765" w:hanging="283"/>
      </w:pPr>
      <w:rPr>
        <w:rFonts w:ascii="Symbol" w:hAnsi="Symbol" w:cs="Symbol"/>
      </w:rPr>
    </w:lvl>
  </w:abstractNum>
  <w:abstractNum w:abstractNumId="38">
    <w:nsid w:val="3B3A68C8"/>
    <w:multiLevelType w:val="hybridMultilevel"/>
    <w:tmpl w:val="68DE966C"/>
    <w:lvl w:ilvl="0" w:tplc="EE444F74">
      <w:start w:val="8"/>
      <w:numFmt w:val="bullet"/>
      <w:lvlText w:val="-"/>
      <w:lvlJc w:val="left"/>
      <w:pPr>
        <w:ind w:left="720" w:hanging="360"/>
      </w:pPr>
      <w:rPr>
        <w:rFonts w:ascii="Garamond" w:eastAsiaTheme="minorHAnsi" w:hAnsi="Garamond" w:cstheme="minorBidi" w:hint="default"/>
        <w:sz w:val="28"/>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9">
    <w:nsid w:val="3DFB030D"/>
    <w:multiLevelType w:val="hybridMultilevel"/>
    <w:tmpl w:val="843A42D6"/>
    <w:lvl w:ilvl="0" w:tplc="0409000B">
      <w:start w:val="1"/>
      <w:numFmt w:val="bullet"/>
      <w:lvlText w:val=""/>
      <w:lvlJc w:val="left"/>
      <w:pPr>
        <w:ind w:left="720" w:hanging="360"/>
      </w:pPr>
      <w:rPr>
        <w:rFonts w:ascii="Wingdings" w:hAnsi="Wingding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0">
    <w:nsid w:val="42671F4A"/>
    <w:multiLevelType w:val="hybridMultilevel"/>
    <w:tmpl w:val="10DC4EB6"/>
    <w:lvl w:ilvl="0" w:tplc="BE6E0852">
      <w:numFmt w:val="bullet"/>
      <w:lvlText w:val="-"/>
      <w:lvlJc w:val="left"/>
      <w:pPr>
        <w:ind w:left="360" w:hanging="360"/>
      </w:pPr>
      <w:rPr>
        <w:rFonts w:ascii="Calibri" w:eastAsiaTheme="minorHAnsi" w:hAnsi="Calibri" w:cs="Calibri"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41">
    <w:nsid w:val="432B1353"/>
    <w:multiLevelType w:val="hybridMultilevel"/>
    <w:tmpl w:val="A8869156"/>
    <w:lvl w:ilvl="0" w:tplc="080C0001">
      <w:start w:val="1"/>
      <w:numFmt w:val="bullet"/>
      <w:lvlText w:val=""/>
      <w:lvlJc w:val="left"/>
      <w:pPr>
        <w:ind w:left="1080" w:hanging="360"/>
      </w:pPr>
      <w:rPr>
        <w:rFonts w:ascii="Symbol" w:hAnsi="Symbol" w:hint="default"/>
      </w:rPr>
    </w:lvl>
    <w:lvl w:ilvl="1" w:tplc="080C0003">
      <w:start w:val="1"/>
      <w:numFmt w:val="bullet"/>
      <w:lvlText w:val="o"/>
      <w:lvlJc w:val="left"/>
      <w:pPr>
        <w:ind w:left="1800" w:hanging="360"/>
      </w:pPr>
      <w:rPr>
        <w:rFonts w:ascii="Courier New" w:hAnsi="Courier New" w:cs="Courier New" w:hint="default"/>
      </w:rPr>
    </w:lvl>
    <w:lvl w:ilvl="2" w:tplc="080C0005">
      <w:start w:val="1"/>
      <w:numFmt w:val="bullet"/>
      <w:lvlText w:val=""/>
      <w:lvlJc w:val="left"/>
      <w:pPr>
        <w:ind w:left="2520" w:hanging="360"/>
      </w:pPr>
      <w:rPr>
        <w:rFonts w:ascii="Wingdings" w:hAnsi="Wingdings" w:hint="default"/>
      </w:rPr>
    </w:lvl>
    <w:lvl w:ilvl="3" w:tplc="080C0001">
      <w:start w:val="1"/>
      <w:numFmt w:val="bullet"/>
      <w:lvlText w:val=""/>
      <w:lvlJc w:val="left"/>
      <w:pPr>
        <w:ind w:left="3240" w:hanging="360"/>
      </w:pPr>
      <w:rPr>
        <w:rFonts w:ascii="Symbol" w:hAnsi="Symbol" w:hint="default"/>
      </w:rPr>
    </w:lvl>
    <w:lvl w:ilvl="4" w:tplc="080C0003">
      <w:start w:val="1"/>
      <w:numFmt w:val="bullet"/>
      <w:lvlText w:val="o"/>
      <w:lvlJc w:val="left"/>
      <w:pPr>
        <w:ind w:left="3960" w:hanging="360"/>
      </w:pPr>
      <w:rPr>
        <w:rFonts w:ascii="Courier New" w:hAnsi="Courier New" w:cs="Courier New" w:hint="default"/>
      </w:rPr>
    </w:lvl>
    <w:lvl w:ilvl="5" w:tplc="080C0005">
      <w:start w:val="1"/>
      <w:numFmt w:val="bullet"/>
      <w:lvlText w:val=""/>
      <w:lvlJc w:val="left"/>
      <w:pPr>
        <w:ind w:left="4680" w:hanging="360"/>
      </w:pPr>
      <w:rPr>
        <w:rFonts w:ascii="Wingdings" w:hAnsi="Wingdings" w:hint="default"/>
      </w:rPr>
    </w:lvl>
    <w:lvl w:ilvl="6" w:tplc="080C0001">
      <w:start w:val="1"/>
      <w:numFmt w:val="bullet"/>
      <w:lvlText w:val=""/>
      <w:lvlJc w:val="left"/>
      <w:pPr>
        <w:ind w:left="5400" w:hanging="360"/>
      </w:pPr>
      <w:rPr>
        <w:rFonts w:ascii="Symbol" w:hAnsi="Symbol" w:hint="default"/>
      </w:rPr>
    </w:lvl>
    <w:lvl w:ilvl="7" w:tplc="080C0003">
      <w:start w:val="1"/>
      <w:numFmt w:val="bullet"/>
      <w:lvlText w:val="o"/>
      <w:lvlJc w:val="left"/>
      <w:pPr>
        <w:ind w:left="6120" w:hanging="360"/>
      </w:pPr>
      <w:rPr>
        <w:rFonts w:ascii="Courier New" w:hAnsi="Courier New" w:cs="Courier New" w:hint="default"/>
      </w:rPr>
    </w:lvl>
    <w:lvl w:ilvl="8" w:tplc="080C0005">
      <w:start w:val="1"/>
      <w:numFmt w:val="bullet"/>
      <w:lvlText w:val=""/>
      <w:lvlJc w:val="left"/>
      <w:pPr>
        <w:ind w:left="6840" w:hanging="360"/>
      </w:pPr>
      <w:rPr>
        <w:rFonts w:ascii="Wingdings" w:hAnsi="Wingdings" w:hint="default"/>
      </w:rPr>
    </w:lvl>
  </w:abstractNum>
  <w:abstractNum w:abstractNumId="42">
    <w:nsid w:val="450B03C3"/>
    <w:multiLevelType w:val="hybridMultilevel"/>
    <w:tmpl w:val="D578F79C"/>
    <w:lvl w:ilvl="0" w:tplc="D9C6341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45FB5FC5"/>
    <w:multiLevelType w:val="hybridMultilevel"/>
    <w:tmpl w:val="BDEA5D8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4">
    <w:nsid w:val="461F5772"/>
    <w:multiLevelType w:val="hybridMultilevel"/>
    <w:tmpl w:val="08D405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nsid w:val="483D0E8A"/>
    <w:multiLevelType w:val="hybridMultilevel"/>
    <w:tmpl w:val="DAC6761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492A1252"/>
    <w:multiLevelType w:val="hybridMultilevel"/>
    <w:tmpl w:val="12CEEDC2"/>
    <w:lvl w:ilvl="0" w:tplc="BE6E0852">
      <w:numFmt w:val="bullet"/>
      <w:lvlText w:val="-"/>
      <w:lvlJc w:val="left"/>
      <w:pPr>
        <w:ind w:left="720" w:hanging="360"/>
      </w:pPr>
      <w:rPr>
        <w:rFonts w:ascii="Calibri" w:eastAsiaTheme="minorHAnsi" w:hAnsi="Calibri" w:cs="Calibr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7">
    <w:nsid w:val="49643708"/>
    <w:multiLevelType w:val="hybridMultilevel"/>
    <w:tmpl w:val="C2107AB0"/>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8">
    <w:nsid w:val="4AF717ED"/>
    <w:multiLevelType w:val="hybridMultilevel"/>
    <w:tmpl w:val="0F8CC8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nsid w:val="4C692F63"/>
    <w:multiLevelType w:val="hybridMultilevel"/>
    <w:tmpl w:val="310285DA"/>
    <w:lvl w:ilvl="0" w:tplc="080C000B">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0">
    <w:nsid w:val="4E56718C"/>
    <w:multiLevelType w:val="hybridMultilevel"/>
    <w:tmpl w:val="C5D4FF82"/>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1">
    <w:nsid w:val="4EA72406"/>
    <w:multiLevelType w:val="hybridMultilevel"/>
    <w:tmpl w:val="472AA0F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nsid w:val="4EE737AB"/>
    <w:multiLevelType w:val="hybridMultilevel"/>
    <w:tmpl w:val="BD38885A"/>
    <w:lvl w:ilvl="0" w:tplc="080C000B">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3">
    <w:nsid w:val="4F897938"/>
    <w:multiLevelType w:val="hybridMultilevel"/>
    <w:tmpl w:val="65EC71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nsid w:val="510C7B00"/>
    <w:multiLevelType w:val="hybridMultilevel"/>
    <w:tmpl w:val="06B214C6"/>
    <w:lvl w:ilvl="0" w:tplc="080C000B">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5">
    <w:nsid w:val="543E0B3E"/>
    <w:multiLevelType w:val="hybridMultilevel"/>
    <w:tmpl w:val="D5281174"/>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6">
    <w:nsid w:val="54F44D5E"/>
    <w:multiLevelType w:val="hybridMultilevel"/>
    <w:tmpl w:val="4E744C20"/>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7">
    <w:nsid w:val="58E750E1"/>
    <w:multiLevelType w:val="hybridMultilevel"/>
    <w:tmpl w:val="21180726"/>
    <w:lvl w:ilvl="0" w:tplc="080C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59526F75"/>
    <w:multiLevelType w:val="hybridMultilevel"/>
    <w:tmpl w:val="AE5442C8"/>
    <w:lvl w:ilvl="0" w:tplc="42E4908C">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nsid w:val="5A792952"/>
    <w:multiLevelType w:val="hybridMultilevel"/>
    <w:tmpl w:val="E8F0F3F4"/>
    <w:lvl w:ilvl="0" w:tplc="06CC35F8">
      <w:start w:val="3"/>
      <w:numFmt w:val="bullet"/>
      <w:lvlText w:val="-"/>
      <w:lvlJc w:val="left"/>
      <w:pPr>
        <w:ind w:left="720" w:hanging="360"/>
      </w:pPr>
      <w:rPr>
        <w:rFonts w:ascii="Times New Roman" w:eastAsiaTheme="minorHAnsi" w:hAnsi="Times New Roman"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0">
    <w:nsid w:val="5ADA2E52"/>
    <w:multiLevelType w:val="hybridMultilevel"/>
    <w:tmpl w:val="5FFCB2F6"/>
    <w:lvl w:ilvl="0" w:tplc="080C000B">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1">
    <w:nsid w:val="5B9663EE"/>
    <w:multiLevelType w:val="hybridMultilevel"/>
    <w:tmpl w:val="DD1ABBA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2">
    <w:nsid w:val="5D776220"/>
    <w:multiLevelType w:val="hybridMultilevel"/>
    <w:tmpl w:val="EE50309E"/>
    <w:lvl w:ilvl="0" w:tplc="0DC6D50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5E856946"/>
    <w:multiLevelType w:val="hybridMultilevel"/>
    <w:tmpl w:val="C41E5748"/>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5F406FEE"/>
    <w:multiLevelType w:val="hybridMultilevel"/>
    <w:tmpl w:val="9D2C0E08"/>
    <w:lvl w:ilvl="0" w:tplc="080C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604E6039"/>
    <w:multiLevelType w:val="hybridMultilevel"/>
    <w:tmpl w:val="7CD0B0E6"/>
    <w:lvl w:ilvl="0" w:tplc="080C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6">
    <w:nsid w:val="61542B7F"/>
    <w:multiLevelType w:val="hybridMultilevel"/>
    <w:tmpl w:val="95928620"/>
    <w:lvl w:ilvl="0" w:tplc="8BEC7CA8">
      <w:start w:val="1"/>
      <w:numFmt w:val="bullet"/>
      <w:lvlText w:val="-"/>
      <w:lvlJc w:val="left"/>
      <w:pPr>
        <w:ind w:left="720" w:hanging="360"/>
      </w:pPr>
      <w:rPr>
        <w:rFonts w:ascii="Times New Roman" w:eastAsiaTheme="minorHAnsi" w:hAnsi="Times New Roman"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7">
    <w:nsid w:val="622D20EA"/>
    <w:multiLevelType w:val="hybridMultilevel"/>
    <w:tmpl w:val="B686C928"/>
    <w:lvl w:ilvl="0" w:tplc="080C000B">
      <w:start w:val="1"/>
      <w:numFmt w:val="bullet"/>
      <w:lvlText w:val=""/>
      <w:lvlJc w:val="left"/>
      <w:pPr>
        <w:ind w:left="720" w:hanging="360"/>
      </w:pPr>
      <w:rPr>
        <w:rFonts w:ascii="Wingdings" w:hAnsi="Wingdings" w:hint="default"/>
      </w:rPr>
    </w:lvl>
    <w:lvl w:ilvl="1" w:tplc="080C0019">
      <w:start w:val="1"/>
      <w:numFmt w:val="lowerLetter"/>
      <w:lvlText w:val="%2."/>
      <w:lvlJc w:val="left"/>
      <w:pPr>
        <w:ind w:left="1440" w:hanging="360"/>
      </w:pPr>
    </w:lvl>
    <w:lvl w:ilvl="2" w:tplc="080C001B">
      <w:start w:val="1"/>
      <w:numFmt w:val="lowerRoman"/>
      <w:lvlText w:val="%3."/>
      <w:lvlJc w:val="right"/>
      <w:pPr>
        <w:ind w:left="2160" w:hanging="180"/>
      </w:pPr>
    </w:lvl>
    <w:lvl w:ilvl="3" w:tplc="080C000F">
      <w:start w:val="1"/>
      <w:numFmt w:val="decimal"/>
      <w:lvlText w:val="%4."/>
      <w:lvlJc w:val="left"/>
      <w:pPr>
        <w:ind w:left="2880" w:hanging="360"/>
      </w:pPr>
    </w:lvl>
    <w:lvl w:ilvl="4" w:tplc="080C0019">
      <w:start w:val="1"/>
      <w:numFmt w:val="lowerLetter"/>
      <w:lvlText w:val="%5."/>
      <w:lvlJc w:val="left"/>
      <w:pPr>
        <w:ind w:left="3600" w:hanging="360"/>
      </w:pPr>
    </w:lvl>
    <w:lvl w:ilvl="5" w:tplc="080C001B">
      <w:start w:val="1"/>
      <w:numFmt w:val="lowerRoman"/>
      <w:lvlText w:val="%6."/>
      <w:lvlJc w:val="right"/>
      <w:pPr>
        <w:ind w:left="4320" w:hanging="180"/>
      </w:pPr>
    </w:lvl>
    <w:lvl w:ilvl="6" w:tplc="080C000F">
      <w:start w:val="1"/>
      <w:numFmt w:val="decimal"/>
      <w:lvlText w:val="%7."/>
      <w:lvlJc w:val="left"/>
      <w:pPr>
        <w:ind w:left="5040" w:hanging="360"/>
      </w:pPr>
    </w:lvl>
    <w:lvl w:ilvl="7" w:tplc="080C0019">
      <w:start w:val="1"/>
      <w:numFmt w:val="lowerLetter"/>
      <w:lvlText w:val="%8."/>
      <w:lvlJc w:val="left"/>
      <w:pPr>
        <w:ind w:left="5760" w:hanging="360"/>
      </w:pPr>
    </w:lvl>
    <w:lvl w:ilvl="8" w:tplc="080C001B">
      <w:start w:val="1"/>
      <w:numFmt w:val="lowerRoman"/>
      <w:lvlText w:val="%9."/>
      <w:lvlJc w:val="right"/>
      <w:pPr>
        <w:ind w:left="6480" w:hanging="180"/>
      </w:pPr>
    </w:lvl>
  </w:abstractNum>
  <w:abstractNum w:abstractNumId="68">
    <w:nsid w:val="633C4953"/>
    <w:multiLevelType w:val="hybridMultilevel"/>
    <w:tmpl w:val="E05A6078"/>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9">
    <w:nsid w:val="644E5CF9"/>
    <w:multiLevelType w:val="hybridMultilevel"/>
    <w:tmpl w:val="64ACB266"/>
    <w:lvl w:ilvl="0" w:tplc="2E943616">
      <w:numFmt w:val="bullet"/>
      <w:lvlText w:val="•"/>
      <w:lvlJc w:val="left"/>
      <w:pPr>
        <w:ind w:left="1080" w:hanging="72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nsid w:val="658A2542"/>
    <w:multiLevelType w:val="hybridMultilevel"/>
    <w:tmpl w:val="2250B90A"/>
    <w:lvl w:ilvl="0" w:tplc="080C000B">
      <w:start w:val="1"/>
      <w:numFmt w:val="bullet"/>
      <w:lvlText w:val=""/>
      <w:lvlJc w:val="left"/>
      <w:pPr>
        <w:ind w:left="720" w:hanging="360"/>
      </w:pPr>
      <w:rPr>
        <w:rFonts w:ascii="Wingdings" w:hAnsi="Wingdings"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71">
    <w:nsid w:val="6991276D"/>
    <w:multiLevelType w:val="hybridMultilevel"/>
    <w:tmpl w:val="8A94E000"/>
    <w:lvl w:ilvl="0" w:tplc="080C000B">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72">
    <w:nsid w:val="6BF43FDA"/>
    <w:multiLevelType w:val="hybridMultilevel"/>
    <w:tmpl w:val="AD9A8BF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6C8866D1"/>
    <w:multiLevelType w:val="hybridMultilevel"/>
    <w:tmpl w:val="7214DABE"/>
    <w:lvl w:ilvl="0" w:tplc="8A98612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6D0366DF"/>
    <w:multiLevelType w:val="hybridMultilevel"/>
    <w:tmpl w:val="6A18B1E6"/>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75">
    <w:nsid w:val="6D7A3248"/>
    <w:multiLevelType w:val="hybridMultilevel"/>
    <w:tmpl w:val="B81815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nsid w:val="71715649"/>
    <w:multiLevelType w:val="hybridMultilevel"/>
    <w:tmpl w:val="E91EE14E"/>
    <w:lvl w:ilvl="0" w:tplc="75245EDE">
      <w:start w:val="1"/>
      <w:numFmt w:val="lowerRoman"/>
      <w:lvlText w:val="%1."/>
      <w:lvlJc w:val="left"/>
      <w:pPr>
        <w:ind w:left="1080" w:hanging="720"/>
      </w:pPr>
      <w:rPr>
        <w:rFonts w:hint="default"/>
        <w:b/>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77">
    <w:nsid w:val="722F479F"/>
    <w:multiLevelType w:val="hybridMultilevel"/>
    <w:tmpl w:val="D82A76DC"/>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729C26B5"/>
    <w:multiLevelType w:val="hybridMultilevel"/>
    <w:tmpl w:val="06A67D5C"/>
    <w:lvl w:ilvl="0" w:tplc="83C453FA">
      <w:numFmt w:val="bullet"/>
      <w:lvlText w:val="-"/>
      <w:lvlJc w:val="left"/>
      <w:pPr>
        <w:ind w:left="720" w:hanging="360"/>
      </w:pPr>
      <w:rPr>
        <w:rFonts w:ascii="Calibri" w:eastAsiaTheme="minorHAnsi"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79">
    <w:nsid w:val="730C56AF"/>
    <w:multiLevelType w:val="hybridMultilevel"/>
    <w:tmpl w:val="E7682B4A"/>
    <w:lvl w:ilvl="0" w:tplc="080C000B">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80">
    <w:nsid w:val="73FE3A80"/>
    <w:multiLevelType w:val="hybridMultilevel"/>
    <w:tmpl w:val="16006E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nsid w:val="749F4AFF"/>
    <w:multiLevelType w:val="hybridMultilevel"/>
    <w:tmpl w:val="7742BCC4"/>
    <w:lvl w:ilvl="0" w:tplc="41F4A604">
      <w:numFmt w:val="bullet"/>
      <w:lvlText w:val="-"/>
      <w:lvlJc w:val="left"/>
      <w:pPr>
        <w:ind w:left="720" w:hanging="360"/>
      </w:pPr>
      <w:rPr>
        <w:rFonts w:ascii="Times New Roman" w:eastAsiaTheme="minorHAnsi" w:hAnsi="Times New Roman" w:cs="Times New Roman"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nsid w:val="74B804FB"/>
    <w:multiLevelType w:val="hybridMultilevel"/>
    <w:tmpl w:val="B6A0CC00"/>
    <w:lvl w:ilvl="0" w:tplc="27E008E6">
      <w:numFmt w:val="bullet"/>
      <w:lvlText w:val="-"/>
      <w:lvlJc w:val="left"/>
      <w:pPr>
        <w:ind w:left="720" w:hanging="360"/>
      </w:pPr>
      <w:rPr>
        <w:rFonts w:ascii="Calibri" w:eastAsiaTheme="minorHAnsi" w:hAnsi="Calibri"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start w:val="1"/>
      <w:numFmt w:val="bullet"/>
      <w:lvlText w:val=""/>
      <w:lvlJc w:val="left"/>
      <w:pPr>
        <w:ind w:left="2880" w:hanging="360"/>
      </w:pPr>
      <w:rPr>
        <w:rFonts w:ascii="Symbol" w:hAnsi="Symbol" w:hint="default"/>
      </w:rPr>
    </w:lvl>
    <w:lvl w:ilvl="4" w:tplc="080C0003">
      <w:start w:val="1"/>
      <w:numFmt w:val="bullet"/>
      <w:lvlText w:val="o"/>
      <w:lvlJc w:val="left"/>
      <w:pPr>
        <w:ind w:left="3600" w:hanging="360"/>
      </w:pPr>
      <w:rPr>
        <w:rFonts w:ascii="Courier New" w:hAnsi="Courier New" w:cs="Courier New" w:hint="default"/>
      </w:rPr>
    </w:lvl>
    <w:lvl w:ilvl="5" w:tplc="080C0005">
      <w:start w:val="1"/>
      <w:numFmt w:val="bullet"/>
      <w:lvlText w:val=""/>
      <w:lvlJc w:val="left"/>
      <w:pPr>
        <w:ind w:left="4320" w:hanging="360"/>
      </w:pPr>
      <w:rPr>
        <w:rFonts w:ascii="Wingdings" w:hAnsi="Wingdings" w:hint="default"/>
      </w:rPr>
    </w:lvl>
    <w:lvl w:ilvl="6" w:tplc="080C0001">
      <w:start w:val="1"/>
      <w:numFmt w:val="bullet"/>
      <w:lvlText w:val=""/>
      <w:lvlJc w:val="left"/>
      <w:pPr>
        <w:ind w:left="5040" w:hanging="360"/>
      </w:pPr>
      <w:rPr>
        <w:rFonts w:ascii="Symbol" w:hAnsi="Symbol" w:hint="default"/>
      </w:rPr>
    </w:lvl>
    <w:lvl w:ilvl="7" w:tplc="080C0003">
      <w:start w:val="1"/>
      <w:numFmt w:val="bullet"/>
      <w:lvlText w:val="o"/>
      <w:lvlJc w:val="left"/>
      <w:pPr>
        <w:ind w:left="5760" w:hanging="360"/>
      </w:pPr>
      <w:rPr>
        <w:rFonts w:ascii="Courier New" w:hAnsi="Courier New" w:cs="Courier New" w:hint="default"/>
      </w:rPr>
    </w:lvl>
    <w:lvl w:ilvl="8" w:tplc="080C0005">
      <w:start w:val="1"/>
      <w:numFmt w:val="bullet"/>
      <w:lvlText w:val=""/>
      <w:lvlJc w:val="left"/>
      <w:pPr>
        <w:ind w:left="6480" w:hanging="360"/>
      </w:pPr>
      <w:rPr>
        <w:rFonts w:ascii="Wingdings" w:hAnsi="Wingdings" w:hint="default"/>
      </w:rPr>
    </w:lvl>
  </w:abstractNum>
  <w:abstractNum w:abstractNumId="83">
    <w:nsid w:val="75BA3838"/>
    <w:multiLevelType w:val="hybridMultilevel"/>
    <w:tmpl w:val="01487B56"/>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84">
    <w:nsid w:val="7A7D5636"/>
    <w:multiLevelType w:val="hybridMultilevel"/>
    <w:tmpl w:val="2EE204A0"/>
    <w:lvl w:ilvl="0" w:tplc="BE6E0852">
      <w:numFmt w:val="bullet"/>
      <w:lvlText w:val="-"/>
      <w:lvlJc w:val="left"/>
      <w:pPr>
        <w:ind w:left="360" w:hanging="360"/>
      </w:pPr>
      <w:rPr>
        <w:rFonts w:ascii="Calibri" w:eastAsiaTheme="minorHAnsi" w:hAnsi="Calibri" w:cs="Calibri"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85">
    <w:nsid w:val="7E2F1CBD"/>
    <w:multiLevelType w:val="hybridMultilevel"/>
    <w:tmpl w:val="523C39F6"/>
    <w:lvl w:ilvl="0" w:tplc="080C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1"/>
  </w:num>
  <w:num w:numId="3">
    <w:abstractNumId w:val="9"/>
  </w:num>
  <w:num w:numId="4">
    <w:abstractNumId w:val="73"/>
  </w:num>
  <w:num w:numId="5">
    <w:abstractNumId w:val="14"/>
  </w:num>
  <w:num w:numId="6">
    <w:abstractNumId w:val="33"/>
  </w:num>
  <w:num w:numId="7">
    <w:abstractNumId w:val="70"/>
  </w:num>
  <w:num w:numId="8">
    <w:abstractNumId w:val="10"/>
  </w:num>
  <w:num w:numId="9">
    <w:abstractNumId w:val="79"/>
  </w:num>
  <w:num w:numId="10">
    <w:abstractNumId w:val="67"/>
  </w:num>
  <w:num w:numId="11">
    <w:abstractNumId w:val="36"/>
  </w:num>
  <w:num w:numId="12">
    <w:abstractNumId w:val="4"/>
  </w:num>
  <w:num w:numId="13">
    <w:abstractNumId w:val="12"/>
  </w:num>
  <w:num w:numId="14">
    <w:abstractNumId w:val="12"/>
  </w:num>
  <w:num w:numId="15">
    <w:abstractNumId w:val="25"/>
  </w:num>
  <w:num w:numId="16">
    <w:abstractNumId w:val="54"/>
  </w:num>
  <w:num w:numId="17">
    <w:abstractNumId w:val="38"/>
  </w:num>
  <w:num w:numId="1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7"/>
  </w:num>
  <w:num w:numId="20">
    <w:abstractNumId w:val="77"/>
  </w:num>
  <w:num w:numId="2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7"/>
  </w:num>
  <w:num w:numId="25">
    <w:abstractNumId w:val="5"/>
  </w:num>
  <w:num w:numId="26">
    <w:abstractNumId w:val="28"/>
  </w:num>
  <w:num w:numId="2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3"/>
  </w:num>
  <w:num w:numId="29">
    <w:abstractNumId w:val="39"/>
  </w:num>
  <w:num w:numId="30">
    <w:abstractNumId w:val="63"/>
  </w:num>
  <w:num w:numId="31">
    <w:abstractNumId w:val="45"/>
  </w:num>
  <w:num w:numId="32">
    <w:abstractNumId w:val="16"/>
  </w:num>
  <w:num w:numId="33">
    <w:abstractNumId w:val="72"/>
  </w:num>
  <w:num w:numId="34">
    <w:abstractNumId w:val="62"/>
  </w:num>
  <w:num w:numId="35">
    <w:abstractNumId w:val="42"/>
  </w:num>
  <w:num w:numId="36">
    <w:abstractNumId w:val="13"/>
  </w:num>
  <w:num w:numId="37">
    <w:abstractNumId w:val="46"/>
  </w:num>
  <w:num w:numId="38">
    <w:abstractNumId w:val="77"/>
  </w:num>
  <w:num w:numId="39">
    <w:abstractNumId w:val="81"/>
  </w:num>
  <w:num w:numId="40">
    <w:abstractNumId w:val="82"/>
  </w:num>
  <w:num w:numId="41">
    <w:abstractNumId w:val="3"/>
  </w:num>
  <w:num w:numId="42">
    <w:abstractNumId w:val="49"/>
  </w:num>
  <w:num w:numId="43">
    <w:abstractNumId w:val="71"/>
  </w:num>
  <w:num w:numId="44">
    <w:abstractNumId w:val="52"/>
  </w:num>
  <w:num w:numId="45">
    <w:abstractNumId w:val="6"/>
  </w:num>
  <w:num w:numId="46">
    <w:abstractNumId w:val="60"/>
  </w:num>
  <w:num w:numId="47">
    <w:abstractNumId w:val="32"/>
  </w:num>
  <w:num w:numId="48">
    <w:abstractNumId w:val="59"/>
  </w:num>
  <w:num w:numId="49">
    <w:abstractNumId w:val="76"/>
  </w:num>
  <w:num w:numId="50">
    <w:abstractNumId w:val="79"/>
  </w:num>
  <w:num w:numId="51">
    <w:abstractNumId w:val="55"/>
  </w:num>
  <w:num w:numId="52">
    <w:abstractNumId w:val="57"/>
  </w:num>
  <w:num w:numId="53">
    <w:abstractNumId w:val="65"/>
  </w:num>
  <w:num w:numId="54">
    <w:abstractNumId w:val="50"/>
  </w:num>
  <w:num w:numId="55">
    <w:abstractNumId w:val="83"/>
  </w:num>
  <w:num w:numId="56">
    <w:abstractNumId w:val="74"/>
  </w:num>
  <w:num w:numId="57">
    <w:abstractNumId w:val="64"/>
  </w:num>
  <w:num w:numId="58">
    <w:abstractNumId w:val="1"/>
  </w:num>
  <w:num w:numId="59">
    <w:abstractNumId w:val="47"/>
  </w:num>
  <w:num w:numId="60">
    <w:abstractNumId w:val="11"/>
  </w:num>
  <w:num w:numId="61">
    <w:abstractNumId w:val="2"/>
  </w:num>
  <w:num w:numId="62">
    <w:abstractNumId w:val="24"/>
  </w:num>
  <w:num w:numId="63">
    <w:abstractNumId w:val="17"/>
  </w:num>
  <w:num w:numId="64">
    <w:abstractNumId w:val="22"/>
  </w:num>
  <w:num w:numId="65">
    <w:abstractNumId w:val="31"/>
  </w:num>
  <w:num w:numId="66">
    <w:abstractNumId w:val="85"/>
  </w:num>
  <w:num w:numId="67">
    <w:abstractNumId w:val="20"/>
  </w:num>
  <w:num w:numId="68">
    <w:abstractNumId w:val="19"/>
  </w:num>
  <w:num w:numId="69">
    <w:abstractNumId w:val="37"/>
  </w:num>
  <w:num w:numId="70">
    <w:abstractNumId w:val="40"/>
  </w:num>
  <w:num w:numId="71">
    <w:abstractNumId w:val="61"/>
  </w:num>
  <w:num w:numId="72">
    <w:abstractNumId w:val="80"/>
  </w:num>
  <w:num w:numId="73">
    <w:abstractNumId w:val="21"/>
  </w:num>
  <w:num w:numId="74">
    <w:abstractNumId w:val="51"/>
  </w:num>
  <w:num w:numId="75">
    <w:abstractNumId w:val="48"/>
  </w:num>
  <w:num w:numId="76">
    <w:abstractNumId w:val="69"/>
  </w:num>
  <w:num w:numId="77">
    <w:abstractNumId w:val="0"/>
  </w:num>
  <w:num w:numId="78">
    <w:abstractNumId w:val="53"/>
  </w:num>
  <w:num w:numId="79">
    <w:abstractNumId w:val="66"/>
  </w:num>
  <w:num w:numId="80">
    <w:abstractNumId w:val="44"/>
  </w:num>
  <w:num w:numId="81">
    <w:abstractNumId w:val="35"/>
  </w:num>
  <w:num w:numId="82">
    <w:abstractNumId w:val="43"/>
  </w:num>
  <w:num w:numId="83">
    <w:abstractNumId w:val="30"/>
  </w:num>
  <w:num w:numId="84">
    <w:abstractNumId w:val="75"/>
  </w:num>
  <w:num w:numId="85">
    <w:abstractNumId w:val="68"/>
  </w:num>
  <w:num w:numId="86">
    <w:abstractNumId w:val="18"/>
  </w:num>
  <w:num w:numId="87">
    <w:abstractNumId w:val="58"/>
  </w:num>
  <w:num w:numId="88">
    <w:abstractNumId w:val="56"/>
  </w:num>
  <w:num w:numId="89">
    <w:abstractNumId w:val="26"/>
  </w:num>
  <w:num w:numId="90">
    <w:abstractNumId w:val="34"/>
  </w:num>
  <w:num w:numId="91">
    <w:abstractNumId w:val="84"/>
  </w:num>
  <w:num w:numId="92">
    <w:abstractNumId w:val="78"/>
  </w:num>
  <w:numIdMacAtCleanup w:val="8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removePersonalInformation/>
  <w:removeDateAndTime/>
  <w:hideSpellingErrors/>
  <w:hideGrammaticalErrors/>
  <w:activeWritingStyle w:appName="MSWord" w:lang="fr-BE" w:vendorID="64" w:dllVersion="131078" w:nlCheck="1" w:checkStyle="0"/>
  <w:activeWritingStyle w:appName="MSWord" w:lang="en-GB" w:vendorID="64" w:dllVersion="131078" w:nlCheck="1" w:checkStyle="1"/>
  <w:activeWritingStyle w:appName="MSWord" w:lang="en-IE" w:vendorID="64" w:dllVersion="131078" w:nlCheck="1" w:checkStyle="1"/>
  <w:activeWritingStyle w:appName="MSWord" w:lang="en-CA" w:vendorID="64" w:dllVersion="131078" w:nlCheck="1" w:checkStyle="1"/>
  <w:activeWritingStyle w:appName="MSWord" w:lang="en-US" w:vendorID="64" w:dllVersion="131078" w:nlCheck="1" w:checkStyle="1"/>
  <w:activeWritingStyle w:appName="MSWord" w:lang="it-IT" w:vendorID="64" w:dllVersion="131078" w:nlCheck="1" w:checkStyle="0"/>
  <w:activeWritingStyle w:appName="MSWord" w:lang="en-AU" w:vendorID="64" w:dllVersion="131078" w:nlCheck="1" w:checkStyle="1"/>
  <w:activeWritingStyle w:appName="MSWord" w:lang="de-DE" w:vendorID="64" w:dllVersion="131078" w:nlCheck="1" w:checkStyle="0"/>
  <w:activeWritingStyle w:appName="MSWord" w:lang="pt-PT" w:vendorID="64" w:dllVersion="131078" w:nlCheck="1" w:checkStyle="0"/>
  <w:revisionView w:markup="0"/>
  <w:defaultTabStop w:val="720"/>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CORRIGENDUM" w:val="&lt;UNUSED&gt;"/>
    <w:docVar w:name="LW_COVERPAGE_EXISTS" w:val="True"/>
    <w:docVar w:name="LW_COVERPAGE_GUID" w:val="2CEF2492-056B-41B9-B1A3-6835642C7BB6"/>
    <w:docVar w:name="LW_COVERPAGE_TYPE" w:val="1"/>
    <w:docVar w:name="LW_CROSSREFERENCE" w:val="&lt;UNUSED&gt;"/>
    <w:docVar w:name="LW_DocType" w:val="NORMAL"/>
    <w:docVar w:name="LW_EMISSION" w:val="5.3.2020."/>
    <w:docVar w:name="LW_EMISSION_ISODATE" w:val="2020-03-05"/>
    <w:docVar w:name="LW_EMISSION_LOCATION" w:val="BRX"/>
    <w:docVar w:name="LW_EMISSION_PREFIX" w:val="Bruxelles, "/>
    <w:docVar w:name="LW_EMISSION_SUFFIX" w:val="&lt;EMPTY&gt;"/>
    <w:docVar w:name="LW_ID_DOCTYPE_NONLW" w:val="CP-014"/>
    <w:docVar w:name="LW_LANGUE" w:val="HR"/>
    <w:docVar w:name="LW_LEVEL_OF_SENSITIVITY" w:val="Standard treatment"/>
    <w:docVar w:name="LW_NOM.INST" w:val="EUROPSKA KOMISIJA"/>
    <w:docVar w:name="LW_NOM.INST_JOINTDOC" w:val="&lt;EMPTY&gt;"/>
    <w:docVar w:name="LW_PART_NBR" w:val="1"/>
    <w:docVar w:name="LW_PART_NBR_TOTAL" w:val="1"/>
    <w:docVar w:name="LW_REF.INST.NEW" w:val="COM"/>
    <w:docVar w:name="LW_REF.INST.NEW_ADOPTED" w:val="final"/>
    <w:docVar w:name="LW_REF.INST.NEW_TEXT" w:val="(2020) 152"/>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Config isAvailable=&quot;false&quot; isMandatory=&quot;false&quot; sensitiveMarkingMandatory=&quot;false&quot; specialMarkingMandatory=&quot;true&quot; isOptionDisplayInHeaderAvailable=&quot;true&quot; sensitiveMarkingListSee=&quot;SensitiveMarkings&quot; specialMarkingListSee=&quot;SpecialMarkings&quot; sensitiveFootnoteTextSee=&quot;sensitiveFootnote&quot; specialFootnoteTextSee=&quot;specialFootnote&quot; /&gt;_x000d__x000a_  &lt;chosenMainMarking xsi:nil=&quot;true&quot; /&gt;_x000d__x000a_  &lt;dateMarking xsi:nil=&quot;true&quot; /&gt;_x000d__x000a_  &lt;releasableToConfig isAvailable=&quot;false&quot; institutionListSee=&quot;DefaultInstitutions&quot; /&gt;_x000d__x000a_  &lt;chosenReleasableTo xsi:nil=&quot;true&quot; /&gt;_x000d__x000a_  &lt;detached xsi:nil=&quot;true&quot; /&gt;_x000d__x000a_  &lt;declassify xsi:nil=&quot;true&quot; /&gt;_x000d__x000a_  &lt;headerTexts xsi:nil=&quot;true&quot; /&gt;_x000d__x000a_  &lt;footerTexts xsi:nil=&quot;true&quot; /&gt;_x000d__x000a_  &lt;isRestricted&gt;false&lt;/isRestricted&gt;_x000d__x000a_&lt;/SensitivityLevel&gt;"/>
    <w:docVar w:name="LW_SUPERTITRE" w:val="&lt;UNUSED&gt;"/>
    <w:docVar w:name="LW_TITRE.OBJ.CP" w:val="Unija ravnopravnosti: Strategija za rodnu ravnopravnost 2020.\u8211?2025._x000d__x000d__x000d__x000d__x000d__x000b__x000d__x000d__x000d__x000d__x000d__x000d__x000d__x000b_"/>
    <w:docVar w:name="LW_TYPE.DOC.CP" w:val="KOMUNIKACIJA KOMISIJE EUROPSKOM PARLAMENTU, VIJE\u262?U, EUROPSKOM GOSPODARSKOM I SOCIJALNOM ODBORU I ODBORU REGIJA"/>
    <w:docVar w:name="LW_TYPE.DOC.CP.USERTEXT" w:val="&lt;EMPTY&gt;"/>
  </w:docVar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IE"/>
    </w:rPr>
  </w:style>
  <w:style w:type="paragraph" w:styleId="Heading2">
    <w:name w:val="heading 2"/>
    <w:basedOn w:val="Normal"/>
    <w:next w:val="Normal"/>
    <w:link w:val="Heading2Char"/>
    <w:uiPriority w:val="9"/>
    <w:unhideWhenUsed/>
    <w:qFormat/>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1st level - Bullet List Paragraph,List Paragraph1,Lettre d'introduction,Paragrafo elenco,Medium Grid 1 - Accent 21,Fiche List Paragraph,body,Odsek zoznamu2,Odsek zoznamu1,3,Bullet 1,Bullet Points,Colorful List - Accent 11,Dot pt,Bulle,2"/>
    <w:basedOn w:val="Normal"/>
    <w:link w:val="ListParagraphChar"/>
    <w:uiPriority w:val="34"/>
    <w:qFormat/>
    <w:pPr>
      <w:ind w:left="720"/>
      <w:contextualSpacing/>
    </w:pPr>
    <w:rPr>
      <w:rFonts w:ascii="Calibri" w:hAnsi="Calibri" w:cs="Calibri"/>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paragraph" w:customStyle="1" w:styleId="B0List">
    <w:name w:val="B0 List"/>
    <w:basedOn w:val="Normal"/>
    <w:qFormat/>
    <w:pPr>
      <w:widowControl w:val="0"/>
      <w:numPr>
        <w:numId w:val="13"/>
      </w:numPr>
      <w:spacing w:after="120" w:line="240" w:lineRule="auto"/>
      <w:jc w:val="both"/>
    </w:pPr>
    <w:rPr>
      <w:rFonts w:ascii="Times New Roman" w:eastAsia="Calibri" w:hAnsi="Times New Roman" w:cs="Tahoma"/>
      <w:sz w:val="24"/>
    </w:rPr>
  </w:style>
  <w:style w:type="paragraph" w:customStyle="1" w:styleId="Briefinglist1">
    <w:name w:val="Briefing list 1"/>
    <w:basedOn w:val="Normal"/>
    <w:pPr>
      <w:tabs>
        <w:tab w:val="num" w:pos="284"/>
      </w:tabs>
      <w:spacing w:after="120" w:line="240" w:lineRule="auto"/>
      <w:ind w:left="284" w:hanging="284"/>
      <w:jc w:val="both"/>
    </w:pPr>
    <w:rPr>
      <w:rFonts w:ascii="Arial" w:hAnsi="Arial" w:cs="Arial"/>
    </w:rPr>
  </w:style>
  <w:style w:type="paragraph" w:styleId="FootnoteText">
    <w:name w:val="footnote text"/>
    <w:aliases w:val="Char,Fußnote,Carattere,fn,Footnotes,Footnote ak,Footnote Text Char1,Footnote Text Char Char,fn Char Char,footnote text Char Char,Footnotes Char Char,Footnote ak Char Char,fn Char1,footnote text Char1,Footnotes Char1,ft,Footnote Text_EP-LC"/>
    <w:basedOn w:val="Normal"/>
    <w:link w:val="FootnoteTextChar"/>
    <w:uiPriority w:val="99"/>
    <w:unhideWhenUsed/>
    <w:qFormat/>
    <w:pPr>
      <w:spacing w:after="0" w:line="240" w:lineRule="auto"/>
    </w:pPr>
    <w:rPr>
      <w:sz w:val="20"/>
      <w:szCs w:val="20"/>
    </w:rPr>
  </w:style>
  <w:style w:type="character" w:customStyle="1" w:styleId="FootnoteTextChar">
    <w:name w:val="Footnote Text Char"/>
    <w:aliases w:val="Char Char,Fußnote Char,Carattere Char,fn Char,Footnotes Char,Footnote ak Char,Footnote Text Char1 Char,Footnote Text Char Char Char,fn Char Char Char,footnote text Char Char Char,Footnotes Char Char Char,Footnote ak Char Char Char"/>
    <w:basedOn w:val="DefaultParagraphFont"/>
    <w:link w:val="FootnoteText"/>
    <w:uiPriority w:val="99"/>
    <w:qFormat/>
    <w:rPr>
      <w:sz w:val="20"/>
      <w:szCs w:val="20"/>
      <w:lang w:val="hr-HR"/>
    </w:rPr>
  </w:style>
  <w:style w:type="character" w:styleId="FootnoteReference">
    <w:name w:val="footnote reference"/>
    <w:aliases w:val="Footnote Reference Superscript,BVI fnr, BVI fnr,Footnote symbol,Footnote reference number,note TESI,Appel note de bas de p,Nota,SUPERS,Footnote number,EN Footnote Reference,-E Fußnotenzeichen,number Char Char,number,Ref,styl,styli,o"/>
    <w:basedOn w:val="DefaultParagraphFont"/>
    <w:uiPriority w:val="99"/>
    <w:unhideWhenUsed/>
    <w:qFormat/>
    <w:rPr>
      <w:vertAlign w:val="superscript"/>
    </w:rPr>
  </w:style>
  <w:style w:type="character" w:styleId="HTMLCite">
    <w:name w:val="HTML Cite"/>
    <w:basedOn w:val="DefaultParagraphFont"/>
    <w:uiPriority w:val="99"/>
    <w:semiHidden/>
    <w:unhideWhenUsed/>
    <w:rPr>
      <w:i/>
      <w:iCs/>
    </w:rPr>
  </w:style>
  <w:style w:type="character" w:styleId="Hyperlink">
    <w:name w:val="Hyperlink"/>
    <w:basedOn w:val="DefaultParagraphFont"/>
    <w:uiPriority w:val="99"/>
    <w:unhideWhenUsed/>
    <w:rPr>
      <w:color w:val="0000FF"/>
      <w:u w:val="single"/>
    </w:rPr>
  </w:style>
  <w:style w:type="paragraph" w:styleId="NoSpacing">
    <w:name w:val="No Spacing"/>
    <w:uiPriority w:val="1"/>
    <w:qFormat/>
    <w:pPr>
      <w:spacing w:after="0" w:line="240" w:lineRule="auto"/>
    </w:pPr>
  </w:style>
  <w:style w:type="character" w:customStyle="1" w:styleId="ListParagraphChar">
    <w:name w:val="List Paragraph Char"/>
    <w:aliases w:val="1st level - Bullet List Paragraph Char,List Paragraph1 Char,Lettre d'introduction Char,Paragrafo elenco Char,Medium Grid 1 - Accent 21 Char,Fiche List Paragraph Char,body Char,Odsek zoznamu2 Char,Odsek zoznamu1 Char,3 Char,Bulle Char"/>
    <w:link w:val="ListParagraph"/>
    <w:uiPriority w:val="34"/>
    <w:qFormat/>
    <w:locked/>
    <w:rPr>
      <w:rFonts w:ascii="Calibri" w:hAnsi="Calibri" w:cs="Calibri"/>
      <w:lang w:val="hr-HR"/>
    </w:rPr>
  </w:style>
  <w:style w:type="character" w:customStyle="1" w:styleId="Heading1Char">
    <w:name w:val="Heading 1 Char"/>
    <w:basedOn w:val="DefaultParagraphFont"/>
    <w:link w:val="Heading1"/>
    <w:uiPriority w:val="9"/>
    <w:rPr>
      <w:rFonts w:ascii="Times New Roman" w:eastAsia="Times New Roman" w:hAnsi="Times New Roman" w:cs="Times New Roman"/>
      <w:b/>
      <w:bCs/>
      <w:kern w:val="36"/>
      <w:sz w:val="48"/>
      <w:szCs w:val="48"/>
      <w:lang w:val="hr-HR" w:eastAsia="en-IE"/>
    </w:rPr>
  </w:style>
  <w:style w:type="paragraph" w:styleId="EndnoteText">
    <w:name w:val="endnote text"/>
    <w:basedOn w:val="Normal"/>
    <w:link w:val="EndnoteTextChar"/>
    <w:uiPriority w:val="99"/>
    <w:unhideWhenUsed/>
    <w:pPr>
      <w:spacing w:after="0" w:line="240" w:lineRule="auto"/>
    </w:pPr>
    <w:rPr>
      <w:sz w:val="20"/>
      <w:szCs w:val="20"/>
    </w:rPr>
  </w:style>
  <w:style w:type="character" w:customStyle="1" w:styleId="EndnoteTextChar">
    <w:name w:val="Endnote Text Char"/>
    <w:basedOn w:val="DefaultParagraphFont"/>
    <w:link w:val="EndnoteText"/>
    <w:uiPriority w:val="99"/>
    <w:rPr>
      <w:sz w:val="20"/>
      <w:szCs w:val="20"/>
    </w:rPr>
  </w:style>
  <w:style w:type="character" w:styleId="EndnoteReference">
    <w:name w:val="endnote reference"/>
    <w:basedOn w:val="DefaultParagraphFont"/>
    <w:uiPriority w:val="99"/>
    <w:semiHidden/>
    <w:unhideWhenUsed/>
    <w:rPr>
      <w:vertAlign w:val="superscript"/>
    </w:rPr>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cs="Times New Roman"/>
      <w:sz w:val="24"/>
      <w:szCs w:val="24"/>
    </w:rPr>
  </w:style>
  <w:style w:type="paragraph" w:styleId="Revision">
    <w:name w:val="Revision"/>
    <w:hidden/>
    <w:uiPriority w:val="99"/>
    <w:semiHidden/>
    <w:pPr>
      <w:spacing w:after="0" w:line="240" w:lineRule="auto"/>
    </w:p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ListParagraphChar"/>
    <w:link w:val="FooterCoverPage"/>
    <w:rPr>
      <w:rFonts w:ascii="Times New Roman" w:hAnsi="Times New Roman" w:cs="Times New Roman"/>
      <w:sz w:val="24"/>
      <w:lang w:val="hr-HR"/>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character" w:customStyle="1" w:styleId="FooterSensitivityChar">
    <w:name w:val="Footer Sensitivity Char"/>
    <w:basedOn w:val="ListParagraphChar"/>
    <w:link w:val="FooterSensitivity"/>
    <w:rPr>
      <w:rFonts w:ascii="Times New Roman" w:hAnsi="Times New Roman" w:cs="Times New Roman"/>
      <w:b/>
      <w:sz w:val="32"/>
      <w:lang w:val="hr-HR"/>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ListParagraphChar"/>
    <w:link w:val="HeaderCoverPage"/>
    <w:rPr>
      <w:rFonts w:ascii="Times New Roman" w:hAnsi="Times New Roman" w:cs="Times New Roman"/>
      <w:sz w:val="24"/>
      <w:lang w:val="hr-HR"/>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character" w:customStyle="1" w:styleId="HeaderSensitivityChar">
    <w:name w:val="Header Sensitivity Char"/>
    <w:basedOn w:val="ListParagraphChar"/>
    <w:link w:val="HeaderSensitivity"/>
    <w:rPr>
      <w:rFonts w:ascii="Times New Roman" w:hAnsi="Times New Roman" w:cs="Times New Roman"/>
      <w:b/>
      <w:sz w:val="32"/>
      <w:lang w:val="hr-HR"/>
    </w:rPr>
  </w:style>
  <w:style w:type="paragraph" w:customStyle="1" w:styleId="HeaderSensitivityRight">
    <w:name w:val="Header Sensitivity Right"/>
    <w:basedOn w:val="Normal"/>
    <w:link w:val="HeaderSensitivityRightChar"/>
    <w:pPr>
      <w:spacing w:after="120" w:line="240" w:lineRule="auto"/>
      <w:jc w:val="right"/>
    </w:pPr>
    <w:rPr>
      <w:rFonts w:ascii="Times New Roman" w:hAnsi="Times New Roman" w:cs="Times New Roman"/>
      <w:sz w:val="28"/>
    </w:rPr>
  </w:style>
  <w:style w:type="character" w:customStyle="1" w:styleId="HeaderSensitivityRightChar">
    <w:name w:val="Header Sensitivity Right Char"/>
    <w:basedOn w:val="ListParagraphChar"/>
    <w:link w:val="HeaderSensitivityRight"/>
    <w:rPr>
      <w:rFonts w:ascii="Times New Roman" w:hAnsi="Times New Roman" w:cs="Times New Roman"/>
      <w:sz w:val="28"/>
      <w:lang w:val="hr-HR"/>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1">
    <w:name w:val="Text 1"/>
    <w:basedOn w:val="Normal"/>
    <w:uiPriority w:val="90"/>
    <w:qFormat/>
    <w:pPr>
      <w:spacing w:after="240" w:line="240" w:lineRule="auto"/>
      <w:ind w:left="482"/>
      <w:jc w:val="both"/>
    </w:pPr>
    <w:rPr>
      <w:rFonts w:ascii="Times New Roman" w:eastAsia="Times New Roman" w:hAnsi="Times New Roman" w:cs="Times New Roman"/>
      <w:sz w:val="24"/>
      <w:szCs w:val="20"/>
      <w:lang w:eastAsia="en-GB"/>
    </w:rPr>
  </w:style>
  <w:style w:type="character" w:styleId="FollowedHyperlink">
    <w:name w:val="FollowedHyperlink"/>
    <w:basedOn w:val="DefaultParagraphFont"/>
    <w:uiPriority w:val="99"/>
    <w:semiHidden/>
    <w:unhideWhenUsed/>
    <w:rPr>
      <w:color w:val="800080" w:themeColor="followedHyperlink"/>
      <w:u w:val="single"/>
    </w:rPr>
  </w:style>
  <w:style w:type="paragraph" w:customStyle="1" w:styleId="ListBullet1">
    <w:name w:val="List Bullet 1"/>
    <w:basedOn w:val="Normal"/>
    <w:pPr>
      <w:tabs>
        <w:tab w:val="num" w:pos="765"/>
      </w:tabs>
      <w:spacing w:after="240" w:line="240" w:lineRule="auto"/>
      <w:ind w:left="765" w:hanging="283"/>
      <w:jc w:val="both"/>
    </w:pPr>
    <w:rPr>
      <w:rFonts w:ascii="Times New Roman" w:eastAsia="Times New Roman" w:hAnsi="Times New Roman" w:cs="Times New Roman"/>
      <w:sz w:val="24"/>
      <w:szCs w:val="24"/>
    </w:rPr>
  </w:style>
  <w:style w:type="table" w:customStyle="1" w:styleId="TableGrid1">
    <w:name w:val="Table Grid1"/>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uthorsname">
    <w:name w:val="authors__name"/>
    <w:basedOn w:val="DefaultParagraphFont"/>
  </w:style>
  <w:style w:type="character" w:customStyle="1" w:styleId="Heading2Char">
    <w:name w:val="Heading 2 Char"/>
    <w:basedOn w:val="DefaultParagraphFont"/>
    <w:link w:val="Heading2"/>
    <w:uiPriority w:val="9"/>
    <w:rPr>
      <w:rFonts w:asciiTheme="majorHAnsi" w:eastAsiaTheme="majorEastAsia" w:hAnsiTheme="majorHAnsi" w:cstheme="majorBidi"/>
      <w:b/>
      <w:bCs/>
      <w:color w:val="4F81BD" w:themeColor="accent1"/>
      <w:sz w:val="26"/>
      <w:szCs w:val="26"/>
    </w:rPr>
  </w:style>
  <w:style w:type="paragraph" w:customStyle="1" w:styleId="FootnoteTextEP-LC1">
    <w:name w:val="Footnote Text_EP-LC1"/>
    <w:basedOn w:val="Normal"/>
    <w:uiPriority w:val="99"/>
    <w:pPr>
      <w:spacing w:after="0" w:line="240" w:lineRule="auto"/>
    </w:pPr>
    <w:rPr>
      <w:rFonts w:ascii="Calibri" w:hAnsi="Calibri" w:cs="Calibri"/>
      <w:sz w:val="20"/>
      <w:szCs w:val="20"/>
    </w:rPr>
  </w:style>
  <w:style w:type="character" w:customStyle="1" w:styleId="ff9">
    <w:name w:val="ff9"/>
    <w:basedOn w:val="DefaultParagraphFont"/>
  </w:style>
  <w:style w:type="character" w:customStyle="1" w:styleId="ff1">
    <w:name w:val="ff1"/>
    <w:basedOn w:val="DefaultParagraphFont"/>
  </w:style>
  <w:style w:type="character" w:customStyle="1" w:styleId="ls12">
    <w:name w:val="ls12"/>
    <w:basedOn w:val="DefaultParagraphFont"/>
  </w:style>
  <w:style w:type="paragraph" w:customStyle="1" w:styleId="Default">
    <w:name w:val="Default"/>
    <w:pPr>
      <w:autoSpaceDE w:val="0"/>
      <w:autoSpaceDN w:val="0"/>
      <w:adjustRightInd w:val="0"/>
      <w:spacing w:after="0" w:line="240" w:lineRule="auto"/>
    </w:pPr>
    <w:rPr>
      <w:rFonts w:ascii="EUAlbertina" w:hAnsi="EUAlbertina" w:cs="EUAlbertina"/>
      <w:color w:val="000000"/>
      <w:sz w:val="24"/>
      <w:szCs w:val="24"/>
    </w:rPr>
  </w:style>
  <w:style w:type="paragraph" w:customStyle="1" w:styleId="Disclaimer">
    <w:name w:val="Disclaimer"/>
    <w:basedOn w:val="Normal"/>
    <w:pPr>
      <w:framePr w:w="8220" w:wrap="notBeside" w:hAnchor="margin" w:xAlign="center" w:y="10401"/>
      <w:pBdr>
        <w:top w:val="single" w:sz="6" w:space="4" w:color="auto"/>
        <w:left w:val="single" w:sz="6" w:space="7" w:color="auto"/>
        <w:bottom w:val="single" w:sz="6" w:space="4" w:color="auto"/>
        <w:right w:val="single" w:sz="6" w:space="7" w:color="auto"/>
      </w:pBdr>
      <w:shd w:val="clear" w:color="FFFFFF" w:fill="auto"/>
      <w:spacing w:before="120" w:after="120" w:line="240" w:lineRule="auto"/>
      <w:jc w:val="both"/>
    </w:pPr>
    <w:rPr>
      <w:rFonts w:ascii="Times New Roman" w:hAnsi="Times New Roman" w:cs="Times New Roman"/>
      <w:sz w:val="24"/>
    </w:rPr>
  </w:style>
  <w:style w:type="paragraph" w:customStyle="1" w:styleId="SecurityMarking">
    <w:name w:val="SecurityMarking"/>
    <w:basedOn w:val="Normal"/>
    <w:pPr>
      <w:spacing w:after="0"/>
      <w:ind w:left="5103"/>
    </w:pPr>
    <w:rPr>
      <w:rFonts w:ascii="Times New Roman" w:hAnsi="Times New Roman" w:cs="Times New Roman"/>
      <w:sz w:val="28"/>
    </w:rPr>
  </w:style>
  <w:style w:type="paragraph" w:customStyle="1" w:styleId="DateMarking">
    <w:name w:val="DateMarking"/>
    <w:basedOn w:val="Normal"/>
    <w:pPr>
      <w:spacing w:after="0"/>
      <w:ind w:left="5103"/>
    </w:pPr>
    <w:rPr>
      <w:rFonts w:ascii="Times New Roman" w:hAnsi="Times New Roman" w:cs="Times New Roman"/>
      <w:i/>
      <w:sz w:val="28"/>
    </w:rPr>
  </w:style>
  <w:style w:type="paragraph" w:customStyle="1" w:styleId="ReleasableTo">
    <w:name w:val="ReleasableTo"/>
    <w:basedOn w:val="Normal"/>
    <w:pPr>
      <w:spacing w:after="0"/>
      <w:ind w:left="5103"/>
    </w:pPr>
    <w:rPr>
      <w:rFonts w:ascii="Times New Roman" w:hAnsi="Times New Roman" w:cs="Times New Roman"/>
      <w:i/>
      <w:sz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IE"/>
    </w:rPr>
  </w:style>
  <w:style w:type="paragraph" w:styleId="Heading2">
    <w:name w:val="heading 2"/>
    <w:basedOn w:val="Normal"/>
    <w:next w:val="Normal"/>
    <w:link w:val="Heading2Char"/>
    <w:uiPriority w:val="9"/>
    <w:unhideWhenUsed/>
    <w:qFormat/>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1st level - Bullet List Paragraph,List Paragraph1,Lettre d'introduction,Paragrafo elenco,Medium Grid 1 - Accent 21,Fiche List Paragraph,body,Odsek zoznamu2,Odsek zoznamu1,3,Bullet 1,Bullet Points,Colorful List - Accent 11,Dot pt,Bulle,2"/>
    <w:basedOn w:val="Normal"/>
    <w:link w:val="ListParagraphChar"/>
    <w:uiPriority w:val="34"/>
    <w:qFormat/>
    <w:pPr>
      <w:ind w:left="720"/>
      <w:contextualSpacing/>
    </w:pPr>
    <w:rPr>
      <w:rFonts w:ascii="Calibri" w:hAnsi="Calibri" w:cs="Calibri"/>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paragraph" w:customStyle="1" w:styleId="B0List">
    <w:name w:val="B0 List"/>
    <w:basedOn w:val="Normal"/>
    <w:qFormat/>
    <w:pPr>
      <w:widowControl w:val="0"/>
      <w:numPr>
        <w:numId w:val="13"/>
      </w:numPr>
      <w:spacing w:after="120" w:line="240" w:lineRule="auto"/>
      <w:jc w:val="both"/>
    </w:pPr>
    <w:rPr>
      <w:rFonts w:ascii="Times New Roman" w:eastAsia="Calibri" w:hAnsi="Times New Roman" w:cs="Tahoma"/>
      <w:sz w:val="24"/>
    </w:rPr>
  </w:style>
  <w:style w:type="paragraph" w:customStyle="1" w:styleId="Briefinglist1">
    <w:name w:val="Briefing list 1"/>
    <w:basedOn w:val="Normal"/>
    <w:pPr>
      <w:tabs>
        <w:tab w:val="num" w:pos="284"/>
      </w:tabs>
      <w:spacing w:after="120" w:line="240" w:lineRule="auto"/>
      <w:ind w:left="284" w:hanging="284"/>
      <w:jc w:val="both"/>
    </w:pPr>
    <w:rPr>
      <w:rFonts w:ascii="Arial" w:hAnsi="Arial" w:cs="Arial"/>
    </w:rPr>
  </w:style>
  <w:style w:type="paragraph" w:styleId="FootnoteText">
    <w:name w:val="footnote text"/>
    <w:aliases w:val="Char,Fußnote,Carattere,fn,Footnotes,Footnote ak,Footnote Text Char1,Footnote Text Char Char,fn Char Char,footnote text Char Char,Footnotes Char Char,Footnote ak Char Char,fn Char1,footnote text Char1,Footnotes Char1,ft,Footnote Text_EP-LC"/>
    <w:basedOn w:val="Normal"/>
    <w:link w:val="FootnoteTextChar"/>
    <w:uiPriority w:val="99"/>
    <w:unhideWhenUsed/>
    <w:qFormat/>
    <w:pPr>
      <w:spacing w:after="0" w:line="240" w:lineRule="auto"/>
    </w:pPr>
    <w:rPr>
      <w:sz w:val="20"/>
      <w:szCs w:val="20"/>
    </w:rPr>
  </w:style>
  <w:style w:type="character" w:customStyle="1" w:styleId="FootnoteTextChar">
    <w:name w:val="Footnote Text Char"/>
    <w:aliases w:val="Char Char,Fußnote Char,Carattere Char,fn Char,Footnotes Char,Footnote ak Char,Footnote Text Char1 Char,Footnote Text Char Char Char,fn Char Char Char,footnote text Char Char Char,Footnotes Char Char Char,Footnote ak Char Char Char"/>
    <w:basedOn w:val="DefaultParagraphFont"/>
    <w:link w:val="FootnoteText"/>
    <w:uiPriority w:val="99"/>
    <w:qFormat/>
    <w:rPr>
      <w:sz w:val="20"/>
      <w:szCs w:val="20"/>
      <w:lang w:val="hr-HR"/>
    </w:rPr>
  </w:style>
  <w:style w:type="character" w:styleId="FootnoteReference">
    <w:name w:val="footnote reference"/>
    <w:aliases w:val="Footnote Reference Superscript,BVI fnr, BVI fnr,Footnote symbol,Footnote reference number,note TESI,Appel note de bas de p,Nota,SUPERS,Footnote number,EN Footnote Reference,-E Fußnotenzeichen,number Char Char,number,Ref,styl,styli,o"/>
    <w:basedOn w:val="DefaultParagraphFont"/>
    <w:uiPriority w:val="99"/>
    <w:unhideWhenUsed/>
    <w:qFormat/>
    <w:rPr>
      <w:vertAlign w:val="superscript"/>
    </w:rPr>
  </w:style>
  <w:style w:type="character" w:styleId="HTMLCite">
    <w:name w:val="HTML Cite"/>
    <w:basedOn w:val="DefaultParagraphFont"/>
    <w:uiPriority w:val="99"/>
    <w:semiHidden/>
    <w:unhideWhenUsed/>
    <w:rPr>
      <w:i/>
      <w:iCs/>
    </w:rPr>
  </w:style>
  <w:style w:type="character" w:styleId="Hyperlink">
    <w:name w:val="Hyperlink"/>
    <w:basedOn w:val="DefaultParagraphFont"/>
    <w:uiPriority w:val="99"/>
    <w:unhideWhenUsed/>
    <w:rPr>
      <w:color w:val="0000FF"/>
      <w:u w:val="single"/>
    </w:rPr>
  </w:style>
  <w:style w:type="paragraph" w:styleId="NoSpacing">
    <w:name w:val="No Spacing"/>
    <w:uiPriority w:val="1"/>
    <w:qFormat/>
    <w:pPr>
      <w:spacing w:after="0" w:line="240" w:lineRule="auto"/>
    </w:pPr>
  </w:style>
  <w:style w:type="character" w:customStyle="1" w:styleId="ListParagraphChar">
    <w:name w:val="List Paragraph Char"/>
    <w:aliases w:val="1st level - Bullet List Paragraph Char,List Paragraph1 Char,Lettre d'introduction Char,Paragrafo elenco Char,Medium Grid 1 - Accent 21 Char,Fiche List Paragraph Char,body Char,Odsek zoznamu2 Char,Odsek zoznamu1 Char,3 Char,Bulle Char"/>
    <w:link w:val="ListParagraph"/>
    <w:uiPriority w:val="34"/>
    <w:qFormat/>
    <w:locked/>
    <w:rPr>
      <w:rFonts w:ascii="Calibri" w:hAnsi="Calibri" w:cs="Calibri"/>
      <w:lang w:val="hr-HR"/>
    </w:rPr>
  </w:style>
  <w:style w:type="character" w:customStyle="1" w:styleId="Heading1Char">
    <w:name w:val="Heading 1 Char"/>
    <w:basedOn w:val="DefaultParagraphFont"/>
    <w:link w:val="Heading1"/>
    <w:uiPriority w:val="9"/>
    <w:rPr>
      <w:rFonts w:ascii="Times New Roman" w:eastAsia="Times New Roman" w:hAnsi="Times New Roman" w:cs="Times New Roman"/>
      <w:b/>
      <w:bCs/>
      <w:kern w:val="36"/>
      <w:sz w:val="48"/>
      <w:szCs w:val="48"/>
      <w:lang w:val="hr-HR" w:eastAsia="en-IE"/>
    </w:rPr>
  </w:style>
  <w:style w:type="paragraph" w:styleId="EndnoteText">
    <w:name w:val="endnote text"/>
    <w:basedOn w:val="Normal"/>
    <w:link w:val="EndnoteTextChar"/>
    <w:uiPriority w:val="99"/>
    <w:unhideWhenUsed/>
    <w:pPr>
      <w:spacing w:after="0" w:line="240" w:lineRule="auto"/>
    </w:pPr>
    <w:rPr>
      <w:sz w:val="20"/>
      <w:szCs w:val="20"/>
    </w:rPr>
  </w:style>
  <w:style w:type="character" w:customStyle="1" w:styleId="EndnoteTextChar">
    <w:name w:val="Endnote Text Char"/>
    <w:basedOn w:val="DefaultParagraphFont"/>
    <w:link w:val="EndnoteText"/>
    <w:uiPriority w:val="99"/>
    <w:rPr>
      <w:sz w:val="20"/>
      <w:szCs w:val="20"/>
    </w:rPr>
  </w:style>
  <w:style w:type="character" w:styleId="EndnoteReference">
    <w:name w:val="endnote reference"/>
    <w:basedOn w:val="DefaultParagraphFont"/>
    <w:uiPriority w:val="99"/>
    <w:semiHidden/>
    <w:unhideWhenUsed/>
    <w:rPr>
      <w:vertAlign w:val="superscript"/>
    </w:rPr>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cs="Times New Roman"/>
      <w:sz w:val="24"/>
      <w:szCs w:val="24"/>
    </w:rPr>
  </w:style>
  <w:style w:type="paragraph" w:styleId="Revision">
    <w:name w:val="Revision"/>
    <w:hidden/>
    <w:uiPriority w:val="99"/>
    <w:semiHidden/>
    <w:pPr>
      <w:spacing w:after="0" w:line="240" w:lineRule="auto"/>
    </w:p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ListParagraphChar"/>
    <w:link w:val="FooterCoverPage"/>
    <w:rPr>
      <w:rFonts w:ascii="Times New Roman" w:hAnsi="Times New Roman" w:cs="Times New Roman"/>
      <w:sz w:val="24"/>
      <w:lang w:val="hr-HR"/>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character" w:customStyle="1" w:styleId="FooterSensitivityChar">
    <w:name w:val="Footer Sensitivity Char"/>
    <w:basedOn w:val="ListParagraphChar"/>
    <w:link w:val="FooterSensitivity"/>
    <w:rPr>
      <w:rFonts w:ascii="Times New Roman" w:hAnsi="Times New Roman" w:cs="Times New Roman"/>
      <w:b/>
      <w:sz w:val="32"/>
      <w:lang w:val="hr-HR"/>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ListParagraphChar"/>
    <w:link w:val="HeaderCoverPage"/>
    <w:rPr>
      <w:rFonts w:ascii="Times New Roman" w:hAnsi="Times New Roman" w:cs="Times New Roman"/>
      <w:sz w:val="24"/>
      <w:lang w:val="hr-HR"/>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character" w:customStyle="1" w:styleId="HeaderSensitivityChar">
    <w:name w:val="Header Sensitivity Char"/>
    <w:basedOn w:val="ListParagraphChar"/>
    <w:link w:val="HeaderSensitivity"/>
    <w:rPr>
      <w:rFonts w:ascii="Times New Roman" w:hAnsi="Times New Roman" w:cs="Times New Roman"/>
      <w:b/>
      <w:sz w:val="32"/>
      <w:lang w:val="hr-HR"/>
    </w:rPr>
  </w:style>
  <w:style w:type="paragraph" w:customStyle="1" w:styleId="HeaderSensitivityRight">
    <w:name w:val="Header Sensitivity Right"/>
    <w:basedOn w:val="Normal"/>
    <w:link w:val="HeaderSensitivityRightChar"/>
    <w:pPr>
      <w:spacing w:after="120" w:line="240" w:lineRule="auto"/>
      <w:jc w:val="right"/>
    </w:pPr>
    <w:rPr>
      <w:rFonts w:ascii="Times New Roman" w:hAnsi="Times New Roman" w:cs="Times New Roman"/>
      <w:sz w:val="28"/>
    </w:rPr>
  </w:style>
  <w:style w:type="character" w:customStyle="1" w:styleId="HeaderSensitivityRightChar">
    <w:name w:val="Header Sensitivity Right Char"/>
    <w:basedOn w:val="ListParagraphChar"/>
    <w:link w:val="HeaderSensitivityRight"/>
    <w:rPr>
      <w:rFonts w:ascii="Times New Roman" w:hAnsi="Times New Roman" w:cs="Times New Roman"/>
      <w:sz w:val="28"/>
      <w:lang w:val="hr-HR"/>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1">
    <w:name w:val="Text 1"/>
    <w:basedOn w:val="Normal"/>
    <w:uiPriority w:val="90"/>
    <w:qFormat/>
    <w:pPr>
      <w:spacing w:after="240" w:line="240" w:lineRule="auto"/>
      <w:ind w:left="482"/>
      <w:jc w:val="both"/>
    </w:pPr>
    <w:rPr>
      <w:rFonts w:ascii="Times New Roman" w:eastAsia="Times New Roman" w:hAnsi="Times New Roman" w:cs="Times New Roman"/>
      <w:sz w:val="24"/>
      <w:szCs w:val="20"/>
      <w:lang w:eastAsia="en-GB"/>
    </w:rPr>
  </w:style>
  <w:style w:type="character" w:styleId="FollowedHyperlink">
    <w:name w:val="FollowedHyperlink"/>
    <w:basedOn w:val="DefaultParagraphFont"/>
    <w:uiPriority w:val="99"/>
    <w:semiHidden/>
    <w:unhideWhenUsed/>
    <w:rPr>
      <w:color w:val="800080" w:themeColor="followedHyperlink"/>
      <w:u w:val="single"/>
    </w:rPr>
  </w:style>
  <w:style w:type="paragraph" w:customStyle="1" w:styleId="ListBullet1">
    <w:name w:val="List Bullet 1"/>
    <w:basedOn w:val="Normal"/>
    <w:pPr>
      <w:tabs>
        <w:tab w:val="num" w:pos="765"/>
      </w:tabs>
      <w:spacing w:after="240" w:line="240" w:lineRule="auto"/>
      <w:ind w:left="765" w:hanging="283"/>
      <w:jc w:val="both"/>
    </w:pPr>
    <w:rPr>
      <w:rFonts w:ascii="Times New Roman" w:eastAsia="Times New Roman" w:hAnsi="Times New Roman" w:cs="Times New Roman"/>
      <w:sz w:val="24"/>
      <w:szCs w:val="24"/>
    </w:rPr>
  </w:style>
  <w:style w:type="table" w:customStyle="1" w:styleId="TableGrid1">
    <w:name w:val="Table Grid1"/>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uthorsname">
    <w:name w:val="authors__name"/>
    <w:basedOn w:val="DefaultParagraphFont"/>
  </w:style>
  <w:style w:type="character" w:customStyle="1" w:styleId="Heading2Char">
    <w:name w:val="Heading 2 Char"/>
    <w:basedOn w:val="DefaultParagraphFont"/>
    <w:link w:val="Heading2"/>
    <w:uiPriority w:val="9"/>
    <w:rPr>
      <w:rFonts w:asciiTheme="majorHAnsi" w:eastAsiaTheme="majorEastAsia" w:hAnsiTheme="majorHAnsi" w:cstheme="majorBidi"/>
      <w:b/>
      <w:bCs/>
      <w:color w:val="4F81BD" w:themeColor="accent1"/>
      <w:sz w:val="26"/>
      <w:szCs w:val="26"/>
    </w:rPr>
  </w:style>
  <w:style w:type="paragraph" w:customStyle="1" w:styleId="FootnoteTextEP-LC1">
    <w:name w:val="Footnote Text_EP-LC1"/>
    <w:basedOn w:val="Normal"/>
    <w:uiPriority w:val="99"/>
    <w:pPr>
      <w:spacing w:after="0" w:line="240" w:lineRule="auto"/>
    </w:pPr>
    <w:rPr>
      <w:rFonts w:ascii="Calibri" w:hAnsi="Calibri" w:cs="Calibri"/>
      <w:sz w:val="20"/>
      <w:szCs w:val="20"/>
    </w:rPr>
  </w:style>
  <w:style w:type="character" w:customStyle="1" w:styleId="ff9">
    <w:name w:val="ff9"/>
    <w:basedOn w:val="DefaultParagraphFont"/>
  </w:style>
  <w:style w:type="character" w:customStyle="1" w:styleId="ff1">
    <w:name w:val="ff1"/>
    <w:basedOn w:val="DefaultParagraphFont"/>
  </w:style>
  <w:style w:type="character" w:customStyle="1" w:styleId="ls12">
    <w:name w:val="ls12"/>
    <w:basedOn w:val="DefaultParagraphFont"/>
  </w:style>
  <w:style w:type="paragraph" w:customStyle="1" w:styleId="Default">
    <w:name w:val="Default"/>
    <w:pPr>
      <w:autoSpaceDE w:val="0"/>
      <w:autoSpaceDN w:val="0"/>
      <w:adjustRightInd w:val="0"/>
      <w:spacing w:after="0" w:line="240" w:lineRule="auto"/>
    </w:pPr>
    <w:rPr>
      <w:rFonts w:ascii="EUAlbertina" w:hAnsi="EUAlbertina" w:cs="EUAlbertina"/>
      <w:color w:val="000000"/>
      <w:sz w:val="24"/>
      <w:szCs w:val="24"/>
    </w:rPr>
  </w:style>
  <w:style w:type="paragraph" w:customStyle="1" w:styleId="Disclaimer">
    <w:name w:val="Disclaimer"/>
    <w:basedOn w:val="Normal"/>
    <w:pPr>
      <w:framePr w:w="8220" w:wrap="notBeside" w:hAnchor="margin" w:xAlign="center" w:y="10401"/>
      <w:pBdr>
        <w:top w:val="single" w:sz="6" w:space="4" w:color="auto"/>
        <w:left w:val="single" w:sz="6" w:space="7" w:color="auto"/>
        <w:bottom w:val="single" w:sz="6" w:space="4" w:color="auto"/>
        <w:right w:val="single" w:sz="6" w:space="7" w:color="auto"/>
      </w:pBdr>
      <w:shd w:val="clear" w:color="FFFFFF" w:fill="auto"/>
      <w:spacing w:before="120" w:after="120" w:line="240" w:lineRule="auto"/>
      <w:jc w:val="both"/>
    </w:pPr>
    <w:rPr>
      <w:rFonts w:ascii="Times New Roman" w:hAnsi="Times New Roman" w:cs="Times New Roman"/>
      <w:sz w:val="24"/>
    </w:rPr>
  </w:style>
  <w:style w:type="paragraph" w:customStyle="1" w:styleId="SecurityMarking">
    <w:name w:val="SecurityMarking"/>
    <w:basedOn w:val="Normal"/>
    <w:pPr>
      <w:spacing w:after="0"/>
      <w:ind w:left="5103"/>
    </w:pPr>
    <w:rPr>
      <w:rFonts w:ascii="Times New Roman" w:hAnsi="Times New Roman" w:cs="Times New Roman"/>
      <w:sz w:val="28"/>
    </w:rPr>
  </w:style>
  <w:style w:type="paragraph" w:customStyle="1" w:styleId="DateMarking">
    <w:name w:val="DateMarking"/>
    <w:basedOn w:val="Normal"/>
    <w:pPr>
      <w:spacing w:after="0"/>
      <w:ind w:left="5103"/>
    </w:pPr>
    <w:rPr>
      <w:rFonts w:ascii="Times New Roman" w:hAnsi="Times New Roman" w:cs="Times New Roman"/>
      <w:i/>
      <w:sz w:val="28"/>
    </w:rPr>
  </w:style>
  <w:style w:type="paragraph" w:customStyle="1" w:styleId="ReleasableTo">
    <w:name w:val="ReleasableTo"/>
    <w:basedOn w:val="Normal"/>
    <w:pPr>
      <w:spacing w:after="0"/>
      <w:ind w:left="5103"/>
    </w:pPr>
    <w:rPr>
      <w:rFonts w:ascii="Times New Roman" w:hAnsi="Times New Roman" w:cs="Times New Roman"/>
      <w:i/>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817169">
      <w:bodyDiv w:val="1"/>
      <w:marLeft w:val="0"/>
      <w:marRight w:val="0"/>
      <w:marTop w:val="0"/>
      <w:marBottom w:val="0"/>
      <w:divBdr>
        <w:top w:val="none" w:sz="0" w:space="0" w:color="auto"/>
        <w:left w:val="none" w:sz="0" w:space="0" w:color="auto"/>
        <w:bottom w:val="none" w:sz="0" w:space="0" w:color="auto"/>
        <w:right w:val="none" w:sz="0" w:space="0" w:color="auto"/>
      </w:divBdr>
    </w:div>
    <w:div w:id="80956507">
      <w:bodyDiv w:val="1"/>
      <w:marLeft w:val="0"/>
      <w:marRight w:val="0"/>
      <w:marTop w:val="0"/>
      <w:marBottom w:val="0"/>
      <w:divBdr>
        <w:top w:val="none" w:sz="0" w:space="0" w:color="auto"/>
        <w:left w:val="none" w:sz="0" w:space="0" w:color="auto"/>
        <w:bottom w:val="none" w:sz="0" w:space="0" w:color="auto"/>
        <w:right w:val="none" w:sz="0" w:space="0" w:color="auto"/>
      </w:divBdr>
    </w:div>
    <w:div w:id="86000729">
      <w:bodyDiv w:val="1"/>
      <w:marLeft w:val="0"/>
      <w:marRight w:val="0"/>
      <w:marTop w:val="0"/>
      <w:marBottom w:val="0"/>
      <w:divBdr>
        <w:top w:val="none" w:sz="0" w:space="0" w:color="auto"/>
        <w:left w:val="none" w:sz="0" w:space="0" w:color="auto"/>
        <w:bottom w:val="none" w:sz="0" w:space="0" w:color="auto"/>
        <w:right w:val="none" w:sz="0" w:space="0" w:color="auto"/>
      </w:divBdr>
    </w:div>
    <w:div w:id="98527525">
      <w:bodyDiv w:val="1"/>
      <w:marLeft w:val="0"/>
      <w:marRight w:val="0"/>
      <w:marTop w:val="0"/>
      <w:marBottom w:val="0"/>
      <w:divBdr>
        <w:top w:val="none" w:sz="0" w:space="0" w:color="auto"/>
        <w:left w:val="none" w:sz="0" w:space="0" w:color="auto"/>
        <w:bottom w:val="none" w:sz="0" w:space="0" w:color="auto"/>
        <w:right w:val="none" w:sz="0" w:space="0" w:color="auto"/>
      </w:divBdr>
    </w:div>
    <w:div w:id="169881438">
      <w:bodyDiv w:val="1"/>
      <w:marLeft w:val="0"/>
      <w:marRight w:val="0"/>
      <w:marTop w:val="0"/>
      <w:marBottom w:val="0"/>
      <w:divBdr>
        <w:top w:val="none" w:sz="0" w:space="0" w:color="auto"/>
        <w:left w:val="none" w:sz="0" w:space="0" w:color="auto"/>
        <w:bottom w:val="none" w:sz="0" w:space="0" w:color="auto"/>
        <w:right w:val="none" w:sz="0" w:space="0" w:color="auto"/>
      </w:divBdr>
    </w:div>
    <w:div w:id="246380429">
      <w:bodyDiv w:val="1"/>
      <w:marLeft w:val="0"/>
      <w:marRight w:val="0"/>
      <w:marTop w:val="0"/>
      <w:marBottom w:val="0"/>
      <w:divBdr>
        <w:top w:val="none" w:sz="0" w:space="0" w:color="auto"/>
        <w:left w:val="none" w:sz="0" w:space="0" w:color="auto"/>
        <w:bottom w:val="none" w:sz="0" w:space="0" w:color="auto"/>
        <w:right w:val="none" w:sz="0" w:space="0" w:color="auto"/>
      </w:divBdr>
    </w:div>
    <w:div w:id="283999562">
      <w:bodyDiv w:val="1"/>
      <w:marLeft w:val="0"/>
      <w:marRight w:val="0"/>
      <w:marTop w:val="0"/>
      <w:marBottom w:val="0"/>
      <w:divBdr>
        <w:top w:val="none" w:sz="0" w:space="0" w:color="auto"/>
        <w:left w:val="none" w:sz="0" w:space="0" w:color="auto"/>
        <w:bottom w:val="none" w:sz="0" w:space="0" w:color="auto"/>
        <w:right w:val="none" w:sz="0" w:space="0" w:color="auto"/>
      </w:divBdr>
    </w:div>
    <w:div w:id="345911221">
      <w:bodyDiv w:val="1"/>
      <w:marLeft w:val="0"/>
      <w:marRight w:val="0"/>
      <w:marTop w:val="0"/>
      <w:marBottom w:val="0"/>
      <w:divBdr>
        <w:top w:val="none" w:sz="0" w:space="0" w:color="auto"/>
        <w:left w:val="none" w:sz="0" w:space="0" w:color="auto"/>
        <w:bottom w:val="none" w:sz="0" w:space="0" w:color="auto"/>
        <w:right w:val="none" w:sz="0" w:space="0" w:color="auto"/>
      </w:divBdr>
    </w:div>
    <w:div w:id="364331828">
      <w:bodyDiv w:val="1"/>
      <w:marLeft w:val="0"/>
      <w:marRight w:val="0"/>
      <w:marTop w:val="0"/>
      <w:marBottom w:val="0"/>
      <w:divBdr>
        <w:top w:val="none" w:sz="0" w:space="0" w:color="auto"/>
        <w:left w:val="none" w:sz="0" w:space="0" w:color="auto"/>
        <w:bottom w:val="none" w:sz="0" w:space="0" w:color="auto"/>
        <w:right w:val="none" w:sz="0" w:space="0" w:color="auto"/>
      </w:divBdr>
    </w:div>
    <w:div w:id="376584214">
      <w:bodyDiv w:val="1"/>
      <w:marLeft w:val="0"/>
      <w:marRight w:val="0"/>
      <w:marTop w:val="0"/>
      <w:marBottom w:val="0"/>
      <w:divBdr>
        <w:top w:val="none" w:sz="0" w:space="0" w:color="auto"/>
        <w:left w:val="none" w:sz="0" w:space="0" w:color="auto"/>
        <w:bottom w:val="none" w:sz="0" w:space="0" w:color="auto"/>
        <w:right w:val="none" w:sz="0" w:space="0" w:color="auto"/>
      </w:divBdr>
    </w:div>
    <w:div w:id="397752891">
      <w:bodyDiv w:val="1"/>
      <w:marLeft w:val="0"/>
      <w:marRight w:val="0"/>
      <w:marTop w:val="0"/>
      <w:marBottom w:val="0"/>
      <w:divBdr>
        <w:top w:val="none" w:sz="0" w:space="0" w:color="auto"/>
        <w:left w:val="none" w:sz="0" w:space="0" w:color="auto"/>
        <w:bottom w:val="none" w:sz="0" w:space="0" w:color="auto"/>
        <w:right w:val="none" w:sz="0" w:space="0" w:color="auto"/>
      </w:divBdr>
    </w:div>
    <w:div w:id="434062184">
      <w:bodyDiv w:val="1"/>
      <w:marLeft w:val="0"/>
      <w:marRight w:val="0"/>
      <w:marTop w:val="0"/>
      <w:marBottom w:val="0"/>
      <w:divBdr>
        <w:top w:val="none" w:sz="0" w:space="0" w:color="auto"/>
        <w:left w:val="none" w:sz="0" w:space="0" w:color="auto"/>
        <w:bottom w:val="none" w:sz="0" w:space="0" w:color="auto"/>
        <w:right w:val="none" w:sz="0" w:space="0" w:color="auto"/>
      </w:divBdr>
    </w:div>
    <w:div w:id="487016536">
      <w:bodyDiv w:val="1"/>
      <w:marLeft w:val="0"/>
      <w:marRight w:val="0"/>
      <w:marTop w:val="0"/>
      <w:marBottom w:val="0"/>
      <w:divBdr>
        <w:top w:val="none" w:sz="0" w:space="0" w:color="auto"/>
        <w:left w:val="none" w:sz="0" w:space="0" w:color="auto"/>
        <w:bottom w:val="none" w:sz="0" w:space="0" w:color="auto"/>
        <w:right w:val="none" w:sz="0" w:space="0" w:color="auto"/>
      </w:divBdr>
    </w:div>
    <w:div w:id="519003635">
      <w:bodyDiv w:val="1"/>
      <w:marLeft w:val="0"/>
      <w:marRight w:val="0"/>
      <w:marTop w:val="0"/>
      <w:marBottom w:val="0"/>
      <w:divBdr>
        <w:top w:val="none" w:sz="0" w:space="0" w:color="auto"/>
        <w:left w:val="none" w:sz="0" w:space="0" w:color="auto"/>
        <w:bottom w:val="none" w:sz="0" w:space="0" w:color="auto"/>
        <w:right w:val="none" w:sz="0" w:space="0" w:color="auto"/>
      </w:divBdr>
    </w:div>
    <w:div w:id="568466812">
      <w:bodyDiv w:val="1"/>
      <w:marLeft w:val="0"/>
      <w:marRight w:val="0"/>
      <w:marTop w:val="0"/>
      <w:marBottom w:val="0"/>
      <w:divBdr>
        <w:top w:val="none" w:sz="0" w:space="0" w:color="auto"/>
        <w:left w:val="none" w:sz="0" w:space="0" w:color="auto"/>
        <w:bottom w:val="none" w:sz="0" w:space="0" w:color="auto"/>
        <w:right w:val="none" w:sz="0" w:space="0" w:color="auto"/>
      </w:divBdr>
    </w:div>
    <w:div w:id="589198784">
      <w:bodyDiv w:val="1"/>
      <w:marLeft w:val="0"/>
      <w:marRight w:val="0"/>
      <w:marTop w:val="0"/>
      <w:marBottom w:val="0"/>
      <w:divBdr>
        <w:top w:val="none" w:sz="0" w:space="0" w:color="auto"/>
        <w:left w:val="none" w:sz="0" w:space="0" w:color="auto"/>
        <w:bottom w:val="none" w:sz="0" w:space="0" w:color="auto"/>
        <w:right w:val="none" w:sz="0" w:space="0" w:color="auto"/>
      </w:divBdr>
    </w:div>
    <w:div w:id="599340128">
      <w:bodyDiv w:val="1"/>
      <w:marLeft w:val="0"/>
      <w:marRight w:val="0"/>
      <w:marTop w:val="0"/>
      <w:marBottom w:val="0"/>
      <w:divBdr>
        <w:top w:val="none" w:sz="0" w:space="0" w:color="auto"/>
        <w:left w:val="none" w:sz="0" w:space="0" w:color="auto"/>
        <w:bottom w:val="none" w:sz="0" w:space="0" w:color="auto"/>
        <w:right w:val="none" w:sz="0" w:space="0" w:color="auto"/>
      </w:divBdr>
    </w:div>
    <w:div w:id="632903231">
      <w:bodyDiv w:val="1"/>
      <w:marLeft w:val="0"/>
      <w:marRight w:val="0"/>
      <w:marTop w:val="0"/>
      <w:marBottom w:val="0"/>
      <w:divBdr>
        <w:top w:val="none" w:sz="0" w:space="0" w:color="auto"/>
        <w:left w:val="none" w:sz="0" w:space="0" w:color="auto"/>
        <w:bottom w:val="none" w:sz="0" w:space="0" w:color="auto"/>
        <w:right w:val="none" w:sz="0" w:space="0" w:color="auto"/>
      </w:divBdr>
    </w:div>
    <w:div w:id="705105902">
      <w:bodyDiv w:val="1"/>
      <w:marLeft w:val="0"/>
      <w:marRight w:val="0"/>
      <w:marTop w:val="0"/>
      <w:marBottom w:val="0"/>
      <w:divBdr>
        <w:top w:val="none" w:sz="0" w:space="0" w:color="auto"/>
        <w:left w:val="none" w:sz="0" w:space="0" w:color="auto"/>
        <w:bottom w:val="none" w:sz="0" w:space="0" w:color="auto"/>
        <w:right w:val="none" w:sz="0" w:space="0" w:color="auto"/>
      </w:divBdr>
    </w:div>
    <w:div w:id="714080673">
      <w:bodyDiv w:val="1"/>
      <w:marLeft w:val="0"/>
      <w:marRight w:val="0"/>
      <w:marTop w:val="0"/>
      <w:marBottom w:val="0"/>
      <w:divBdr>
        <w:top w:val="none" w:sz="0" w:space="0" w:color="auto"/>
        <w:left w:val="none" w:sz="0" w:space="0" w:color="auto"/>
        <w:bottom w:val="none" w:sz="0" w:space="0" w:color="auto"/>
        <w:right w:val="none" w:sz="0" w:space="0" w:color="auto"/>
      </w:divBdr>
    </w:div>
    <w:div w:id="787823510">
      <w:bodyDiv w:val="1"/>
      <w:marLeft w:val="0"/>
      <w:marRight w:val="0"/>
      <w:marTop w:val="0"/>
      <w:marBottom w:val="0"/>
      <w:divBdr>
        <w:top w:val="none" w:sz="0" w:space="0" w:color="auto"/>
        <w:left w:val="none" w:sz="0" w:space="0" w:color="auto"/>
        <w:bottom w:val="none" w:sz="0" w:space="0" w:color="auto"/>
        <w:right w:val="none" w:sz="0" w:space="0" w:color="auto"/>
      </w:divBdr>
    </w:div>
    <w:div w:id="829640941">
      <w:bodyDiv w:val="1"/>
      <w:marLeft w:val="0"/>
      <w:marRight w:val="0"/>
      <w:marTop w:val="0"/>
      <w:marBottom w:val="0"/>
      <w:divBdr>
        <w:top w:val="none" w:sz="0" w:space="0" w:color="auto"/>
        <w:left w:val="none" w:sz="0" w:space="0" w:color="auto"/>
        <w:bottom w:val="none" w:sz="0" w:space="0" w:color="auto"/>
        <w:right w:val="none" w:sz="0" w:space="0" w:color="auto"/>
      </w:divBdr>
    </w:div>
    <w:div w:id="833641252">
      <w:bodyDiv w:val="1"/>
      <w:marLeft w:val="0"/>
      <w:marRight w:val="0"/>
      <w:marTop w:val="0"/>
      <w:marBottom w:val="0"/>
      <w:divBdr>
        <w:top w:val="none" w:sz="0" w:space="0" w:color="auto"/>
        <w:left w:val="none" w:sz="0" w:space="0" w:color="auto"/>
        <w:bottom w:val="none" w:sz="0" w:space="0" w:color="auto"/>
        <w:right w:val="none" w:sz="0" w:space="0" w:color="auto"/>
      </w:divBdr>
    </w:div>
    <w:div w:id="837114968">
      <w:bodyDiv w:val="1"/>
      <w:marLeft w:val="0"/>
      <w:marRight w:val="0"/>
      <w:marTop w:val="0"/>
      <w:marBottom w:val="0"/>
      <w:divBdr>
        <w:top w:val="none" w:sz="0" w:space="0" w:color="auto"/>
        <w:left w:val="none" w:sz="0" w:space="0" w:color="auto"/>
        <w:bottom w:val="none" w:sz="0" w:space="0" w:color="auto"/>
        <w:right w:val="none" w:sz="0" w:space="0" w:color="auto"/>
      </w:divBdr>
    </w:div>
    <w:div w:id="950936756">
      <w:bodyDiv w:val="1"/>
      <w:marLeft w:val="0"/>
      <w:marRight w:val="0"/>
      <w:marTop w:val="0"/>
      <w:marBottom w:val="0"/>
      <w:divBdr>
        <w:top w:val="none" w:sz="0" w:space="0" w:color="auto"/>
        <w:left w:val="none" w:sz="0" w:space="0" w:color="auto"/>
        <w:bottom w:val="none" w:sz="0" w:space="0" w:color="auto"/>
        <w:right w:val="none" w:sz="0" w:space="0" w:color="auto"/>
      </w:divBdr>
    </w:div>
    <w:div w:id="966356417">
      <w:bodyDiv w:val="1"/>
      <w:marLeft w:val="0"/>
      <w:marRight w:val="0"/>
      <w:marTop w:val="0"/>
      <w:marBottom w:val="0"/>
      <w:divBdr>
        <w:top w:val="none" w:sz="0" w:space="0" w:color="auto"/>
        <w:left w:val="none" w:sz="0" w:space="0" w:color="auto"/>
        <w:bottom w:val="none" w:sz="0" w:space="0" w:color="auto"/>
        <w:right w:val="none" w:sz="0" w:space="0" w:color="auto"/>
      </w:divBdr>
    </w:div>
    <w:div w:id="1013534472">
      <w:bodyDiv w:val="1"/>
      <w:marLeft w:val="0"/>
      <w:marRight w:val="0"/>
      <w:marTop w:val="0"/>
      <w:marBottom w:val="0"/>
      <w:divBdr>
        <w:top w:val="none" w:sz="0" w:space="0" w:color="auto"/>
        <w:left w:val="none" w:sz="0" w:space="0" w:color="auto"/>
        <w:bottom w:val="none" w:sz="0" w:space="0" w:color="auto"/>
        <w:right w:val="none" w:sz="0" w:space="0" w:color="auto"/>
      </w:divBdr>
    </w:div>
    <w:div w:id="1057096033">
      <w:bodyDiv w:val="1"/>
      <w:marLeft w:val="0"/>
      <w:marRight w:val="0"/>
      <w:marTop w:val="0"/>
      <w:marBottom w:val="0"/>
      <w:divBdr>
        <w:top w:val="none" w:sz="0" w:space="0" w:color="auto"/>
        <w:left w:val="none" w:sz="0" w:space="0" w:color="auto"/>
        <w:bottom w:val="none" w:sz="0" w:space="0" w:color="auto"/>
        <w:right w:val="none" w:sz="0" w:space="0" w:color="auto"/>
      </w:divBdr>
    </w:div>
    <w:div w:id="1063482707">
      <w:bodyDiv w:val="1"/>
      <w:marLeft w:val="0"/>
      <w:marRight w:val="0"/>
      <w:marTop w:val="0"/>
      <w:marBottom w:val="0"/>
      <w:divBdr>
        <w:top w:val="none" w:sz="0" w:space="0" w:color="auto"/>
        <w:left w:val="none" w:sz="0" w:space="0" w:color="auto"/>
        <w:bottom w:val="none" w:sz="0" w:space="0" w:color="auto"/>
        <w:right w:val="none" w:sz="0" w:space="0" w:color="auto"/>
      </w:divBdr>
    </w:div>
    <w:div w:id="1161892233">
      <w:bodyDiv w:val="1"/>
      <w:marLeft w:val="0"/>
      <w:marRight w:val="0"/>
      <w:marTop w:val="0"/>
      <w:marBottom w:val="0"/>
      <w:divBdr>
        <w:top w:val="none" w:sz="0" w:space="0" w:color="auto"/>
        <w:left w:val="none" w:sz="0" w:space="0" w:color="auto"/>
        <w:bottom w:val="none" w:sz="0" w:space="0" w:color="auto"/>
        <w:right w:val="none" w:sz="0" w:space="0" w:color="auto"/>
      </w:divBdr>
    </w:div>
    <w:div w:id="1204564659">
      <w:bodyDiv w:val="1"/>
      <w:marLeft w:val="0"/>
      <w:marRight w:val="0"/>
      <w:marTop w:val="0"/>
      <w:marBottom w:val="0"/>
      <w:divBdr>
        <w:top w:val="none" w:sz="0" w:space="0" w:color="auto"/>
        <w:left w:val="none" w:sz="0" w:space="0" w:color="auto"/>
        <w:bottom w:val="none" w:sz="0" w:space="0" w:color="auto"/>
        <w:right w:val="none" w:sz="0" w:space="0" w:color="auto"/>
      </w:divBdr>
    </w:div>
    <w:div w:id="1232152024">
      <w:bodyDiv w:val="1"/>
      <w:marLeft w:val="0"/>
      <w:marRight w:val="0"/>
      <w:marTop w:val="0"/>
      <w:marBottom w:val="0"/>
      <w:divBdr>
        <w:top w:val="none" w:sz="0" w:space="0" w:color="auto"/>
        <w:left w:val="none" w:sz="0" w:space="0" w:color="auto"/>
        <w:bottom w:val="none" w:sz="0" w:space="0" w:color="auto"/>
        <w:right w:val="none" w:sz="0" w:space="0" w:color="auto"/>
      </w:divBdr>
    </w:div>
    <w:div w:id="1246650934">
      <w:bodyDiv w:val="1"/>
      <w:marLeft w:val="0"/>
      <w:marRight w:val="0"/>
      <w:marTop w:val="0"/>
      <w:marBottom w:val="0"/>
      <w:divBdr>
        <w:top w:val="none" w:sz="0" w:space="0" w:color="auto"/>
        <w:left w:val="none" w:sz="0" w:space="0" w:color="auto"/>
        <w:bottom w:val="none" w:sz="0" w:space="0" w:color="auto"/>
        <w:right w:val="none" w:sz="0" w:space="0" w:color="auto"/>
      </w:divBdr>
    </w:div>
    <w:div w:id="1252468611">
      <w:bodyDiv w:val="1"/>
      <w:marLeft w:val="0"/>
      <w:marRight w:val="0"/>
      <w:marTop w:val="0"/>
      <w:marBottom w:val="0"/>
      <w:divBdr>
        <w:top w:val="none" w:sz="0" w:space="0" w:color="auto"/>
        <w:left w:val="none" w:sz="0" w:space="0" w:color="auto"/>
        <w:bottom w:val="none" w:sz="0" w:space="0" w:color="auto"/>
        <w:right w:val="none" w:sz="0" w:space="0" w:color="auto"/>
      </w:divBdr>
    </w:div>
    <w:div w:id="1256281592">
      <w:bodyDiv w:val="1"/>
      <w:marLeft w:val="0"/>
      <w:marRight w:val="0"/>
      <w:marTop w:val="0"/>
      <w:marBottom w:val="0"/>
      <w:divBdr>
        <w:top w:val="none" w:sz="0" w:space="0" w:color="auto"/>
        <w:left w:val="none" w:sz="0" w:space="0" w:color="auto"/>
        <w:bottom w:val="none" w:sz="0" w:space="0" w:color="auto"/>
        <w:right w:val="none" w:sz="0" w:space="0" w:color="auto"/>
      </w:divBdr>
    </w:div>
    <w:div w:id="1304502700">
      <w:bodyDiv w:val="1"/>
      <w:marLeft w:val="0"/>
      <w:marRight w:val="0"/>
      <w:marTop w:val="0"/>
      <w:marBottom w:val="0"/>
      <w:divBdr>
        <w:top w:val="none" w:sz="0" w:space="0" w:color="auto"/>
        <w:left w:val="none" w:sz="0" w:space="0" w:color="auto"/>
        <w:bottom w:val="none" w:sz="0" w:space="0" w:color="auto"/>
        <w:right w:val="none" w:sz="0" w:space="0" w:color="auto"/>
      </w:divBdr>
    </w:div>
    <w:div w:id="1308316479">
      <w:bodyDiv w:val="1"/>
      <w:marLeft w:val="0"/>
      <w:marRight w:val="0"/>
      <w:marTop w:val="0"/>
      <w:marBottom w:val="0"/>
      <w:divBdr>
        <w:top w:val="none" w:sz="0" w:space="0" w:color="auto"/>
        <w:left w:val="none" w:sz="0" w:space="0" w:color="auto"/>
        <w:bottom w:val="none" w:sz="0" w:space="0" w:color="auto"/>
        <w:right w:val="none" w:sz="0" w:space="0" w:color="auto"/>
      </w:divBdr>
    </w:div>
    <w:div w:id="1350984696">
      <w:bodyDiv w:val="1"/>
      <w:marLeft w:val="0"/>
      <w:marRight w:val="0"/>
      <w:marTop w:val="0"/>
      <w:marBottom w:val="0"/>
      <w:divBdr>
        <w:top w:val="none" w:sz="0" w:space="0" w:color="auto"/>
        <w:left w:val="none" w:sz="0" w:space="0" w:color="auto"/>
        <w:bottom w:val="none" w:sz="0" w:space="0" w:color="auto"/>
        <w:right w:val="none" w:sz="0" w:space="0" w:color="auto"/>
      </w:divBdr>
    </w:div>
    <w:div w:id="1351683336">
      <w:bodyDiv w:val="1"/>
      <w:marLeft w:val="0"/>
      <w:marRight w:val="0"/>
      <w:marTop w:val="0"/>
      <w:marBottom w:val="0"/>
      <w:divBdr>
        <w:top w:val="none" w:sz="0" w:space="0" w:color="auto"/>
        <w:left w:val="none" w:sz="0" w:space="0" w:color="auto"/>
        <w:bottom w:val="none" w:sz="0" w:space="0" w:color="auto"/>
        <w:right w:val="none" w:sz="0" w:space="0" w:color="auto"/>
      </w:divBdr>
    </w:div>
    <w:div w:id="1365206348">
      <w:bodyDiv w:val="1"/>
      <w:marLeft w:val="0"/>
      <w:marRight w:val="0"/>
      <w:marTop w:val="0"/>
      <w:marBottom w:val="0"/>
      <w:divBdr>
        <w:top w:val="none" w:sz="0" w:space="0" w:color="auto"/>
        <w:left w:val="none" w:sz="0" w:space="0" w:color="auto"/>
        <w:bottom w:val="none" w:sz="0" w:space="0" w:color="auto"/>
        <w:right w:val="none" w:sz="0" w:space="0" w:color="auto"/>
      </w:divBdr>
    </w:div>
    <w:div w:id="1400248391">
      <w:bodyDiv w:val="1"/>
      <w:marLeft w:val="0"/>
      <w:marRight w:val="0"/>
      <w:marTop w:val="0"/>
      <w:marBottom w:val="0"/>
      <w:divBdr>
        <w:top w:val="none" w:sz="0" w:space="0" w:color="auto"/>
        <w:left w:val="none" w:sz="0" w:space="0" w:color="auto"/>
        <w:bottom w:val="none" w:sz="0" w:space="0" w:color="auto"/>
        <w:right w:val="none" w:sz="0" w:space="0" w:color="auto"/>
      </w:divBdr>
    </w:div>
    <w:div w:id="1442526128">
      <w:bodyDiv w:val="1"/>
      <w:marLeft w:val="0"/>
      <w:marRight w:val="0"/>
      <w:marTop w:val="0"/>
      <w:marBottom w:val="0"/>
      <w:divBdr>
        <w:top w:val="none" w:sz="0" w:space="0" w:color="auto"/>
        <w:left w:val="none" w:sz="0" w:space="0" w:color="auto"/>
        <w:bottom w:val="none" w:sz="0" w:space="0" w:color="auto"/>
        <w:right w:val="none" w:sz="0" w:space="0" w:color="auto"/>
      </w:divBdr>
    </w:div>
    <w:div w:id="1567111569">
      <w:bodyDiv w:val="1"/>
      <w:marLeft w:val="0"/>
      <w:marRight w:val="0"/>
      <w:marTop w:val="0"/>
      <w:marBottom w:val="0"/>
      <w:divBdr>
        <w:top w:val="none" w:sz="0" w:space="0" w:color="auto"/>
        <w:left w:val="none" w:sz="0" w:space="0" w:color="auto"/>
        <w:bottom w:val="none" w:sz="0" w:space="0" w:color="auto"/>
        <w:right w:val="none" w:sz="0" w:space="0" w:color="auto"/>
      </w:divBdr>
    </w:div>
    <w:div w:id="1708020903">
      <w:bodyDiv w:val="1"/>
      <w:marLeft w:val="0"/>
      <w:marRight w:val="0"/>
      <w:marTop w:val="0"/>
      <w:marBottom w:val="0"/>
      <w:divBdr>
        <w:top w:val="none" w:sz="0" w:space="0" w:color="auto"/>
        <w:left w:val="none" w:sz="0" w:space="0" w:color="auto"/>
        <w:bottom w:val="none" w:sz="0" w:space="0" w:color="auto"/>
        <w:right w:val="none" w:sz="0" w:space="0" w:color="auto"/>
      </w:divBdr>
    </w:div>
    <w:div w:id="1731533009">
      <w:bodyDiv w:val="1"/>
      <w:marLeft w:val="0"/>
      <w:marRight w:val="0"/>
      <w:marTop w:val="0"/>
      <w:marBottom w:val="0"/>
      <w:divBdr>
        <w:top w:val="none" w:sz="0" w:space="0" w:color="auto"/>
        <w:left w:val="none" w:sz="0" w:space="0" w:color="auto"/>
        <w:bottom w:val="none" w:sz="0" w:space="0" w:color="auto"/>
        <w:right w:val="none" w:sz="0" w:space="0" w:color="auto"/>
      </w:divBdr>
    </w:div>
    <w:div w:id="1742288006">
      <w:bodyDiv w:val="1"/>
      <w:marLeft w:val="0"/>
      <w:marRight w:val="0"/>
      <w:marTop w:val="0"/>
      <w:marBottom w:val="0"/>
      <w:divBdr>
        <w:top w:val="none" w:sz="0" w:space="0" w:color="auto"/>
        <w:left w:val="none" w:sz="0" w:space="0" w:color="auto"/>
        <w:bottom w:val="none" w:sz="0" w:space="0" w:color="auto"/>
        <w:right w:val="none" w:sz="0" w:space="0" w:color="auto"/>
      </w:divBdr>
    </w:div>
    <w:div w:id="1758792023">
      <w:bodyDiv w:val="1"/>
      <w:marLeft w:val="0"/>
      <w:marRight w:val="0"/>
      <w:marTop w:val="0"/>
      <w:marBottom w:val="0"/>
      <w:divBdr>
        <w:top w:val="none" w:sz="0" w:space="0" w:color="auto"/>
        <w:left w:val="none" w:sz="0" w:space="0" w:color="auto"/>
        <w:bottom w:val="none" w:sz="0" w:space="0" w:color="auto"/>
        <w:right w:val="none" w:sz="0" w:space="0" w:color="auto"/>
      </w:divBdr>
    </w:div>
    <w:div w:id="1767192083">
      <w:bodyDiv w:val="1"/>
      <w:marLeft w:val="0"/>
      <w:marRight w:val="0"/>
      <w:marTop w:val="0"/>
      <w:marBottom w:val="0"/>
      <w:divBdr>
        <w:top w:val="none" w:sz="0" w:space="0" w:color="auto"/>
        <w:left w:val="none" w:sz="0" w:space="0" w:color="auto"/>
        <w:bottom w:val="none" w:sz="0" w:space="0" w:color="auto"/>
        <w:right w:val="none" w:sz="0" w:space="0" w:color="auto"/>
      </w:divBdr>
    </w:div>
    <w:div w:id="1769615880">
      <w:bodyDiv w:val="1"/>
      <w:marLeft w:val="0"/>
      <w:marRight w:val="0"/>
      <w:marTop w:val="0"/>
      <w:marBottom w:val="0"/>
      <w:divBdr>
        <w:top w:val="none" w:sz="0" w:space="0" w:color="auto"/>
        <w:left w:val="none" w:sz="0" w:space="0" w:color="auto"/>
        <w:bottom w:val="none" w:sz="0" w:space="0" w:color="auto"/>
        <w:right w:val="none" w:sz="0" w:space="0" w:color="auto"/>
      </w:divBdr>
    </w:div>
    <w:div w:id="1785616532">
      <w:bodyDiv w:val="1"/>
      <w:marLeft w:val="0"/>
      <w:marRight w:val="0"/>
      <w:marTop w:val="0"/>
      <w:marBottom w:val="0"/>
      <w:divBdr>
        <w:top w:val="none" w:sz="0" w:space="0" w:color="auto"/>
        <w:left w:val="none" w:sz="0" w:space="0" w:color="auto"/>
        <w:bottom w:val="none" w:sz="0" w:space="0" w:color="auto"/>
        <w:right w:val="none" w:sz="0" w:space="0" w:color="auto"/>
      </w:divBdr>
    </w:div>
    <w:div w:id="1892304754">
      <w:bodyDiv w:val="1"/>
      <w:marLeft w:val="0"/>
      <w:marRight w:val="0"/>
      <w:marTop w:val="0"/>
      <w:marBottom w:val="0"/>
      <w:divBdr>
        <w:top w:val="none" w:sz="0" w:space="0" w:color="auto"/>
        <w:left w:val="none" w:sz="0" w:space="0" w:color="auto"/>
        <w:bottom w:val="none" w:sz="0" w:space="0" w:color="auto"/>
        <w:right w:val="none" w:sz="0" w:space="0" w:color="auto"/>
      </w:divBdr>
    </w:div>
    <w:div w:id="1893342952">
      <w:bodyDiv w:val="1"/>
      <w:marLeft w:val="0"/>
      <w:marRight w:val="0"/>
      <w:marTop w:val="0"/>
      <w:marBottom w:val="0"/>
      <w:divBdr>
        <w:top w:val="none" w:sz="0" w:space="0" w:color="auto"/>
        <w:left w:val="none" w:sz="0" w:space="0" w:color="auto"/>
        <w:bottom w:val="none" w:sz="0" w:space="0" w:color="auto"/>
        <w:right w:val="none" w:sz="0" w:space="0" w:color="auto"/>
      </w:divBdr>
    </w:div>
    <w:div w:id="1962422371">
      <w:bodyDiv w:val="1"/>
      <w:marLeft w:val="0"/>
      <w:marRight w:val="0"/>
      <w:marTop w:val="0"/>
      <w:marBottom w:val="0"/>
      <w:divBdr>
        <w:top w:val="none" w:sz="0" w:space="0" w:color="auto"/>
        <w:left w:val="none" w:sz="0" w:space="0" w:color="auto"/>
        <w:bottom w:val="none" w:sz="0" w:space="0" w:color="auto"/>
        <w:right w:val="none" w:sz="0" w:space="0" w:color="auto"/>
      </w:divBdr>
    </w:div>
    <w:div w:id="2020084631">
      <w:bodyDiv w:val="1"/>
      <w:marLeft w:val="0"/>
      <w:marRight w:val="0"/>
      <w:marTop w:val="0"/>
      <w:marBottom w:val="0"/>
      <w:divBdr>
        <w:top w:val="none" w:sz="0" w:space="0" w:color="auto"/>
        <w:left w:val="none" w:sz="0" w:space="0" w:color="auto"/>
        <w:bottom w:val="none" w:sz="0" w:space="0" w:color="auto"/>
        <w:right w:val="none" w:sz="0" w:space="0" w:color="auto"/>
      </w:divBdr>
    </w:div>
    <w:div w:id="2037541613">
      <w:bodyDiv w:val="1"/>
      <w:marLeft w:val="0"/>
      <w:marRight w:val="0"/>
      <w:marTop w:val="0"/>
      <w:marBottom w:val="0"/>
      <w:divBdr>
        <w:top w:val="none" w:sz="0" w:space="0" w:color="auto"/>
        <w:left w:val="none" w:sz="0" w:space="0" w:color="auto"/>
        <w:bottom w:val="none" w:sz="0" w:space="0" w:color="auto"/>
        <w:right w:val="none" w:sz="0" w:space="0" w:color="auto"/>
      </w:divBdr>
    </w:div>
    <w:div w:id="20719263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9.jpeg"/><Relationship Id="rId3" Type="http://schemas.openxmlformats.org/officeDocument/2006/relationships/customXml" Target="../customXml/item3.xml"/><Relationship Id="rId21" Type="http://schemas.openxmlformats.org/officeDocument/2006/relationships/image" Target="media/image4.jpeg"/><Relationship Id="rId34" Type="http://schemas.openxmlformats.org/officeDocument/2006/relationships/footer" Target="footer6.xml"/><Relationship Id="rId7" Type="http://schemas.microsoft.com/office/2007/relationships/stylesWithEffects" Target="stylesWithEffects.xml"/><Relationship Id="rId12" Type="http://schemas.openxmlformats.org/officeDocument/2006/relationships/image" Target="media/image1.emf"/><Relationship Id="rId17" Type="http://schemas.openxmlformats.org/officeDocument/2006/relationships/header" Target="header3.xml"/><Relationship Id="rId25" Type="http://schemas.openxmlformats.org/officeDocument/2006/relationships/image" Target="media/image8.jpeg"/><Relationship Id="rId33" Type="http://schemas.openxmlformats.org/officeDocument/2006/relationships/header" Target="header6.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3.jpeg"/><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7.jpeg"/><Relationship Id="rId32" Type="http://schemas.openxmlformats.org/officeDocument/2006/relationships/footer" Target="footer5.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6.jpeg"/><Relationship Id="rId28" Type="http://schemas.openxmlformats.org/officeDocument/2006/relationships/image" Target="media/image11.jpeg"/><Relationship Id="rId36"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2.jpeg"/><Relationship Id="rId31"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image" Target="media/image5.jpeg"/><Relationship Id="rId27" Type="http://schemas.openxmlformats.org/officeDocument/2006/relationships/image" Target="media/image10.jpeg"/><Relationship Id="rId30" Type="http://schemas.openxmlformats.org/officeDocument/2006/relationships/header" Target="header5.xml"/><Relationship Id="rId35"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s://www.endfgm.eu/female-genital-mutilation/fgm-in-europe" TargetMode="External"/><Relationship Id="rId13" Type="http://schemas.openxmlformats.org/officeDocument/2006/relationships/hyperlink" Target="https://ec.europa.eu/programmes/creative-europe/node_en" TargetMode="External"/><Relationship Id="rId18" Type="http://schemas.openxmlformats.org/officeDocument/2006/relationships/hyperlink" Target="https://ec.europa.eu/info/business-economy-euro/economic-and-fiscal-policy-coordination/eu-economic-governance-monitoring-prevention-correction/european-semester_hr" TargetMode="External"/><Relationship Id="rId26" Type="http://schemas.openxmlformats.org/officeDocument/2006/relationships/hyperlink" Target="https://appsso.eurostat.ec.europa.eu/nui/show.do?dataset=ilc_pnp13&amp;lang=en" TargetMode="External"/><Relationship Id="rId39" Type="http://schemas.openxmlformats.org/officeDocument/2006/relationships/hyperlink" Target="https://data.consilium.europa.eu/doc/document/ST-15086-2018-INIT/hr/pdf" TargetMode="External"/><Relationship Id="rId3" Type="http://schemas.openxmlformats.org/officeDocument/2006/relationships/hyperlink" Target="https://data.em2030.org/em2030-sdg-gender-index/" TargetMode="External"/><Relationship Id="rId21" Type="http://schemas.openxmlformats.org/officeDocument/2006/relationships/hyperlink" Target="http://www.oecd.org/pisa/PISA%202018%20Insights%20and%20Interpretations%20FINAL%20PDF.pdf" TargetMode="External"/><Relationship Id="rId34" Type="http://schemas.openxmlformats.org/officeDocument/2006/relationships/hyperlink" Target="https://europeanwomenonboards.eu/" TargetMode="External"/><Relationship Id="rId42" Type="http://schemas.openxmlformats.org/officeDocument/2006/relationships/hyperlink" Target="http://www.europarl.europa.eu/oeil/popups/ficheprocedure.do?lang=en&amp;reference=2019/2855(RSP)" TargetMode="External"/><Relationship Id="rId7" Type="http://schemas.openxmlformats.org/officeDocument/2006/relationships/hyperlink" Target="https://ec.europa.eu/europeaid/policies/sustainable-development-goals_en" TargetMode="External"/><Relationship Id="rId12" Type="http://schemas.openxmlformats.org/officeDocument/2006/relationships/hyperlink" Target="https://ec.europa.eu/info/horizon-europe-next-research-and-innovation-framework-programme_en" TargetMode="External"/><Relationship Id="rId17" Type="http://schemas.openxmlformats.org/officeDocument/2006/relationships/hyperlink" Target="https://ec.europa.eu/eurostat/statistics-explained/pdfscache/35409.pdf" TargetMode="External"/><Relationship Id="rId25" Type="http://schemas.openxmlformats.org/officeDocument/2006/relationships/hyperlink" Target="https://ec.europa.eu/eurostat/databrowser/product/view/SDG_05_20?lang=en" TargetMode="External"/><Relationship Id="rId33" Type="http://schemas.openxmlformats.org/officeDocument/2006/relationships/hyperlink" Target="https://ec.europa.eu/info/policies/justice-and-fundamental-rights/combatting-discrimination/tackling-discrimination/diversity-management/eu-platform-diversity-charters_en" TargetMode="External"/><Relationship Id="rId38" Type="http://schemas.openxmlformats.org/officeDocument/2006/relationships/hyperlink" Target="https://europa.eu/capacity4dev/articles/eu-gender-action-plan-ii-how-eu-delegations-contribute-gender-equality-worldwide" TargetMode="External"/><Relationship Id="rId2" Type="http://schemas.openxmlformats.org/officeDocument/2006/relationships/hyperlink" Target="https://eige.europa.eu/gender-mainstreaming/policy-areas/economic-and-financial-affairs/economic-benefits-gender-equality" TargetMode="External"/><Relationship Id="rId16" Type="http://schemas.openxmlformats.org/officeDocument/2006/relationships/hyperlink" Target="https://appsso.eurostat.ec.europa.eu/nui/show.do?dataset=lfsi_emp_a&amp;lang=en" TargetMode="External"/><Relationship Id="rId20" Type="http://schemas.openxmlformats.org/officeDocument/2006/relationships/hyperlink" Target="https://ec.europa.eu/research/eic/index.cfm" TargetMode="External"/><Relationship Id="rId29" Type="http://schemas.openxmlformats.org/officeDocument/2006/relationships/hyperlink" Target="https://ec.europa.eu/transparency/regexpert/index.cfm?do=groupDetail.groupDetail&amp;groupID=3589" TargetMode="External"/><Relationship Id="rId41" Type="http://schemas.openxmlformats.org/officeDocument/2006/relationships/hyperlink" Target="http://www.europarl.europa.eu/oeil/popups/ficheprocedure.do?lang=en&amp;reference=2019/2870(RSP)" TargetMode="External"/><Relationship Id="rId1" Type="http://schemas.openxmlformats.org/officeDocument/2006/relationships/hyperlink" Target="https://ec.europa.eu/commission/sites/beta-political/files/social-summit-european-pillar-social-rights-booklet_hr.pdf" TargetMode="External"/><Relationship Id="rId6" Type="http://schemas.openxmlformats.org/officeDocument/2006/relationships/hyperlink" Target="https://beijing20.unwomen.org/en/about" TargetMode="External"/><Relationship Id="rId11" Type="http://schemas.openxmlformats.org/officeDocument/2006/relationships/hyperlink" Target="https://ec.europa.eu/info/sites/info/files/commission-white-paper-artificial-intelligence-feb2020_en.pdf" TargetMode="External"/><Relationship Id="rId24" Type="http://schemas.openxmlformats.org/officeDocument/2006/relationships/hyperlink" Target="https://ec.europa.eu/digital-single-market/en/news/eu-countries-commit-boost-participation-women-digital" TargetMode="External"/><Relationship Id="rId32" Type="http://schemas.openxmlformats.org/officeDocument/2006/relationships/hyperlink" Target="https://eige.europa.eu/publications/gender-equality-index-2019-report/more-gender-equality-corporate-boards-only-few-member-states" TargetMode="External"/><Relationship Id="rId37" Type="http://schemas.openxmlformats.org/officeDocument/2006/relationships/hyperlink" Target="http://www.europarl.europa.eu/meetdocs/2014_2019/plmrep/COMMITTEES/FEMM/DV/2018/09-03/20180828DraftResolutionGenderBudgetingintheEUBudget-thewayforward_EN.pdf" TargetMode="External"/><Relationship Id="rId40" Type="http://schemas.openxmlformats.org/officeDocument/2006/relationships/hyperlink" Target="https://www.consilium.europa.eu/register/en/content/out?&amp;typ=ENTRY&amp;i=ADV&amp;DOC_ID=ST-11031-2019-INIT" TargetMode="External"/><Relationship Id="rId5" Type="http://schemas.openxmlformats.org/officeDocument/2006/relationships/hyperlink" Target="https://eige.europa.eu/thesaurus/terms/1263?lang=hr" TargetMode="External"/><Relationship Id="rId15" Type="http://schemas.openxmlformats.org/officeDocument/2006/relationships/hyperlink" Target="https://ec.europa.eu/eurostat/web/products-datasets/product?code=sdg_05_30" TargetMode="External"/><Relationship Id="rId23" Type="http://schemas.openxmlformats.org/officeDocument/2006/relationships/hyperlink" Target="https://op.europa.eu/hr/publication-detail/-/publication/9540ffa1-4478-11e9-a8ed-01aa75ed71a1" TargetMode="External"/><Relationship Id="rId28" Type="http://schemas.openxmlformats.org/officeDocument/2006/relationships/hyperlink" Target="https://ec.europa.eu/eurostat/web/products-eurostat-news/-/DDN-20190621-1" TargetMode="External"/><Relationship Id="rId36" Type="http://schemas.openxmlformats.org/officeDocument/2006/relationships/hyperlink" Target="https://ec.europa.eu/jrc/en/news/how-big-eus-blue-economy-eu-report-potential-coasts-and-oceans-provide-sustainable-economic-growth" TargetMode="External"/><Relationship Id="rId10" Type="http://schemas.openxmlformats.org/officeDocument/2006/relationships/hyperlink" Target="https://ec.europa.eu/digital-single-market/en/new-eu-rules-e-commerce" TargetMode="External"/><Relationship Id="rId19" Type="http://schemas.openxmlformats.org/officeDocument/2006/relationships/hyperlink" Target="https://2019.stateofeuropeantech.com/chapter/state-european-tech-2019/article/executive-summary" TargetMode="External"/><Relationship Id="rId31" Type="http://schemas.openxmlformats.org/officeDocument/2006/relationships/hyperlink" Target="https://ec.europa.eu/info/sites/info/files/bcn_objectives-report2018_web_en.pdf" TargetMode="External"/><Relationship Id="rId4" Type="http://schemas.openxmlformats.org/officeDocument/2006/relationships/hyperlink" Target="https://eige.europa.eu/gender-equality-index/2019" TargetMode="External"/><Relationship Id="rId9" Type="http://schemas.openxmlformats.org/officeDocument/2006/relationships/hyperlink" Target="https://eige.europa.eu/thesaurus/terms/1285?lang=hr" TargetMode="External"/><Relationship Id="rId14" Type="http://schemas.openxmlformats.org/officeDocument/2006/relationships/hyperlink" Target="https://ec.europa.eu/digital-single-market/en/media-sub-programme-creative-europe" TargetMode="External"/><Relationship Id="rId22" Type="http://schemas.openxmlformats.org/officeDocument/2006/relationships/hyperlink" Target="https://ec.europa.eu/eurostat/web/products-eurostat-news/-/EDN-20180425-1" TargetMode="External"/><Relationship Id="rId27" Type="http://schemas.openxmlformats.org/officeDocument/2006/relationships/hyperlink" Target="https://appsso.eurostat.ec.europa.eu/nui/show.do?dataset=ilc_pnp14&amp;lang=en" TargetMode="External"/><Relationship Id="rId30" Type="http://schemas.openxmlformats.org/officeDocument/2006/relationships/hyperlink" Target="https://www.ilo.org/wcmsp5/groups/public/---dgreports/---cabinet/documents/publication/wcms_713376.pdf" TargetMode="External"/><Relationship Id="rId35" Type="http://schemas.openxmlformats.org/officeDocument/2006/relationships/hyperlink" Target="https://ec.europa.eu/info/policies/justice-and-fundamental-rights/gender-equality/who-we-work-gender-equality/mutual-learning-programme-gender-equality_en" TargetMode="External"/><Relationship Id="rId43" Type="http://schemas.openxmlformats.org/officeDocument/2006/relationships/hyperlink" Target="http://www.europarl.europa.eu/oeil/popups/ficheprocedure.do?lang=en&amp;reference=2016/2249(IN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EC_Collab_DocumentLanguage xmlns="724151e2-140d-4670-8684-77a651b4f52a">EN</EC_Collab_DocumentLanguage>
    <EC_Collab_Status xmlns="724151e2-140d-4670-8684-77a651b4f52a">Not Started</EC_Collab_Status>
    <_Status xmlns="http://schemas.microsoft.com/sharepoint/v3/fields">Not Started</_Status>
    <EC_Collab_Reference xmlns="724151e2-140d-4670-8684-77a651b4f52a"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EC Document" ma:contentTypeID="0x010100258AA79CEB83498886A3A086811232500017A1C524D8DBC041BAC361A7FA0BC3BA" ma:contentTypeVersion="0" ma:contentTypeDescription="Create a new document in this library." ma:contentTypeScope="" ma:versionID="472184d01dc63c2631f13a6db2b93dd8">
  <xsd:schema xmlns:xsd="http://www.w3.org/2001/XMLSchema" xmlns:xs="http://www.w3.org/2001/XMLSchema" xmlns:p="http://schemas.microsoft.com/office/2006/metadata/properties" xmlns:ns2="http://schemas.microsoft.com/sharepoint/v3/fields" xmlns:ns3="724151e2-140d-4670-8684-77a651b4f52a" targetNamespace="http://schemas.microsoft.com/office/2006/metadata/properties" ma:root="true" ma:fieldsID="2be522cebc4dc708207e7baaea01d0b1" ns2:_="" ns3:_="">
    <xsd:import namespace="http://schemas.microsoft.com/sharepoint/v3/fields"/>
    <xsd:import namespace="724151e2-140d-4670-8684-77a651b4f52a"/>
    <xsd:element name="properties">
      <xsd:complexType>
        <xsd:sequence>
          <xsd:element name="documentManagement">
            <xsd:complexType>
              <xsd:all>
                <xsd:element ref="ns3:EC_Collab_Reference" minOccurs="0"/>
                <xsd:element ref="ns2:_Status" minOccurs="0"/>
                <xsd:element ref="ns3:EC_Collab_DocumentLanguage"/>
                <xsd:element ref="ns3:EC_Collab_Status"/>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Status" ma:index="13" nillable="true" ma:displayName="Status" ma:default="Not Started" ma:hidden="true" ma:internalName="_Status">
      <xsd:simpleType>
        <xsd:union memberTypes="dms:Text">
          <xsd:simpleType>
            <xsd:restriction base="dms:Choice">
              <xsd:enumeration value="Not Started"/>
              <xsd:enumeration value="Draft"/>
              <xsd:enumeration value="Reviewed"/>
              <xsd:enumeration value="Scheduled"/>
              <xsd:enumeration value="Published"/>
              <xsd:enumeration value="Final"/>
              <xsd:enumeration value="Expired"/>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724151e2-140d-4670-8684-77a651b4f52a" elementFormDefault="qualified">
    <xsd:import namespace="http://schemas.microsoft.com/office/2006/documentManagement/types"/>
    <xsd:import namespace="http://schemas.microsoft.com/office/infopath/2007/PartnerControls"/>
    <xsd:element name="EC_Collab_Reference" ma:index="12" nillable="true" ma:displayName="Reference" ma:internalName="EC_Collab_Reference">
      <xsd:simpleType>
        <xsd:restriction base="dms:Text"/>
      </xsd:simpleType>
    </xsd:element>
    <xsd:element name="EC_Collab_DocumentLanguage" ma:index="14" ma:displayName="Language" ma:default="EN" ma:internalName="EC_Collab_DocumentLanguage">
      <xsd:simpleType>
        <xsd:restriction base="dms:Choice">
          <xsd:enumeration value="BG"/>
          <xsd:enumeration value="ES"/>
          <xsd:enumeration value="CS"/>
          <xsd:enumeration value="DA"/>
          <xsd:enumeration value="DE"/>
          <xsd:enumeration value="ET"/>
          <xsd:enumeration value="EL"/>
          <xsd:enumeration value="EN"/>
          <xsd:enumeration value="FR"/>
          <xsd:enumeration value="GA"/>
          <xsd:enumeration value="IT"/>
          <xsd:enumeration value="LT"/>
          <xsd:enumeration value="LV"/>
          <xsd:enumeration value="HU"/>
          <xsd:enumeration value="MT"/>
          <xsd:enumeration value="NL"/>
          <xsd:enumeration value="PL"/>
          <xsd:enumeration value="PT"/>
          <xsd:enumeration value="RO"/>
          <xsd:enumeration value="SK"/>
          <xsd:enumeration value="SL"/>
          <xsd:enumeration value="FI"/>
          <xsd:enumeration value="SV"/>
          <xsd:enumeration value="HR"/>
          <xsd:enumeration value="MK"/>
          <xsd:enumeration value="TR"/>
          <xsd:enumeration value="EU"/>
          <xsd:enumeration value="CA"/>
          <xsd:enumeration value="GL"/>
          <xsd:enumeration value="AB"/>
          <xsd:enumeration value="AA"/>
          <xsd:enumeration value="AF"/>
          <xsd:enumeration value="AK"/>
          <xsd:enumeration value="SQ"/>
          <xsd:enumeration value="AM"/>
          <xsd:enumeration value="AR"/>
          <xsd:enumeration value="AN"/>
          <xsd:enumeration value="HY"/>
          <xsd:enumeration value="AS"/>
          <xsd:enumeration value="AV"/>
          <xsd:enumeration value="AE"/>
          <xsd:enumeration value="AY"/>
          <xsd:enumeration value="AZ"/>
          <xsd:enumeration value="BM"/>
          <xsd:enumeration value="BA"/>
          <xsd:enumeration value="BE"/>
          <xsd:enumeration value="BN"/>
          <xsd:enumeration value="BH"/>
          <xsd:enumeration value="BI"/>
          <xsd:enumeration value="NB"/>
          <xsd:enumeration value="BS"/>
          <xsd:enumeration value="BR"/>
          <xsd:enumeration value="MY"/>
          <xsd:enumeration value="KM"/>
          <xsd:enumeration value="CH"/>
          <xsd:enumeration value="CE"/>
          <xsd:enumeration value="NY"/>
          <xsd:enumeration value="ZH"/>
          <xsd:enumeration value="CU"/>
          <xsd:enumeration value="CV"/>
          <xsd:enumeration value="KW"/>
          <xsd:enumeration value="CO"/>
          <xsd:enumeration value="CR"/>
          <xsd:enumeration value="DV"/>
          <xsd:enumeration value="DZ"/>
          <xsd:enumeration value="EO"/>
          <xsd:enumeration value="EE"/>
          <xsd:enumeration value="FO"/>
          <xsd:enumeration value="FJ"/>
          <xsd:enumeration value="FF"/>
          <xsd:enumeration value="GD"/>
          <xsd:enumeration value="LG"/>
          <xsd:enumeration value="KA"/>
          <xsd:enumeration value="GN"/>
          <xsd:enumeration value="GU"/>
          <xsd:enumeration value="HT"/>
          <xsd:enumeration value="HA"/>
          <xsd:enumeration value="HE"/>
          <xsd:enumeration value="HZ"/>
          <xsd:enumeration value="HI"/>
          <xsd:enumeration value="HO"/>
          <xsd:enumeration value="IS"/>
          <xsd:enumeration value="IO"/>
          <xsd:enumeration value="IG"/>
          <xsd:enumeration value="ID"/>
          <xsd:enumeration value="IA"/>
          <xsd:enumeration value="IE"/>
          <xsd:enumeration value="IU"/>
          <xsd:enumeration value="IK"/>
          <xsd:enumeration value="JA"/>
          <xsd:enumeration value="JV"/>
          <xsd:enumeration value="KL"/>
          <xsd:enumeration value="KN"/>
          <xsd:enumeration value="KR"/>
          <xsd:enumeration value="KS"/>
          <xsd:enumeration value="KK"/>
          <xsd:enumeration value="KI"/>
          <xsd:enumeration value="RW"/>
          <xsd:enumeration value="KY"/>
          <xsd:enumeration value="KV"/>
          <xsd:enumeration value="KG"/>
          <xsd:enumeration value="KO"/>
          <xsd:enumeration value="KJ"/>
          <xsd:enumeration value="KU"/>
          <xsd:enumeration value="LO"/>
          <xsd:enumeration value="LA"/>
          <xsd:enumeration value="LI"/>
          <xsd:enumeration value="LN"/>
          <xsd:enumeration value="LU"/>
          <xsd:enumeration value="LB"/>
          <xsd:enumeration value="MG"/>
          <xsd:enumeration value="MS"/>
          <xsd:enumeration value="ML"/>
          <xsd:enumeration value="GV"/>
          <xsd:enumeration value="MI"/>
          <xsd:enumeration value="MR"/>
          <xsd:enumeration value="MH"/>
          <xsd:enumeration value="MN"/>
          <xsd:enumeration value="NA"/>
          <xsd:enumeration value="NV"/>
          <xsd:enumeration value="ND"/>
          <xsd:enumeration value="NR"/>
          <xsd:enumeration value="NG"/>
          <xsd:enumeration value="NE"/>
          <xsd:enumeration value="SE"/>
          <xsd:enumeration value="NO"/>
          <xsd:enumeration value="NN"/>
          <xsd:enumeration value="OC"/>
          <xsd:enumeration value="OJ"/>
          <xsd:enumeration value="OR"/>
          <xsd:enumeration value="OM"/>
          <xsd:enumeration value="OS"/>
          <xsd:enumeration value="PI"/>
          <xsd:enumeration value="PA"/>
          <xsd:enumeration value="FA"/>
          <xsd:enumeration value="PS"/>
          <xsd:enumeration value="QU"/>
          <xsd:enumeration value="RM"/>
          <xsd:enumeration value="RN"/>
          <xsd:enumeration value="RU"/>
          <xsd:enumeration value="SM"/>
          <xsd:enumeration value="SG"/>
          <xsd:enumeration value="SA"/>
          <xsd:enumeration value="SC"/>
          <xsd:enumeration value="SR"/>
          <xsd:enumeration value="SN"/>
          <xsd:enumeration value="II"/>
          <xsd:enumeration value="SD"/>
          <xsd:enumeration value="SI"/>
          <xsd:enumeration value="SO"/>
          <xsd:enumeration value="ST"/>
          <xsd:enumeration value="SU"/>
          <xsd:enumeration value="SW"/>
          <xsd:enumeration value="SS"/>
          <xsd:enumeration value="TL"/>
          <xsd:enumeration value="TY"/>
          <xsd:enumeration value="TG"/>
          <xsd:enumeration value="TA"/>
          <xsd:enumeration value="TT"/>
          <xsd:enumeration value="TE"/>
          <xsd:enumeration value="TH"/>
          <xsd:enumeration value="BO"/>
          <xsd:enumeration value="TI"/>
          <xsd:enumeration value="TO"/>
          <xsd:enumeration value="TS"/>
          <xsd:enumeration value="TN"/>
          <xsd:enumeration value="TK"/>
          <xsd:enumeration value="TW"/>
          <xsd:enumeration value="UG"/>
          <xsd:enumeration value="UK"/>
          <xsd:enumeration value="UR"/>
          <xsd:enumeration value="UZ"/>
          <xsd:enumeration value="VE"/>
          <xsd:enumeration value="VI"/>
          <xsd:enumeration value="VO"/>
          <xsd:enumeration value="WA"/>
          <xsd:enumeration value="CY"/>
          <xsd:enumeration value="FY"/>
          <xsd:enumeration value="WO"/>
          <xsd:enumeration value="XH"/>
          <xsd:enumeration value="YI"/>
          <xsd:enumeration value="YO"/>
          <xsd:enumeration value="ZA"/>
          <xsd:enumeration value="ZU"/>
        </xsd:restriction>
      </xsd:simpleType>
    </xsd:element>
    <xsd:element name="EC_Collab_Status" ma:index="15" ma:displayName="EC Status" ma:default="Not Started" ma:internalName="EC_Collab_Status">
      <xsd:simpleType>
        <xsd:restriction base="dms:Choice">
          <xsd:enumeration value="Not Started"/>
          <xsd:enumeration value="Draft"/>
          <xsd:enumeration value="Reviewed"/>
          <xsd:enumeration value="Scheduled"/>
          <xsd:enumeration value="Published"/>
          <xsd:enumeration value="Final"/>
          <xsd:enumeration value="Expir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9" ma:displayName="Author"/>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ma:index="8" ma:displayName="Subject"/>
        <xsd:element ref="dc:description" minOccurs="0" maxOccurs="1" ma:index="11" ma:displayName="Comments"/>
        <xsd:element name="keywords" minOccurs="0" maxOccurs="1" type="xsd:string" ma:index="10"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ma:displayName="Status"/>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DB49A3-B364-427A-AC8C-027C0721EE78}">
  <ds:schemaRefs>
    <ds:schemaRef ds:uri="http://schemas.microsoft.com/office/2006/metadata/properties"/>
    <ds:schemaRef ds:uri="http://schemas.microsoft.com/office/infopath/2007/PartnerControls"/>
    <ds:schemaRef ds:uri="724151e2-140d-4670-8684-77a651b4f52a"/>
    <ds:schemaRef ds:uri="http://schemas.microsoft.com/sharepoint/v3/fields"/>
  </ds:schemaRefs>
</ds:datastoreItem>
</file>

<file path=customXml/itemProps2.xml><?xml version="1.0" encoding="utf-8"?>
<ds:datastoreItem xmlns:ds="http://schemas.openxmlformats.org/officeDocument/2006/customXml" ds:itemID="{F80832C9-B7EF-4D1B-8CCB-14981AA68BE9}">
  <ds:schemaRefs>
    <ds:schemaRef ds:uri="http://schemas.microsoft.com/sharepoint/v3/contenttype/forms"/>
  </ds:schemaRefs>
</ds:datastoreItem>
</file>

<file path=customXml/itemProps3.xml><?xml version="1.0" encoding="utf-8"?>
<ds:datastoreItem xmlns:ds="http://schemas.openxmlformats.org/officeDocument/2006/customXml" ds:itemID="{A8528D57-7110-4F19-BC08-E1A0CCC06E6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fields"/>
    <ds:schemaRef ds:uri="724151e2-140d-4670-8684-77a651b4f52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ABFCFCF-20F5-4B6D-A685-8DBDB2EE2D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Pages>
  <Words>6177</Words>
  <Characters>37186</Characters>
  <Application>Microsoft Office Word</Application>
  <DocSecurity>0</DocSecurity>
  <Lines>590</Lines>
  <Paragraphs>144</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43219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2020-03-03T10:03:00Z</dcterms:created>
  <dcterms:modified xsi:type="dcterms:W3CDTF">2020-03-06T13:48:00Z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evel of sensitivity">
    <vt:lpwstr>Standard treatment</vt:lpwstr>
  </property>
  <property fmtid="{D5CDD505-2E9C-101B-9397-08002B2CF9AE}" pid="3" name="Last edited using">
    <vt:lpwstr>LW 7.0.1, Build 20190916</vt:lpwstr>
  </property>
  <property fmtid="{D5CDD505-2E9C-101B-9397-08002B2CF9AE}" pid="4" name="Part">
    <vt:lpwstr>1</vt:lpwstr>
  </property>
  <property fmtid="{D5CDD505-2E9C-101B-9397-08002B2CF9AE}" pid="5" name="Total parts">
    <vt:lpwstr>1</vt:lpwstr>
  </property>
  <property fmtid="{D5CDD505-2E9C-101B-9397-08002B2CF9AE}" pid="6" name="DocStatus">
    <vt:lpwstr>Green</vt:lpwstr>
  </property>
  <property fmtid="{D5CDD505-2E9C-101B-9397-08002B2CF9AE}" pid="7" name="CPTemplateID">
    <vt:lpwstr>CP-014</vt:lpwstr>
  </property>
  <property fmtid="{D5CDD505-2E9C-101B-9397-08002B2CF9AE}" pid="8" name="_LW_INVALIDATED__LW_INVALIDATED__LW_INVALIDATED__LW_INVALIDATED__LW_INVALIDATED_ContentTypeId">
    <vt:lpwstr>0x010100258AA79CEB83498886A3A086811232500017A1C524D8DBC041BAC361A7FA0BC3BA</vt:lpwstr>
  </property>
</Properties>
</file>