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2305E6-5E96-4104-A623-7E65E41219BD" style="width:450.8pt;height:307.4pt">
            <v:imagedata r:id="rId12" o:title=""/>
          </v:shape>
        </w:pict>
      </w:r>
    </w:p>
    <w:bookmarkEnd w:id="0"/>
    <w:p>
      <w:pPr>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SPOROČILO KOMISIJE EVROPSKEMU PARLAMENTU, SVETU, EVROPSKEMU EKONOMSKO-SOCIALNEMU ODBORU IN ODBORU REGIJ</w:t>
      </w:r>
    </w:p>
    <w:p>
      <w:pPr>
        <w:pStyle w:val="Titreobjet"/>
        <w:rPr>
          <w:noProof/>
        </w:rPr>
      </w:pPr>
      <w:r>
        <w:rPr>
          <w:noProof/>
        </w:rPr>
        <w:t>Strategija za MSP za trajnostno in digitalno Evropo</w:t>
      </w:r>
    </w:p>
    <w:p>
      <w:pPr>
        <w:spacing w:after="0" w:line="276" w:lineRule="auto"/>
        <w:jc w:val="center"/>
        <w:rPr>
          <w:b/>
          <w:noProof/>
          <w:sz w:val="28"/>
        </w:rPr>
      </w:pPr>
    </w:p>
    <w:p>
      <w:pPr>
        <w:pStyle w:val="ListParagraph"/>
        <w:numPr>
          <w:ilvl w:val="0"/>
          <w:numId w:val="37"/>
        </w:numPr>
        <w:spacing w:after="240" w:line="276" w:lineRule="auto"/>
        <w:jc w:val="both"/>
        <w:rPr>
          <w:rFonts w:ascii="Times New Roman" w:hAnsi="Times New Roman" w:cs="Times New Roman"/>
          <w:b/>
          <w:bCs/>
          <w:noProof/>
          <w:sz w:val="24"/>
          <w:szCs w:val="24"/>
        </w:rPr>
      </w:pPr>
      <w:r>
        <w:rPr>
          <w:rFonts w:ascii="Times New Roman" w:hAnsi="Times New Roman"/>
          <w:b/>
          <w:bCs/>
          <w:noProof/>
        </w:rPr>
        <w:t>Uvod</w:t>
      </w:r>
    </w:p>
    <w:p>
      <w:pPr>
        <w:spacing w:after="240" w:line="240" w:lineRule="auto"/>
        <w:jc w:val="both"/>
        <w:rPr>
          <w:rFonts w:ascii="Times New Roman" w:hAnsi="Times New Roman" w:cs="Times New Roman"/>
          <w:noProof/>
          <w:sz w:val="24"/>
          <w:szCs w:val="24"/>
        </w:rPr>
      </w:pPr>
      <w:r>
        <w:rPr>
          <w:rFonts w:ascii="Times New Roman" w:hAnsi="Times New Roman"/>
          <w:b/>
          <w:noProof/>
        </w:rPr>
        <w:t xml:space="preserve">Gospodarstvo EU temelji na 25 milijonov malih in srednjih podjetij (MSP). </w:t>
      </w:r>
      <w:r>
        <w:rPr>
          <w:rFonts w:ascii="Times New Roman" w:hAnsi="Times New Roman"/>
          <w:noProof/>
        </w:rPr>
        <w:t xml:space="preserve">V njih je zaposlenih približno 100 milijonov ljudi in predstavljajo več kot polovico evropskega BDP ter imajo ključno vlogo pri ustvarjanju dodane vrednosti v vseh gospodarskih sektorjih. MSP prinašajo inovativne rešitve za izzive, kot so podnebne spremembe, učinkovita raba virov in socialna kohezija, ter prispevajo k širjenju teh inovacij po vseh evropskih regijah. Zato so osrednjega pomena za dvojni prehod EU na trajnostno in digitalno gospodarstvo. Bistvena so za konkurenčnost in blaginjo ter gospodarsko in tehnološko suverenost Evrope ter njeno odpornost na zunanje šoke. Kot taka so ključna za udejanjanje industrijske strategije EU. </w:t>
      </w:r>
    </w:p>
    <w:p>
      <w:pPr>
        <w:spacing w:after="240" w:line="240" w:lineRule="auto"/>
        <w:jc w:val="both"/>
        <w:rPr>
          <w:rFonts w:ascii="Times New Roman" w:hAnsi="Times New Roman" w:cs="Times New Roman"/>
          <w:noProof/>
          <w:sz w:val="24"/>
          <w:szCs w:val="24"/>
        </w:rPr>
      </w:pPr>
      <w:r>
        <w:rPr>
          <w:rFonts w:ascii="Times New Roman" w:hAnsi="Times New Roman"/>
          <w:b/>
          <w:noProof/>
        </w:rPr>
        <w:t>MSP so močno vpeta v gospodarski in družbeni ustroj Evrope</w:t>
      </w:r>
      <w:r>
        <w:rPr>
          <w:rFonts w:ascii="Times New Roman" w:hAnsi="Times New Roman"/>
          <w:noProof/>
        </w:rPr>
        <w:t xml:space="preserve">. Zagotavljajo dve tretjini delovnih mest, v različnih regijah in sektorjih odpirajo priložnosti za usposabljanje (tudi za nizko usposobljene delavce) in podpirajo družbeno blaginjo (tudi na oddaljenih in podeželskih območjih). Vsak evropski državljan pozna vsaj enega podjetnika ali dela zanj. Vsakodnevni izzivi evropskih MSP pri spoštovanju pravil in dostopanju do informacij, trgov in financiranja so tako izzivi vse Evrope. </w:t>
      </w:r>
    </w:p>
    <w:p>
      <w:pPr>
        <w:spacing w:after="240" w:line="240" w:lineRule="auto"/>
        <w:jc w:val="both"/>
        <w:rPr>
          <w:rFonts w:ascii="Times New Roman" w:hAnsi="Times New Roman" w:cs="Times New Roman"/>
          <w:noProof/>
          <w:sz w:val="24"/>
          <w:szCs w:val="24"/>
        </w:rPr>
      </w:pPr>
      <w:r>
        <w:rPr>
          <w:rFonts w:ascii="Times New Roman" w:hAnsi="Times New Roman"/>
          <w:b/>
          <w:noProof/>
        </w:rPr>
        <w:t>MSP se med seboj zelo razlikujejo</w:t>
      </w:r>
      <w:r>
        <w:rPr>
          <w:rFonts w:ascii="Times New Roman" w:hAnsi="Times New Roman"/>
          <w:noProof/>
        </w:rPr>
        <w:t xml:space="preserve"> glede na poslovni model, velikost, starost in podjetniški profil ter se zanašajo na raznolik potencial talentov med moškimi in ženskami. Zajemajo vse od svobodnih poklicev in mikropodjetij v storitvenem sektorju do srednje velikih industrijskih podjetij, od tradicionalnih obrti do visokotehnoloških zagonskih podjetij. Ta strategija priznava njihove različne potrebe, s čimer podjetjem pomaga rasti in se širiti, pa tudi izboljšati konkurenčnost, odpornost in trajnostnost. V ta namen predstavlja ambiciozen, celovit in medsektorski pristop, ki temelji na horizontalnih ukrepih, ki pomagajo najrazličnejšim MSP, ter ukrepih, usmerjenih v specifične potrebe.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Ukrepi iz strategije temeljijo na </w:t>
      </w:r>
      <w:r>
        <w:rPr>
          <w:rFonts w:ascii="Times New Roman" w:hAnsi="Times New Roman"/>
          <w:b/>
          <w:bCs/>
          <w:noProof/>
        </w:rPr>
        <w:t>treh stebrih</w:t>
      </w:r>
      <w:r>
        <w:rPr>
          <w:rFonts w:ascii="Times New Roman" w:hAnsi="Times New Roman"/>
          <w:noProof/>
        </w:rPr>
        <w:t>:</w:t>
      </w:r>
    </w:p>
    <w:p>
      <w:pPr>
        <w:pStyle w:val="ListParagraph"/>
        <w:numPr>
          <w:ilvl w:val="0"/>
          <w:numId w:val="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noProof/>
        </w:rPr>
        <w:t>razvoj zmogljivosti in podpora</w:t>
      </w:r>
      <w:r>
        <w:rPr>
          <w:rFonts w:ascii="Times New Roman" w:hAnsi="Times New Roman"/>
          <w:noProof/>
        </w:rPr>
        <w:t xml:space="preserve"> </w:t>
      </w:r>
      <w:r>
        <w:rPr>
          <w:rFonts w:ascii="Times New Roman" w:hAnsi="Times New Roman"/>
          <w:b/>
          <w:bCs/>
          <w:noProof/>
        </w:rPr>
        <w:t>prehodu v trajnostnost in digitalizacijo</w:t>
      </w:r>
      <w:r>
        <w:rPr>
          <w:rFonts w:ascii="Times New Roman" w:hAnsi="Times New Roman"/>
          <w:noProof/>
        </w:rPr>
        <w:t>,</w:t>
      </w:r>
    </w:p>
    <w:p>
      <w:pPr>
        <w:pStyle w:val="ListParagraph"/>
        <w:numPr>
          <w:ilvl w:val="0"/>
          <w:numId w:val="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bCs/>
          <w:noProof/>
        </w:rPr>
        <w:t>zmanjšanje regulativnega bremena in izboljšanje dostopa na trg</w:t>
      </w:r>
      <w:r>
        <w:rPr>
          <w:rFonts w:ascii="Times New Roman" w:hAnsi="Times New Roman"/>
          <w:noProof/>
        </w:rPr>
        <w:t xml:space="preserve"> ter</w:t>
      </w:r>
      <w:r>
        <w:rPr>
          <w:rFonts w:ascii="Times New Roman" w:hAnsi="Times New Roman"/>
          <w:b/>
          <w:bCs/>
          <w:noProof/>
        </w:rPr>
        <w:t xml:space="preserve">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b/>
          <w:bCs/>
          <w:noProof/>
        </w:rPr>
        <w:t xml:space="preserve">izboljšanje dostopa do financiranja. </w:t>
      </w:r>
    </w:p>
    <w:p>
      <w:pPr>
        <w:spacing w:after="240" w:line="240" w:lineRule="auto"/>
        <w:jc w:val="both"/>
        <w:rPr>
          <w:rFonts w:ascii="Times New Roman" w:eastAsia="Calibri" w:hAnsi="Times New Roman" w:cs="Times New Roman"/>
          <w:noProof/>
          <w:color w:val="FF0000"/>
          <w:sz w:val="24"/>
          <w:szCs w:val="24"/>
        </w:rPr>
      </w:pPr>
      <w:r>
        <w:rPr>
          <w:rFonts w:ascii="Times New Roman" w:hAnsi="Times New Roman"/>
          <w:noProof/>
        </w:rPr>
        <w:t xml:space="preserve">S tem se želi sprostiti moč evropskih MSP vseh vrst, da bi vodila dvojni prehod. Cilj je znatno povečati število MSP, ki izvajajo trajnostne poslovne prakse, in število MSP, ki uporabljajo digitalne tehnologije. Končni cilj je Evropa kot najprivlačnejši kraj za ustanovitev malega podjetja, njegovo rast in širitev na enotnem trgu.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Da bi strategija dosegla rezultate, se mora opirati na ukrepe na ravni EU in trdno zavezo držav članic. Ključno bo aktivno sodelovanje skupnosti MSP ter podjetij samih. Zato bo strategija temeljila na trdnem </w:t>
      </w:r>
      <w:r>
        <w:rPr>
          <w:rFonts w:ascii="Times New Roman" w:hAnsi="Times New Roman"/>
          <w:b/>
          <w:bCs/>
          <w:noProof/>
        </w:rPr>
        <w:t>partnerstvu za uresničevanje ciljev</w:t>
      </w:r>
      <w:r>
        <w:rPr>
          <w:rFonts w:ascii="Times New Roman" w:hAnsi="Times New Roman"/>
          <w:noProof/>
        </w:rPr>
        <w:t xml:space="preserve"> med EU in državami članicami, vključno z regionalnimi in lokalnimi organi. Podjetniki bi morali izkoristiti tudi priložnosti naložbenih programov EU, s katerimi bi svoja podjetja spremenili v bolj digitalna in trajnostna ter jih širili na enotnem trgu in širše.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Strategija ima trdne temelje v obstoječem okviru politike in podpornih programih EU za MSP, predvsem „Small Business Act“ za Evropo iz leta 2008, pobudi za zagon in razširitev podjetij iz leta </w:t>
      </w:r>
      <w:r>
        <w:rPr>
          <w:rFonts w:ascii="Times New Roman" w:hAnsi="Times New Roman"/>
          <w:noProof/>
        </w:rPr>
        <w:lastRenderedPageBreak/>
        <w:t>2016, programu za konkurenčnost malih in srednjih podjetij (COSME) ter podpornih ukrepih za MSP, financiranih v okviru programa Obzorje 2020 in evropskih strukturnih in investicijskih skladov</w:t>
      </w:r>
      <w:r>
        <w:rPr>
          <w:rStyle w:val="FootnoteReference"/>
          <w:rFonts w:ascii="Times New Roman" w:hAnsi="Times New Roman" w:cs="Times New Roman"/>
          <w:noProof/>
        </w:rPr>
        <w:footnoteReference w:id="2"/>
      </w:r>
      <w:r>
        <w:rPr>
          <w:rFonts w:ascii="Times New Roman" w:hAnsi="Times New Roman"/>
          <w:noProof/>
        </w:rPr>
        <w:t xml:space="preserve">. Med drugim bo ključna za izvajanje evropskega zelenega dogovora, akcijskega načrta EU za krožno gospodarstvo, evropske strategije za podatke in evropskega socialnega stebra.  </w:t>
      </w:r>
    </w:p>
    <w:p>
      <w:pPr>
        <w:spacing w:after="240" w:line="240" w:lineRule="auto"/>
        <w:jc w:val="both"/>
        <w:rPr>
          <w:rFonts w:ascii="Times New Roman" w:hAnsi="Times New Roman" w:cs="Times New Roman"/>
          <w:noProof/>
          <w:sz w:val="24"/>
          <w:szCs w:val="24"/>
        </w:rPr>
      </w:pPr>
      <w:r>
        <w:rPr>
          <w:rFonts w:ascii="Times New Roman" w:hAnsi="Times New Roman"/>
          <w:noProof/>
        </w:rPr>
        <w:t>Strategija je del industrijskega svežnja, ki vključuje sporočilo o prepoznavanju in odpravi ovir za enotni trg ter spremljevalno poročilo (Sporočilo o ovirah za enotni trg)</w:t>
      </w:r>
      <w:r>
        <w:rPr>
          <w:rStyle w:val="FootnoteReference"/>
          <w:rFonts w:ascii="Times New Roman" w:hAnsi="Times New Roman" w:cs="Times New Roman"/>
          <w:noProof/>
        </w:rPr>
        <w:footnoteReference w:id="3"/>
      </w:r>
      <w:r>
        <w:rPr>
          <w:rFonts w:ascii="Times New Roman" w:hAnsi="Times New Roman"/>
          <w:noProof/>
        </w:rPr>
        <w:t>, dolgoročni akcijski načrt za boljše izvajanje in uveljavljanje pravil enotnega trga (akcijski načrt za uveljavljanje pravil enotnega trga)</w:t>
      </w:r>
      <w:r>
        <w:rPr>
          <w:rStyle w:val="FootnoteReference"/>
          <w:rFonts w:ascii="Times New Roman" w:hAnsi="Times New Roman" w:cs="Times New Roman"/>
          <w:noProof/>
        </w:rPr>
        <w:footnoteReference w:id="4"/>
      </w:r>
      <w:r>
        <w:rPr>
          <w:rFonts w:ascii="Times New Roman" w:hAnsi="Times New Roman"/>
          <w:noProof/>
        </w:rPr>
        <w:t xml:space="preserve"> in novo industrijsko strategijo za Evropo (industrijska strategija)</w:t>
      </w:r>
      <w:r>
        <w:rPr>
          <w:rStyle w:val="FootnoteReference"/>
          <w:rFonts w:ascii="Times New Roman" w:hAnsi="Times New Roman" w:cs="Times New Roman"/>
          <w:noProof/>
        </w:rPr>
        <w:footnoteReference w:id="5"/>
      </w:r>
      <w:r>
        <w:rPr>
          <w:rFonts w:ascii="Times New Roman" w:hAnsi="Times New Roman"/>
          <w:noProof/>
        </w:rPr>
        <w:t xml:space="preserve">. Opira se na številne ugotovitve iz sporočila o ovirah za enotni trg glede preprek, s katerimi se soočajo MSP, ki želijo poslovati čezmejno. Pravilen prenos, uporaba in uveljavljanje zakonodaje EU so ključni za spodbujanje rasti MSP na enotnem trgu. V akcijskem načrtu za uveljavljanje pravil enotnega trga so predstavljene različne pobude za reševanje teh težav. V industrijski strategiji je poudarjena vloga MSP za konkurenčno in inovativno evropsko industrijo. </w:t>
      </w:r>
    </w:p>
    <w:p>
      <w:pPr>
        <w:pStyle w:val="ListParagraph"/>
        <w:numPr>
          <w:ilvl w:val="0"/>
          <w:numId w:val="37"/>
        </w:numPr>
        <w:spacing w:before="480" w:after="240" w:line="240" w:lineRule="auto"/>
        <w:ind w:left="714" w:hanging="357"/>
        <w:jc w:val="both"/>
        <w:rPr>
          <w:rFonts w:ascii="Times New Roman" w:hAnsi="Times New Roman" w:cs="Times New Roman"/>
          <w:noProof/>
          <w:sz w:val="24"/>
          <w:szCs w:val="24"/>
        </w:rPr>
      </w:pPr>
      <w:r>
        <w:rPr>
          <w:rFonts w:ascii="Times New Roman" w:hAnsi="Times New Roman"/>
          <w:b/>
          <w:bCs/>
          <w:noProof/>
        </w:rPr>
        <w:t>Razvoj zmogljivosti in podpora</w:t>
      </w:r>
      <w:r>
        <w:rPr>
          <w:rFonts w:ascii="Times New Roman" w:hAnsi="Times New Roman"/>
          <w:noProof/>
        </w:rPr>
        <w:t xml:space="preserve"> </w:t>
      </w:r>
      <w:r>
        <w:rPr>
          <w:rFonts w:ascii="Times New Roman" w:hAnsi="Times New Roman"/>
          <w:b/>
          <w:bCs/>
          <w:noProof/>
        </w:rPr>
        <w:t>prehodu v trajnostnost in digitalizacijo</w:t>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Konkurenčna trajnostnost je vodilno načelo Evrope za prihodnost. </w:t>
      </w:r>
      <w:r>
        <w:rPr>
          <w:rFonts w:ascii="Times New Roman" w:hAnsi="Times New Roman"/>
          <w:b/>
          <w:noProof/>
        </w:rPr>
        <w:t xml:space="preserve">Za vzpostavitev podnebno nevtralnega in okretnega digitalnega gospodarstva, ki ga zaznamuje učinkovita raba virov, je potrebna popolna mobilizacija MSP. </w:t>
      </w:r>
      <w:r>
        <w:rPr>
          <w:rFonts w:ascii="Times New Roman" w:hAnsi="Times New Roman"/>
          <w:noProof/>
        </w:rPr>
        <w:t>Ta prehod v bolj gospodarsko, okoljsko in družbeno trajnostno Evropo mora biti tesno povezan s prehodom v digitalizacijo. Zato so prilagojeni ukrepi predpogoj za razcvet dela gospodarstva, ki ga predstavljajo MSP, in ustvarjajo priložnosti za rast tistih MSP, ki se želijo razširiti. Za vzpostavitev ustrezne podjetniške in inovacijske infrastrukture za MSP so potrebne naložbe po vsej EU.</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MSP kot gonilne sile trajnostnega prehoda </w:t>
      </w:r>
    </w:p>
    <w:p>
      <w:pPr>
        <w:spacing w:after="240" w:line="240" w:lineRule="auto"/>
        <w:jc w:val="both"/>
        <w:rPr>
          <w:rFonts w:ascii="Times New Roman" w:hAnsi="Times New Roman" w:cs="Times New Roman"/>
          <w:noProof/>
          <w:sz w:val="24"/>
          <w:szCs w:val="24"/>
        </w:rPr>
      </w:pPr>
      <w:r>
        <w:rPr>
          <w:rFonts w:ascii="Times New Roman" w:hAnsi="Times New Roman"/>
          <w:noProof/>
        </w:rPr>
        <w:t>Številna MSP so v dobrem položaju, saj so prožna, visokotehnološka, inovativna in zavezana vrednotam, na katerih temeljita trajnostnost in krožno gospodarstvo. Skoraj četrtina</w:t>
      </w:r>
      <w:r>
        <w:rPr>
          <w:rStyle w:val="FootnoteReference"/>
          <w:rFonts w:ascii="Times New Roman" w:hAnsi="Times New Roman" w:cs="Times New Roman"/>
          <w:noProof/>
        </w:rPr>
        <w:footnoteReference w:id="6"/>
      </w:r>
      <w:r>
        <w:rPr>
          <w:rFonts w:ascii="Times New Roman" w:hAnsi="Times New Roman"/>
          <w:noProof/>
        </w:rPr>
        <w:t xml:space="preserve"> </w:t>
      </w:r>
      <w:r>
        <w:rPr>
          <w:rFonts w:ascii="Times New Roman" w:hAnsi="Times New Roman"/>
          <w:b/>
          <w:noProof/>
        </w:rPr>
        <w:t>evropskih MSP že spodbuja prehod</w:t>
      </w:r>
      <w:r>
        <w:rPr>
          <w:rFonts w:ascii="Times New Roman" w:hAnsi="Times New Roman"/>
          <w:noProof/>
        </w:rPr>
        <w:t xml:space="preserve"> s ponujanjem zelenih izdelkov ali storitev in številna MSP (vključno s podjetji socialnega gospodarstva) že veliko prispevajo skupnostim, v katerih se nahajajo. Obstajajo pa tudi veliki izzivi. Nekatera MSP imajo težave pri prehodu na bolj trajnostne poslovne modele.</w:t>
      </w:r>
      <w:r>
        <w:rPr>
          <w:noProof/>
        </w:rPr>
        <w:t xml:space="preserve"> </w:t>
      </w:r>
      <w:r>
        <w:rPr>
          <w:rFonts w:ascii="Times New Roman" w:hAnsi="Times New Roman"/>
          <w:noProof/>
        </w:rPr>
        <w:t>Tretjina MSP poroča, da se pri prizadevanju za večjo gospodarnost svojih podjetij soočajo z zapletenimi upravnimi in pravnimi postopki. Vendar pa postaja ob vedno večjem zavedanju podnebnih tveganj in drugih okoljskih pritiskov ter spreminjajočih se preferencah potrošnikov ta prehod na trajnostne poslovne prakse in ravnanje ključen za nadaljnjo konkurenčnost in rast MSP .</w:t>
      </w:r>
      <w:r>
        <w:rPr>
          <w:noProof/>
        </w:rPr>
        <w:t xml:space="preserve"> </w:t>
      </w:r>
      <w:r>
        <w:rPr>
          <w:rFonts w:ascii="Times New Roman" w:hAnsi="Times New Roman"/>
          <w:noProof/>
        </w:rPr>
        <w:t xml:space="preserve">Nujno je MSP podpreti v tem postopku in jim dati na voljo instrumente za razumevanje okoljskih tveganj in njihovo blažitev v posameznih sektorjih, tudi gradbeništvu, plastiki, elektroniki in agroživilstvu.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Več kot 600-članska evropska podjetniška mreža MSP ponuja prilagojene storitve. Veliko članov te mreže že pomaga MSP pri prehodu na trajnostnost.  Na tej podlagi bo mreža zagotovila </w:t>
      </w:r>
      <w:r>
        <w:rPr>
          <w:rFonts w:ascii="Times New Roman" w:hAnsi="Times New Roman"/>
          <w:b/>
          <w:bCs/>
          <w:noProof/>
        </w:rPr>
        <w:t>posebne svetovalce za trajnostnost</w:t>
      </w:r>
      <w:r>
        <w:rPr>
          <w:rFonts w:ascii="Times New Roman" w:hAnsi="Times New Roman"/>
          <w:bCs/>
          <w:noProof/>
        </w:rPr>
        <w:t xml:space="preserve"> in druge trajnostnostne storitve. Ocenili bodo</w:t>
      </w:r>
      <w:r>
        <w:rPr>
          <w:rFonts w:ascii="Times New Roman" w:hAnsi="Times New Roman"/>
          <w:b/>
          <w:bCs/>
          <w:noProof/>
        </w:rPr>
        <w:t xml:space="preserve"> </w:t>
      </w:r>
      <w:r>
        <w:rPr>
          <w:rFonts w:ascii="Times New Roman" w:hAnsi="Times New Roman"/>
          <w:noProof/>
        </w:rPr>
        <w:t xml:space="preserve">potrebe MSP in svetovali o naložbah v krožne procese in infrastrukture, bolj gospodarne z viri, iskanju ustreznih poslovnih partnerjev in spodbujanju sodelovanja. Poleg tega bo </w:t>
      </w:r>
      <w:r>
        <w:rPr>
          <w:rFonts w:ascii="Times New Roman" w:hAnsi="Times New Roman"/>
          <w:bCs/>
          <w:noProof/>
        </w:rPr>
        <w:t>evropski center znanja za učinkovito rabo virov</w:t>
      </w:r>
      <w:r>
        <w:rPr>
          <w:rFonts w:ascii="Times New Roman" w:hAnsi="Times New Roman"/>
          <w:noProof/>
        </w:rPr>
        <w:t xml:space="preserve"> še naprej pomagal MSP varčevati pri energiji, materialih in stroških za vodo. MSP bi lahko imela koristi od rešitev, ki jih ponujajo podjetja za energetske storitve, ki imajo strokovno znanje ter tehnične rešitve in financiranje.   </w:t>
      </w:r>
    </w:p>
    <w:p>
      <w:pPr>
        <w:spacing w:after="240" w:line="240" w:lineRule="auto"/>
        <w:jc w:val="both"/>
        <w:rPr>
          <w:rFonts w:ascii="Times New Roman" w:hAnsi="Times New Roman" w:cs="Times New Roman"/>
          <w:noProof/>
          <w:sz w:val="24"/>
          <w:szCs w:val="24"/>
        </w:rPr>
      </w:pPr>
      <w:r>
        <w:rPr>
          <w:rFonts w:ascii="Times New Roman" w:hAnsi="Times New Roman"/>
          <w:noProof/>
        </w:rPr>
        <w:t>Evropa je zibelka zelene tehnologije, svojo prednost pa lahko ohrani le, če bodo MSP prevzela vodilno vlogo pri inovacijah v zelenem sektorju. To bo podprl naložbeni načrt za evropski zeleni dogovor</w:t>
      </w:r>
      <w:r>
        <w:rPr>
          <w:rStyle w:val="FootnoteReference"/>
          <w:rFonts w:ascii="Times New Roman" w:hAnsi="Times New Roman" w:cs="Times New Roman"/>
          <w:noProof/>
        </w:rPr>
        <w:footnoteReference w:id="7"/>
      </w:r>
      <w:r>
        <w:rPr>
          <w:rFonts w:ascii="Times New Roman" w:hAnsi="Times New Roman"/>
          <w:noProof/>
        </w:rPr>
        <w:t xml:space="preserve">. V okviru širšega pilotnega projekta </w:t>
      </w:r>
      <w:r>
        <w:rPr>
          <w:rFonts w:ascii="Times New Roman" w:hAnsi="Times New Roman"/>
          <w:b/>
          <w:bCs/>
          <w:noProof/>
        </w:rPr>
        <w:t>Evropskega sveta za inovacije</w:t>
      </w:r>
      <w:r>
        <w:rPr>
          <w:rFonts w:ascii="Times New Roman" w:hAnsi="Times New Roman"/>
          <w:noProof/>
        </w:rPr>
        <w:t xml:space="preserve"> bo Komisija za spodbujanje prelomnih inovacij, zlasti v MSP, samo v letu 2020 namenila vsaj 300 milijonov EUR za zagonska podjetja ter MSP z velikim potencialom, s čimer bodo ta lahko uresničila prodorne inovacije na področju zelenega dogovora. </w:t>
      </w:r>
      <w:r>
        <w:rPr>
          <w:rFonts w:ascii="Times New Roman" w:hAnsi="Times New Roman"/>
          <w:b/>
          <w:noProof/>
        </w:rPr>
        <w:t>Evropski inštitut za inovacije in tehnologijo</w:t>
      </w:r>
      <w:r>
        <w:rPr>
          <w:rFonts w:ascii="Times New Roman" w:hAnsi="Times New Roman"/>
          <w:noProof/>
        </w:rPr>
        <w:t xml:space="preserve"> (EIT) bo zagotavljal večjo odprtost svojih skupnosti znanja in inovacij za MSP ter povečal njihove priložnosti za sodelovanje v lokalnih inovacijskih ekosistemih, zlasti v regijah, ki pri inovacijah zaostajajo. To se bo izvajalo prek namenskega instrumenta za doseganje javnosti (tj. regionalna inovacijska shema), ki bo okrepil ekosisteme na najpomembnejših mestih.</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Spodbujanje MSP k izkoriščanju prednosti digitalnega prehoda </w:t>
      </w:r>
    </w:p>
    <w:p>
      <w:pPr>
        <w:spacing w:after="240" w:line="240" w:lineRule="auto"/>
        <w:jc w:val="both"/>
        <w:rPr>
          <w:rFonts w:ascii="Times New Roman" w:hAnsi="Times New Roman" w:cs="Times New Roman"/>
          <w:noProof/>
          <w:sz w:val="24"/>
          <w:szCs w:val="24"/>
        </w:rPr>
      </w:pPr>
      <w:r>
        <w:rPr>
          <w:rFonts w:ascii="Times New Roman" w:hAnsi="Times New Roman"/>
          <w:bCs/>
          <w:noProof/>
        </w:rPr>
        <w:t>Samo s cvetočo skupnostjo MSP, ki uporabljajo digitalne tehnologije in podatke, lahko Evropa postane vodilna svetovna sila pri oblikovanju digitalnega gospodarstva. Digitalizacija</w:t>
      </w:r>
      <w:r>
        <w:rPr>
          <w:rFonts w:ascii="Times New Roman" w:hAnsi="Times New Roman"/>
          <w:noProof/>
        </w:rPr>
        <w:t xml:space="preserve"> lahko MSP prinese velike priložnosti za izboljšanje učinkovitosti proizvodnih procesov in zmožnosti za inovacije pri izdelkih in poslovnih modelih. Z uporabo naprednih prelomnih tehnologij, kot sta blokovna veriga in umetna inteligenca, lahko oblakovno in visokozmogljivostno računalništvo znatno okrepita njihovo konkurenčnost. </w:t>
      </w:r>
    </w:p>
    <w:p>
      <w:pPr>
        <w:spacing w:after="240" w:line="240" w:lineRule="auto"/>
        <w:jc w:val="both"/>
        <w:rPr>
          <w:rFonts w:ascii="Times New Roman" w:hAnsi="Times New Roman" w:cs="Times New Roman"/>
          <w:noProof/>
          <w:sz w:val="24"/>
          <w:szCs w:val="24"/>
        </w:rPr>
      </w:pPr>
      <w:r>
        <w:rPr>
          <w:rFonts w:ascii="Times New Roman" w:hAnsi="Times New Roman"/>
          <w:b/>
          <w:noProof/>
        </w:rPr>
        <w:t>Vendar pa MSP še ne izkoriščajo v celoti podatkov, ki so življenjska sila digitalnega gospodarstva</w:t>
      </w:r>
      <w:r>
        <w:rPr>
          <w:rFonts w:ascii="Times New Roman" w:hAnsi="Times New Roman"/>
          <w:noProof/>
        </w:rPr>
        <w:t>. Mnoga se ne zavedajo vrednosti podatkov, ki jih ustvarjajo, in niso dovolj zaščitena ali pripravljena na prihajajoče podatkovno okretno gospodarstvo. Le 17 % MSP je uspešno integriralo digitalne tehnologije, v primerjavi z 54 % velikih podjetij</w:t>
      </w:r>
      <w:r>
        <w:rPr>
          <w:rStyle w:val="FootnoteReference"/>
          <w:rFonts w:ascii="Times New Roman" w:hAnsi="Times New Roman" w:cs="Times New Roman"/>
          <w:noProof/>
        </w:rPr>
        <w:footnoteReference w:id="8"/>
      </w:r>
      <w:r>
        <w:rPr>
          <w:rFonts w:ascii="Times New Roman" w:hAnsi="Times New Roman"/>
          <w:noProof/>
        </w:rPr>
        <w:t xml:space="preserve">. Tradicionalna MSP so pri izbiri digitalne poslovne strategije pogosto negotova, imajo težave pri izkoriščanju velikih zbirk podatkov, ki so na voljo večjim podjetjem, in se izogibajo naprednim orodjem in aplikacijam, ki temeljijo na umetni inteligenci. Hkrati pa so zelo ranljiva za kibernetske grožnje. </w:t>
      </w:r>
    </w:p>
    <w:p>
      <w:pPr>
        <w:spacing w:after="240" w:line="240" w:lineRule="auto"/>
        <w:jc w:val="both"/>
        <w:rPr>
          <w:noProof/>
        </w:rPr>
      </w:pPr>
      <w:r>
        <w:rPr>
          <w:noProof/>
          <w:lang w:val="en-GB" w:eastAsia="en-GB"/>
        </w:rPr>
        <w:drawing>
          <wp:inline distT="0" distB="0" distL="0" distR="0">
            <wp:extent cx="5731510" cy="2341421"/>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341421"/>
                    </a:xfrm>
                    <a:prstGeom prst="rect">
                      <a:avLst/>
                    </a:prstGeom>
                    <a:noFill/>
                    <a:ln>
                      <a:noFill/>
                    </a:ln>
                  </pic:spPr>
                </pic:pic>
              </a:graphicData>
            </a:graphic>
          </wp:inline>
        </w:drawing>
      </w:r>
    </w:p>
    <w:p>
      <w:pPr>
        <w:spacing w:after="240" w:line="240" w:lineRule="auto"/>
        <w:jc w:val="right"/>
        <w:rPr>
          <w:rFonts w:ascii="Times New Roman" w:hAnsi="Times New Roman" w:cs="Times New Roman"/>
          <w:i/>
          <w:noProof/>
          <w:sz w:val="18"/>
          <w:szCs w:val="18"/>
        </w:rPr>
      </w:pPr>
      <w:r>
        <w:rPr>
          <w:rFonts w:ascii="Times New Roman" w:hAnsi="Times New Roman"/>
          <w:i/>
          <w:noProof/>
          <w:sz w:val="18"/>
          <w:szCs w:val="18"/>
        </w:rPr>
        <w:t>Vir</w:t>
      </w:r>
      <w:r>
        <w:rPr>
          <w:rFonts w:ascii="Times New Roman" w:hAnsi="Times New Roman"/>
          <w:i/>
          <w:noProof/>
        </w:rPr>
        <w:t>:</w:t>
      </w:r>
      <w:r>
        <w:rPr>
          <w:rFonts w:ascii="Times New Roman" w:hAnsi="Times New Roman"/>
          <w:i/>
          <w:noProof/>
          <w:sz w:val="18"/>
          <w:szCs w:val="18"/>
        </w:rPr>
        <w:t xml:space="preserve"> Eurostat/DESI 2019.</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Taka MSP bo podpirala mreža do 240 </w:t>
      </w:r>
      <w:r>
        <w:rPr>
          <w:rFonts w:ascii="Times New Roman" w:hAnsi="Times New Roman"/>
          <w:b/>
          <w:bCs/>
          <w:noProof/>
        </w:rPr>
        <w:t>vozlišč za digitalne inovacije</w:t>
      </w:r>
      <w:r>
        <w:rPr>
          <w:rFonts w:ascii="Times New Roman" w:hAnsi="Times New Roman"/>
          <w:noProof/>
        </w:rPr>
        <w:t xml:space="preserve"> po vseh evropskih regijah na temelju naložb iz programa za digitalno Evropo in strukturnih skladov.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Cilj je zagotoviti uporabnikom prijazno in usmerjeno svetovanje glede trajnostnosti in digitalizacije, poleg tega pa tudi povezati podporne strukture, da bo </w:t>
      </w:r>
      <w:r>
        <w:rPr>
          <w:rFonts w:ascii="Times New Roman" w:hAnsi="Times New Roman"/>
          <w:b/>
          <w:noProof/>
        </w:rPr>
        <w:t>vsakemu MSP na voljo svetovanje v bližini</w:t>
      </w:r>
      <w:r>
        <w:rPr>
          <w:rFonts w:ascii="Times New Roman" w:hAnsi="Times New Roman"/>
          <w:noProof/>
        </w:rPr>
        <w:t>. Evropska podjetniška mreža bo tesno sodelovala z vozlišči za digitalne inovacije, pobudami Startup Europe</w:t>
      </w:r>
      <w:r>
        <w:rPr>
          <w:rStyle w:val="FootnoteReference"/>
          <w:rFonts w:ascii="Times New Roman" w:eastAsia="Calibri" w:hAnsi="Times New Roman" w:cs="Times New Roman"/>
          <w:noProof/>
        </w:rPr>
        <w:footnoteReference w:id="9"/>
      </w:r>
      <w:r>
        <w:rPr>
          <w:rFonts w:ascii="Times New Roman" w:hAnsi="Times New Roman"/>
          <w:noProof/>
        </w:rPr>
        <w:t xml:space="preserve"> in drugimi, da bi zagotovili nemotene podporne in svetovalne storitve, vključno z nacionalnimi, regionalnimi in lokalnimi organi ter podpornimi strukturami. Prenos najboljših praks, znanja in spretnosti je mogoč tudi neposredno iz digitalnih MSP k MSP na drugih področjih.</w:t>
      </w:r>
    </w:p>
    <w:p>
      <w:pPr>
        <w:spacing w:line="240" w:lineRule="auto"/>
        <w:jc w:val="both"/>
        <w:rPr>
          <w:rFonts w:ascii="Times New Roman" w:hAnsi="Times New Roman" w:cs="Times New Roman"/>
          <w:noProof/>
          <w:sz w:val="24"/>
          <w:szCs w:val="24"/>
        </w:rPr>
      </w:pPr>
      <w:r>
        <w:rPr>
          <w:rFonts w:ascii="Times New Roman" w:hAnsi="Times New Roman"/>
          <w:noProof/>
        </w:rPr>
        <w:t xml:space="preserve">Kot je bilo napovedano v </w:t>
      </w:r>
      <w:r>
        <w:rPr>
          <w:rFonts w:ascii="Times New Roman" w:hAnsi="Times New Roman"/>
          <w:b/>
          <w:bCs/>
          <w:noProof/>
        </w:rPr>
        <w:t>evropski strategiji za podatke</w:t>
      </w:r>
      <w:r>
        <w:rPr>
          <w:rStyle w:val="FootnoteReference"/>
          <w:rFonts w:ascii="Times New Roman" w:eastAsia="Calibri" w:hAnsi="Times New Roman" w:cs="Times New Roman"/>
          <w:b/>
          <w:bCs/>
          <w:noProof/>
        </w:rPr>
        <w:footnoteReference w:id="10"/>
      </w:r>
      <w:r>
        <w:rPr>
          <w:rFonts w:ascii="Times New Roman" w:hAnsi="Times New Roman"/>
          <w:noProof/>
        </w:rPr>
        <w:t xml:space="preserve">, si bo Komisija prizadevala za širšo dostopnost podatkov in omogočanje pretoka podatkov med podjetji in državnimi upravami z vzpostavitvijo skupnih evropskih podatkovnih prostorov za zaupanja vredno in varno izmenjavo podatkov. Pravičen dostop bo zagotovljen vsem podjetjem, zlasti MSP. Komisija bo proučila tudi morebitna vprašanja glede pravic uporabe soustvarjenih podatkov, zlasti iz industrijskega interneta stvari, da bi se izognili morebitnim neugodnostim za MSP. Poleg tega bo obravnavala uvajanje računalništva v oblaku v MSP, na primer prek posebnega trga za storitve v oblaku, ki bo zagotavljal poštene pogodbene pogoje.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Izkoriščanje talentov in intelektualne lastnine </w:t>
      </w:r>
    </w:p>
    <w:p>
      <w:pPr>
        <w:spacing w:after="240" w:line="240" w:lineRule="auto"/>
        <w:jc w:val="both"/>
        <w:rPr>
          <w:rFonts w:ascii="Times New Roman" w:hAnsi="Times New Roman" w:cs="Times New Roman"/>
          <w:noProof/>
          <w:color w:val="FF0000"/>
          <w:sz w:val="24"/>
          <w:szCs w:val="24"/>
        </w:rPr>
      </w:pPr>
      <w:r>
        <w:rPr>
          <w:rFonts w:ascii="Times New Roman" w:hAnsi="Times New Roman"/>
          <w:noProof/>
        </w:rPr>
        <w:t xml:space="preserve">MSP tudi težko razvijejo strategije za </w:t>
      </w:r>
      <w:r>
        <w:rPr>
          <w:rFonts w:ascii="Times New Roman" w:hAnsi="Times New Roman"/>
          <w:b/>
          <w:bCs/>
          <w:noProof/>
        </w:rPr>
        <w:t>pravice intelektualne lastnine</w:t>
      </w:r>
      <w:r>
        <w:rPr>
          <w:rFonts w:ascii="Times New Roman" w:hAnsi="Times New Roman"/>
          <w:noProof/>
        </w:rPr>
        <w:t xml:space="preserve">, da bi zaščitila svoje naložbe v raziskave in razvoj ter zbrala kapital za rast, čeprav sta to ključna dejavnika v dvojnem prehodu. Le 9 % MSP zaščiti svoje pravice intelektualne lastnine, saj ne poznajo pobud EU in nacionalnih pobud za intelektualno lastnino ali se bojijo kompleksnosti in stroškov njihovega pridobivanja in uveljavljanja. V prihodnjem </w:t>
      </w:r>
      <w:r>
        <w:rPr>
          <w:rFonts w:ascii="Times New Roman" w:hAnsi="Times New Roman"/>
          <w:b/>
          <w:bCs/>
          <w:noProof/>
        </w:rPr>
        <w:t>akcijskem načrtu za intelektualno lastnino</w:t>
      </w:r>
      <w:r>
        <w:rPr>
          <w:rFonts w:ascii="Times New Roman" w:hAnsi="Times New Roman"/>
          <w:noProof/>
        </w:rPr>
        <w:t xml:space="preserve"> bodo predlagani ukrepi za povečanje učinkovitosti sistema intelektualnih pravic za MSP, in sicer s poenostavitvijo postopkov registracije intelektualne lastnine (npr. reformo zakonodaje EU o industrijskih modelih), boljšim dostopom do strateških nasvetov glede intelektualne lastnine (npr. s tem, da takšni nasveti postanejo standardni pri vsem financiranju raziskav in razvoja na ravni EU) in olajšanjem uporabe intelektualne lastnine kot vzvoda za dostop do financiranja.</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V digitalnem in trajnostnostnem prehodu pomanjkanje kvalificiranih delavcev pomeni izziv tako za zagonska podjetja kot uveljavljena MSP. Pogosto nimajo enakih virov kot velika podjetja, ki vlagajo v usposabljanje svojih zaposlenih. Več kot 70 % podjetij poroča, da dostop do talentov </w:t>
      </w:r>
      <w:r>
        <w:rPr>
          <w:rFonts w:ascii="Times New Roman" w:hAnsi="Times New Roman"/>
          <w:bCs/>
          <w:noProof/>
        </w:rPr>
        <w:t>pomeni</w:t>
      </w:r>
      <w:r>
        <w:rPr>
          <w:rFonts w:ascii="Times New Roman" w:hAnsi="Times New Roman"/>
          <w:noProof/>
        </w:rPr>
        <w:t xml:space="preserve"> oviro za nove naložbe po EU</w:t>
      </w:r>
      <w:r>
        <w:rPr>
          <w:rStyle w:val="FootnoteReference"/>
          <w:rFonts w:ascii="Times New Roman" w:hAnsi="Times New Roman" w:cs="Times New Roman"/>
          <w:noProof/>
        </w:rPr>
        <w:footnoteReference w:id="11"/>
      </w:r>
      <w:r>
        <w:rPr>
          <w:rFonts w:ascii="Times New Roman" w:hAnsi="Times New Roman"/>
          <w:noProof/>
        </w:rPr>
        <w:t>. Razpoložljivost kvalificiranega osebja ali izkušenih menedžerjev je še naprej največji problem za četrtino MSP v EU</w:t>
      </w:r>
      <w:r>
        <w:rPr>
          <w:rStyle w:val="FootnoteReference"/>
          <w:rFonts w:ascii="Times New Roman" w:hAnsi="Times New Roman" w:cs="Times New Roman"/>
          <w:noProof/>
        </w:rPr>
        <w:footnoteReference w:id="12"/>
      </w:r>
      <w:r>
        <w:rPr>
          <w:rFonts w:ascii="Times New Roman" w:hAnsi="Times New Roman"/>
          <w:noProof/>
        </w:rPr>
        <w:t xml:space="preserve">. Pomanjkanje strokovno usposobljene delovne sile je še posebej pereče pri digitalizaciji in novih tehnologijah, saj ima 35 % delovne sile majhne digitalne spretnosti ali jih nima. </w:t>
      </w:r>
    </w:p>
    <w:p>
      <w:pPr>
        <w:spacing w:after="240" w:line="240" w:lineRule="auto"/>
        <w:jc w:val="both"/>
        <w:rPr>
          <w:rFonts w:ascii="Times New Roman" w:hAnsi="Times New Roman" w:cs="Times New Roman"/>
          <w:noProof/>
          <w:sz w:val="24"/>
          <w:szCs w:val="24"/>
        </w:rPr>
      </w:pPr>
      <w:r>
        <w:rPr>
          <w:rFonts w:ascii="Times New Roman" w:hAnsi="Times New Roman"/>
          <w:noProof/>
        </w:rPr>
        <w:t>Države članice in socialni partnerji imajo pri tem ključno vlogo, EU pa lahko še bolj pomaga pri reševanju teh izzivov, in sicer z olajšanjem dostopa do usposabljanja in pomočjo pri usklajevanju ponudbe na trgu dela s povpraševanjem MSP po talentih. Podjetniško izobraževanje in usposabljanje, ki izboljšujeta poslovno znanje in spretnosti, imata ključno vlogo pri pripravi MSP na enotni trg. Izobraževalne in izpopolnjevalne dejavnosti so bistvene za vse menedžerje in zaposlene v MSP, poseben poudarek pa je na opolnomočenju žensk in deklet, da ustanovijo podjetje, ter izboljšanju uravnotežene zastopanosti spolov med tistimi, ki ustvarjajo in upravljajo podjetja</w:t>
      </w:r>
      <w:r>
        <w:rPr>
          <w:rStyle w:val="FootnoteReference"/>
          <w:rFonts w:ascii="Times New Roman" w:hAnsi="Times New Roman" w:cs="Times New Roman"/>
          <w:noProof/>
        </w:rPr>
        <w:footnoteReference w:id="13"/>
      </w:r>
      <w:r>
        <w:rPr>
          <w:rFonts w:ascii="Times New Roman" w:hAnsi="Times New Roman"/>
          <w:noProof/>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Komisija bo s podpiranjem programa za digitalno Evropo na podlagi izkušenj platforme koalicije za digitalne spretnosti in znanja ter delovna mesta oblikovala </w:t>
      </w:r>
      <w:r>
        <w:rPr>
          <w:rFonts w:ascii="Times New Roman" w:hAnsi="Times New Roman"/>
          <w:b/>
          <w:bCs/>
          <w:noProof/>
        </w:rPr>
        <w:t>hitre tečaje digitalnih spretnosti</w:t>
      </w:r>
      <w:r>
        <w:rPr>
          <w:rFonts w:ascii="Times New Roman" w:hAnsi="Times New Roman"/>
          <w:noProof/>
        </w:rPr>
        <w:t xml:space="preserve">, s katerimi bodo zaposleni v MSP razvili spretnosti na področjih, kot so umetna inteligenca, kibernetska varnost ali blokovne verige. Vozlišča za digitalne inovacije bodo posredniki med MSP in univerzami/ponudniki usposabljanj na lokalni ravni. Inkubacijske dejavnosti bodo MSP pomagale postati del podatkovnih ekosistemov.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rPr>
        <w:t>Komisija bo vzpostavila tudi program za „</w:t>
      </w:r>
      <w:r>
        <w:rPr>
          <w:rFonts w:ascii="Times New Roman" w:hAnsi="Times New Roman"/>
          <w:b/>
          <w:bCs/>
          <w:noProof/>
        </w:rPr>
        <w:t>digitalne prostovoljce</w:t>
      </w:r>
      <w:r>
        <w:rPr>
          <w:rFonts w:ascii="Times New Roman" w:hAnsi="Times New Roman"/>
          <w:noProof/>
        </w:rPr>
        <w:t>“, ki bo kvalificiranim mladim in izkušenim starejšim omogočil, da delijo svoje digitalne kompetence s tradicionalnimi podjetji. Poleg tega bo podprla in povezala posrednike MSP, kot so grozdi, evropska podjetniška mreža in center znanja za učinkovito rabo virov, ter tako pomagala pri izpopolnjevanju osebja MSP na področju trajnostnosti.</w:t>
      </w:r>
    </w:p>
    <w:p>
      <w:pPr>
        <w:spacing w:after="240" w:line="240" w:lineRule="auto"/>
        <w:jc w:val="both"/>
        <w:rPr>
          <w:rFonts w:ascii="Times New Roman" w:hAnsi="Times New Roman" w:cs="Times New Roman"/>
          <w:b/>
          <w:noProof/>
          <w:color w:val="000000" w:themeColor="text1"/>
          <w:sz w:val="24"/>
          <w:szCs w:val="24"/>
          <w:highlight w:val="yellow"/>
        </w:rPr>
      </w:pPr>
      <w:r>
        <w:rPr>
          <w:rFonts w:ascii="Times New Roman" w:hAnsi="Times New Roman"/>
          <w:noProof/>
        </w:rPr>
        <w:t xml:space="preserve">Komisija bo posodobila program znanj in spretnosti za Evropo, med drugim z uvedbo pakta za znanja in spretnosti. Vanj bo vključena tudi </w:t>
      </w:r>
      <w:r>
        <w:rPr>
          <w:rFonts w:ascii="Times New Roman" w:hAnsi="Times New Roman"/>
          <w:b/>
          <w:bCs/>
          <w:noProof/>
        </w:rPr>
        <w:t>posebna komponenta za MSP</w:t>
      </w:r>
      <w:r>
        <w:rPr>
          <w:rFonts w:ascii="Times New Roman" w:hAnsi="Times New Roman"/>
          <w:noProof/>
        </w:rPr>
        <w:t>.</w:t>
      </w:r>
      <w:r>
        <w:rPr>
          <w:rFonts w:ascii="Times New Roman" w:hAnsi="Times New Roman"/>
          <w:b/>
          <w:bCs/>
          <w:noProof/>
        </w:rPr>
        <w:t xml:space="preserve"> </w:t>
      </w:r>
      <w:r>
        <w:rPr>
          <w:rFonts w:ascii="Times New Roman" w:hAnsi="Times New Roman"/>
          <w:bCs/>
          <w:noProof/>
        </w:rPr>
        <w:t>Poklicno izobraževanje in usposabljanje je zlasti pomembno, da se zagotovi, da ima delovna sila v MSP znanja in spretnosti, ki so potrebna na trgu dela. Poleg tega se bodo države članice in regije spodbujale k izkoriščanju prihodnjega Evropskega socialnega sklada plus in novih možnosti za naložbe evropskih skladov za regionalni razvoj pri razvoju znanj in spretnosti za pametno specializacijo, industrijski prehod in podjetništvo.</w:t>
      </w:r>
      <w:r>
        <w:rPr>
          <w:rFonts w:ascii="Times New Roman" w:hAnsi="Times New Roman"/>
          <w:b/>
          <w:bCs/>
          <w:noProof/>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rPr>
        <w:t>Sodelovalno gospodarstvo ustvarja priložnosti na področjih, kot so mobilnost in nastanitve za inovativne platforme MSP, ki so posredniki med ponudniki storitev in prejemniki, ter za ponudnike storitev MSP, ki imajo dostop do širšega kroga strank. Komisija bo na podlagi svojega sporočila o sodelovalnem gospodarstvu iz leta 2016</w:t>
      </w:r>
      <w:r>
        <w:rPr>
          <w:rStyle w:val="FootnoteReference"/>
          <w:rFonts w:ascii="Times New Roman" w:hAnsi="Times New Roman" w:cs="Times New Roman"/>
          <w:noProof/>
        </w:rPr>
        <w:footnoteReference w:id="14"/>
      </w:r>
      <w:r>
        <w:rPr>
          <w:rFonts w:ascii="Times New Roman" w:hAnsi="Times New Roman"/>
          <w:noProof/>
        </w:rPr>
        <w:t xml:space="preserve"> še naprej proučevala možnosti za morebitno pobudo s poudarkom na storitvah kratkoročnega najema nastanitvenih zmogljivosti (največji sektor sodelovalnega gospodarstva), da bi spodbujala uravnotežen in odgovoren razvoj sodelovalnega gospodarstva po vsem enotnem trgu in ob upoštevanju javnih interesov. </w:t>
      </w:r>
    </w:p>
    <w:p>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noProof/>
          <w:sz w:val="24"/>
          <w:szCs w:val="24"/>
        </w:rPr>
      </w:pPr>
      <w:r>
        <w:rPr>
          <w:rFonts w:ascii="Times New Roman" w:hAnsi="Times New Roman"/>
          <w:b/>
          <w:bCs/>
          <w:noProof/>
        </w:rPr>
        <w:t>KLJUČNI UKREPI</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nadgradila </w:t>
      </w:r>
      <w:r>
        <w:rPr>
          <w:rFonts w:ascii="Times New Roman" w:hAnsi="Times New Roman"/>
          <w:b/>
          <w:bCs/>
          <w:noProof/>
        </w:rPr>
        <w:t>evropsko podjetniško mrežo</w:t>
      </w:r>
      <w:r>
        <w:rPr>
          <w:rFonts w:ascii="Times New Roman" w:hAnsi="Times New Roman"/>
          <w:noProof/>
        </w:rPr>
        <w:t>, med drugim s</w:t>
      </w:r>
      <w:r>
        <w:rPr>
          <w:rFonts w:ascii="Times New Roman" w:hAnsi="Times New Roman"/>
          <w:b/>
          <w:bCs/>
          <w:noProof/>
        </w:rPr>
        <w:t xml:space="preserve"> </w:t>
      </w:r>
      <w:r>
        <w:rPr>
          <w:rFonts w:ascii="Times New Roman" w:hAnsi="Times New Roman"/>
          <w:noProof/>
        </w:rPr>
        <w:t xml:space="preserve">posebnimi </w:t>
      </w:r>
      <w:r>
        <w:rPr>
          <w:rFonts w:ascii="Times New Roman" w:hAnsi="Times New Roman"/>
          <w:b/>
          <w:bCs/>
          <w:noProof/>
        </w:rPr>
        <w:t>svetovalci za trajnostnost</w:t>
      </w:r>
      <w:r>
        <w:rPr>
          <w:rFonts w:ascii="Times New Roman" w:hAnsi="Times New Roman"/>
          <w:noProof/>
        </w:rPr>
        <w:t xml:space="preserve"> in drugimi trajnostnostnimi storitvami.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oblikovala </w:t>
      </w:r>
      <w:r>
        <w:rPr>
          <w:rFonts w:ascii="Times New Roman" w:hAnsi="Times New Roman"/>
          <w:b/>
          <w:bCs/>
          <w:noProof/>
        </w:rPr>
        <w:t>hitre tečaje digitalnih spretnosti</w:t>
      </w:r>
      <w:r>
        <w:rPr>
          <w:rFonts w:ascii="Times New Roman" w:hAnsi="Times New Roman"/>
          <w:noProof/>
        </w:rPr>
        <w:t xml:space="preserve">, s katerimi bodo zaposleni v MSP razvili spretnosti na področjih, kot so umetna inteligenca, kibernetska varnost in blokovne verige.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Komisija bo vzpostavila program za „</w:t>
      </w:r>
      <w:r>
        <w:rPr>
          <w:rFonts w:ascii="Times New Roman" w:hAnsi="Times New Roman"/>
          <w:b/>
          <w:bCs/>
          <w:noProof/>
        </w:rPr>
        <w:t>digitalne prostovoljce</w:t>
      </w:r>
      <w:r>
        <w:rPr>
          <w:rFonts w:ascii="Times New Roman" w:hAnsi="Times New Roman"/>
          <w:noProof/>
        </w:rPr>
        <w:t>“, da bodo kvalificirani mladi in izkušeni starejši lahko delili svoje digitalne kompetence s tradicionalnimi podjetji</w:t>
      </w:r>
      <w:r>
        <w:rPr>
          <w:rFonts w:ascii="Times New Roman" w:hAnsi="Times New Roman"/>
          <w:noProof/>
          <w:shd w:val="clear" w:color="auto" w:fill="FFFFFF"/>
        </w:rPr>
        <w:t>.</w:t>
      </w:r>
      <w:r>
        <w:rPr>
          <w:rFonts w:ascii="Times New Roman" w:hAnsi="Times New Roman"/>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posodobila </w:t>
      </w:r>
      <w:r>
        <w:rPr>
          <w:rFonts w:ascii="Times New Roman" w:hAnsi="Times New Roman"/>
          <w:b/>
          <w:noProof/>
        </w:rPr>
        <w:t>program znanj in spretnosti za Evropo</w:t>
      </w:r>
      <w:r>
        <w:rPr>
          <w:rFonts w:ascii="Times New Roman" w:hAnsi="Times New Roman"/>
          <w:noProof/>
        </w:rPr>
        <w:t xml:space="preserve">, med drugim z uvedbo pakta za znanja in spretnosti s posebno komponento za MSP, in predlagala priporočilo Sveta za posodobitev poklicnega izobraževanja in usposabljanja.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v povezavi s Startup Europe in evropsko podjetniško mrežo razširila </w:t>
      </w:r>
      <w:r>
        <w:rPr>
          <w:rFonts w:ascii="Times New Roman" w:hAnsi="Times New Roman"/>
          <w:b/>
          <w:bCs/>
          <w:noProof/>
        </w:rPr>
        <w:t>vozlišča za digitalne inovacije</w:t>
      </w:r>
      <w:r>
        <w:rPr>
          <w:rFonts w:ascii="Times New Roman" w:hAnsi="Times New Roman"/>
          <w:bCs/>
          <w:noProof/>
        </w:rPr>
        <w:t xml:space="preserve"> in zagotavljala nemotene storitve v lokalnih in regionalnih ekosistemih</w:t>
      </w:r>
      <w:r>
        <w:rPr>
          <w:rFonts w:ascii="Times New Roman" w:hAnsi="Times New Roman"/>
          <w:noProof/>
        </w:rPr>
        <w:t>.</w:t>
      </w:r>
      <w:r>
        <w:rPr>
          <w:rFonts w:ascii="Times New Roman" w:hAnsi="Times New Roman"/>
          <w:b/>
          <w:bCs/>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vsaj 300 milijonov EUR namenila spodbujanju prelomnih inovacij za zeleni dogovor v okviru </w:t>
      </w:r>
      <w:r>
        <w:rPr>
          <w:rFonts w:ascii="Times New Roman" w:hAnsi="Times New Roman"/>
          <w:b/>
          <w:bCs/>
          <w:noProof/>
        </w:rPr>
        <w:t>Evropskega sveta za inovacije</w:t>
      </w:r>
      <w:r>
        <w:rPr>
          <w:rFonts w:ascii="Times New Roman" w:hAnsi="Times New Roman"/>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noProof/>
        </w:rPr>
      </w:pPr>
      <w:r>
        <w:rPr>
          <w:rFonts w:ascii="Times New Roman" w:hAnsi="Times New Roman"/>
          <w:noProof/>
        </w:rPr>
        <w:t>Komisija bo za MSP</w:t>
      </w:r>
      <w:r>
        <w:rPr>
          <w:rFonts w:ascii="Times New Roman" w:hAnsi="Times New Roman"/>
          <w:b/>
          <w:bCs/>
          <w:noProof/>
        </w:rPr>
        <w:t xml:space="preserve"> </w:t>
      </w:r>
      <w:r>
        <w:rPr>
          <w:rFonts w:ascii="Times New Roman" w:hAnsi="Times New Roman"/>
          <w:noProof/>
        </w:rPr>
        <w:t xml:space="preserve">, ki delujejo predvsem na področju storitev kratkoročnega najema nastanitvenih zmogljivosti, še naprej proučevala možnosti za </w:t>
      </w:r>
      <w:r>
        <w:rPr>
          <w:rFonts w:ascii="Times New Roman" w:hAnsi="Times New Roman"/>
          <w:b/>
          <w:bCs/>
          <w:noProof/>
        </w:rPr>
        <w:t>pobudo za sodelovalno gospodarstvo</w:t>
      </w:r>
      <w:r>
        <w:rPr>
          <w:rFonts w:ascii="Times New Roman" w:hAnsi="Times New Roman"/>
          <w:noProof/>
        </w:rPr>
        <w:t>.</w:t>
      </w: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Zmanjšanje regulativnega bremena in izboljšanje dostopa na trg</w:t>
      </w:r>
    </w:p>
    <w:p>
      <w:pPr>
        <w:spacing w:after="120" w:line="240" w:lineRule="auto"/>
        <w:jc w:val="both"/>
        <w:rPr>
          <w:rFonts w:ascii="Times New Roman" w:hAnsi="Times New Roman" w:cs="Times New Roman"/>
          <w:noProof/>
          <w:sz w:val="24"/>
          <w:szCs w:val="24"/>
        </w:rPr>
      </w:pPr>
      <w:r>
        <w:rPr>
          <w:rFonts w:ascii="Times New Roman" w:hAnsi="Times New Roman"/>
          <w:b/>
          <w:bCs/>
          <w:noProof/>
        </w:rPr>
        <w:t>Enotni trg</w:t>
      </w:r>
      <w:r>
        <w:rPr>
          <w:rFonts w:ascii="Times New Roman" w:hAnsi="Times New Roman"/>
          <w:b/>
          <w:noProof/>
        </w:rPr>
        <w:t xml:space="preserve"> je osnovni trg za evropske MSP</w:t>
      </w:r>
      <w:r>
        <w:rPr>
          <w:rFonts w:ascii="Times New Roman" w:hAnsi="Times New Roman"/>
          <w:noProof/>
        </w:rPr>
        <w:t>. Predstavlja 70 % vrednosti blagovnega izvoza MSP in 80 % vseh izvoznih MSP izvaža v druge države članice</w:t>
      </w:r>
      <w:r>
        <w:rPr>
          <w:rStyle w:val="FootnoteReference"/>
          <w:rFonts w:ascii="Times New Roman" w:hAnsi="Times New Roman" w:cs="Times New Roman"/>
          <w:noProof/>
        </w:rPr>
        <w:footnoteReference w:id="15"/>
      </w:r>
      <w:r>
        <w:rPr>
          <w:rFonts w:ascii="Times New Roman" w:hAnsi="Times New Roman"/>
          <w:noProof/>
        </w:rPr>
        <w:t>. Kljub temu bi bilo lahko število MSP, ki izvažajo v druge države članice, veliko večje: na primer, le 17 % vseh MSP v predelovalnem sektorju izvaža znotraj enotnega trga</w:t>
      </w:r>
      <w:r>
        <w:rPr>
          <w:rStyle w:val="FootnoteReference"/>
          <w:rFonts w:ascii="Times New Roman" w:hAnsi="Times New Roman" w:cs="Times New Roman"/>
          <w:noProof/>
        </w:rPr>
        <w:footnoteReference w:id="16"/>
      </w:r>
      <w:r>
        <w:rPr>
          <w:rFonts w:ascii="Times New Roman" w:hAnsi="Times New Roman"/>
          <w:noProof/>
        </w:rPr>
        <w:t xml:space="preserve">. Sporočilo o ovirah za enotni trg kaže, da obstoječe ovire najbolj prizadenejo MSP.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Izpolnjevanje </w:t>
      </w:r>
      <w:r>
        <w:rPr>
          <w:rFonts w:ascii="Times New Roman" w:hAnsi="Times New Roman"/>
          <w:b/>
          <w:bCs/>
          <w:noProof/>
        </w:rPr>
        <w:t>predpisov, standardov, oznak in upravnih formalnosti</w:t>
      </w:r>
      <w:r>
        <w:rPr>
          <w:rFonts w:ascii="Times New Roman" w:hAnsi="Times New Roman"/>
          <w:noProof/>
        </w:rPr>
        <w:t xml:space="preserve"> zaradi omejenih finančnih in človeških virov bolj prizadene MSP kot večja podjetja. Na primer v sektorju poslovnih storitev lahko stroški, ki jih imajo MSP zaradi izpolnjevanja upravnih formalnosti, dosežejo 10 000 EUR</w:t>
      </w:r>
      <w:r>
        <w:rPr>
          <w:rStyle w:val="FootnoteReference"/>
          <w:rFonts w:ascii="Times New Roman" w:hAnsi="Times New Roman" w:cs="Times New Roman"/>
          <w:noProof/>
        </w:rPr>
        <w:footnoteReference w:id="17"/>
      </w:r>
      <w:r>
        <w:rPr>
          <w:rFonts w:ascii="Times New Roman" w:hAnsi="Times New Roman"/>
          <w:noProof/>
        </w:rPr>
        <w:t>. Kljub napredku od sprejetja „Small Business Act“ je skupni učinek urejanja še naprej velik problem za MSP.</w:t>
      </w:r>
      <w:r>
        <w:rPr>
          <w:rStyle w:val="FootnoteReference"/>
          <w:rFonts w:ascii="Times New Roman" w:hAnsi="Times New Roman"/>
          <w:noProof/>
        </w:rPr>
        <w:t xml:space="preserve"> </w:t>
      </w:r>
      <w:r>
        <w:rPr>
          <w:rFonts w:ascii="Times New Roman" w:hAnsi="Times New Roman"/>
          <w:noProof/>
        </w:rPr>
        <w:t xml:space="preserve"> </w:t>
      </w:r>
    </w:p>
    <w:p>
      <w:pPr>
        <w:spacing w:after="0" w:line="240" w:lineRule="auto"/>
        <w:jc w:val="both"/>
        <w:rPr>
          <w:noProof/>
        </w:rPr>
      </w:pPr>
      <w:r>
        <w:rPr>
          <w:noProof/>
          <w:lang w:val="en-GB" w:eastAsia="en-GB"/>
        </w:rPr>
        <w:drawing>
          <wp:inline distT="0" distB="0" distL="0" distR="0">
            <wp:extent cx="5731510" cy="2416909"/>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16909"/>
                    </a:xfrm>
                    <a:prstGeom prst="rect">
                      <a:avLst/>
                    </a:prstGeom>
                    <a:noFill/>
                    <a:ln>
                      <a:noFill/>
                    </a:ln>
                  </pic:spPr>
                </pic:pic>
              </a:graphicData>
            </a:graphic>
          </wp:inline>
        </w:drawing>
      </w:r>
    </w:p>
    <w:p>
      <w:pPr>
        <w:spacing w:after="0" w:line="240" w:lineRule="auto"/>
        <w:jc w:val="right"/>
        <w:rPr>
          <w:rFonts w:ascii="Times New Roman" w:hAnsi="Times New Roman" w:cs="Times New Roman"/>
          <w:i/>
          <w:noProof/>
          <w:sz w:val="18"/>
          <w:szCs w:val="18"/>
        </w:rPr>
      </w:pPr>
      <w:r>
        <w:rPr>
          <w:rFonts w:ascii="Times New Roman" w:hAnsi="Times New Roman"/>
          <w:i/>
          <w:noProof/>
          <w:sz w:val="18"/>
          <w:szCs w:val="18"/>
        </w:rPr>
        <w:t>Vir: raziskava v podjetjih Eurochambres iz leta 2019.</w:t>
      </w:r>
    </w:p>
    <w:p>
      <w:pPr>
        <w:spacing w:after="12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Zakonodaja je za evropska MSP kompleksna in obremenjujoča, zlasti zaradi različnih postopkov v državah članicah. Te ovire mnoge odvračajo od čezmejnega poslovanja in razširitve. Če se vseeno odločijo za to, za posrednike pogosto uporabljajo velike platforme, kar pa vodi do neenakosti v pogajalski moči. </w:t>
      </w:r>
    </w:p>
    <w:p>
      <w:pPr>
        <w:spacing w:after="120" w:line="240" w:lineRule="auto"/>
        <w:jc w:val="both"/>
        <w:rPr>
          <w:rFonts w:ascii="Times New Roman" w:hAnsi="Times New Roman" w:cs="Times New Roman"/>
          <w:noProof/>
          <w:sz w:val="24"/>
          <w:szCs w:val="24"/>
        </w:rPr>
      </w:pPr>
      <w:r>
        <w:rPr>
          <w:rFonts w:ascii="Times New Roman" w:hAnsi="Times New Roman"/>
          <w:noProof/>
        </w:rPr>
        <w:t>EU in države članice so skupaj odgovorne za odpravo teh ovir. Velik del bremena izhaja iz nacionalne zakonodaje in pomembno je oceniti vpliv „ukrepov čezmernega prenašanja“ na MSP</w:t>
      </w:r>
      <w:r>
        <w:rPr>
          <w:rStyle w:val="FootnoteReference"/>
          <w:rFonts w:ascii="Times New Roman" w:hAnsi="Times New Roman" w:cs="Times New Roman"/>
          <w:noProof/>
        </w:rPr>
        <w:footnoteReference w:id="18"/>
      </w:r>
      <w:r>
        <w:rPr>
          <w:rFonts w:ascii="Times New Roman" w:hAnsi="Times New Roman"/>
          <w:noProof/>
        </w:rPr>
        <w:t>. Države članice in Komisija morajo še naprej strogo izvajati načela „najprej pomisli na male“</w:t>
      </w:r>
      <w:r>
        <w:rPr>
          <w:rStyle w:val="FootnoteReference"/>
          <w:rFonts w:ascii="Times New Roman" w:hAnsi="Times New Roman" w:cs="Times New Roman"/>
          <w:noProof/>
        </w:rPr>
        <w:footnoteReference w:id="19"/>
      </w:r>
      <w:r>
        <w:rPr>
          <w:rFonts w:ascii="Times New Roman" w:hAnsi="Times New Roman"/>
          <w:noProof/>
        </w:rPr>
        <w:t>, „samo enkrat“</w:t>
      </w:r>
      <w:r>
        <w:rPr>
          <w:rStyle w:val="FootnoteReference"/>
          <w:rFonts w:ascii="Times New Roman" w:hAnsi="Times New Roman" w:cs="Times New Roman"/>
          <w:noProof/>
        </w:rPr>
        <w:footnoteReference w:id="20"/>
      </w:r>
      <w:r>
        <w:rPr>
          <w:rFonts w:ascii="Times New Roman" w:hAnsi="Times New Roman"/>
          <w:noProof/>
        </w:rPr>
        <w:t xml:space="preserve"> in „privzeto digitalno“</w:t>
      </w:r>
      <w:r>
        <w:rPr>
          <w:rStyle w:val="FootnoteReference"/>
          <w:rFonts w:ascii="Times New Roman" w:hAnsi="Times New Roman" w:cs="Times New Roman"/>
          <w:noProof/>
        </w:rPr>
        <w:footnoteReference w:id="21"/>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Komisija je zavezana zmanjševanju bremena za MSP in temu, da jim pozorno prisluhne v ciklu boljšega pravnega urejanja. Komisija v okviru programa ustreznosti in uspešnosti predpisov (program REFIT) sistematično pregleduje </w:t>
      </w:r>
      <w:r>
        <w:rPr>
          <w:rFonts w:ascii="Times New Roman" w:hAnsi="Times New Roman"/>
          <w:b/>
          <w:noProof/>
        </w:rPr>
        <w:t>obstoječo zakonodajo EU</w:t>
      </w:r>
      <w:r>
        <w:rPr>
          <w:rFonts w:ascii="Times New Roman" w:hAnsi="Times New Roman"/>
          <w:noProof/>
        </w:rPr>
        <w:t>, da bi zmanjšala bremena in poenostavila zakonodajo. Komisija bo bolj sistematično preverjala ustreznost in proučila načine za digitalizacijo, poenostavitev in doseganje ciljev s čim manjšimi stroški in v korist MSP. Poleg tega bo platforma „Fit for Future“ (Pripravljeni na prihodnost)</w:t>
      </w:r>
      <w:r>
        <w:rPr>
          <w:rStyle w:val="FootnoteReference"/>
          <w:rFonts w:ascii="Times New Roman" w:hAnsi="Times New Roman" w:cs="Times New Roman"/>
          <w:noProof/>
        </w:rPr>
        <w:footnoteReference w:id="22"/>
      </w:r>
      <w:r>
        <w:rPr>
          <w:rFonts w:ascii="Times New Roman" w:hAnsi="Times New Roman"/>
          <w:noProof/>
        </w:rPr>
        <w:t xml:space="preserve"> proučila, kako bi bilo možno poenostaviti obstoječo zakonodajo EU in zmanjšati upravno breme.  </w:t>
      </w:r>
    </w:p>
    <w:p>
      <w:pPr>
        <w:spacing w:line="240" w:lineRule="auto"/>
        <w:jc w:val="both"/>
        <w:rPr>
          <w:rFonts w:ascii="Times New Roman" w:hAnsi="Times New Roman" w:cs="Times New Roman"/>
          <w:noProof/>
          <w:sz w:val="24"/>
          <w:szCs w:val="24"/>
        </w:rPr>
      </w:pPr>
      <w:r>
        <w:rPr>
          <w:rFonts w:ascii="Times New Roman" w:hAnsi="Times New Roman"/>
          <w:noProof/>
        </w:rPr>
        <w:t xml:space="preserve">Pri </w:t>
      </w:r>
      <w:r>
        <w:rPr>
          <w:rFonts w:ascii="Times New Roman" w:hAnsi="Times New Roman"/>
          <w:b/>
          <w:noProof/>
        </w:rPr>
        <w:t>novi zakonodaji</w:t>
      </w:r>
      <w:r>
        <w:rPr>
          <w:rFonts w:ascii="Times New Roman" w:hAnsi="Times New Roman"/>
          <w:noProof/>
        </w:rPr>
        <w:t xml:space="preserve"> bo program REFIT dopolnjevalo in okrepilo načelo „za enega novonastalega se eden odpravi“. S tem se želi zagotoviti, da zakonodaja EU prinaša koristi, ne da bi se pri tem državljanom in podjetjem nalagala nepotrebna bremena. Test za MSP je že del rednega ocenjevanja in se bo še naprej uporabljal za vse zadevne predloge Komisije. </w:t>
      </w:r>
    </w:p>
    <w:p>
      <w:pPr>
        <w:spacing w:line="240" w:lineRule="auto"/>
        <w:jc w:val="both"/>
        <w:rPr>
          <w:rFonts w:ascii="Times New Roman" w:hAnsi="Times New Roman" w:cs="Times New Roman"/>
          <w:noProof/>
          <w:sz w:val="24"/>
          <w:szCs w:val="24"/>
        </w:rPr>
      </w:pPr>
      <w:r>
        <w:rPr>
          <w:rFonts w:ascii="Times New Roman" w:hAnsi="Times New Roman"/>
          <w:noProof/>
        </w:rPr>
        <w:t xml:space="preserve">Zaradi omejenih človeških in finančnih virov stroški, ki jih ustvari zakonodaja, še posebej prizadenejo MSP. Za zagotovitev, da bo nova zakonodaja prijazna do MSP, bo </w:t>
      </w:r>
      <w:r>
        <w:rPr>
          <w:rFonts w:ascii="Times New Roman" w:hAnsi="Times New Roman"/>
          <w:b/>
          <w:noProof/>
        </w:rPr>
        <w:t>odposlanec EU za MSP</w:t>
      </w:r>
      <w:r>
        <w:rPr>
          <w:rStyle w:val="FootnoteReference"/>
          <w:rFonts w:ascii="Times New Roman" w:hAnsi="Times New Roman" w:cs="Times New Roman"/>
          <w:noProof/>
        </w:rPr>
        <w:footnoteReference w:id="23"/>
      </w:r>
      <w:r>
        <w:rPr>
          <w:rFonts w:ascii="Times New Roman" w:hAnsi="Times New Roman"/>
          <w:noProof/>
        </w:rPr>
        <w:t xml:space="preserve"> v sodelovanju z zainteresiranimi stranmi s področja MSP filtriral pobude EU in Komisijo opozoril na tiste, ki bi jih bilo treba posebej obravnavati z vidika MSP. V zvezi s tem bo odposlanec EU za MSP zagotovil nacionalno strokovno znanje mreže odposlancev za MSP. Cilj je, da se pri pripravi vseh prihodnjih zakonodajnih aktov na evropski in nacionalni ravni upošteva končni uporabnik, in sicer tako, da se prepoznajo in v čim zgodnejši fazi zmanjšajo morebitne ovire (na primer z uporabo digitalnih orodij). Odposlanec EU za MSP bo imel posebno vlogo tudi na novi platformi „Fit for Future“ (Pripravljeni na prihodnost), ki bo pri prepoznavanju obstoječe zakonodaje, ki še posebej obremenjuje MSP, ponujala njihov zorni kot. Odposlanec EU za MSP bo Komisiji predlagal uporabnikom prijazne rešitve, ki bi se lahko obravnavale pri spoštovanju zakonodaje.</w:t>
      </w:r>
    </w:p>
    <w:p>
      <w:pPr>
        <w:spacing w:after="240" w:line="240" w:lineRule="auto"/>
        <w:jc w:val="both"/>
        <w:rPr>
          <w:rFonts w:ascii="Times New Roman" w:hAnsi="Times New Roman" w:cs="Times New Roman"/>
          <w:noProof/>
          <w:sz w:val="24"/>
          <w:szCs w:val="24"/>
        </w:rPr>
      </w:pPr>
      <w:r>
        <w:rPr>
          <w:rFonts w:ascii="Times New Roman" w:hAnsi="Times New Roman"/>
          <w:noProof/>
        </w:rPr>
        <w:t>Zagotavljanje izpolnjevanja pravil enotnega trga je še posebej pomembno za MSP, saj jih čezmejne omejitve pogosto nesorazmerno prizadenejo. V akcijskem načrtu za uveljavljanje pravil enotnega trga so navedene pobude, s katerimi se želi reševati ta vprašanja in ki vključujejo projektno skupino za uveljavljanje enotnega trga s prispevkom mreže odposlanca EU za MSP in nacionalnih odposlancev.  Komisija bo spremljala države članice in sodelovala z njimi ter po potrebi brez oklevanja sprejela odločne izvršilne ukrepe, s katerimi bo zagotovila, da bo enotni trg koristil MSP. MSP se soočajo s sorazmerno večjimi stroški izpolnjevanja davčnih obveznosti kot večja podjetja</w:t>
      </w:r>
      <w:r>
        <w:rPr>
          <w:rStyle w:val="FootnoteReference"/>
          <w:rFonts w:ascii="Times New Roman" w:hAnsi="Times New Roman" w:cs="Times New Roman"/>
          <w:noProof/>
        </w:rPr>
        <w:footnoteReference w:id="24"/>
      </w:r>
      <w:r>
        <w:rPr>
          <w:rFonts w:ascii="Times New Roman" w:hAnsi="Times New Roman"/>
          <w:noProof/>
        </w:rPr>
        <w:t xml:space="preserve">, pomanjkanje davčne harmonizacije pa ostaja ena od glavnih ovir, s katerimi se podjetja srečujejo pri čezmejnem poslovanju.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Poleg tega strogo izvrševanje pravil EU o konkurenci zagotavlja, da lahko vsa podjetja, ki delujejo na enotnem trgu, zlasti pa MSP, konkurirajo in inovirajo glede na svoje prednosti, kar preprečuje zlorabo tržne moči in koncentracijo bogastva v malem številu velikih podjetij.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Odpravljanje ovir s partnerstvi in eksperimentiranjem na področju politik  </w:t>
      </w:r>
    </w:p>
    <w:p>
      <w:pPr>
        <w:spacing w:after="240" w:line="240" w:lineRule="auto"/>
        <w:jc w:val="both"/>
        <w:rPr>
          <w:rFonts w:ascii="Times New Roman" w:hAnsi="Times New Roman" w:cs="Times New Roman"/>
          <w:noProof/>
          <w:sz w:val="24"/>
          <w:szCs w:val="24"/>
        </w:rPr>
      </w:pPr>
      <w:r>
        <w:rPr>
          <w:rFonts w:ascii="Times New Roman" w:hAnsi="Times New Roman"/>
          <w:noProof/>
        </w:rPr>
        <w:t>Ključni izziv v Evropi je relativno pomanjkanje uspešnih podjetij v razširitveni fazi. V Združenih državah obstaja trikrat več podjetij v razširitveni fazi kot v Evropi</w:t>
      </w:r>
      <w:r>
        <w:rPr>
          <w:rFonts w:ascii="Times New Roman" w:hAnsi="Times New Roman" w:cs="Times New Roman"/>
          <w:noProof/>
          <w:vertAlign w:val="superscript"/>
        </w:rPr>
        <w:footnoteReference w:id="25"/>
      </w:r>
      <w:r>
        <w:rPr>
          <w:rFonts w:ascii="Times New Roman" w:hAnsi="Times New Roman"/>
          <w:noProof/>
        </w:rPr>
        <w:t xml:space="preserve">. Evropska zagonska podjetja in podjetja v razširitveni fazi se „na terenu“ soočajo s številnimi izzivi pri privabljanju in ohranjanju talentov, izkoriščanju tržnih priložnosti in povečevanju prihodkov. Številne države članice so se uspešno soočile s temi izzivi in že vzpostavile številne dobre prakse. Njihova uporaba po EU bi znatno spodbudila razvoj zagonskih podjetij in rast MSP.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Glede na to bo Komisija v tesnem sodelovanju z državami članicami in zainteresiranimi stranmi, kot je forum Evropskega sveta za inovacije, spodbujala najboljše prakse in sprožila novo politično pobudo, tj. </w:t>
      </w:r>
      <w:r>
        <w:rPr>
          <w:rFonts w:ascii="Times New Roman" w:hAnsi="Times New Roman"/>
          <w:b/>
          <w:noProof/>
        </w:rPr>
        <w:t>standard EU za zagonska podjetja v državah članicah</w:t>
      </w:r>
      <w:r>
        <w:rPr>
          <w:rFonts w:ascii="Times New Roman" w:hAnsi="Times New Roman"/>
          <w:noProof/>
        </w:rPr>
        <w:t xml:space="preserve">, s katero bodo države članice pozvane k izvajanju takšnih praks na lokalni, regionalni in nacionalni ravni. Cilj je, da bi Evropa postala </w:t>
      </w:r>
      <w:r>
        <w:rPr>
          <w:rFonts w:ascii="Times New Roman" w:hAnsi="Times New Roman"/>
          <w:b/>
          <w:bCs/>
          <w:noProof/>
        </w:rPr>
        <w:t>naprivlačnejša celina za zagonska podjetja in podjetja v razširitveni fazi</w:t>
      </w:r>
      <w:r>
        <w:rPr>
          <w:rFonts w:ascii="Times New Roman" w:hAnsi="Times New Roman"/>
          <w:noProof/>
        </w:rPr>
        <w:t xml:space="preserve">. V pobudi bo poudarek na olajšanju zagona podjetij in njihove širitve prek meja, poenostavitvi izvajanja postopkovnih pravil za vloge za izdajo vizumov in dovoljenja za prebivanje za talente iz tretjih držav, povečanju privlačnosti dodeljevanja delniških opcij za zaposlene, spodbujanju celotnega postopka vzpostavljanja podjetij in prenosa tehnologij z univerz, povečanju dostopa do financiranja za razširitev in spodbujanju čezmejnih digitalnih orodij in platform. Komisija bo to dopolnila s posvetovanjem in oceno potrebe po dodatnih gospodarskopravnih ukrepih za olajšanje čezmejne širitve in razširitve MSP.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Nekatere zelo inovativne rešitve se ne udejanijo zaradi predpisov, ki so morda zastareli ali slabo prilagojeni tehnologijam, ki se hitro razvijajo. Tega bi se lahko lotili z </w:t>
      </w:r>
      <w:r>
        <w:rPr>
          <w:rFonts w:ascii="Times New Roman" w:hAnsi="Times New Roman"/>
          <w:b/>
          <w:bCs/>
          <w:noProof/>
        </w:rPr>
        <w:t>regulativnimi peskovniki</w:t>
      </w:r>
      <w:r>
        <w:rPr>
          <w:rFonts w:ascii="Times New Roman" w:hAnsi="Times New Roman"/>
          <w:noProof/>
        </w:rPr>
        <w:t>.</w:t>
      </w:r>
      <w:r>
        <w:rPr>
          <w:rFonts w:ascii="Times New Roman" w:hAnsi="Times New Roman"/>
          <w:b/>
          <w:bCs/>
          <w:noProof/>
        </w:rPr>
        <w:t xml:space="preserve"> </w:t>
      </w:r>
      <w:r>
        <w:rPr>
          <w:rFonts w:ascii="Times New Roman" w:hAnsi="Times New Roman"/>
          <w:noProof/>
        </w:rPr>
        <w:t>Ta pristop</w:t>
      </w:r>
      <w:r>
        <w:rPr>
          <w:rFonts w:ascii="Times New Roman" w:hAnsi="Times New Roman"/>
          <w:b/>
          <w:bCs/>
          <w:noProof/>
        </w:rPr>
        <w:t xml:space="preserve"> </w:t>
      </w:r>
      <w:r>
        <w:rPr>
          <w:rFonts w:ascii="Times New Roman" w:hAnsi="Times New Roman"/>
          <w:noProof/>
        </w:rPr>
        <w:t xml:space="preserve">omogoča, da se inovativne rešitve, ki jih uredbe ali smernice še ne predvidevajo, preizkusijo v živo z nadzorniki in regulatorji, pod pogojem, da so vzpostavljeni ustrezni pogoji, na primer za zagotovitev enake obravnave. Regulativni peskovniki regulatorjem in nadzornikom zagotavljajo najnovejše informacije o novih tehnologijah in izkušnje z njimi, hkrati pa omogočajo eksperimentiranje na področju politik. Nekatere države članice že preizkušajo take peskovnike za inovativne finančne storitve.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Direktiva o storitvah je ključen instrument za preprečevanje tržnih ovir. </w:t>
      </w:r>
      <w:r>
        <w:rPr>
          <w:rFonts w:ascii="Times New Roman" w:hAnsi="Times New Roman"/>
          <w:b/>
          <w:noProof/>
        </w:rPr>
        <w:t>Partnerstva med obmejnimi regijami</w:t>
      </w:r>
      <w:r>
        <w:rPr>
          <w:rFonts w:ascii="Times New Roman" w:hAnsi="Times New Roman"/>
          <w:noProof/>
        </w:rPr>
        <w:t xml:space="preserve">, katerih cilj je okrepitev sodelovanja med regionalnimi organi, lahko MSP pomagajo premagati tržne ovire pri zagotavljanju storitev. Na podlagi razpisa bi se lahko do konca leta 2020 določila tri taka pilotna področja, na katerih bi si partnerske regije skupaj prizadevale za izboljšanje, uskladitev in koordinacijo pravil in postopkov o čezmejnem opravljanju storitev, na primer o napotitvi delavcev in uporabi digitalnih orodij.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Komisija bo poleg tega spodbujala države članice k izvajanju </w:t>
      </w:r>
      <w:r>
        <w:rPr>
          <w:rFonts w:ascii="Times New Roman" w:hAnsi="Times New Roman"/>
          <w:b/>
          <w:bCs/>
          <w:noProof/>
        </w:rPr>
        <w:t>enotnega digitalnega portala</w:t>
      </w:r>
      <w:r>
        <w:rPr>
          <w:rStyle w:val="FootnoteReference"/>
          <w:rFonts w:ascii="Times New Roman" w:hAnsi="Times New Roman" w:cs="Times New Roman"/>
          <w:noProof/>
        </w:rPr>
        <w:footnoteReference w:id="26"/>
      </w:r>
      <w:r>
        <w:rPr>
          <w:rFonts w:ascii="Times New Roman" w:hAnsi="Times New Roman"/>
          <w:b/>
          <w:bCs/>
          <w:noProof/>
        </w:rPr>
        <w:t xml:space="preserve"> </w:t>
      </w:r>
      <w:r>
        <w:rPr>
          <w:rFonts w:ascii="Times New Roman" w:hAnsi="Times New Roman"/>
          <w:bCs/>
          <w:noProof/>
        </w:rPr>
        <w:t>na način, ki bo prijazen do MSP</w:t>
      </w:r>
      <w:r>
        <w:rPr>
          <w:rFonts w:ascii="Times New Roman" w:hAnsi="Times New Roman"/>
          <w:noProof/>
        </w:rPr>
        <w:t xml:space="preserve">. Države članice bi si morale prizadevati, da MSP omogočijo enostaven spletni dostop do informacij, postopkov in storitev pomoči v zvezi z vsemi njihovimi vprašanji, povezanimi s čezmejnim opravljanjem dejavnosti, vključno s svetovanjem o javnih naročilih in virih financiranja. Države članice bi morale združiti svoje storitve v </w:t>
      </w:r>
      <w:r>
        <w:rPr>
          <w:rFonts w:ascii="Times New Roman" w:hAnsi="Times New Roman"/>
          <w:b/>
          <w:bCs/>
          <w:noProof/>
        </w:rPr>
        <w:t>enotno kontaktno točko</w:t>
      </w:r>
      <w:r>
        <w:rPr>
          <w:rFonts w:ascii="Times New Roman" w:hAnsi="Times New Roman"/>
          <w:noProof/>
        </w:rPr>
        <w:t xml:space="preserve">, kjer bi MSP zagotavljale usklajene odgovore na vsa takšna vprašanja. </w:t>
      </w:r>
    </w:p>
    <w:p>
      <w:pPr>
        <w:spacing w:line="240" w:lineRule="auto"/>
        <w:jc w:val="both"/>
        <w:rPr>
          <w:rFonts w:ascii="Times New Roman" w:hAnsi="Times New Roman" w:cs="Times New Roman"/>
          <w:noProof/>
          <w:sz w:val="24"/>
          <w:szCs w:val="24"/>
        </w:rPr>
      </w:pPr>
      <w:r>
        <w:rPr>
          <w:rFonts w:ascii="Times New Roman" w:hAnsi="Times New Roman"/>
          <w:noProof/>
        </w:rPr>
        <w:t>Do 71 % MSP, ki so preizkusila obstoječi sistem vzajemnega priznavanja za neharmonizirano blago</w:t>
      </w:r>
      <w:r>
        <w:rPr>
          <w:rStyle w:val="FootnoteReference"/>
          <w:rFonts w:ascii="Times New Roman" w:hAnsi="Times New Roman" w:cs="Times New Roman"/>
          <w:noProof/>
        </w:rPr>
        <w:footnoteReference w:id="27"/>
      </w:r>
      <w:r>
        <w:rPr>
          <w:rFonts w:ascii="Times New Roman" w:hAnsi="Times New Roman"/>
          <w:noProof/>
        </w:rPr>
        <w:t>, je dobilo odločitev o zavrnitvi dostopa do trga</w:t>
      </w:r>
      <w:r>
        <w:rPr>
          <w:rStyle w:val="FootnoteReference"/>
          <w:rFonts w:ascii="Times New Roman" w:hAnsi="Times New Roman" w:cs="Times New Roman"/>
          <w:noProof/>
        </w:rPr>
        <w:footnoteReference w:id="28"/>
      </w:r>
      <w:r>
        <w:rPr>
          <w:rFonts w:ascii="Times New Roman" w:hAnsi="Times New Roman"/>
          <w:noProof/>
        </w:rPr>
        <w:t xml:space="preserve">. Komisija bo po razpravi s strokovno skupino držav članic za vzajemno priznavanje spodbujala „ </w:t>
      </w:r>
      <w:r>
        <w:rPr>
          <w:rFonts w:ascii="Times New Roman" w:hAnsi="Times New Roman"/>
          <w:b/>
          <w:noProof/>
        </w:rPr>
        <w:t>zavezništva za vzajemno priznavanje</w:t>
      </w:r>
      <w:r>
        <w:rPr>
          <w:rFonts w:ascii="Times New Roman" w:hAnsi="Times New Roman"/>
          <w:noProof/>
        </w:rPr>
        <w:t xml:space="preserve">“ med državami članicami v sektorjih, kot so prehranska dopolnila in nakit.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V raznolikem industrijskem okolju sta </w:t>
      </w:r>
      <w:r>
        <w:rPr>
          <w:rFonts w:ascii="Times New Roman" w:hAnsi="Times New Roman"/>
          <w:b/>
          <w:noProof/>
        </w:rPr>
        <w:t>vesoljski in obrambni</w:t>
      </w:r>
      <w:r>
        <w:rPr>
          <w:rFonts w:ascii="Times New Roman" w:hAnsi="Times New Roman"/>
          <w:noProof/>
        </w:rPr>
        <w:t xml:space="preserve"> sektor ključna za strateško in tehnološko suverenost EU in ponujata velik potencial za evropska MSP. Vendar pa so dobavne verige obrambnega sektorja večinoma zgrajene na nacionalni ravni. Komisija bo okrepila čezmejno sodelovanje in vstop novih akterjev tako, da bo čim bolj povečala potencial Evropskega obrambnega sklada. Zlasti bo to vključevalo razpise za zbiranje predlogov, namenjene MSP, posebni bonus in merilo za dodelitev za MSP ter povezovanje MSP s širšo obrambno skupnostjo. Sklad bo pomagal pri odpiranju obrambnih dobavnih verig s povezovanjem velikih sistemskih integratorjev s celotnim ekosistemom MSP, ki se ukvarjajo z obrambo, po vsej Uniji.  Komisija bo tudi opredelila prednosti ustreznih raziskovalnih in tehnoloških organizacij ter univerz, ki lahko podpirajo inovativna zagonska podjetja ter MSP v sektorju.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Komisija si prizadeva tudi povečati število uspešnih zagonskih podjetij in podjetij v razširitveni fazi v </w:t>
      </w:r>
      <w:r>
        <w:rPr>
          <w:rFonts w:ascii="Times New Roman" w:hAnsi="Times New Roman"/>
          <w:b/>
          <w:bCs/>
          <w:noProof/>
        </w:rPr>
        <w:t>vesoljskem sektorju</w:t>
      </w:r>
      <w:r>
        <w:rPr>
          <w:rFonts w:ascii="Times New Roman" w:hAnsi="Times New Roman"/>
          <w:noProof/>
        </w:rPr>
        <w:t xml:space="preserve">, ki tržijo vesoljske tehnologije EU. Prek vesoljskega programa EU bo spodbujala vzpostavitev evropskega ekosistema „novega vesolja“ za spodbujanje podjetništva. Nova pobuda za vesoljsko podjetništvo „CASSINI“ bo združila storitve, kot so pospeševanje, podjetniška inkubacija, financiranje s semenskim kapitalom in predkomercialno naročanje. </w:t>
      </w:r>
    </w:p>
    <w:p>
      <w:pPr>
        <w:spacing w:line="240" w:lineRule="auto"/>
        <w:jc w:val="both"/>
        <w:rPr>
          <w:rFonts w:ascii="Times New Roman" w:hAnsi="Times New Roman" w:cs="Times New Roman"/>
          <w:noProof/>
          <w:sz w:val="24"/>
          <w:szCs w:val="24"/>
        </w:rPr>
      </w:pPr>
      <w:r>
        <w:rPr>
          <w:rFonts w:ascii="Times New Roman" w:hAnsi="Times New Roman"/>
          <w:b/>
          <w:bCs/>
          <w:noProof/>
        </w:rPr>
        <w:t>Javna naročila</w:t>
      </w:r>
      <w:r>
        <w:rPr>
          <w:rFonts w:ascii="Times New Roman" w:hAnsi="Times New Roman"/>
          <w:noProof/>
        </w:rPr>
        <w:t xml:space="preserve"> MSP, vključno z zagonskimi podjetji, ki težko uspešno konkurirajo na javnih razpisih, ponujajo neizkoriščene možnosti na enotnem trgu. . Obstajata dve vrsti izzivov. Javni sektor je po eni strani razmeroma nenaklonjen tveganju in pogosto nima dovolj znanja, da bi se odločal za inovacije. Po drugi strani pa številni gospodarski subjekti, še zlasti MSP, menijo, da so postopki javnih razpisov kompleksni ali niso primerni zanje. </w:t>
      </w:r>
    </w:p>
    <w:p>
      <w:pPr>
        <w:spacing w:line="240" w:lineRule="auto"/>
        <w:jc w:val="both"/>
        <w:rPr>
          <w:rFonts w:ascii="Times New Roman" w:hAnsi="Times New Roman" w:cs="Times New Roman"/>
          <w:noProof/>
          <w:sz w:val="24"/>
          <w:szCs w:val="24"/>
        </w:rPr>
      </w:pPr>
      <w:r>
        <w:rPr>
          <w:rFonts w:ascii="Times New Roman" w:hAnsi="Times New Roman"/>
          <w:noProof/>
        </w:rPr>
        <w:t xml:space="preserve">Komisija zato poziva države članice in njihove javne naročnike, naj izkoristijo </w:t>
      </w:r>
      <w:r>
        <w:rPr>
          <w:rFonts w:ascii="Times New Roman" w:hAnsi="Times New Roman"/>
          <w:b/>
          <w:bCs/>
          <w:noProof/>
        </w:rPr>
        <w:t>prožnost, ki jo ponuja novi okvir EU za javna naročila</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To pomeni, da je treba večja naročila razdeliti na manjše sklope, razširiti strateško javno naročanje, zlasti javno naročanje inovativnih rešitev, in kadar je to primerno, MSP prepustiti pravice intelektualne lastnine, da jih lahko ta tržijo, ter dokončati digitalizacijo postopkov javnega naročanja. Komisija bo države članice tudi spodbudila k uporabi digitalnih platform za spodbujanje inovativnih rešitev MSP in zagonskih podjetij ter njihovega čezmejnega dostopa do javnih naročil. Komisija bo sprožila tudi </w:t>
      </w:r>
      <w:r>
        <w:rPr>
          <w:rFonts w:ascii="Times New Roman" w:hAnsi="Times New Roman"/>
          <w:b/>
          <w:noProof/>
        </w:rPr>
        <w:t>pobudo za velike kupce in mreže</w:t>
      </w:r>
      <w:r>
        <w:rPr>
          <w:rFonts w:ascii="Times New Roman" w:hAnsi="Times New Roman"/>
          <w:noProof/>
        </w:rPr>
        <w:t xml:space="preserve">, da bi olajšala skupne nakupe inovacij in trajnostnih proizvodov, spodbujala usklajevanje kupcev in dobaviteljev inovacij ter spremljala napredek na podlagi nacionalnih primerjav. Poleg tega bo pripravila oznako, ki jo bodo lahko uporabljali javni kupci, ki bodo upoštevali prakse javnega naročanja, </w:t>
      </w:r>
      <w:r>
        <w:rPr>
          <w:rFonts w:ascii="Times New Roman" w:hAnsi="Times New Roman"/>
          <w:b/>
          <w:noProof/>
        </w:rPr>
        <w:t>„prijazne MSP</w:t>
      </w:r>
      <w:r>
        <w:rPr>
          <w:rFonts w:ascii="Times New Roman" w:hAnsi="Times New Roman"/>
          <w:noProof/>
        </w:rPr>
        <w:t>“, ter sodelovala s svojimi mednarodnimi trgovinskimi partnerji, da bi razširila sprejetje svojih standardov, pomembnih za javna naročila, kot je elektronsko izdajanje računov. MSP, ki zagotavljajo inovativne zelene proizvode in storitve, je mogoče podpreti z večjo uporabo zelenih javnih naročil</w:t>
      </w:r>
      <w:r>
        <w:rPr>
          <w:rStyle w:val="FootnoteReference"/>
          <w:rFonts w:ascii="Times New Roman" w:hAnsi="Times New Roman" w:cs="Times New Roman"/>
          <w:noProof/>
        </w:rPr>
        <w:footnoteReference w:id="29"/>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Nakup obstoječega podjetja je pogosto ugodnejša možnost kot ustanovitev novega. Po ocenah vsako leto spremeni lastništvo približno 450 000 MSP, kar vpliva na več kot dva milijona zaposlenih. Vendar v tretjini primerov prenos ni uspešen, Evropa pa posledično izgubi približno 150 000 podjetij in 600 000 delovnih mest</w:t>
      </w:r>
      <w:r>
        <w:rPr>
          <w:rStyle w:val="FootnoteReference"/>
          <w:rFonts w:ascii="Times New Roman" w:hAnsi="Times New Roman" w:cs="Times New Roman"/>
          <w:noProof/>
        </w:rPr>
        <w:footnoteReference w:id="30"/>
      </w:r>
      <w:r>
        <w:rPr>
          <w:rFonts w:ascii="Times New Roman" w:hAnsi="Times New Roman"/>
          <w:noProof/>
        </w:rPr>
        <w:t xml:space="preserve">. Razlogi za to so pogosto pomanjkanje zgodnje priprave, težave pri iskanju naslednika ter neugodni davčni in regulativni ukrepi.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Komisija si bo še naprej prizadevala za poenostavitev </w:t>
      </w:r>
      <w:r>
        <w:rPr>
          <w:rFonts w:ascii="Times New Roman" w:hAnsi="Times New Roman"/>
          <w:b/>
          <w:bCs/>
          <w:noProof/>
        </w:rPr>
        <w:t>prenosa podjetij</w:t>
      </w:r>
      <w:r>
        <w:rPr>
          <w:rFonts w:ascii="Times New Roman" w:hAnsi="Times New Roman"/>
          <w:noProof/>
        </w:rPr>
        <w:t xml:space="preserve"> in bo države članice podpirala v njihovih prizadevanjih za vzpostavitev poslovnega okolja, naklonjenega prenosu</w:t>
      </w:r>
      <w:r>
        <w:rPr>
          <w:rStyle w:val="FootnoteReference"/>
          <w:rFonts w:ascii="Times New Roman" w:hAnsi="Times New Roman" w:cs="Times New Roman"/>
          <w:noProof/>
        </w:rPr>
        <w:footnoteReference w:id="31"/>
      </w:r>
      <w:r>
        <w:rPr>
          <w:rFonts w:ascii="Times New Roman" w:hAnsi="Times New Roman"/>
          <w:noProof/>
        </w:rPr>
        <w:t>. Nedavno sprejeta direktiva o okvirih preventivnega prestrukturiranja in drugi priložnosti</w:t>
      </w:r>
      <w:r>
        <w:rPr>
          <w:rStyle w:val="FootnoteReference"/>
          <w:rFonts w:ascii="Times New Roman" w:hAnsi="Times New Roman" w:cs="Times New Roman"/>
          <w:noProof/>
        </w:rPr>
        <w:footnoteReference w:id="32"/>
      </w:r>
      <w:r>
        <w:rPr>
          <w:rFonts w:ascii="Times New Roman" w:hAnsi="Times New Roman"/>
          <w:noProof/>
        </w:rPr>
        <w:t xml:space="preserve"> obravnava veliko zaskrbljenost podjetij v težavah in Komisija bo zdaj podpirala vse države članice pri prenosu določb v nacionalno zakonodajo, da bi imela podjetja v finančnih težavah dostop do ustreznih podpornih storitev, ki bi jim pomagale preprečiti stečaj.</w:t>
      </w:r>
    </w:p>
    <w:p>
      <w:pPr>
        <w:spacing w:line="240" w:lineRule="auto"/>
        <w:jc w:val="both"/>
        <w:rPr>
          <w:rFonts w:ascii="Times New Roman" w:hAnsi="Times New Roman" w:cs="Times New Roman"/>
          <w:i/>
          <w:noProof/>
          <w:sz w:val="24"/>
          <w:szCs w:val="24"/>
        </w:rPr>
      </w:pPr>
      <w:r>
        <w:rPr>
          <w:rFonts w:ascii="Times New Roman" w:hAnsi="Times New Roman"/>
          <w:i/>
          <w:noProof/>
        </w:rPr>
        <w:t xml:space="preserve">Bolj pravični odnosi med podjetji (B2B)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MSP imajo ključno vlogo v vedno tesneje stkanih mrežah velikih, zagonskih ter malih in srednjih podjetij iz različnih sektorjev in vrednostnih verig, ki sodelujejo, da bi ustvarili proizvode in storitve prihodnosti. V strateške vrednostne verige EU je pomembno vključiti MSP in zagonska podjetja ter se odzivati na njihove specifične potrebe, da bi lažje sodelovala in se razširila na enotnem trgu in po svetu. </w:t>
      </w:r>
    </w:p>
    <w:p>
      <w:pPr>
        <w:spacing w:after="240" w:line="240" w:lineRule="auto"/>
        <w:jc w:val="both"/>
        <w:rPr>
          <w:rFonts w:ascii="Times New Roman" w:hAnsi="Times New Roman" w:cs="Times New Roman"/>
          <w:noProof/>
          <w:sz w:val="24"/>
          <w:szCs w:val="24"/>
        </w:rPr>
      </w:pPr>
      <w:r>
        <w:rPr>
          <w:rFonts w:ascii="Times New Roman" w:hAnsi="Times New Roman"/>
          <w:noProof/>
        </w:rPr>
        <w:t>Zaradi vse večje koncentracije in vertikalne integracije v dobavnih verigah so glavne stranke MSP pogosto veliko večje organizacije. To povzroča nesorazmernost pogajalskih moči in povečuje tveganje, da bodo mala podjetja izpostavljena nepoštenim poslovnim praksam in pogojem</w:t>
      </w:r>
      <w:r>
        <w:rPr>
          <w:rStyle w:val="FootnoteReference"/>
          <w:rFonts w:ascii="Times New Roman" w:hAnsi="Times New Roman" w:cs="Times New Roman"/>
          <w:noProof/>
        </w:rPr>
        <w:footnoteReference w:id="33"/>
      </w:r>
      <w:r>
        <w:rPr>
          <w:rFonts w:ascii="Times New Roman" w:hAnsi="Times New Roman"/>
          <w:noProof/>
        </w:rPr>
        <w:t xml:space="preserve">, kar vključuje </w:t>
      </w:r>
      <w:r>
        <w:rPr>
          <w:rFonts w:ascii="Times New Roman" w:hAnsi="Times New Roman"/>
          <w:b/>
          <w:bCs/>
          <w:noProof/>
        </w:rPr>
        <w:t>zamude pri plačilih</w:t>
      </w:r>
      <w:r>
        <w:rPr>
          <w:rFonts w:ascii="Times New Roman" w:hAnsi="Times New Roman"/>
          <w:bCs/>
          <w:noProof/>
        </w:rPr>
        <w:t xml:space="preserve"> in dostop do podatkov</w:t>
      </w:r>
      <w:r>
        <w:rPr>
          <w:rFonts w:ascii="Times New Roman" w:hAnsi="Times New Roman"/>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rPr>
        <w:t>Čeprav so se z direktivo o zamudah pri plačilih zmanjšale zamude pri transakcijah med podjetji ter med podjetji in platformami, je v EU še vedno le 40 % podjetij plačanih pravočasno</w:t>
      </w:r>
      <w:r>
        <w:rPr>
          <w:rStyle w:val="FootnoteReference"/>
          <w:rFonts w:ascii="Times New Roman" w:hAnsi="Times New Roman" w:cs="Times New Roman"/>
          <w:noProof/>
        </w:rPr>
        <w:footnoteReference w:id="34"/>
      </w:r>
      <w:r>
        <w:rPr>
          <w:rFonts w:ascii="Times New Roman" w:hAnsi="Times New Roman"/>
          <w:noProof/>
        </w:rPr>
        <w:t xml:space="preserve">. Poleg tega so zamude pri plačilih razlog za četrtino stečajev MSP v EU. Potreben je odločen premik k novi poslovni kulturi, v kateri je hitro plačilo pravilo. V ta namen bo Komisija podprla izvajanje direktive o zamudah pri plačilih tako, da jo bo opremila z močnimi orodji za spremljanje in uveljavljanje pravil. Med temi orodji bi bili lahko virtualni observatorij za spremljanje zamud pri plačilih, pojasnitev nepoštenih plačilnih praks in proučitev uporabe alternativnih mehanizmov za reševanje/mediacijo za MSP, da bi zagotovili hitro reševanje plačilnih sporov pri poslovnih transakcijah. </w:t>
      </w:r>
    </w:p>
    <w:p>
      <w:pPr>
        <w:spacing w:after="240" w:line="240" w:lineRule="auto"/>
        <w:jc w:val="both"/>
        <w:rPr>
          <w:rFonts w:ascii="Times New Roman" w:hAnsi="Times New Roman" w:cs="Times New Roman"/>
          <w:i/>
          <w:noProof/>
          <w:sz w:val="24"/>
          <w:szCs w:val="24"/>
        </w:rPr>
      </w:pPr>
      <w:r>
        <w:rPr>
          <w:rFonts w:ascii="Times New Roman" w:hAnsi="Times New Roman"/>
          <w:i/>
          <w:noProof/>
        </w:rPr>
        <w:t>Izkoriščanje prednosti svetovnih trgov</w:t>
      </w:r>
    </w:p>
    <w:p>
      <w:pPr>
        <w:spacing w:after="240" w:line="240" w:lineRule="auto"/>
        <w:jc w:val="both"/>
        <w:rPr>
          <w:rFonts w:ascii="Times New Roman" w:hAnsi="Times New Roman" w:cs="Times New Roman"/>
          <w:noProof/>
          <w:sz w:val="24"/>
          <w:szCs w:val="24"/>
        </w:rPr>
      </w:pPr>
      <w:r>
        <w:rPr>
          <w:rFonts w:ascii="Times New Roman" w:hAnsi="Times New Roman"/>
          <w:b/>
          <w:bCs/>
          <w:noProof/>
        </w:rPr>
        <w:t>Svetovni trgi</w:t>
      </w:r>
      <w:r>
        <w:rPr>
          <w:rFonts w:ascii="Times New Roman" w:hAnsi="Times New Roman"/>
          <w:noProof/>
        </w:rPr>
        <w:t xml:space="preserve"> so pomemben vir rasti za MSP. Vendar blago zunaj EU izvaža le 600 000 MSP, ki zaposlujejo približno 6 milijonov ljudi. Komisija bo v večstranskih in dvostranskih dialogih spodbujala MSP prijazno okolje v tretjih državah z izmenjavo dobrih praks s svojimi partnerji. Vzpostavila bo tudi </w:t>
      </w:r>
      <w:r>
        <w:rPr>
          <w:rFonts w:ascii="Times New Roman" w:hAnsi="Times New Roman"/>
          <w:b/>
          <w:noProof/>
        </w:rPr>
        <w:t>nov informacijski portal</w:t>
      </w:r>
      <w:r>
        <w:rPr>
          <w:rFonts w:ascii="Times New Roman" w:hAnsi="Times New Roman"/>
          <w:noProof/>
        </w:rPr>
        <w:t xml:space="preserve"> za ozaveščanje MSP o trgovinskih politikah in zagotavljanje podrobnih informacij o carinskih postopkih in formalnostih za izvoz v tretje države.</w:t>
      </w:r>
    </w:p>
    <w:p>
      <w:pPr>
        <w:spacing w:after="240" w:line="240" w:lineRule="auto"/>
        <w:jc w:val="both"/>
        <w:rPr>
          <w:rFonts w:ascii="Times New Roman" w:hAnsi="Times New Roman" w:cs="Times New Roman"/>
          <w:i/>
          <w:iCs/>
          <w:noProof/>
          <w:sz w:val="24"/>
          <w:szCs w:val="24"/>
        </w:rPr>
      </w:pPr>
      <w:r>
        <w:rPr>
          <w:rFonts w:ascii="Times New Roman" w:hAnsi="Times New Roman"/>
          <w:noProof/>
        </w:rPr>
        <w:t>MSP imajo več koristi od odprtja trgov na podlagi pravil kot velika podjetja, ki imajo več sredstev za premagovanje trgovinskih ovir. Komisija se za poenostavitev dostopa MSP na mednarodne trge nenehno pogaja o novih trgovinskih in naložbenih sporazumih ter ruši trgovinske ovire, ki nesorazmerno prizadenejo MSP. Komisija bo v vse trgovinske sporazume še naprej vključevala posebna poglavja o MSP, skupaj s posebnimi ukrepi, ki bodo MSP omogočili, da izkoristijo prednosti, kot so povezovanje MSP v mednarodnih podjetniških grozdih, evropski podjetniški mreži, centru EU za MSP</w:t>
      </w:r>
      <w:r>
        <w:rPr>
          <w:rStyle w:val="FootnoteReference"/>
          <w:rFonts w:ascii="Times New Roman" w:hAnsi="Times New Roman" w:cs="Times New Roman"/>
          <w:noProof/>
        </w:rPr>
        <w:footnoteReference w:id="35"/>
      </w:r>
      <w:r>
        <w:rPr>
          <w:rFonts w:ascii="Times New Roman" w:hAnsi="Times New Roman"/>
          <w:noProof/>
        </w:rPr>
        <w:t>, in ukrepi v podporo sodelovanju evropskih MSP pri javnih naročilih zunaj EU.</w:t>
      </w:r>
      <w:r>
        <w:rPr>
          <w:rFonts w:ascii="Times New Roman" w:hAnsi="Times New Roman"/>
          <w:i/>
          <w:iCs/>
          <w:noProof/>
        </w:rPr>
        <w:t xml:space="preserve"> </w:t>
      </w:r>
    </w:p>
    <w:p>
      <w:pPr>
        <w:spacing w:line="240" w:lineRule="auto"/>
        <w:jc w:val="both"/>
        <w:rPr>
          <w:rFonts w:ascii="Times New Roman" w:hAnsi="Times New Roman"/>
          <w:noProof/>
          <w:sz w:val="24"/>
        </w:rPr>
      </w:pPr>
      <w:r>
        <w:rPr>
          <w:rFonts w:ascii="Times New Roman" w:hAnsi="Times New Roman"/>
          <w:noProof/>
        </w:rPr>
        <w:t xml:space="preserve">Delegacije EU v državah, s katerimi ima EU sklenjene sporazume o prosti trgovini, bodo zagotovile podporo z odgovori na vprašanja o praktičnih težavah MSP, povezanih z izvajanjem sporazumov o prosti trgovini. </w:t>
      </w:r>
    </w:p>
    <w:p>
      <w:pPr>
        <w:tabs>
          <w:tab w:val="left" w:pos="8222"/>
        </w:tabs>
        <w:spacing w:line="240" w:lineRule="auto"/>
        <w:jc w:val="both"/>
        <w:rPr>
          <w:rFonts w:ascii="Times New Roman" w:hAnsi="Times New Roman" w:cs="Times New Roman"/>
          <w:noProof/>
          <w:sz w:val="24"/>
          <w:szCs w:val="24"/>
        </w:rPr>
      </w:pPr>
      <w:r>
        <w:rPr>
          <w:rFonts w:ascii="Times New Roman" w:hAnsi="Times New Roman"/>
          <w:noProof/>
        </w:rPr>
        <w:t>EU odločno nasprotuje nepoštenim trgovinskim praksam z instrumenti trgovinske zaščite, kadar so podjetja EU, vključno z MSP, oškodovana zaradi dampinškega ali subvencioniranega uvoza. Komisija povečuje namensko podporo MSP, da bi jim olajšala dostop do instrumentov trgovinske zaščite in sodelovanje s Komisijo med preiskavami</w:t>
      </w:r>
      <w:r>
        <w:rPr>
          <w:rStyle w:val="FootnoteReference"/>
          <w:rFonts w:ascii="Times New Roman" w:hAnsi="Times New Roman" w:cs="Times New Roman"/>
          <w:noProof/>
        </w:rPr>
        <w:footnoteReference w:id="36"/>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rPr>
        <w:t>Novi glavni uradnik za trgovino bo med drugim spremljal in si prizadeval za izboljšanje skladnosti z našimi trgovinskimi sporazumi. To bo dodatno okrepilo prizadevanja za odpravo trgovinskih ovir, ki zlasti vplivajo na MSP. Poleg tega bo EU dejavno sodelovala v namenskem gospodarskem ozaveščanju in diplomaciji za podporo MSP pri dostopu do trgov tretjih držav. Priložnosti za evropske podjetnike se bodo razširile prek globalne sheme Erasmus za mlade podjetnike za pridobitev novih izkušenj na trgih tretjih držav.</w:t>
      </w:r>
    </w:p>
    <w:p>
      <w:pPr>
        <w:rPr>
          <w:rFonts w:ascii="Times New Roman" w:hAnsi="Times New Roman" w:cs="Times New Roman"/>
          <w:b/>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after="200" w:line="240" w:lineRule="auto"/>
        <w:ind w:left="720"/>
        <w:jc w:val="both"/>
        <w:rPr>
          <w:rFonts w:ascii="Times New Roman" w:hAnsi="Times New Roman" w:cs="Times New Roman"/>
          <w:b/>
          <w:noProof/>
          <w:sz w:val="24"/>
          <w:szCs w:val="24"/>
        </w:rPr>
      </w:pPr>
      <w:r>
        <w:rPr>
          <w:rFonts w:ascii="Times New Roman" w:hAnsi="Times New Roman"/>
          <w:b/>
          <w:noProof/>
        </w:rPr>
        <w:t>KLJUČNI UKREPI</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Odposlanec EU za MSP in mreža nacionalnih odposlancev za MSP bosta prispevala k delu projektne skupine Komisije za uveljavljanje pravil enotnega trga, ki bo ustanovljena na podlagi akcijskega načrta za uveljavljanje, da bi med drugim obravnavala </w:t>
      </w:r>
      <w:r>
        <w:rPr>
          <w:rFonts w:ascii="Times New Roman" w:hAnsi="Times New Roman"/>
          <w:b/>
          <w:noProof/>
        </w:rPr>
        <w:t>čezmerno prenašanje</w:t>
      </w:r>
      <w:r>
        <w:rPr>
          <w:rFonts w:ascii="Times New Roman" w:hAnsi="Times New Roman"/>
          <w:noProof/>
        </w:rPr>
        <w:t xml:space="preserve"> zakonodaje v procesu prenosa z namenom čim manjšega regulativnega bremena za MSP.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spodbujala države članice k izvajanju enotnega digitalnega portala na način, ki bo prijazen do MSP. Države članice bi morale svoje storitve povezati v sistem </w:t>
      </w:r>
      <w:r>
        <w:rPr>
          <w:rFonts w:ascii="Times New Roman" w:hAnsi="Times New Roman"/>
          <w:b/>
          <w:bCs/>
          <w:noProof/>
        </w:rPr>
        <w:t>„vse na enem mestu“</w:t>
      </w:r>
      <w:r>
        <w:rPr>
          <w:rFonts w:ascii="Times New Roman" w:hAnsi="Times New Roman"/>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Odposlanec EU za MSP bo </w:t>
      </w:r>
      <w:r>
        <w:rPr>
          <w:rFonts w:ascii="Times New Roman" w:hAnsi="Times New Roman"/>
          <w:b/>
          <w:bCs/>
          <w:noProof/>
        </w:rPr>
        <w:t>izluščil</w:t>
      </w:r>
      <w:r>
        <w:rPr>
          <w:rFonts w:ascii="Times New Roman" w:hAnsi="Times New Roman"/>
          <w:noProof/>
        </w:rPr>
        <w:t xml:space="preserve"> pobude EU in Komisijo opozoril na tiste, ki jih je treba posebej obravnavati z vidika MSP ter imajo posebno vlogo na novi platformi „Fit for future“ (Pripravljeni na prihodnost).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pritegnila države članice v okviru </w:t>
      </w:r>
      <w:r>
        <w:rPr>
          <w:rFonts w:ascii="Times New Roman" w:hAnsi="Times New Roman"/>
          <w:b/>
          <w:bCs/>
          <w:noProof/>
        </w:rPr>
        <w:t>standarda EU za zagonska podjetja v EU (Start-up Nations)</w:t>
      </w:r>
      <w:r>
        <w:rPr>
          <w:rFonts w:ascii="Times New Roman" w:hAnsi="Times New Roman"/>
          <w:noProof/>
        </w:rPr>
        <w:t>, da izmenjajo in sprejmejo najboljše prakse za pospešitev rasti visokotehnoloških MSP in zagonskih podjetij.</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poziva države članice in njihove javne naročnike, naj izkoristijo prožnost, ki jo ponuja novi </w:t>
      </w:r>
      <w:r>
        <w:rPr>
          <w:rFonts w:ascii="Times New Roman" w:hAnsi="Times New Roman"/>
          <w:b/>
          <w:noProof/>
        </w:rPr>
        <w:t>okvir EU za javna naročila</w:t>
      </w:r>
      <w:r>
        <w:rPr>
          <w:rFonts w:ascii="Times New Roman" w:hAnsi="Times New Roman"/>
          <w:noProof/>
        </w:rPr>
        <w:t>, da se razširijo priložnosti za MSP, vključno z uporabo digitalnih orodij in platform za okrepitev čezmejnih javnih naročil.</w:t>
      </w:r>
      <w:r>
        <w:rPr>
          <w:rFonts w:ascii="Times New Roman" w:hAnsi="Times New Roman"/>
          <w:b/>
          <w:bCs/>
          <w:noProof/>
        </w:rPr>
        <w:t xml:space="preserve"> </w:t>
      </w:r>
      <w:r>
        <w:rPr>
          <w:rFonts w:ascii="Times New Roman" w:hAnsi="Times New Roman"/>
          <w:bCs/>
          <w:noProof/>
        </w:rPr>
        <w:t xml:space="preserve">Komisija bo </w:t>
      </w:r>
      <w:r>
        <w:rPr>
          <w:rFonts w:ascii="Times New Roman" w:hAnsi="Times New Roman"/>
          <w:b/>
          <w:bCs/>
          <w:noProof/>
        </w:rPr>
        <w:t>javnim naročnikom</w:t>
      </w:r>
      <w:r>
        <w:rPr>
          <w:rFonts w:ascii="Times New Roman" w:hAnsi="Times New Roman"/>
          <w:bCs/>
          <w:noProof/>
        </w:rPr>
        <w:t xml:space="preserve"> dala </w:t>
      </w:r>
      <w:r>
        <w:rPr>
          <w:rFonts w:ascii="Times New Roman" w:hAnsi="Times New Roman"/>
          <w:b/>
          <w:bCs/>
          <w:noProof/>
        </w:rPr>
        <w:t>smernice in podporo</w:t>
      </w:r>
      <w:r>
        <w:rPr>
          <w:rFonts w:ascii="Times New Roman" w:hAnsi="Times New Roman"/>
          <w:bCs/>
          <w:noProof/>
        </w:rPr>
        <w:t>.</w:t>
      </w:r>
      <w:r>
        <w:rPr>
          <w:rFonts w:ascii="Times New Roman" w:hAnsi="Times New Roman"/>
          <w:b/>
          <w:bCs/>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s pilotnim projektom spodbudila države članice, da pripravijo predloge za </w:t>
      </w:r>
      <w:r>
        <w:rPr>
          <w:rFonts w:ascii="Times New Roman" w:hAnsi="Times New Roman"/>
          <w:b/>
          <w:bCs/>
          <w:noProof/>
        </w:rPr>
        <w:t>regulativne peskovnike</w:t>
      </w:r>
      <w:r>
        <w:rPr>
          <w:rFonts w:ascii="Times New Roman" w:hAnsi="Times New Roman"/>
          <w:noProof/>
        </w:rPr>
        <w: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pozvala k vzpostavitvi </w:t>
      </w:r>
      <w:r>
        <w:rPr>
          <w:rFonts w:ascii="Times New Roman" w:hAnsi="Times New Roman"/>
          <w:b/>
          <w:bCs/>
          <w:noProof/>
        </w:rPr>
        <w:t>pionirskih partnerstev med obmejnimi regijami</w:t>
      </w:r>
      <w:r>
        <w:rPr>
          <w:rFonts w:ascii="Times New Roman" w:hAnsi="Times New Roman"/>
          <w:noProof/>
        </w:rPr>
        <w:t>, da bi okrepila sodelovanje pri uveljavljanju enotnega trga in odpravi upravnih ovir.</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podprla države članice pri izvrševanju </w:t>
      </w:r>
      <w:r>
        <w:rPr>
          <w:rFonts w:ascii="Times New Roman" w:hAnsi="Times New Roman"/>
          <w:b/>
          <w:noProof/>
        </w:rPr>
        <w:t>direktive o zamudah pri plačilih</w:t>
      </w:r>
      <w:r>
        <w:rPr>
          <w:rFonts w:ascii="Times New Roman" w:hAnsi="Times New Roman"/>
          <w:noProof/>
        </w:rPr>
        <w:t>, tako da bo vzpostavila orodja za spremljanje in boljše izvrševanje ter preučila izvedljivost alternativnih mehanizmov reševanja/mediacije za MSP.</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olajšala čezmejno sodelovanje z MSP in med njimi v okviru </w:t>
      </w:r>
      <w:r>
        <w:rPr>
          <w:rFonts w:ascii="Times New Roman" w:hAnsi="Times New Roman"/>
          <w:b/>
          <w:noProof/>
        </w:rPr>
        <w:t>evropskega obrambnega sklada</w:t>
      </w:r>
      <w:r>
        <w:rPr>
          <w:rFonts w:ascii="Times New Roman" w:hAnsi="Times New Roman"/>
          <w:noProof/>
        </w:rPr>
        <w:t xml:space="preserve"> ter </w:t>
      </w:r>
      <w:r>
        <w:rPr>
          <w:rFonts w:ascii="Times New Roman" w:hAnsi="Times New Roman"/>
          <w:b/>
          <w:noProof/>
        </w:rPr>
        <w:t>opredelila prednosti</w:t>
      </w:r>
      <w:r>
        <w:rPr>
          <w:rFonts w:ascii="Times New Roman" w:hAnsi="Times New Roman"/>
          <w:noProof/>
        </w:rPr>
        <w:t xml:space="preserve"> svojega raziskovalnega in inovacijskega ekosistema.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začela </w:t>
      </w:r>
      <w:r>
        <w:rPr>
          <w:rFonts w:ascii="Times New Roman" w:hAnsi="Times New Roman"/>
          <w:b/>
          <w:bCs/>
          <w:noProof/>
        </w:rPr>
        <w:t>pobudo za vesoljsko podjetništvo „CASSINI“</w:t>
      </w:r>
      <w:r>
        <w:rPr>
          <w:rFonts w:ascii="Times New Roman" w:hAnsi="Times New Roman"/>
          <w:noProof/>
        </w:rPr>
        <w: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podpirala države članice pri prenosu nedavno sprejete direktive o </w:t>
      </w:r>
      <w:r>
        <w:rPr>
          <w:rFonts w:ascii="Times New Roman" w:hAnsi="Times New Roman"/>
          <w:b/>
          <w:noProof/>
        </w:rPr>
        <w:t>okvirih preventivnega prestrukturiranja in drugi priložnosti</w:t>
      </w:r>
      <w:r>
        <w:rPr>
          <w:rFonts w:ascii="Times New Roman" w:hAnsi="Times New Roman"/>
          <w:noProof/>
        </w:rPr>
        <w:t xml:space="preserve">, tako da jim bo pomagala pri vzpostavitvi mehanizmov zgodnjega opozarjanja za podjetja v finančnih težavah, da se prepreči stečaj.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Skupaj z državami članicami bo proučila možne ukrepe za vzpostavitev podpornega okolja za </w:t>
      </w:r>
      <w:r>
        <w:rPr>
          <w:rFonts w:ascii="Times New Roman" w:hAnsi="Times New Roman"/>
          <w:b/>
          <w:noProof/>
        </w:rPr>
        <w:t>prenos MSP</w:t>
      </w:r>
      <w:r>
        <w:rPr>
          <w:rFonts w:ascii="Times New Roman" w:hAnsi="Times New Roman"/>
          <w:noProof/>
        </w:rPr>
        <w:t>.</w:t>
      </w:r>
      <w:r>
        <w:rPr>
          <w:rFonts w:ascii="Times New Roman" w:hAnsi="Times New Roman"/>
          <w:b/>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še naprej </w:t>
      </w:r>
      <w:r>
        <w:rPr>
          <w:rFonts w:ascii="Times New Roman" w:hAnsi="Times New Roman"/>
          <w:b/>
          <w:noProof/>
        </w:rPr>
        <w:t>izboljševala dostop MSP do trgov tretjih držav</w:t>
      </w:r>
      <w:r>
        <w:rPr>
          <w:rFonts w:ascii="Times New Roman" w:hAnsi="Times New Roman"/>
          <w:noProof/>
        </w:rPr>
        <w:t>, med drugim s pomočjo posebnih poglavij o MSP, dialogov, namenjenih izmenjavi dobrih praks s trgovinskimi partnerji, in novega informacijskega portala. Olajšala bo dostop do instrumentov trgovinske zaščite.</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Delegacije EU bodo zagotovile podporo z odgovori na vprašanja MSP v zvezi s sporazumi o prosti trgovini.</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razširila globalno shemo </w:t>
      </w:r>
      <w:r>
        <w:rPr>
          <w:rFonts w:ascii="Times New Roman" w:hAnsi="Times New Roman"/>
          <w:b/>
          <w:bCs/>
          <w:noProof/>
        </w:rPr>
        <w:t>Erasmus za mlade podjetnike</w:t>
      </w:r>
      <w:r>
        <w:rPr>
          <w:rFonts w:ascii="Times New Roman" w:hAnsi="Times New Roman"/>
          <w:noProof/>
        </w:rPr>
        <w:t xml:space="preserve">. </w:t>
      </w:r>
    </w:p>
    <w:p>
      <w:pPr>
        <w:pStyle w:val="ListParagraph"/>
        <w:spacing w:before="480" w:after="240" w:line="240" w:lineRule="auto"/>
        <w:ind w:left="714"/>
        <w:contextualSpacing w:val="0"/>
        <w:jc w:val="both"/>
        <w:rPr>
          <w:rFonts w:ascii="Times New Roman" w:hAnsi="Times New Roman" w:cs="Times New Roman"/>
          <w:b/>
          <w:bCs/>
          <w:noProof/>
          <w:sz w:val="24"/>
          <w:szCs w:val="24"/>
        </w:rPr>
      </w:pP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 xml:space="preserve">Izboljšanje dostopa do financiranja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Dostop do finančnih sredstev je za MSP bistvenega pomena, da zagotovijo naložbe, potrebne za prehod. Vendar pa imajo mala podjetja v vseh fazah razvoja večje težave pri pridobivanju finančnih sredstev kot velika podjetja. V primeru mladih podjetnikov in zagonskih podjetij je to lahko iz več razlogov: ker na primer nimajo dokazanega finančnega uspeha, zadostnega zavarovanja ali informacij za vlagatelje, da bi ocenili svoje kreditno tveganje ali vrednost njihovih neopredmetenih sredstev.  Za boljši dostop do financiranja je potreben pristop, ki združuje ugodno regulativno okolje, zadostno in usklajeno financiranje na ravni EU in na nacionalni ravni ter dostop do mrež podjetij in vlagateljev. </w:t>
      </w:r>
    </w:p>
    <w:p>
      <w:pPr>
        <w:spacing w:after="240" w:line="240" w:lineRule="auto"/>
        <w:jc w:val="both"/>
        <w:rPr>
          <w:rFonts w:ascii="Times New Roman" w:hAnsi="Times New Roman" w:cs="Times New Roman"/>
          <w:noProof/>
          <w:sz w:val="24"/>
          <w:szCs w:val="24"/>
        </w:rPr>
      </w:pPr>
      <w:r>
        <w:rPr>
          <w:rFonts w:ascii="Times New Roman" w:hAnsi="Times New Roman"/>
          <w:noProof/>
        </w:rPr>
        <w:t>MSP se navkljub znatnim podpornim programom na ravni EU in nacionalni ravni</w:t>
      </w:r>
      <w:r>
        <w:rPr>
          <w:rStyle w:val="FootnoteReference"/>
          <w:rFonts w:ascii="Times New Roman" w:hAnsi="Times New Roman" w:cs="Times New Roman"/>
          <w:noProof/>
        </w:rPr>
        <w:footnoteReference w:id="37"/>
      </w:r>
      <w:r>
        <w:rPr>
          <w:rFonts w:ascii="Times New Roman" w:hAnsi="Times New Roman"/>
          <w:noProof/>
        </w:rPr>
        <w:t xml:space="preserve"> soočajo z veliko finančno vrzeljo v Evropi v višini 20–35 milijard EUR, v nekaterih državah članicah pa dostop do financiranja ostaja ena od ključnih njihovih težav</w:t>
      </w:r>
      <w:r>
        <w:rPr>
          <w:rStyle w:val="FootnoteReference"/>
          <w:rFonts w:ascii="Times New Roman" w:hAnsi="Times New Roman" w:cs="Times New Roman"/>
          <w:noProof/>
        </w:rPr>
        <w:footnoteReference w:id="38"/>
      </w:r>
      <w:r>
        <w:rPr>
          <w:rFonts w:ascii="Times New Roman" w:hAnsi="Times New Roman"/>
          <w:noProof/>
        </w:rPr>
        <w:t xml:space="preserve">. Leta 2019 18 % MSP v EU ni pridobilo celotnega bančnega posojila, ki so ga načrtovala. To postavlja MSP v slabši položaj, saj bančno financiranje predstavlja približno 90 % njihovih finančnih potreb. Bančna ureditev EU mora zagotoviti temelje za stabilen bančni sistem, ki zagotavlja ustrezno financiranje za vsa podjetja. Bančni sveženj EU je ohranil faktor za podporo MSP in ga razširil na vsa posojila, zagotovljena MSP. Komisija bo zagotovila, da bo vsak prihodnji zakonodajni akt o finančnih trgih upošteval interese evropskih MSP in podprl njihov neprekinjen dostop do številnih možnosti financiranja. </w:t>
      </w:r>
    </w:p>
    <w:p>
      <w:pPr>
        <w:spacing w:after="240" w:line="240" w:lineRule="auto"/>
        <w:jc w:val="both"/>
        <w:rPr>
          <w:rFonts w:ascii="Times New Roman" w:hAnsi="Times New Roman" w:cs="Times New Roman"/>
          <w:i/>
          <w:noProof/>
          <w:sz w:val="24"/>
          <w:szCs w:val="24"/>
        </w:rPr>
      </w:pPr>
      <w:r>
        <w:rPr>
          <w:rFonts w:ascii="Times New Roman" w:hAnsi="Times New Roman"/>
          <w:i/>
          <w:noProof/>
        </w:rPr>
        <w:t>Diverzifikacija virov financiranja in pomoč MSP, da bodo bolj pripravljena na naložbe</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Treba je </w:t>
      </w:r>
      <w:r>
        <w:rPr>
          <w:rFonts w:ascii="Times New Roman" w:hAnsi="Times New Roman"/>
          <w:b/>
          <w:noProof/>
        </w:rPr>
        <w:t>diverzificirati vire financiranja</w:t>
      </w:r>
      <w:r>
        <w:rPr>
          <w:rFonts w:ascii="Times New Roman" w:hAnsi="Times New Roman"/>
          <w:noProof/>
        </w:rPr>
        <w:t>. Tvegani kapital, vložen v evropska podjetja, se je leta 2018 povečal za 13 % na 8 milijard EUR, delež lastniškega kapitala iz držav zunaj Evrope pa se je leta 2018 povečal s 7 % na 20 %</w:t>
      </w:r>
      <w:r>
        <w:rPr>
          <w:rStyle w:val="FootnoteReference"/>
          <w:rFonts w:ascii="Times New Roman" w:hAnsi="Times New Roman" w:cs="Times New Roman"/>
          <w:noProof/>
        </w:rPr>
        <w:footnoteReference w:id="39"/>
      </w:r>
      <w:r>
        <w:rPr>
          <w:rFonts w:ascii="Times New Roman" w:hAnsi="Times New Roman"/>
          <w:noProof/>
        </w:rPr>
        <w:t>.  Vendar je samo 10 % podjetij v Evropi uporabilo financiranje kapitalskih trgov v primerjavi z več kot 25 % v ZDA. Evropske naložbe tveganega kapitala so približno osemkrat manjše od takih naložb v ZDA in zato niso dovolj obsežne za financiranje rasti evropskih podjetij</w:t>
      </w:r>
      <w:r>
        <w:rPr>
          <w:rStyle w:val="FootnoteReference"/>
          <w:rFonts w:ascii="Times New Roman" w:hAnsi="Times New Roman" w:cs="Times New Roman"/>
          <w:noProof/>
        </w:rPr>
        <w:footnoteReference w:id="40"/>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Inovativna, hitro rastoča MSP in zagonska podjetja z večjimi kapitalskimi potrebami se v iskanju tveganega kapitala pogosto preselijo v tujino</w:t>
      </w:r>
      <w:r>
        <w:rPr>
          <w:rStyle w:val="FootnoteReference"/>
          <w:rFonts w:ascii="Times New Roman" w:hAnsi="Times New Roman" w:cs="Times New Roman"/>
          <w:noProof/>
        </w:rPr>
        <w:footnoteReference w:id="41"/>
      </w:r>
      <w:r>
        <w:rPr>
          <w:rFonts w:ascii="Times New Roman" w:hAnsi="Times New Roman"/>
          <w:noProof/>
        </w:rPr>
        <w:t xml:space="preserve">. To ne predstavlja zgolj tveganja za tehnološko suverenost, rast in delovna mesta v Evropi, ampak ima tudi nadaljnji vpliv na MSP v širšem smislu.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Poleg tega so lahko evropski vlagatelji zadržani do naložb v zagonska podjetja zaradi izzivov, ki izhajajo iz ocene tržnega potenciala in/ali intelektualne lastnine, na kateri temelji nova tehnološka storitev ali izdelek MSP. Zato je težje oceniti vrednost samega zagonskega podjetja. Storitve skrbnega pregleda s tehnološkega vidika, t. i. storitve </w:t>
      </w:r>
      <w:r>
        <w:rPr>
          <w:rFonts w:ascii="Times New Roman" w:hAnsi="Times New Roman"/>
          <w:b/>
          <w:noProof/>
        </w:rPr>
        <w:t>„Tech due diligence“</w:t>
      </w:r>
      <w:r>
        <w:rPr>
          <w:rFonts w:ascii="Times New Roman" w:hAnsi="Times New Roman"/>
          <w:noProof/>
        </w:rPr>
        <w:t>, so primerne za tovrstne ocene in so bile pri tem uspešne v drugih regijah, vendar v Evropi še niso na voljo. Končno tovrstne storitve koristijo vsem udeleženim stranem: MSP, potencialnim vlagateljem in širšemu inovacijskemu ekosistemu. Pilotni projekt EU bi omogočil natančnejšo oceno visokotehnoloških zagonskih podjetij in pozneje tehnoloških MSP na podlagi njihove tehnologije in portfelja intelektualne lastnine</w:t>
      </w:r>
      <w:r>
        <w:rPr>
          <w:rStyle w:val="FootnoteReference"/>
          <w:rFonts w:ascii="Times New Roman" w:hAnsi="Times New Roman" w:cs="Times New Roman"/>
          <w:noProof/>
        </w:rPr>
        <w:footnoteReference w:id="42"/>
      </w:r>
      <w:r>
        <w:rPr>
          <w:rFonts w:ascii="Times New Roman" w:hAnsi="Times New Roman"/>
          <w:noProof/>
        </w:rPr>
        <w:t>.</w:t>
      </w:r>
    </w:p>
    <w:p>
      <w:pPr>
        <w:spacing w:after="240"/>
        <w:jc w:val="both"/>
        <w:rPr>
          <w:rFonts w:ascii="Times New Roman" w:eastAsia="Calibri" w:hAnsi="Times New Roman" w:cs="Times New Roman"/>
          <w:noProof/>
          <w:sz w:val="24"/>
          <w:szCs w:val="24"/>
        </w:rPr>
      </w:pPr>
      <w:r>
        <w:rPr>
          <w:rFonts w:ascii="Times New Roman" w:hAnsi="Times New Roman"/>
          <w:noProof/>
        </w:rPr>
        <w:t xml:space="preserve">V Evropi je treba sprostiti več zasebnih naložb. Komisija bo uporabila nove načine delitve tveganja z zasebnim sektorjem, kot so pobuda ESCALAR za povečanje skladov tveganega kapitala, okrepila svoja prizadevanja za naložbe in delovala za prenovljen akcijski načrt za unijo kapitalskih trgov. Cilj unije kapitalskih trgov je diverzifikacija virov financiranja za podjetja na vseh stopnjah njihovega razvoja. </w:t>
      </w:r>
    </w:p>
    <w:p>
      <w:pPr>
        <w:spacing w:after="240"/>
        <w:jc w:val="both"/>
        <w:rPr>
          <w:rFonts w:ascii="Times New Roman" w:hAnsi="Times New Roman" w:cs="Times New Roman"/>
          <w:i/>
          <w:noProof/>
          <w:sz w:val="24"/>
          <w:szCs w:val="24"/>
        </w:rPr>
      </w:pPr>
      <w:r>
        <w:rPr>
          <w:rFonts w:ascii="Times New Roman" w:hAnsi="Times New Roman"/>
          <w:i/>
          <w:noProof/>
        </w:rPr>
        <w:t>Postavitev temeljev za sklad za prvo javno ponudbo MSP</w:t>
      </w:r>
    </w:p>
    <w:p>
      <w:pPr>
        <w:spacing w:after="240" w:line="240" w:lineRule="auto"/>
        <w:jc w:val="both"/>
        <w:rPr>
          <w:rFonts w:ascii="Times New Roman" w:hAnsi="Times New Roman" w:cs="Times New Roman"/>
          <w:noProof/>
          <w:sz w:val="24"/>
          <w:szCs w:val="24"/>
        </w:rPr>
      </w:pPr>
      <w:r>
        <w:rPr>
          <w:rFonts w:ascii="Times New Roman" w:hAnsi="Times New Roman"/>
          <w:noProof/>
        </w:rPr>
        <w:t>MSP v Evropi imajo omejene možnosti za financiranje rasti, kot je kotiranje na kapitalskih trgih prek prve javne ponudbe. Kapitalski trgi so pomemben vir financiranja za MSP, ki preraščajo v podjetja s srednje veliko tržno kapitalizacijo in na koncu v velika podjetja. Vendar se je število prvih javnih ponudb MSP po finančni krizi močno zmanjšalo in od takrat ni okrevalo. V letu 2019 sta se vrednost in število evropskih prvih javnih ponudb v primerjavi z letom 2018 še naprej zmanjševali za 40 % oziroma 47 %</w:t>
      </w:r>
      <w:r>
        <w:rPr>
          <w:rStyle w:val="FootnoteReference"/>
          <w:rFonts w:ascii="Times New Roman" w:hAnsi="Times New Roman" w:cs="Times New Roman"/>
          <w:noProof/>
        </w:rPr>
        <w:footnoteReference w:id="43"/>
      </w:r>
      <w:r>
        <w:rPr>
          <w:rFonts w:ascii="Times New Roman" w:hAnsi="Times New Roman"/>
          <w:noProof/>
        </w:rPr>
        <w:t>. Številni institucionalni vlagatelji ne sodelujejo dovolj pri financiranju MSP.</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V ta namen bi javna sredstva lahko služila kot temeljna naložba za pritegnitev več zasebnih vlagateljev v hitro rastoče inovativne MSP v fazi javne kotacije. </w:t>
      </w:r>
      <w:r>
        <w:rPr>
          <w:rFonts w:ascii="Times New Roman" w:hAnsi="Times New Roman"/>
          <w:b/>
          <w:bCs/>
          <w:noProof/>
        </w:rPr>
        <w:t>Sklad za prvo javno ponudbo MSP</w:t>
      </w:r>
      <w:r>
        <w:rPr>
          <w:rFonts w:ascii="Times New Roman" w:hAnsi="Times New Roman"/>
          <w:noProof/>
        </w:rPr>
        <w:t xml:space="preserve"> bi podpiral MSP med postopkom kotiranja na borzi in po njem. Temeljil bo na analizi trga prve javne ponudbe EU ali na testiranju z vlagatelji in zainteresiranimi stranmi.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Vzpostavitev ugodnejšega in bolj vključujočega okolja za dostop do financiranja </w:t>
      </w:r>
    </w:p>
    <w:p>
      <w:pPr>
        <w:spacing w:after="240" w:line="240" w:lineRule="auto"/>
        <w:jc w:val="both"/>
        <w:rPr>
          <w:rFonts w:ascii="Times New Roman" w:hAnsi="Times New Roman" w:cs="Times New Roman"/>
          <w:noProof/>
          <w:sz w:val="24"/>
          <w:szCs w:val="24"/>
        </w:rPr>
      </w:pPr>
      <w:r>
        <w:rPr>
          <w:rFonts w:ascii="Times New Roman" w:hAnsi="Times New Roman"/>
          <w:noProof/>
        </w:rPr>
        <w:t>V zadnjih letih je prišlo do občutnega upada raziskav v zvezi z naložbami v MSP. Pregled direktive o trgih finančnih instrumentov, ki ga bo Komisija izvedla leta 2020, bo osredotočen na to, kako spodbuditi raziskave v zvezi z MSP.</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Z inovacijami na področju finančne tehnologije, ki temeljijo na tehnologiji distribuirane knjige transakcij </w:t>
      </w:r>
      <w:r>
        <w:rPr>
          <w:rFonts w:ascii="Times New Roman" w:hAnsi="Times New Roman"/>
          <w:b/>
          <w:bCs/>
          <w:noProof/>
        </w:rPr>
        <w:t>(„blokovna veriga“)</w:t>
      </w:r>
      <w:r>
        <w:rPr>
          <w:rFonts w:ascii="Times New Roman" w:hAnsi="Times New Roman"/>
          <w:noProof/>
        </w:rPr>
        <w:t>, se lahko odprejo nove možnosti za MSP, da se lahko neposredno povežejo z vlagatelji bodisi prek zaupanja vrednih posrednikov ali na decentraliziran način. MSP lahko omogoči izdajanje kriptosredstev in digitalnih žetonov, na primer v obliki obveznic. Ti so privlačni za vlagatelje, saj se lahko z njimi takoj trguje. To je način za hitrejše, učinkovitejše in stroškovno smotrnejše financiranje za MSP. Komisija bo v skladu s prihodnjo strategijo za digitalne finančne storitve olajšala uporabo kriptosredstev in digitalnih žetonov s strani MSP, vlagateljev in posrednikov.</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Pravila o </w:t>
      </w:r>
      <w:r>
        <w:rPr>
          <w:rFonts w:ascii="Times New Roman" w:hAnsi="Times New Roman"/>
          <w:b/>
          <w:bCs/>
          <w:noProof/>
        </w:rPr>
        <w:t>državni pomoči</w:t>
      </w:r>
      <w:r>
        <w:rPr>
          <w:rFonts w:ascii="Times New Roman" w:hAnsi="Times New Roman"/>
          <w:noProof/>
        </w:rPr>
        <w:t xml:space="preserve"> so omogočila znatno nacionalno podporo za MSP in tvegani kapital</w:t>
      </w:r>
      <w:r>
        <w:rPr>
          <w:rStyle w:val="FootnoteReference"/>
          <w:rFonts w:ascii="Times New Roman" w:hAnsi="Times New Roman" w:cs="Times New Roman"/>
          <w:noProof/>
        </w:rPr>
        <w:footnoteReference w:id="44"/>
      </w:r>
      <w:r>
        <w:rPr>
          <w:rFonts w:ascii="Times New Roman" w:hAnsi="Times New Roman"/>
          <w:noProof/>
        </w:rPr>
        <w:t>. Komisija bo do konca leta 2021 racionalizirala in pregledala ustrezna pravila EU o državni pomoči, da bi zagotovila, da bodo še bolj ustrezala svojemu namenu. Pri tem si bo prizadevala zagotoviti, da bodo pravila spodbujala udeležbo MSP v pomembnih projektih skupnega evropskega interesa. </w:t>
      </w:r>
    </w:p>
    <w:p>
      <w:pPr>
        <w:spacing w:after="240" w:line="240" w:lineRule="auto"/>
        <w:jc w:val="both"/>
        <w:rPr>
          <w:rFonts w:ascii="Times New Roman" w:hAnsi="Times New Roman" w:cs="Times New Roman"/>
          <w:noProof/>
          <w:sz w:val="24"/>
          <w:szCs w:val="24"/>
        </w:rPr>
      </w:pPr>
      <w:r>
        <w:rPr>
          <w:rFonts w:ascii="Times New Roman" w:hAnsi="Times New Roman"/>
          <w:noProof/>
        </w:rPr>
        <w:t>Poleg tega pomanjkanje raznolikosti med tistimi, ki prejemajo naložbe, zmanjšuje potencial talentov in inovacije. Čeprav so ženske ustanovile tretjino podjetij v Evropi, so njihova podjetja premalo zastopana pri zagotavljanju tveganega kapitala. Leta 2019 so več kot 92 % tveganega kapitala, ki so ga zbrala evropska tehnološka podjetja, prejela podjetja, ki so jih ustanovile skupine, sestavljene izključno iz moških</w:t>
      </w:r>
      <w:r>
        <w:rPr>
          <w:rStyle w:val="FootnoteReference"/>
          <w:rFonts w:ascii="Times New Roman" w:hAnsi="Times New Roman" w:cs="Times New Roman"/>
          <w:noProof/>
        </w:rPr>
        <w:footnoteReference w:id="45"/>
      </w:r>
      <w:r>
        <w:rPr>
          <w:rFonts w:ascii="Times New Roman" w:hAnsi="Times New Roman"/>
          <w:noProof/>
        </w:rPr>
        <w:t xml:space="preserve">. Program InvestEU – prihodnje financiranje naložb EU – bi lahko </w:t>
      </w:r>
      <w:r>
        <w:rPr>
          <w:rFonts w:ascii="Times New Roman" w:hAnsi="Times New Roman"/>
          <w:b/>
          <w:noProof/>
        </w:rPr>
        <w:t>v okviru pobude za financiranje ob upoštevanju enakosti spolov</w:t>
      </w:r>
      <w:r>
        <w:rPr>
          <w:rFonts w:ascii="Times New Roman" w:hAnsi="Times New Roman"/>
          <w:noProof/>
        </w:rPr>
        <w:t xml:space="preserve"> pomagal spodbuditi naložbe v ženske in z ženskami ter zagotoviti ciljno usmerjeno podporo za razširitev nabora podjetij in skladov, v katere je mogoče vlagati in jih vodijo ženske. Poleg tega se bo število MSP, ki jih vodijo ženske in imajo koristi od povsem operativnega EIC, potrojilo.</w:t>
      </w:r>
    </w:p>
    <w:p>
      <w:pPr>
        <w:rPr>
          <w:rFonts w:ascii="Times New Roman" w:hAnsi="Times New Roman" w:cs="Times New Roman"/>
          <w:i/>
          <w:noProof/>
          <w:sz w:val="24"/>
          <w:szCs w:val="24"/>
        </w:rPr>
      </w:pPr>
      <w:r>
        <w:rPr>
          <w:rFonts w:ascii="Times New Roman" w:hAnsi="Times New Roman"/>
          <w:i/>
          <w:noProof/>
        </w:rPr>
        <w:t xml:space="preserve">Mobilizacija evropskega, nacionalnega in zasebnega financiranja za MSP prek programa InvestEU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Finančni instrumenti EU so v obdobju 2014–2018 pomagali mobilizirati 100 milijard EUR finančnih sredstev, zlasti za MSP, v obliki dolžniškega in lastniškega financiranja. Pričakuje se, da bo naložbeni načrt EU podprl več kot milijon MSP. Za zmanjšanje vrzeli v financiranju MSP sta potrebni nadaljnja podpora EU in nacionalna podpora. </w:t>
      </w:r>
    </w:p>
    <w:p>
      <w:pPr>
        <w:spacing w:after="240" w:line="240" w:lineRule="auto"/>
        <w:jc w:val="both"/>
        <w:rPr>
          <w:rFonts w:ascii="Times New Roman" w:hAnsi="Times New Roman" w:cs="Times New Roman"/>
          <w:noProof/>
          <w:sz w:val="24"/>
          <w:szCs w:val="24"/>
        </w:rPr>
      </w:pPr>
      <w:r>
        <w:rPr>
          <w:rFonts w:ascii="Times New Roman" w:hAnsi="Times New Roman"/>
          <w:noProof/>
        </w:rPr>
        <w:t>Komisija bo v okviru sklopa za MSP programa InvestEU gradila na pozitivnih izkušnjah z obstoječimi jamstvenimi shemami EU za MSP</w:t>
      </w:r>
      <w:r>
        <w:rPr>
          <w:rStyle w:val="FootnoteReference"/>
          <w:rFonts w:ascii="Times New Roman" w:hAnsi="Times New Roman" w:cs="Times New Roman"/>
          <w:noProof/>
        </w:rPr>
        <w:footnoteReference w:id="46"/>
      </w:r>
      <w:r>
        <w:rPr>
          <w:rFonts w:ascii="Times New Roman" w:hAnsi="Times New Roman"/>
          <w:noProof/>
        </w:rPr>
        <w:t xml:space="preserve">. Vzpostavil bo enotno integrirano jamstveno shemo za MSP, ki se štejejo za visoko tvegane ali nimajo zadostnega zavarovanja, kot so inovativna MSP, MSP iz kulturnih in ustvarjalnih sektorjev, MSP, ki prehajajo z modelov z intenzivno rabo virov in energije na bolj trajnostne modele, ter MSP, ki uvajajo digitalne poslovne prakse. Sklop za MSP programa InvestEU bo podpiral lastniško financiranje MSP in mala podjetja s srednje veliko tržno kapitalizacijo na področjih posebnih interesov politik EU, kot so vesolje in obramba, trajnostnost, digitalizacija, inovacije, </w:t>
      </w:r>
      <w:r>
        <w:rPr>
          <w:rFonts w:ascii="Times New Roman" w:hAnsi="Times New Roman"/>
          <w:b/>
          <w:noProof/>
        </w:rPr>
        <w:t>financiranje ob upoštevanju enakosti spolov</w:t>
      </w:r>
      <w:r>
        <w:rPr>
          <w:rFonts w:ascii="Times New Roman" w:hAnsi="Times New Roman"/>
          <w:noProof/>
        </w:rPr>
        <w:t xml:space="preserve">, visoka in </w:t>
      </w:r>
      <w:r>
        <w:rPr>
          <w:rFonts w:ascii="Times New Roman" w:hAnsi="Times New Roman"/>
          <w:b/>
          <w:noProof/>
        </w:rPr>
        <w:t>zelena tehnologija</w:t>
      </w:r>
      <w:r>
        <w:rPr>
          <w:rFonts w:ascii="Times New Roman" w:hAnsi="Times New Roman"/>
          <w:noProof/>
        </w:rPr>
        <w:t xml:space="preserve">. Sredstva bodo na primer združena iz EU, držav članic in zasebnega sektorja, da bi se povečal dostop do lastniškega financiranja za inovativna MSP in zagonska podjetja, ki razvijajo in sprejemajo zelene tehnološke rešitve. InvestEU bo omogočil financiranje v vseh fazah razvoja od zagona do širitve in prve javne ponudbe. Pomagal bo spodbuditi zasebno financiranje vlagateljev, kot so poslovni angeli, družinska podjetja, skladi tveganega kapitala, pokojninski skladi in zavarovalnice. </w:t>
      </w:r>
    </w:p>
    <w:p>
      <w:pPr>
        <w:spacing w:after="240" w:line="240" w:lineRule="auto"/>
        <w:jc w:val="both"/>
        <w:rPr>
          <w:rFonts w:ascii="Times New Roman" w:hAnsi="Times New Roman" w:cs="Times New Roman"/>
          <w:noProof/>
          <w:sz w:val="24"/>
          <w:szCs w:val="24"/>
        </w:rPr>
      </w:pPr>
      <w:r>
        <w:rPr>
          <w:rFonts w:ascii="Times New Roman" w:hAnsi="Times New Roman"/>
          <w:noProof/>
        </w:rPr>
        <w:t>Komisija bo tesno sodelovala z državami članicami pri združevanju financiranja in obravnavi geografskih neravnovesij pri naložbah in dostopu do financiranja, zlasti prek pobude za digitalne inovacije in pobude za razširitev podjetij</w:t>
      </w:r>
      <w:r>
        <w:rPr>
          <w:rFonts w:ascii="Times New Roman" w:hAnsi="Times New Roman" w:cs="Times New Roman"/>
          <w:noProof/>
          <w:vertAlign w:val="superscript"/>
        </w:rPr>
        <w:footnoteReference w:id="47"/>
      </w:r>
      <w:r>
        <w:rPr>
          <w:rFonts w:ascii="Times New Roman" w:hAnsi="Times New Roman"/>
          <w:noProof/>
        </w:rPr>
        <w:t>. Poleg tega bo sklop za socialne naložbe in spretnosti programa InvestEU izboljšal dostop do mikrofinanciranja, financiranja socialnih podjetij, socialnih naložb in naložb v spretnosti.</w:t>
      </w:r>
    </w:p>
    <w:p>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noProof/>
          <w:sz w:val="24"/>
          <w:szCs w:val="24"/>
        </w:rPr>
      </w:pPr>
      <w:r>
        <w:rPr>
          <w:rFonts w:ascii="Times New Roman" w:hAnsi="Times New Roman"/>
          <w:b/>
          <w:bCs/>
          <w:noProof/>
        </w:rPr>
        <w:t>KLJUČNI UKREPI</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bo </w:t>
      </w:r>
      <w:r>
        <w:rPr>
          <w:rFonts w:ascii="Times New Roman" w:hAnsi="Times New Roman"/>
          <w:b/>
          <w:bCs/>
          <w:noProof/>
        </w:rPr>
        <w:t>podprla</w:t>
      </w:r>
      <w:r>
        <w:rPr>
          <w:rFonts w:ascii="Times New Roman" w:hAnsi="Times New Roman"/>
          <w:noProof/>
        </w:rPr>
        <w:t xml:space="preserve"> </w:t>
      </w:r>
      <w:r>
        <w:rPr>
          <w:rFonts w:ascii="Times New Roman" w:hAnsi="Times New Roman"/>
          <w:b/>
          <w:bCs/>
          <w:noProof/>
        </w:rPr>
        <w:t>prvo javno ponudbo MSP</w:t>
      </w:r>
      <w:r>
        <w:rPr>
          <w:rFonts w:ascii="Times New Roman" w:hAnsi="Times New Roman"/>
          <w:noProof/>
        </w:rPr>
        <w:t xml:space="preserve"> z naložbami prek novega javno-zasebnega sklada, ki bo vzpostavljen v okviru programa InvestEU in se bo začel izvajati leta 2021 v okviru unije kapitalskih trgov. </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bo predstavila prvi tovrstni mehanizem tveganj/donosov, s katerim bo povečala obseg skladov tveganega kapitala in pritegnila zasebne naložbe za povečanje sredstev v okviru </w:t>
      </w:r>
      <w:r>
        <w:rPr>
          <w:rFonts w:ascii="Times New Roman" w:hAnsi="Times New Roman"/>
          <w:b/>
          <w:noProof/>
        </w:rPr>
        <w:t>pobude ESCALAR</w:t>
      </w:r>
      <w:r>
        <w:rPr>
          <w:rFonts w:ascii="Times New Roman" w:hAnsi="Times New Roman"/>
          <w:noProof/>
        </w:rPr>
        <w:t>.</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bo sprožila pobudo za </w:t>
      </w:r>
      <w:r>
        <w:rPr>
          <w:rFonts w:ascii="Times New Roman" w:hAnsi="Times New Roman"/>
          <w:b/>
          <w:bCs/>
          <w:noProof/>
        </w:rPr>
        <w:t>financiranje ob upoštevanju enakosti spolov</w:t>
      </w:r>
      <w:r>
        <w:rPr>
          <w:rFonts w:ascii="Times New Roman" w:hAnsi="Times New Roman"/>
          <w:noProof/>
        </w:rPr>
        <w:t xml:space="preserve">, da bi spodbudila financiranje podjetij in skladov, ki jih vodijo ženske, ter okrepila žensko podjetništvo.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bo začela </w:t>
      </w:r>
      <w:r>
        <w:rPr>
          <w:rFonts w:ascii="Times New Roman" w:hAnsi="Times New Roman"/>
          <w:b/>
          <w:bCs/>
          <w:noProof/>
        </w:rPr>
        <w:t>pobudo za naložbe v zeleno tehnologijo</w:t>
      </w:r>
      <w:r>
        <w:rPr>
          <w:rFonts w:ascii="Times New Roman" w:hAnsi="Times New Roman"/>
          <w:noProof/>
        </w:rPr>
        <w:t xml:space="preserve">, s pomočjo katere bi združila financiranje iz EU, držav članic in zasebnega sektorja, da bi se povečal dostop do lastniškega financiranja za inovativna MSP in zagonska podjetja, ki razvijajo in sprejemajo zelene tehnološke rešitve.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i/>
          <w:iCs/>
          <w:noProof/>
          <w:sz w:val="24"/>
          <w:szCs w:val="24"/>
        </w:rPr>
      </w:pPr>
      <w:r>
        <w:rPr>
          <w:rFonts w:ascii="Times New Roman" w:hAnsi="Times New Roman"/>
          <w:noProof/>
        </w:rPr>
        <w:t xml:space="preserve">Komisija bo sprožila </w:t>
      </w:r>
      <w:r>
        <w:rPr>
          <w:rFonts w:ascii="Times New Roman" w:hAnsi="Times New Roman"/>
          <w:b/>
          <w:bCs/>
          <w:noProof/>
        </w:rPr>
        <w:t>pobudo na podlagi blokovne verige</w:t>
      </w:r>
      <w:r>
        <w:rPr>
          <w:rFonts w:ascii="Times New Roman" w:hAnsi="Times New Roman"/>
          <w:noProof/>
        </w:rPr>
        <w:t>, ki bo omogočila izdajanje obveznic MSP po vsej Evropi in trgovanje z njimi, pri čemer bo uporabila evropsko infrastrukturo za storitve blokovnih verig.</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Komisija bo sofinancirala storitve skrbnega pregleda s tehnološkega vidika, t. i. storitve „</w:t>
      </w:r>
      <w:r>
        <w:rPr>
          <w:rFonts w:ascii="Times New Roman" w:hAnsi="Times New Roman"/>
          <w:b/>
          <w:bCs/>
          <w:noProof/>
        </w:rPr>
        <w:t>Tech due diligence</w:t>
      </w:r>
      <w:r>
        <w:rPr>
          <w:rFonts w:ascii="Times New Roman" w:hAnsi="Times New Roman"/>
          <w:noProof/>
        </w:rPr>
        <w:t>“ v okviru pilotnega projekta EU, da bi omogočila natančnejše vrednotenje visoko tehnoloških zagonskih podjetij in jih pripravila za naložbe.</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bo nadalje </w:t>
      </w:r>
      <w:r>
        <w:rPr>
          <w:rFonts w:ascii="Times New Roman" w:hAnsi="Times New Roman"/>
          <w:b/>
          <w:noProof/>
        </w:rPr>
        <w:t>poenostavila obstoječe predpise o državni pomoči</w:t>
      </w:r>
      <w:r>
        <w:rPr>
          <w:rFonts w:ascii="Times New Roman" w:hAnsi="Times New Roman"/>
          <w:noProof/>
        </w:rPr>
        <w:t xml:space="preserve"> glede kombinacij nacionalnih skladov s programoma InvestEU in Obzorje.  To bo MSP olajšalo koriščenje sredstev iz združenih virov, namenjenih pomoči pri dvojnem prehodu.  Poleg tega bo Komisija v okviru sedanjega pregleda pravil o državni pomoči </w:t>
      </w:r>
      <w:r>
        <w:rPr>
          <w:rFonts w:ascii="Times New Roman" w:hAnsi="Times New Roman"/>
          <w:b/>
          <w:noProof/>
        </w:rPr>
        <w:t>pregledala pravila o državni pomoči za tvegano financiranje in sporočilo o pomembnih projektih skupnega evropskega interesa</w:t>
      </w:r>
      <w:r>
        <w:rPr>
          <w:rFonts w:ascii="Times New Roman" w:hAnsi="Times New Roman"/>
          <w:noProof/>
        </w:rPr>
        <w:t>, da bi dodatno podprla sodelovanje MSP, zagotovila privabljanje zasebnih naložb in preprečila izkrivljanje enakih konkurenčnih pogojev.</w:t>
      </w:r>
    </w:p>
    <w:p>
      <w:pPr>
        <w:spacing w:after="120" w:line="240" w:lineRule="auto"/>
        <w:jc w:val="both"/>
        <w:rPr>
          <w:rFonts w:ascii="Times New Roman" w:hAnsi="Times New Roman" w:cs="Times New Roman"/>
          <w:b/>
          <w:noProof/>
          <w:sz w:val="24"/>
          <w:szCs w:val="24"/>
        </w:rPr>
      </w:pPr>
      <w:r>
        <w:rPr>
          <w:rFonts w:ascii="Times New Roman" w:hAnsi="Times New Roman"/>
          <w:noProof/>
        </w:rPr>
        <w:t xml:space="preserve"> </w:t>
      </w:r>
    </w:p>
    <w:p>
      <w:pPr>
        <w:pStyle w:val="ListParagraph"/>
        <w:numPr>
          <w:ilvl w:val="0"/>
          <w:numId w:val="3"/>
        </w:numPr>
        <w:spacing w:after="240" w:line="240" w:lineRule="auto"/>
        <w:ind w:left="720" w:hanging="720"/>
        <w:contextualSpacing w:val="0"/>
        <w:jc w:val="both"/>
        <w:rPr>
          <w:rFonts w:ascii="Times New Roman" w:hAnsi="Times New Roman" w:cs="Times New Roman"/>
          <w:b/>
          <w:bCs/>
          <w:noProof/>
          <w:sz w:val="24"/>
          <w:szCs w:val="24"/>
        </w:rPr>
      </w:pPr>
      <w:r>
        <w:rPr>
          <w:rFonts w:ascii="Times New Roman" w:hAnsi="Times New Roman"/>
          <w:b/>
          <w:bCs/>
          <w:noProof/>
        </w:rPr>
        <w:t>Upravljanje: v izvajanje usmerjeno partnerstvo med državami članicami in EU</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Strategija za MSP mora temeljiti na obveznostih in ukrepih na ravni EU ter na ravni držav članic. Ker so številna MSP globoko zakoreninjena v regionalnih in lokalnih ekosistemih, kjer zagotavljajo delovna mesta, usposabljanje, davčne prihodke in socialno varnost, je treba to zavezo razširiti na regionalne oblasti. Izvajanje strategije bo temeljilo na trdnem partnerstvu vseh akterjev, ki si delijo odgovornost za izvajanje – EU, nacionalnih, regionalnih in lokalnih organov, MSP in vlagateljev. Vključevalo bo reden politični pregled napredka, meritev in spremljanja. </w:t>
      </w:r>
    </w:p>
    <w:p>
      <w:pPr>
        <w:spacing w:line="240" w:lineRule="auto"/>
        <w:jc w:val="both"/>
        <w:rPr>
          <w:rFonts w:ascii="Times New Roman" w:hAnsi="Times New Roman" w:cs="Times New Roman"/>
          <w:noProof/>
          <w:sz w:val="24"/>
          <w:szCs w:val="24"/>
        </w:rPr>
      </w:pPr>
      <w:r>
        <w:rPr>
          <w:rFonts w:ascii="Times New Roman" w:hAnsi="Times New Roman"/>
          <w:noProof/>
        </w:rPr>
        <w:t xml:space="preserve">Mreža odposlancev za MSP je pomembno orodje za zagotavljanje tega partnerstva med EU in državami članicami. Predstavlja nacionalne organe držav članic, pristojne za politiko MSP, ter zagotavlja organsko povezavo med temi organi, lokalnimi poslovnimi skupnostmi in EU. S podaljšanjem njenega mandata v letu 2020 se bo okrepila vloga mreže in njena interakcija z regionalnimi organi. </w:t>
      </w:r>
    </w:p>
    <w:p>
      <w:pPr>
        <w:spacing w:line="240" w:lineRule="auto"/>
        <w:jc w:val="both"/>
        <w:rPr>
          <w:rFonts w:ascii="Times New Roman" w:hAnsi="Times New Roman" w:cs="Times New Roman"/>
          <w:noProof/>
          <w:sz w:val="24"/>
          <w:szCs w:val="24"/>
        </w:rPr>
      </w:pPr>
      <w:r>
        <w:rPr>
          <w:rFonts w:ascii="Times New Roman" w:hAnsi="Times New Roman"/>
          <w:noProof/>
        </w:rPr>
        <w:t xml:space="preserve">Komisija bo imenovala posebnega </w:t>
      </w:r>
      <w:r>
        <w:rPr>
          <w:rFonts w:ascii="Times New Roman" w:hAnsi="Times New Roman"/>
          <w:b/>
          <w:bCs/>
          <w:noProof/>
        </w:rPr>
        <w:t>odposlanca EU za MSP na visoki ravni</w:t>
      </w:r>
      <w:r>
        <w:rPr>
          <w:rFonts w:ascii="Times New Roman" w:hAnsi="Times New Roman"/>
          <w:noProof/>
        </w:rPr>
        <w:t xml:space="preserve">, ki bo usmerjal delo mreže, da bi zagotovil izvajanje strategije in uporabo načela „najprej pomisli na male“ v vseh politikah EU. Odposlanec EU za MSP bo spremljal tudi izvajanje v posameznih državah članicah. Da bi olajšali vključevanje strategije za MSP na vsa področja politike, bo odposlanec EU za MSP tesno vključen v proces evropskega semestra. Odposlanec EU za MSP bo osveščal glede vidikov, povezanih z MSP, v okviru agende Komisije za boljše pravno urejanje, in sicer v rednem dialogu z odborom za regulativni nadzor in v okviru platforme „Fit for future“ (Pripravljeni na prihodnost).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Komisija bo za dopolnitev dejavnosti (javnega sektorja) mreže odposlancev za MSP tesno sodelovala tudi s </w:t>
      </w:r>
      <w:r>
        <w:rPr>
          <w:rFonts w:ascii="Times New Roman" w:hAnsi="Times New Roman"/>
          <w:b/>
          <w:noProof/>
        </w:rPr>
        <w:t>strateškimi ambasadorji podjetništva</w:t>
      </w:r>
      <w:r>
        <w:rPr>
          <w:rFonts w:ascii="Times New Roman" w:hAnsi="Times New Roman"/>
          <w:noProof/>
        </w:rPr>
        <w:t xml:space="preserve">, novo svetovalno skupino podjetnikov iz vse Evrope, ki bo imela vlogo posvetovalnega odbora. </w:t>
      </w:r>
    </w:p>
    <w:p>
      <w:pPr>
        <w:spacing w:after="240" w:line="240" w:lineRule="auto"/>
        <w:jc w:val="both"/>
        <w:rPr>
          <w:rFonts w:ascii="Times New Roman" w:hAnsi="Times New Roman" w:cs="Times New Roman"/>
          <w:noProof/>
          <w:sz w:val="24"/>
          <w:szCs w:val="24"/>
        </w:rPr>
      </w:pPr>
      <w:r>
        <w:rPr>
          <w:rFonts w:ascii="Times New Roman" w:hAnsi="Times New Roman"/>
          <w:noProof/>
        </w:rPr>
        <w:t>Nova strategija se bo</w:t>
      </w:r>
      <w:r>
        <w:rPr>
          <w:rFonts w:ascii="Times New Roman" w:hAnsi="Times New Roman"/>
          <w:b/>
          <w:noProof/>
        </w:rPr>
        <w:t xml:space="preserve"> redno pregledovala</w:t>
      </w:r>
      <w:r>
        <w:rPr>
          <w:rFonts w:ascii="Times New Roman" w:hAnsi="Times New Roman"/>
          <w:noProof/>
        </w:rPr>
        <w:t xml:space="preserve">. Komisija bo še naprej letno objavljala izboljšan </w:t>
      </w:r>
      <w:r>
        <w:rPr>
          <w:rFonts w:ascii="Times New Roman" w:hAnsi="Times New Roman"/>
          <w:b/>
          <w:noProof/>
        </w:rPr>
        <w:t>pregled uspešnosti MSP</w:t>
      </w:r>
      <w:r>
        <w:rPr>
          <w:rFonts w:ascii="Times New Roman" w:hAnsi="Times New Roman"/>
          <w:noProof/>
        </w:rPr>
        <w:t>. S tem pregledom bo spremljala tudi nacionalne politike, ki so prijazne do zagona podjetij (indeks „Europe Startup Nations“), vključevanja MSP v trajnostne poslovne prakse ter digitalizacije MSP</w:t>
      </w:r>
      <w:r>
        <w:rPr>
          <w:rStyle w:val="FootnoteReference"/>
          <w:rFonts w:ascii="Times New Roman" w:hAnsi="Times New Roman" w:cs="Times New Roman"/>
          <w:noProof/>
        </w:rPr>
        <w:footnoteReference w:id="48"/>
      </w:r>
      <w:r>
        <w:rPr>
          <w:rFonts w:ascii="Times New Roman" w:hAnsi="Times New Roman"/>
          <w:noProof/>
        </w:rPr>
        <w:t xml:space="preserve"> (indeks DESI). Ta pregled bo predstavljen na letni skupščini MSP, kjer se bo o njem tudi razpravljajo, da bi lokalnim zainteresiranim stranem in širši skupnosti MSP zagotovili priložnost za dejavno sodelovanje.</w:t>
      </w:r>
    </w:p>
    <w:p>
      <w:pPr>
        <w:spacing w:after="240" w:line="240" w:lineRule="auto"/>
        <w:jc w:val="both"/>
        <w:rPr>
          <w:rFonts w:ascii="Times New Roman" w:hAnsi="Times New Roman" w:cs="Times New Roman"/>
          <w:noProof/>
          <w:sz w:val="24"/>
          <w:szCs w:val="24"/>
        </w:rPr>
      </w:pPr>
      <w:r>
        <w:rPr>
          <w:rFonts w:ascii="Times New Roman" w:hAnsi="Times New Roman"/>
          <w:noProof/>
        </w:rPr>
        <w:t>Mreža odposlancev za MSP in druge institucije EU bodo sodelovale pri spremljanju izvajanja strategije, na primer prek letnega poročila odposlancev Svetu za konkurenčnost in rednega dialoga z Evropskim parlamentom. Za namene priprave tega poročila se bo odposlanec EU za MSP, skupaj z nacionalnimi odposlanci za MSP, sestal z oblikovalci politik MSP in drugimi zainteresiranimi stranmi v državah članicah, da bi razpravljal tudi o vprašanjih, povezanih z MSP, ki so bila opredeljena v procesu evropskega semestra.  Na podlagi analize, ki izhaja iz teh mehanizmov ocenjevanja, se bo odposlanec EU za MSP uskladil z nacionalnimi odposlanci za MSP, da bi v sodelovanju z lokalnimi poslovnimi zainteresiranimi stranmi pripravil nacionalne izvedbene načrte za to strategijo za MSP.</w:t>
      </w:r>
    </w:p>
    <w:p>
      <w:pPr>
        <w:spacing w:line="240" w:lineRule="auto"/>
        <w:jc w:val="both"/>
        <w:rPr>
          <w:rFonts w:ascii="Times New Roman" w:hAnsi="Times New Roman" w:cs="Times New Roman"/>
          <w:noProof/>
          <w:sz w:val="24"/>
          <w:szCs w:val="24"/>
        </w:rPr>
      </w:pPr>
      <w:r>
        <w:rPr>
          <w:rFonts w:ascii="Times New Roman" w:hAnsi="Times New Roman"/>
          <w:b/>
          <w:noProof/>
        </w:rPr>
        <w:t>Opredelitev MSP</w:t>
      </w:r>
      <w:r>
        <w:rPr>
          <w:rFonts w:ascii="Times New Roman" w:hAnsi="Times New Roman"/>
          <w:noProof/>
        </w:rPr>
        <w:t xml:space="preserve"> v okviru EU je osrednje orodje, s katerim se zagotovi, da je ta strategija usmerjena v ustrezno ciljno skupino, tj. da zagotavlja podporo in koristi podjetjem, ki to najbolj potrebujejo. Komisija redno spremlja, ali ustreza navedenemu namenu. V skladu z nedavnimi javnimi posvetovanji</w:t>
      </w:r>
      <w:r>
        <w:rPr>
          <w:rStyle w:val="FootnoteReference"/>
          <w:rFonts w:ascii="Times New Roman" w:hAnsi="Times New Roman" w:cs="Times New Roman"/>
          <w:noProof/>
        </w:rPr>
        <w:footnoteReference w:id="49"/>
      </w:r>
      <w:r>
        <w:rPr>
          <w:rFonts w:ascii="Times New Roman" w:hAnsi="Times New Roman"/>
          <w:noProof/>
        </w:rPr>
        <w:t>, študijami in raziskavami je bila opredelitev ustrezna in enostavna za uporabo za veliko večino MSP v EU, ki so mala in avtonomna. Komisija bo nadalje ocenila in poročala o posebnih zastavljenih vprašanjih, na primer glede kompleksnih lastniških struktur ali možnih „učinkov ujetosti“.</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bCs/>
          <w:noProof/>
        </w:rPr>
        <w:t>KLJUČNI UKREPI</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Komisija bo imenovala </w:t>
      </w:r>
      <w:r>
        <w:rPr>
          <w:rFonts w:ascii="Times New Roman" w:hAnsi="Times New Roman"/>
          <w:b/>
          <w:noProof/>
        </w:rPr>
        <w:t>odposlanca EU za MSP na visoki ravni.</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Komisija bo okrepila </w:t>
      </w:r>
      <w:r>
        <w:rPr>
          <w:rFonts w:ascii="Times New Roman" w:hAnsi="Times New Roman"/>
          <w:b/>
          <w:bCs/>
          <w:noProof/>
        </w:rPr>
        <w:t>mrežo odposlancev za MSP</w:t>
      </w:r>
      <w:r>
        <w:rPr>
          <w:rFonts w:ascii="Times New Roman" w:hAnsi="Times New Roman"/>
          <w:noProof/>
        </w:rPr>
        <w:t>, da bi tesneje povezala EU in nacionalno raven glede politike o MSP.</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Komisija bo ustanovila skupino</w:t>
      </w:r>
      <w:r>
        <w:rPr>
          <w:rFonts w:ascii="Times New Roman" w:hAnsi="Times New Roman"/>
          <w:b/>
          <w:bCs/>
          <w:noProof/>
        </w:rPr>
        <w:t xml:space="preserve"> strateških ambasadorjev podjetništva</w:t>
      </w:r>
      <w:r>
        <w:rPr>
          <w:rFonts w:ascii="Times New Roman" w:hAnsi="Times New Roman"/>
          <w:noProof/>
        </w:rPr>
        <w:t>.</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noProof/>
          <w:sz w:val="24"/>
          <w:szCs w:val="24"/>
        </w:rPr>
      </w:pPr>
      <w:r>
        <w:rPr>
          <w:rFonts w:ascii="Times New Roman" w:hAnsi="Times New Roman"/>
          <w:b/>
          <w:noProof/>
        </w:rPr>
        <w:t>Odposlanec EU za MSP</w:t>
      </w:r>
      <w:r>
        <w:rPr>
          <w:rFonts w:ascii="Times New Roman" w:hAnsi="Times New Roman"/>
          <w:noProof/>
        </w:rPr>
        <w:t xml:space="preserve"> bo v</w:t>
      </w:r>
      <w:r>
        <w:rPr>
          <w:rFonts w:ascii="Times New Roman" w:hAnsi="Times New Roman"/>
          <w:b/>
          <w:noProof/>
        </w:rPr>
        <w:t xml:space="preserve"> rednem dialogu z odborom za regulativni nadzor</w:t>
      </w:r>
      <w:r>
        <w:rPr>
          <w:rFonts w:ascii="Times New Roman" w:hAnsi="Times New Roman"/>
          <w:noProof/>
        </w:rPr>
        <w:t xml:space="preserve"> osveščal glede vidikov, povezanih z MSP. </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76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Evropski sklad za regionalni razvoj (ESRR) in Evropski socialni sklad (ESS) sta zagotovila sredstva za več kot 900 000 oziroma 500 000 evropskih MSP.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93 final, 10.3.2020.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94 final, 10.3.2020.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102 final, 10.3.2020. </w:t>
      </w:r>
    </w:p>
  </w:footnote>
  <w:footnote w:id="6">
    <w:p>
      <w:pPr>
        <w:pStyle w:val="FootnoteText"/>
        <w:jc w:val="both"/>
      </w:pPr>
      <w:r>
        <w:rPr>
          <w:rStyle w:val="FootnoteReference"/>
          <w:rFonts w:ascii="Times New Roman" w:hAnsi="Times New Roman" w:cs="Times New Roman"/>
        </w:rPr>
        <w:footnoteRef/>
      </w:r>
      <w:r>
        <w:rPr>
          <w:rFonts w:ascii="Times New Roman" w:hAnsi="Times New Roman"/>
        </w:rPr>
        <w:t xml:space="preserve"> Študija Eurobarometer iz leta 2017 o MSP, učinkoviti rabi virov in zelenih trgih.</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COM(2020) 21 final, 14.1.2020.</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Poročilo delovne skupine za vozlišča za digitalne inovacije iz leta 2018 </w:t>
      </w:r>
      <w:hyperlink r:id="rId1" w:tgtFrame="_blank" w:history="1">
        <w:r>
          <w:rPr>
            <w:rStyle w:val="Hyperlink"/>
            <w:rFonts w:ascii="Times New Roman" w:hAnsi="Times New Roman"/>
            <w:color w:val="0066CC"/>
          </w:rPr>
          <w:t>https://ec.europa.eu/futurium/en/system/files/ged/dihs_access_to_finance_report_final.pdf</w:t>
        </w:r>
      </w:hyperlink>
      <w:r>
        <w:rPr>
          <w:rFonts w:ascii="Times New Roman" w:hAnsi="Times New Roman"/>
        </w:rP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Startup Europe je pobuda EU za povezovanje lokalnih zagonskih vozlišč po Evropi: </w:t>
      </w:r>
      <w:hyperlink r:id="rId2" w:history="1">
        <w:r>
          <w:rPr>
            <w:rStyle w:val="Hyperlink"/>
            <w:rFonts w:ascii="Times New Roman" w:hAnsi="Times New Roman"/>
          </w:rPr>
          <w:t>https://ec.europa.eu/digital-single-market/en/startup-europe</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 19.2.2020.</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Poročilo EIB o naložbah 2018/2019.</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Raziskava SAFE 2019.</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Strategija za enakost spolov 2020–2025, COM(2020) 152 final, 4.3.2020.</w:t>
      </w:r>
    </w:p>
  </w:footnote>
  <w:footnote w:id="14">
    <w:p>
      <w:pPr>
        <w:pStyle w:val="FootnoteText"/>
      </w:pPr>
      <w:r>
        <w:rPr>
          <w:rStyle w:val="FootnoteReference"/>
          <w:rFonts w:ascii="Times New Roman" w:hAnsi="Times New Roman" w:cs="Times New Roman"/>
        </w:rPr>
        <w:footnoteRef/>
      </w:r>
      <w:r>
        <w:rPr>
          <w:rFonts w:ascii="Times New Roman" w:hAnsi="Times New Roman"/>
        </w:rPr>
        <w:t xml:space="preserve"> COM(2016) 356 final, 2.6.2016.</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Letno poročilo o evropskih MSP – MSP, ki rastejo prek meja.</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anchor="sba-fact-sheets" w:history="1">
        <w:r>
          <w:rPr>
            <w:rStyle w:val="Hyperlink"/>
            <w:rFonts w:ascii="Times New Roman" w:hAnsi="Times New Roman"/>
          </w:rPr>
          <w:t>Informativni pregled „Small Business Act“ za EU-28</w:t>
        </w:r>
      </w:hyperlink>
      <w:r>
        <w:t>.</w:t>
      </w:r>
    </w:p>
  </w:footnote>
  <w:footnote w:id="17">
    <w:p>
      <w:pPr>
        <w:pStyle w:val="FootnoteText"/>
        <w:jc w:val="both"/>
      </w:pPr>
      <w:r>
        <w:rPr>
          <w:rStyle w:val="FootnoteReference"/>
          <w:rFonts w:ascii="Times New Roman" w:hAnsi="Times New Roman" w:cs="Times New Roman"/>
        </w:rPr>
        <w:footnoteRef/>
      </w:r>
      <w:r>
        <w:rPr>
          <w:rFonts w:ascii="Times New Roman" w:hAnsi="Times New Roman"/>
        </w:rPr>
        <w:t xml:space="preserve"> Ecorys, Upravne formalnosti in stroški pri čezmejnem dostopanju do trgov za zagotavljanje računovodskih, inženirskih in arhitekturnih storitev („Administrative formalities and costs involved in accessing markets cross-border for provisions of accountancy, engineering and architecture services“), 2017.</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Zakonodaja EU lahko dopušča prožnost glede stopnje harmonizacije in/ali praks v državah članicah („čezmerno prenašanje“), COM(2020) 93 final, 10.3.2020.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 načelu „najprej pomisli na male“ je treba pri oblikovanju politik tako na ravni EU kot na nacionalni ravni upoštevati interese MSP.</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 načelu „samo enkrat“ državljani in podjetja različne podatke posredujejo javni upravi le enkrat.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 načelom „privzeto digitalno“ se želi zmanjšati upravno breme tako, da digitalno zagotavljanje storitev postane privzeta izbira javnih uprav.</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Nova skupina na visoki ravni, ki bo ob vzpostavitvi zamenjala platformo REFIT.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Odposlanec EU za MSP zagotavlja povezavo med oblikovanjem politik za MSP na ravni EU in nacionalnimi odposlanci/organi MSP, pristojnimi za politiko za MSP, in predseduje mreži nacionalnih odposlancev za MSP.</w:t>
      </w:r>
    </w:p>
  </w:footnote>
  <w:footnote w:id="24">
    <w:p>
      <w:pPr>
        <w:pStyle w:val="FootnoteText"/>
        <w:rPr>
          <w:rFonts w:ascii="Times New Roman" w:hAnsi="Times New Roman" w:cs="Times New Roman"/>
        </w:rPr>
      </w:pPr>
      <w:r>
        <w:rPr>
          <w:rStyle w:val="FootnoteReference"/>
        </w:rPr>
        <w:footnoteRef/>
      </w:r>
      <w:r>
        <w:t xml:space="preserve"> </w:t>
      </w:r>
      <w:r>
        <w:rPr>
          <w:rFonts w:ascii="Times New Roman" w:hAnsi="Times New Roman"/>
        </w:rPr>
        <w:t>Študija Evropske komisije o stroških MSP za izpolnjevanje davčnih obveznosti, 2018.</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Pozor: most! Razširitev tehnoloških podjetij v Evropi („Mind the Bridge: Tech Scale-up Europe“), poročilo iz leta 2019.</w:t>
      </w:r>
    </w:p>
  </w:footnote>
  <w:footnote w:id="26">
    <w:p>
      <w:pPr>
        <w:pStyle w:val="FootnoteText"/>
        <w:tabs>
          <w:tab w:val="left" w:pos="569"/>
        </w:tabs>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Uredba (EU) 2018/1724 vzpostavlja enotni digitalni portal za zagotavljanje dostopa do informacij, postopkov ter storitev za pomoč in reševanje težav uporabnikom v njihovih lastnih državah in prek meja.</w:t>
      </w:r>
      <w:r>
        <w:rPr>
          <w:rFonts w:ascii="Times New Roman" w:hAnsi="Times New Roman"/>
          <w:sz w:val="16"/>
          <w:szCs w:val="16"/>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Blago, ki ni harmonizirano z zakonodajo EU, kot so tekstil, obutev, izdelki za nego otrok, nakit, namizni pribor ali pohištvo.</w:t>
      </w:r>
    </w:p>
  </w:footnote>
  <w:footnote w:id="28">
    <w:p>
      <w:pPr>
        <w:pStyle w:val="FootnoteText"/>
        <w:rPr>
          <w:rFonts w:ascii="Times New Roman" w:hAnsi="Times New Roman" w:cs="Times New Roman"/>
        </w:rPr>
      </w:pPr>
      <w:r>
        <w:rPr>
          <w:rStyle w:val="FootnoteReference"/>
        </w:rPr>
        <w:footnoteRef/>
      </w:r>
      <w:r>
        <w:rPr>
          <w:rFonts w:ascii="Times New Roman" w:hAnsi="Times New Roman"/>
        </w:rPr>
        <w:t xml:space="preserve"> COM(2020) 93 final, 10.3.2020. </w:t>
      </w:r>
    </w:p>
    <w:p>
      <w:pPr>
        <w:pStyle w:val="FootnoteText"/>
      </w:pPr>
    </w:p>
  </w:footnote>
  <w:footnote w:id="29">
    <w:p>
      <w:pPr>
        <w:pStyle w:val="FootnoteText"/>
        <w:jc w:val="both"/>
        <w:rPr>
          <w:rFonts w:ascii="Times New Roman" w:hAnsi="Times New Roman" w:cs="Times New Roman"/>
        </w:rPr>
      </w:pPr>
      <w:r>
        <w:rPr>
          <w:rStyle w:val="FootnoteReference"/>
        </w:rPr>
        <w:footnoteRef/>
      </w:r>
      <w:r>
        <w:rPr>
          <w:rFonts w:ascii="Times New Roman" w:hAnsi="Times New Roman"/>
        </w:rPr>
        <w:t xml:space="preserve"> COM(2020) 98 final, 11.3.2020.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Ekstrapolacija na podlagi poslovne dinamike: zagonska podjetja, prenos podjetij in stečaj („Extrapolation based on Business Dynamics: Start-ups, Business transfer and Bankruptcy“), končno poročilo 2011, str. 10, http://ec.europa.eu/DocsRoom/documents/10448/attachments/1/translations. </w:t>
      </w:r>
    </w:p>
  </w:footnote>
  <w:footnote w:id="31">
    <w:p>
      <w:pPr>
        <w:pStyle w:val="FootnoteText"/>
        <w:jc w:val="both"/>
      </w:pPr>
      <w:r>
        <w:rPr>
          <w:rStyle w:val="FootnoteReference"/>
        </w:rPr>
        <w:footnoteRef/>
      </w:r>
      <w:r>
        <w:t xml:space="preserve"> </w:t>
      </w:r>
      <w:r>
        <w:rPr>
          <w:rFonts w:ascii="Times New Roman" w:hAnsi="Times New Roman"/>
        </w:rPr>
        <w:t>Direktiva (EU) 2019/2121 z dne 27. novembra 2019 o čezmejnih preoblikovanjih, združitvah in delitvah.</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2019/1023 iz junija 2019. </w:t>
      </w:r>
    </w:p>
  </w:footnote>
  <w:footnote w:id="33">
    <w:p>
      <w:pPr>
        <w:pStyle w:val="FootnoteText"/>
        <w:jc w:val="both"/>
        <w:rPr>
          <w:rFonts w:ascii="Times New Roman" w:hAnsi="Times New Roman" w:cs="Times New Roman"/>
        </w:rPr>
      </w:pPr>
      <w:r>
        <w:rPr>
          <w:rStyle w:val="FootnoteReference"/>
        </w:rPr>
        <w:footnoteRef/>
      </w:r>
      <w:r>
        <w:rPr>
          <w:rFonts w:ascii="Times New Roman" w:hAnsi="Times New Roman"/>
        </w:rPr>
        <w:t xml:space="preserve"> Publikacija EU iz leta 2018 Primerjalna analiza zakonodajnih in nezakonodajnih ukrepov pri izboljšanju plačevanja („A comparative analysis of legal measures vs. soft-law instruments for improving payment behaviour“).</w:t>
      </w:r>
    </w:p>
  </w:footnote>
  <w:footnote w:id="34">
    <w:p>
      <w:pPr>
        <w:pStyle w:val="FootnoteText"/>
        <w:jc w:val="both"/>
      </w:pPr>
      <w:r>
        <w:rPr>
          <w:rStyle w:val="FootnoteReference"/>
          <w:rFonts w:ascii="Times New Roman" w:hAnsi="Times New Roman" w:cs="Times New Roman"/>
        </w:rPr>
        <w:footnoteRef/>
      </w:r>
      <w:r>
        <w:rPr>
          <w:rFonts w:ascii="Times New Roman" w:hAnsi="Times New Roman"/>
        </w:rPr>
        <w:t xml:space="preserve"> Publikacija EU iz leta 2018 Primerjalna analiza zakonodajnih in nezakonodajnih ukrepov pri izboljšanju plačevanja („A comparative analysis of legal measures vs. soft-law instruments for improving payment behaviour“).</w:t>
      </w:r>
    </w:p>
  </w:footnote>
  <w:footnote w:id="35">
    <w:p>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Center EU za MSP v Pekingu ponuja prvo pomoč evropskim MSP, ki želijo razviti svojo prisotnost na kitajskem trgu, </w:t>
      </w:r>
      <w:hyperlink r:id="rId4" w:history="1">
        <w:r>
          <w:rPr>
            <w:rStyle w:val="Hyperlink"/>
            <w:rFonts w:ascii="Times New Roman" w:hAnsi="Times New Roman"/>
          </w:rPr>
          <w:t>www.eusmecentre.org.cn</w:t>
        </w:r>
      </w:hyperlink>
      <w:r>
        <w:rPr>
          <w:rFonts w:ascii="Times New Roman" w:hAnsi="Times New Roman"/>
        </w:rPr>
        <w:t xml:space="preserve">. </w:t>
      </w:r>
    </w:p>
  </w:footnote>
  <w:footnote w:id="36">
    <w:p>
      <w:pPr>
        <w:pStyle w:val="FootnoteText"/>
        <w:jc w:val="both"/>
      </w:pPr>
      <w:r>
        <w:rPr>
          <w:rStyle w:val="FootnoteReference"/>
        </w:rPr>
        <w:footnoteRef/>
      </w:r>
      <w:r>
        <w:t xml:space="preserve">  </w:t>
      </w:r>
      <w:r>
        <w:rPr>
          <w:rFonts w:ascii="Times New Roman" w:hAnsi="Times New Roman"/>
        </w:rPr>
        <w:t xml:space="preserve">Uredba (EU) 2018/825 z dne 30. maja 2018.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Vrzel v dolžniškem financiranju na leto v obdobju 2014–2018</w:t>
      </w:r>
      <w:r>
        <w:t>;</w:t>
      </w:r>
      <w:r>
        <w:rPr>
          <w:rFonts w:ascii="Times New Roman" w:hAnsi="Times New Roman"/>
        </w:rPr>
        <w:t xml:space="preserve"> glej SWD(2018) 320 final z dne 7.6.2018.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Evropska komisija in Evropska centralna banka, Raziskava o dostopu do financiranja za podjetja v euroobmočju („Survey on the Access to Finance of Enterprises“), 11.2019.</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Invest Europe (2019)20</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Poročilo Združenja za finančne trge v Evropi o kazalnikih uspešnosti Unije v zvezi s kapitalskimi trgi za leto 2019 („AFME Capital Markets Union Indicators Report 2019“).</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Financiranje poglobljene tehnološke revolucije („Financing the Deep Tech Revolution“) (Študija EC-EIB, 2018)</w:t>
      </w:r>
      <w:r>
        <w:t>.</w:t>
      </w:r>
      <w:r>
        <w:rPr>
          <w:rFonts w:ascii="Times New Roman" w:hAnsi="Times New Roman"/>
        </w:rPr>
        <w:t xml:space="preserve"> </w:t>
      </w:r>
    </w:p>
  </w:footnote>
  <w:footnote w:id="42">
    <w:p>
      <w:pPr>
        <w:pStyle w:val="FootnoteText"/>
        <w:jc w:val="both"/>
      </w:pPr>
      <w:r>
        <w:rPr>
          <w:rStyle w:val="FootnoteReference"/>
          <w:rFonts w:ascii="Times New Roman" w:hAnsi="Times New Roman" w:cs="Times New Roman"/>
        </w:rPr>
        <w:footnoteRef/>
      </w:r>
      <w:r>
        <w:rPr>
          <w:rFonts w:ascii="Times New Roman" w:hAnsi="Times New Roman"/>
        </w:rPr>
        <w:t xml:space="preserve"> Glej </w:t>
      </w:r>
      <w:r>
        <w:rPr>
          <w:rFonts w:ascii="Times New Roman" w:hAnsi="Times New Roman"/>
          <w:i/>
          <w:iCs/>
        </w:rPr>
        <w:t>Leveraging intelligence</w:t>
      </w:r>
      <w:r>
        <w:rPr>
          <w:rFonts w:ascii="Times New Roman" w:hAnsi="Times New Roman"/>
        </w:rPr>
        <w:t xml:space="preserve"> na https://www.innoradar.eu</w:t>
      </w:r>
      <w:r>
        <w:t>.</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https://www.pwc.co.uk/audit-assurance/assets/pdf/ipo-watch-q4-2019-annual-review.pdf</w:t>
      </w:r>
      <w:r>
        <w: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Odhodki za leto 2018 so znašali 216 milijonov EUR za cilj „tvegani kapital“ in 501 milijon EUR za cilj „MSP“.  </w:t>
      </w:r>
    </w:p>
  </w:footnote>
  <w:footnote w:id="45">
    <w:p>
      <w:pPr>
        <w:pStyle w:val="FootnoteText"/>
      </w:pPr>
      <w:r>
        <w:rPr>
          <w:rStyle w:val="FootnoteReference"/>
          <w:rFonts w:ascii="Times New Roman" w:hAnsi="Times New Roman" w:cs="Times New Roman"/>
        </w:rPr>
        <w:footnoteRef/>
      </w:r>
      <w:r>
        <w:rPr>
          <w:rFonts w:ascii="Times New Roman" w:hAnsi="Times New Roman"/>
        </w:rPr>
        <w:t xml:space="preserve"> Poročilo o stanju evropske tehnologije za leto 2019 („2019 State of European Tech report“) </w:t>
      </w:r>
      <w:hyperlink r:id="rId5" w:history="1">
        <w:r>
          <w:rPr>
            <w:rStyle w:val="Hyperlink"/>
            <w:rFonts w:ascii="Times New Roman" w:hAnsi="Times New Roman"/>
          </w:rPr>
          <w:t>https://2019.stateofeuropeantech.com/chart/103-1338/</w:t>
        </w:r>
      </w:hyperlink>
      <w:r>
        <w:rPr>
          <w:rFonts w:ascii="Times New Roman" w:hAnsi="Times New Roman"/>
        </w:rPr>
        <w:t xml:space="preserve">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 voljo v okviru programov COSME, Obzorje 2020, Ustvarjalna Evropa in skladov kohezijske politike EU.</w:t>
      </w:r>
    </w:p>
  </w:footnote>
  <w:footnote w:id="47">
    <w:p>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https://ec.europa.eu/digital-single-market/en/news/launch-digital-innovation-and-scale-initiative-central-eastern-and-south-eastern-europe</w:t>
      </w:r>
      <w:r>
        <w:t>.</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https://ec.europa.eu/digital-single-market/en/integration-digital-technology</w:t>
      </w:r>
      <w:r>
        <w:t>.</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Javno posvetovanje o opredelitvi MSP: </w:t>
      </w:r>
      <w:hyperlink r:id="rId6" w:history="1">
        <w:r>
          <w:rPr>
            <w:rStyle w:val="Hyperlink"/>
            <w:rFonts w:ascii="Times New Roman" w:hAnsi="Times New Roman"/>
          </w:rPr>
          <w:t>https://ec.europa.eu/info/consultations/public-consultation-review-sme-definition_sl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5F2B3C"/>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814F4"/>
    <w:multiLevelType w:val="hybridMultilevel"/>
    <w:tmpl w:val="FB765F66"/>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0BC41308"/>
    <w:multiLevelType w:val="hybridMultilevel"/>
    <w:tmpl w:val="B77E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nsid w:val="0CDD2019"/>
    <w:multiLevelType w:val="hybridMultilevel"/>
    <w:tmpl w:val="4E9E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F75F0"/>
    <w:multiLevelType w:val="hybridMultilevel"/>
    <w:tmpl w:val="5C4425B2"/>
    <w:lvl w:ilvl="0" w:tplc="24A6548E">
      <w:start w:val="5"/>
      <w:numFmt w:val="bullet"/>
      <w:lvlText w:val="-"/>
      <w:lvlJc w:val="left"/>
      <w:pPr>
        <w:ind w:left="540" w:hanging="360"/>
      </w:pPr>
      <w:rPr>
        <w:rFonts w:ascii="Calibri" w:eastAsiaTheme="minorEastAsia"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0DCF02C7"/>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2B7D1A"/>
    <w:multiLevelType w:val="hybridMultilevel"/>
    <w:tmpl w:val="68B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DE442C"/>
    <w:multiLevelType w:val="hybridMultilevel"/>
    <w:tmpl w:val="3752AE5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2922D3"/>
    <w:multiLevelType w:val="hybridMultilevel"/>
    <w:tmpl w:val="7E2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255FBB"/>
    <w:multiLevelType w:val="hybridMultilevel"/>
    <w:tmpl w:val="867250D2"/>
    <w:lvl w:ilvl="0" w:tplc="2144B55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9F162A8"/>
    <w:multiLevelType w:val="hybridMultilevel"/>
    <w:tmpl w:val="38765A44"/>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C4828BE"/>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FF0A51"/>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836AAE"/>
    <w:multiLevelType w:val="hybridMultilevel"/>
    <w:tmpl w:val="E780CA48"/>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22665C8B"/>
    <w:multiLevelType w:val="multilevel"/>
    <w:tmpl w:val="2F123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293F07"/>
    <w:multiLevelType w:val="hybridMultilevel"/>
    <w:tmpl w:val="818C3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C18587A"/>
    <w:multiLevelType w:val="hybridMultilevel"/>
    <w:tmpl w:val="12BCF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31525EFF"/>
    <w:multiLevelType w:val="hybridMultilevel"/>
    <w:tmpl w:val="50F070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6C642F"/>
    <w:multiLevelType w:val="hybridMultilevel"/>
    <w:tmpl w:val="67FA4AE4"/>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EAE6074"/>
    <w:multiLevelType w:val="hybridMultilevel"/>
    <w:tmpl w:val="32D69F58"/>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5D96A10"/>
    <w:multiLevelType w:val="hybridMultilevel"/>
    <w:tmpl w:val="7DC08E8A"/>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47F37982"/>
    <w:multiLevelType w:val="multilevel"/>
    <w:tmpl w:val="7AF80B4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nsid w:val="4A804E34"/>
    <w:multiLevelType w:val="hybridMultilevel"/>
    <w:tmpl w:val="A764461E"/>
    <w:lvl w:ilvl="0" w:tplc="5B066F94">
      <w:start w:val="1"/>
      <w:numFmt w:val="bullet"/>
      <w:lvlText w:val=""/>
      <w:lvlJc w:val="left"/>
      <w:pPr>
        <w:ind w:left="720" w:hanging="360"/>
      </w:pPr>
      <w:rPr>
        <w:rFonts w:ascii="Symbol" w:hAnsi="Symbol" w:hint="default"/>
      </w:rPr>
    </w:lvl>
    <w:lvl w:ilvl="1" w:tplc="00D2F534">
      <w:start w:val="1"/>
      <w:numFmt w:val="bullet"/>
      <w:lvlText w:val="o"/>
      <w:lvlJc w:val="left"/>
      <w:pPr>
        <w:ind w:left="1440" w:hanging="360"/>
      </w:pPr>
      <w:rPr>
        <w:rFonts w:ascii="Courier New" w:hAnsi="Courier New" w:hint="default"/>
      </w:rPr>
    </w:lvl>
    <w:lvl w:ilvl="2" w:tplc="74EC0316">
      <w:start w:val="1"/>
      <w:numFmt w:val="bullet"/>
      <w:lvlText w:val=""/>
      <w:lvlJc w:val="left"/>
      <w:pPr>
        <w:ind w:left="2160" w:hanging="360"/>
      </w:pPr>
      <w:rPr>
        <w:rFonts w:ascii="Wingdings" w:hAnsi="Wingdings" w:hint="default"/>
      </w:rPr>
    </w:lvl>
    <w:lvl w:ilvl="3" w:tplc="B4AA705A">
      <w:start w:val="1"/>
      <w:numFmt w:val="bullet"/>
      <w:lvlText w:val=""/>
      <w:lvlJc w:val="left"/>
      <w:pPr>
        <w:ind w:left="2880" w:hanging="360"/>
      </w:pPr>
      <w:rPr>
        <w:rFonts w:ascii="Symbol" w:hAnsi="Symbol" w:hint="default"/>
      </w:rPr>
    </w:lvl>
    <w:lvl w:ilvl="4" w:tplc="B8B0DABA">
      <w:start w:val="1"/>
      <w:numFmt w:val="bullet"/>
      <w:lvlText w:val="o"/>
      <w:lvlJc w:val="left"/>
      <w:pPr>
        <w:ind w:left="3600" w:hanging="360"/>
      </w:pPr>
      <w:rPr>
        <w:rFonts w:ascii="Courier New" w:hAnsi="Courier New" w:hint="default"/>
      </w:rPr>
    </w:lvl>
    <w:lvl w:ilvl="5" w:tplc="D3B2ECCE">
      <w:start w:val="1"/>
      <w:numFmt w:val="bullet"/>
      <w:lvlText w:val=""/>
      <w:lvlJc w:val="left"/>
      <w:pPr>
        <w:ind w:left="4320" w:hanging="360"/>
      </w:pPr>
      <w:rPr>
        <w:rFonts w:ascii="Wingdings" w:hAnsi="Wingdings" w:hint="default"/>
      </w:rPr>
    </w:lvl>
    <w:lvl w:ilvl="6" w:tplc="3A202B0C">
      <w:start w:val="1"/>
      <w:numFmt w:val="bullet"/>
      <w:lvlText w:val=""/>
      <w:lvlJc w:val="left"/>
      <w:pPr>
        <w:ind w:left="5040" w:hanging="360"/>
      </w:pPr>
      <w:rPr>
        <w:rFonts w:ascii="Symbol" w:hAnsi="Symbol" w:hint="default"/>
      </w:rPr>
    </w:lvl>
    <w:lvl w:ilvl="7" w:tplc="C122A928">
      <w:start w:val="1"/>
      <w:numFmt w:val="bullet"/>
      <w:lvlText w:val="o"/>
      <w:lvlJc w:val="left"/>
      <w:pPr>
        <w:ind w:left="5760" w:hanging="360"/>
      </w:pPr>
      <w:rPr>
        <w:rFonts w:ascii="Courier New" w:hAnsi="Courier New" w:hint="default"/>
      </w:rPr>
    </w:lvl>
    <w:lvl w:ilvl="8" w:tplc="CCA0B050">
      <w:start w:val="1"/>
      <w:numFmt w:val="bullet"/>
      <w:lvlText w:val=""/>
      <w:lvlJc w:val="left"/>
      <w:pPr>
        <w:ind w:left="6480" w:hanging="360"/>
      </w:pPr>
      <w:rPr>
        <w:rFonts w:ascii="Wingdings" w:hAnsi="Wingdings" w:hint="default"/>
      </w:rPr>
    </w:lvl>
  </w:abstractNum>
  <w:abstractNum w:abstractNumId="27">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D50BC6"/>
    <w:multiLevelType w:val="hybridMultilevel"/>
    <w:tmpl w:val="A07C2AD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B5524F"/>
    <w:multiLevelType w:val="hybridMultilevel"/>
    <w:tmpl w:val="B2608DD4"/>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nsid w:val="58EC1E17"/>
    <w:multiLevelType w:val="hybridMultilevel"/>
    <w:tmpl w:val="FA8A1252"/>
    <w:lvl w:ilvl="0" w:tplc="1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D7D5B44"/>
    <w:multiLevelType w:val="hybridMultilevel"/>
    <w:tmpl w:val="13FC2D4E"/>
    <w:lvl w:ilvl="0" w:tplc="18090001">
      <w:start w:val="1"/>
      <w:numFmt w:val="bullet"/>
      <w:lvlText w:val=""/>
      <w:lvlJc w:val="left"/>
      <w:pPr>
        <w:ind w:left="357" w:hanging="360"/>
      </w:pPr>
      <w:rPr>
        <w:rFonts w:ascii="Symbol" w:hAnsi="Symbol" w:hint="default"/>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32">
    <w:nsid w:val="66E06D2F"/>
    <w:multiLevelType w:val="hybridMultilevel"/>
    <w:tmpl w:val="F78C4F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B8760CB"/>
    <w:multiLevelType w:val="hybridMultilevel"/>
    <w:tmpl w:val="DAF22D4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DC1E8C"/>
    <w:multiLevelType w:val="hybridMultilevel"/>
    <w:tmpl w:val="3F028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2F31D09"/>
    <w:multiLevelType w:val="hybridMultilevel"/>
    <w:tmpl w:val="4F8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115882"/>
    <w:multiLevelType w:val="hybridMultilevel"/>
    <w:tmpl w:val="72C45EE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8616A98"/>
    <w:multiLevelType w:val="hybridMultilevel"/>
    <w:tmpl w:val="3B0C9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C6E6938"/>
    <w:multiLevelType w:val="multilevel"/>
    <w:tmpl w:val="A7AC1DB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7E364239"/>
    <w:multiLevelType w:val="hybridMultilevel"/>
    <w:tmpl w:val="72E42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7"/>
  </w:num>
  <w:num w:numId="4">
    <w:abstractNumId w:val="21"/>
  </w:num>
  <w:num w:numId="5">
    <w:abstractNumId w:val="15"/>
  </w:num>
  <w:num w:numId="6">
    <w:abstractNumId w:val="24"/>
  </w:num>
  <w:num w:numId="7">
    <w:abstractNumId w:val="20"/>
  </w:num>
  <w:num w:numId="8">
    <w:abstractNumId w:val="18"/>
  </w:num>
  <w:num w:numId="9">
    <w:abstractNumId w:val="34"/>
  </w:num>
  <w:num w:numId="10">
    <w:abstractNumId w:val="10"/>
  </w:num>
  <w:num w:numId="11">
    <w:abstractNumId w:val="3"/>
  </w:num>
  <w:num w:numId="12">
    <w:abstractNumId w:val="28"/>
  </w:num>
  <w:num w:numId="13">
    <w:abstractNumId w:val="31"/>
  </w:num>
  <w:num w:numId="14">
    <w:abstractNumId w:val="33"/>
  </w:num>
  <w:num w:numId="15">
    <w:abstractNumId w:val="8"/>
  </w:num>
  <w:num w:numId="16">
    <w:abstractNumId w:val="37"/>
  </w:num>
  <w:num w:numId="17">
    <w:abstractNumId w:val="35"/>
  </w:num>
  <w:num w:numId="18">
    <w:abstractNumId w:val="17"/>
  </w:num>
  <w:num w:numId="19">
    <w:abstractNumId w:val="9"/>
  </w:num>
  <w:num w:numId="20">
    <w:abstractNumId w:val="36"/>
  </w:num>
  <w:num w:numId="21">
    <w:abstractNumId w:val="22"/>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33"/>
  </w:num>
  <w:num w:numId="24">
    <w:abstractNumId w:val="30"/>
  </w:num>
  <w:num w:numId="25">
    <w:abstractNumId w:val="3"/>
  </w:num>
  <w:num w:numId="26">
    <w:abstractNumId w:val="31"/>
  </w:num>
  <w:num w:numId="27">
    <w:abstractNumId w:val="33"/>
  </w:num>
  <w:num w:numId="28">
    <w:abstractNumId w:val="12"/>
  </w:num>
  <w:num w:numId="29">
    <w:abstractNumId w:val="12"/>
  </w:num>
  <w:num w:numId="30">
    <w:abstractNumId w:val="23"/>
  </w:num>
  <w:num w:numId="31">
    <w:abstractNumId w:val="21"/>
  </w:num>
  <w:num w:numId="32">
    <w:abstractNumId w:val="13"/>
  </w:num>
  <w:num w:numId="33">
    <w:abstractNumId w:val="14"/>
  </w:num>
  <w:num w:numId="34">
    <w:abstractNumId w:val="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25"/>
  </w:num>
  <w:num w:numId="39">
    <w:abstractNumId w:val="38"/>
  </w:num>
  <w:num w:numId="40">
    <w:abstractNumId w:val="16"/>
  </w:num>
  <w:num w:numId="41">
    <w:abstractNumId w:val="11"/>
  </w:num>
  <w:num w:numId="42">
    <w:abstractNumId w:val="29"/>
  </w:num>
  <w:num w:numId="43">
    <w:abstractNumId w:val="2"/>
  </w:num>
  <w:num w:numId="44">
    <w:abstractNumId w:val="32"/>
  </w:num>
  <w:num w:numId="45">
    <w:abstractNumId w:val="12"/>
  </w:num>
  <w:num w:numId="46">
    <w:abstractNumId w:val="26"/>
  </w:num>
  <w:num w:numId="47">
    <w:abstractNumId w:val="5"/>
  </w:num>
  <w:num w:numId="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2305E6-5E96-4104-A623-7E65E41219BD"/>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ja za MSP za trajnostno in digitalno Evropo"/>
    <w:docVar w:name="LW_TYPE.DOC.CP" w:val="SPORO\u268?ILO KOMISIJE EVROPSKEMU PARLAMENTU, SVETU, EVROPSKEMU EKONOMSKO-SOCIALNEMU ODBORU IN ODBORU REGIJ"/>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sl-SI"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sl-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sl"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sl"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D363-B7E1-458D-BB19-AC3F609F3D3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ae9d80c-d168-4227-9135-7e51177c39c6"/>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4.xml><?xml version="1.0" encoding="utf-8"?>
<ds:datastoreItem xmlns:ds="http://schemas.openxmlformats.org/officeDocument/2006/customXml" ds:itemID="{DE35DE4F-A669-4C4A-BC59-1BF1EF8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7293</Words>
  <Characters>43468</Characters>
  <Application>Microsoft Office Word</Application>
  <DocSecurity>0</DocSecurity>
  <Lines>612</Lines>
  <Paragraphs>156</Paragraphs>
  <ScaleCrop>false</ScaleCrop>
  <HeadingPairs>
    <vt:vector size="2" baseType="variant">
      <vt:variant>
        <vt:lpstr>Title</vt:lpstr>
      </vt:variant>
      <vt:variant>
        <vt:i4>1</vt:i4>
      </vt:variant>
    </vt:vector>
  </HeadingPairs>
  <TitlesOfParts>
    <vt:vector size="1" baseType="lpstr">
      <vt:lpstr>SME Strategy</vt:lpstr>
    </vt:vector>
  </TitlesOfParts>
  <Manager/>
  <Company/>
  <LinksUpToDate>false</LinksUpToDate>
  <CharactersWithSpaces>50605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
  <cp:keywords/>
  <dc:description/>
  <cp:lastModifiedBy>WES PDFC Administrator</cp:lastModifiedBy>
  <cp:revision>22</cp:revision>
  <cp:lastPrinted>2020-03-07T06:47:00Z</cp:lastPrinted>
  <dcterms:created xsi:type="dcterms:W3CDTF">2020-03-09T19:27:00Z</dcterms:created>
  <dcterms:modified xsi:type="dcterms:W3CDTF">2020-03-12T15:16:00Z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0x010100258AA79CEB83498886A3A0868112325000D0E32E32D7256142BDEF810ED1B7B073</vt:lpwstr>
  </property>
</Properties>
</file>