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E885FE4-E12E-43A1-BF05-A4B9936C7701" style="width:450.7pt;height:375.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rPr>
        <w:lastRenderedPageBreak/>
        <w:t xml:space="preserve">1. </w:t>
      </w:r>
      <w:r>
        <w:rPr>
          <w:rFonts w:ascii="Times New Roman" w:hAnsi="Times New Roman"/>
          <w:b/>
          <w:smallCaps/>
          <w:noProof/>
        </w:rPr>
        <w:t>Introducción</w:t>
      </w:r>
      <w:r>
        <w:rPr>
          <w:rFonts w:ascii="Times New Roman" w:hAnsi="Times New Roman"/>
          <w:b/>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El presente informe examina los progresos realizados en la aplicación de la Comunicación «Una </w:t>
      </w:r>
      <w:r>
        <w:rPr>
          <w:rFonts w:ascii="Times New Roman" w:hAnsi="Times New Roman"/>
          <w:b/>
          <w:noProof/>
        </w:rPr>
        <w:t>asociación estratégica</w:t>
      </w:r>
      <w:r>
        <w:rPr>
          <w:rFonts w:ascii="Times New Roman" w:hAnsi="Times New Roman"/>
          <w:noProof/>
        </w:rPr>
        <w:t xml:space="preserve"> renovada y más fuerte con las regiones ultraperiféricas de la Unión Europea» (en lo sucesivo, «la Comunicación»)</w:t>
      </w:r>
      <w:r>
        <w:rPr>
          <w:rStyle w:val="FootnoteReference"/>
          <w:rFonts w:ascii="Times New Roman" w:hAnsi="Times New Roman" w:cs="Times New Roman"/>
          <w:noProof/>
        </w:rPr>
        <w:footnoteReference w:id="2"/>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Las regiones ultraperiféricas de la UE [Guadalupe, la Guayana Francesa, Martinica, Mayotte, la Reunión y San Martín (Francia), Azores y Madeira (Portugal) y Canarias (España)] se enfrentan a </w:t>
      </w:r>
      <w:r>
        <w:rPr>
          <w:rFonts w:ascii="Times New Roman" w:hAnsi="Times New Roman"/>
          <w:b/>
          <w:noProof/>
        </w:rPr>
        <w:t>limitaciones</w:t>
      </w:r>
      <w:r>
        <w:rPr>
          <w:rFonts w:ascii="Times New Roman" w:hAnsi="Times New Roman"/>
          <w:noProof/>
        </w:rPr>
        <w:t xml:space="preserve"> permanentes relacionadas con su lejanía, superficie reducida, vulnerabilidad al cambio climático e insularidad</w:t>
      </w:r>
      <w:r>
        <w:rPr>
          <w:rStyle w:val="FootnoteReference"/>
          <w:rFonts w:ascii="Times New Roman" w:hAnsi="Times New Roman" w:cs="Times New Roman"/>
          <w:noProof/>
        </w:rPr>
        <w:footnoteReference w:id="3"/>
      </w:r>
      <w:r>
        <w:rPr>
          <w:rFonts w:ascii="Times New Roman" w:hAnsi="Times New Roman"/>
          <w:noProof/>
        </w:rPr>
        <w:t xml:space="preserve">, que frenan su crecimiento y desarrollo. En este contexto, el Tratado de Funcionamiento de la Unión Europea (artículo 349 del TFUE) establece </w:t>
      </w:r>
      <w:r>
        <w:rPr>
          <w:rFonts w:ascii="Times New Roman" w:hAnsi="Times New Roman"/>
          <w:b/>
          <w:noProof/>
        </w:rPr>
        <w:t>medidas específicas</w:t>
      </w:r>
      <w:r>
        <w:rPr>
          <w:rFonts w:ascii="Times New Roman" w:hAnsi="Times New Roman"/>
          <w:noProof/>
        </w:rPr>
        <w:t xml:space="preserve"> de apoyo a las regiones ultraperiféricas, que incluyen condiciones adaptadas para la aplicación del Derecho de la UE en estas regiones y para el acceso a los programas de la UE.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Repartidas por el Océano Atlántico, la cuenca del Caribe, América Latina y el Océano Índico, las regiones ultraperiféricas proporcionan a la UE </w:t>
      </w:r>
      <w:r>
        <w:rPr>
          <w:rFonts w:ascii="Times New Roman" w:hAnsi="Times New Roman"/>
          <w:b/>
          <w:noProof/>
        </w:rPr>
        <w:t>activos únicos</w:t>
      </w:r>
      <w:r>
        <w:rPr>
          <w:rFonts w:ascii="Times New Roman" w:hAnsi="Times New Roman"/>
          <w:noProof/>
        </w:rPr>
        <w:t xml:space="preserve">: una rica biodiversidad, una ubicación estratégica para actividades espaciales y astrofísicas, unas extensas zonas económicas marítimas y proximidad a otros continentes. </w:t>
      </w:r>
    </w:p>
    <w:p>
      <w:pPr>
        <w:spacing w:before="120" w:after="0" w:line="240" w:lineRule="auto"/>
        <w:jc w:val="both"/>
        <w:rPr>
          <w:rFonts w:ascii="Times New Roman" w:hAnsi="Times New Roman" w:cs="Times New Roman"/>
          <w:noProof/>
          <w:sz w:val="24"/>
          <w:szCs w:val="24"/>
        </w:rPr>
      </w:pPr>
      <w:r>
        <w:rPr>
          <w:rFonts w:ascii="Times New Roman" w:hAnsi="Times New Roman"/>
          <w:noProof/>
        </w:rPr>
        <w:t>En octubre de 2017, la Comisión adoptó una Comunicación destinada a reforzar la asociación con las regiones ultraperiféricas y sus respectivos Estados miembros, así como a reafirmar su compromiso de apoyar a estas regiones en su camino hacia el crecimiento. En abril de 2018, el Consejo acogió favorablemente la Comunicación e invitó a la Comisión a seguir trabajando en medidas específicas para estas regiones de conformidad con el artículo 349 del TFUE</w:t>
      </w:r>
      <w:r>
        <w:rPr>
          <w:rStyle w:val="FootnoteReference"/>
          <w:rFonts w:ascii="Times New Roman" w:hAnsi="Times New Roman" w:cs="Times New Roman"/>
          <w:noProof/>
        </w:rPr>
        <w:footnoteReference w:id="4"/>
      </w:r>
      <w:r>
        <w:rPr>
          <w:rFonts w:ascii="Times New Roman" w:hAnsi="Times New Roman"/>
          <w:noProof/>
        </w:rPr>
        <w:t>.</w:t>
      </w:r>
    </w:p>
    <w:p>
      <w:pPr>
        <w:spacing w:before="120" w:after="0" w:line="240" w:lineRule="auto"/>
        <w:jc w:val="both"/>
        <w:rPr>
          <w:rFonts w:ascii="Times New Roman" w:hAnsi="Times New Roman" w:cs="Times New Roman"/>
          <w:noProof/>
          <w:sz w:val="24"/>
          <w:szCs w:val="24"/>
        </w:rPr>
      </w:pPr>
      <w:r>
        <w:rPr>
          <w:rFonts w:ascii="Times New Roman" w:hAnsi="Times New Roman"/>
          <w:noProof/>
        </w:rPr>
        <w:t>El presente informe recoge las acciones emprendidas por la Comisión, las regiones ultraperiféricas y sus respectivos Estados miembros en los sectores establecidos en la Comunicación</w:t>
      </w:r>
      <w:r>
        <w:rPr>
          <w:rStyle w:val="FootnoteReference"/>
          <w:rFonts w:ascii="Times New Roman" w:hAnsi="Times New Roman" w:cs="Times New Roman"/>
          <w:noProof/>
        </w:rPr>
        <w:footnoteReference w:id="5"/>
      </w:r>
      <w:r>
        <w:rPr>
          <w:rFonts w:ascii="Times New Roman" w:hAnsi="Times New Roman"/>
          <w:noProof/>
        </w:rPr>
        <w:t>, destaca la consecución de los objetivos</w:t>
      </w:r>
      <w:r>
        <w:rPr>
          <w:rStyle w:val="FootnoteReference"/>
          <w:rFonts w:ascii="Times New Roman" w:hAnsi="Times New Roman" w:cs="Times New Roman"/>
          <w:noProof/>
        </w:rPr>
        <w:footnoteReference w:id="6"/>
      </w:r>
      <w:r>
        <w:rPr>
          <w:rFonts w:ascii="Times New Roman" w:hAnsi="Times New Roman"/>
          <w:noProof/>
        </w:rPr>
        <w:t xml:space="preserve"> y sugiere centrar los esfuerzos en abordar el cambio climático, proteger la biodiversidad, introducir la economía circular e impulsar las energías renovables. Se trata de retos clave para estas regiones, tal como se reconoce en la iniciativa emblemática del Pacto Verde Europeo</w:t>
      </w:r>
      <w:r>
        <w:rPr>
          <w:rStyle w:val="FootnoteReference"/>
          <w:rFonts w:ascii="Times New Roman" w:hAnsi="Times New Roman" w:cs="Times New Roman"/>
          <w:noProof/>
        </w:rPr>
        <w:footnoteReference w:id="7"/>
      </w:r>
      <w:r>
        <w:rPr>
          <w:rFonts w:ascii="Times New Roman" w:hAnsi="Times New Roman"/>
          <w:noProof/>
        </w:rPr>
        <w:t xml:space="preserve">, que subraya que la Comisión prestará una especial atención a las regiones ultraperiféricas, teniendo en cuenta su vulnerabilidad frente al cambio climático y a las catástrofes naturales y sus activos excepcionales, como la biodiversidad y las fuentes de energía renovables. El informe destaca asimismo la necesidad de redoblar los esfuerzos en otros sectores clave, como la economía azul y la conectividad. </w:t>
      </w:r>
    </w:p>
    <w:p>
      <w:pPr>
        <w:spacing w:before="120" w:after="120" w:line="240" w:lineRule="auto"/>
        <w:rPr>
          <w:rFonts w:ascii="Times New Roman" w:hAnsi="Times New Roman" w:cs="Times New Roman"/>
          <w:b/>
          <w:noProof/>
          <w:sz w:val="24"/>
          <w:szCs w:val="24"/>
        </w:rPr>
      </w:pPr>
      <w:r>
        <w:rPr>
          <w:rFonts w:ascii="Times New Roman" w:hAnsi="Times New Roman"/>
          <w:b/>
          <w:noProof/>
        </w:rPr>
        <w:t>Una nueva gobernanza basada en una asociación fuerte</w:t>
      </w:r>
    </w:p>
    <w:p>
      <w:pPr>
        <w:pStyle w:val="Default"/>
        <w:spacing w:before="120"/>
        <w:jc w:val="both"/>
        <w:rPr>
          <w:noProof/>
        </w:rPr>
      </w:pPr>
      <w:r>
        <w:rPr>
          <w:noProof/>
        </w:rPr>
        <w:t xml:space="preserve">Desde 2017, tal como se establece en la Comunicación, la Comisión ha tenido en cuenta de forma sistemática </w:t>
      </w:r>
      <w:r>
        <w:rPr>
          <w:b/>
          <w:noProof/>
        </w:rPr>
        <w:t>las preocupaciones y los intereses</w:t>
      </w:r>
      <w:r>
        <w:rPr>
          <w:noProof/>
        </w:rPr>
        <w:t xml:space="preserve"> de las regiones ultraperiféricas en la </w:t>
      </w:r>
      <w:r>
        <w:rPr>
          <w:b/>
          <w:noProof/>
        </w:rPr>
        <w:t>formulación de políticas</w:t>
      </w:r>
      <w:r>
        <w:rPr>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En 2018, la Comisión consagró las características específicas de las regiones ultraperiféricas en veintiuna </w:t>
      </w:r>
      <w:r>
        <w:rPr>
          <w:rFonts w:ascii="Times New Roman" w:hAnsi="Times New Roman"/>
          <w:b/>
          <w:noProof/>
        </w:rPr>
        <w:t>propuestas de programas de la UE para el período 2021-2027</w:t>
      </w:r>
      <w:r>
        <w:rPr>
          <w:rFonts w:ascii="Times New Roman" w:hAnsi="Times New Roman"/>
          <w:noProof/>
        </w:rPr>
        <w:t xml:space="preserve"> en una amplia gama de sectores, como la cohesión, la agricultura, la pesca, la investigación, el medioambiente, el transporte y la conectividad digital, así como la cooperación internacional. De este modo, la Comisión creó nuevas oportunidades y estableció disposiciones específicas para estas regiones en la mayoría de los programas de la UE.</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En 2019, la Comisión recomendó que Francia, Portugal y España invirtieran los fondos de la política de cohesión en sus regiones ultraperiféricas en sectores clave como la economía circular, la conectividad, las capacidades y el abandono escolar prematuro en el contexto de los informes por país del </w:t>
      </w:r>
      <w:r>
        <w:rPr>
          <w:rFonts w:ascii="Times New Roman" w:hAnsi="Times New Roman"/>
          <w:b/>
          <w:noProof/>
        </w:rPr>
        <w:t>Semestre Europeo</w:t>
      </w:r>
      <w:r>
        <w:rPr>
          <w:rFonts w:ascii="Times New Roman" w:hAnsi="Times New Roman"/>
          <w:noProof/>
        </w:rPr>
        <w:t xml:space="preserve">. Las recomendaciones específicas por país del Consejo invitan a estos Estados miembros a utilizar los fondos de cohesión teniendo en cuenta las disparidades regionales y la situación de las regiones ultraperiféricas. Los respectivos informes por país de 2020 también ponen de relieve las especificidades de las regiones ultraperiféricas.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Comisión analizó el posible impacto de los </w:t>
      </w:r>
      <w:r>
        <w:rPr>
          <w:rFonts w:ascii="Times New Roman" w:hAnsi="Times New Roman"/>
          <w:b/>
          <w:noProof/>
        </w:rPr>
        <w:t>acuerdos comerciales</w:t>
      </w:r>
      <w:r>
        <w:rPr>
          <w:rFonts w:ascii="Times New Roman" w:hAnsi="Times New Roman"/>
          <w:noProof/>
        </w:rPr>
        <w:t xml:space="preserve"> en curso de negociación sobre los sectores económicos clave de las regiones ultraperiféricas</w:t>
      </w:r>
      <w:r>
        <w:rPr>
          <w:rStyle w:val="FootnoteReference"/>
          <w:rFonts w:ascii="Times New Roman" w:hAnsi="Times New Roman" w:cs="Times New Roman"/>
          <w:noProof/>
        </w:rPr>
        <w:footnoteReference w:id="8"/>
      </w:r>
      <w:r>
        <w:rPr>
          <w:rFonts w:ascii="Times New Roman" w:hAnsi="Times New Roman"/>
          <w:noProof/>
        </w:rPr>
        <w:t>. En consecuencia, el acuerdo político de 2019 sobre la parte comercial del Acuerdo de Asociación UE-Mercosur contiene una cláusula de salvaguardia para proteger la producción local de las regiones ultraperiféricas. Se están analizando las especificidades de las regiones ultraperiféricas en la revisión en curso de la legislación sobre ayudas estatales y de los regímenes fiscales especiales de estas regiones.</w:t>
      </w:r>
    </w:p>
    <w:p>
      <w:pPr>
        <w:spacing w:before="120" w:after="0" w:line="240" w:lineRule="auto"/>
        <w:jc w:val="both"/>
        <w:rPr>
          <w:rFonts w:ascii="Times New Roman" w:hAnsi="Times New Roman" w:cs="Times New Roman"/>
          <w:noProof/>
          <w:sz w:val="24"/>
          <w:szCs w:val="24"/>
        </w:rPr>
      </w:pPr>
      <w:r>
        <w:rPr>
          <w:rFonts w:ascii="Times New Roman" w:hAnsi="Times New Roman"/>
          <w:noProof/>
        </w:rPr>
        <w:t>La Comisión consultó a las regiones ultraperiféricas sobre sus necesidades y, en consecuencia, les proporcionó apoyo a medida en consecuencia. Por ejemplo, la Comisión consultó a las regiones ultraperiféricas sobre sus necesidades de adaptación al cambio climático y las reflejó en la convocatoria de propuestas del programa LIFE</w:t>
      </w:r>
      <w:r>
        <w:rPr>
          <w:rStyle w:val="FootnoteReference"/>
          <w:rFonts w:ascii="Times New Roman" w:hAnsi="Times New Roman" w:cs="Times New Roman"/>
          <w:noProof/>
        </w:rPr>
        <w:footnoteReference w:id="9"/>
      </w:r>
      <w:r>
        <w:rPr>
          <w:rFonts w:ascii="Times New Roman" w:hAnsi="Times New Roman"/>
          <w:noProof/>
        </w:rPr>
        <w:t xml:space="preserve"> de 2019. Además, organizó dos actos para apoyar a estas regiones en la configuración de las estrategias relativas al crecimiento azul</w:t>
      </w:r>
      <w:r>
        <w:rPr>
          <w:rStyle w:val="FootnoteReference"/>
          <w:rFonts w:ascii="Times New Roman" w:hAnsi="Times New Roman" w:cs="Times New Roman"/>
          <w:noProof/>
        </w:rPr>
        <w:footnoteReference w:id="10"/>
      </w:r>
      <w:r>
        <w:rPr>
          <w:rFonts w:ascii="Times New Roman" w:hAnsi="Times New Roman"/>
          <w:noProof/>
        </w:rPr>
        <w:t>. Las regiones ultraperiféricas han redoblado sus esfuerzos para defender sus intereses contribuyendo con unas treinta respuestas a consultas públicas. Por último, la Comisión ha llegado a la población de las regiones ultraperiféricas a través de diálogos con los ciudadanos: en 2018 en Martinica y Canarias y en 2019 en Azores y Madeira.</w:t>
      </w:r>
    </w:p>
    <w:p>
      <w:pPr>
        <w:spacing w:before="120" w:after="0" w:line="240" w:lineRule="auto"/>
        <w:jc w:val="both"/>
        <w:rPr>
          <w:rFonts w:ascii="Times New Roman" w:hAnsi="Times New Roman" w:cs="Times New Roman"/>
          <w:noProof/>
          <w:sz w:val="24"/>
          <w:szCs w:val="24"/>
        </w:rPr>
      </w:pPr>
      <w:r>
        <w:rPr>
          <w:rFonts w:ascii="Times New Roman" w:hAnsi="Times New Roman"/>
          <w:noProof/>
        </w:rPr>
        <w:t>Los fondos de cohesión, agricultura, pesca y política marítima de la UE han desplegado medios importantes para apoyar la inversión local reforzando la asociación con las regiones ultraperiféricas y sus respectivos Estados miembros, en particular la competitividad de las pequeñas y medianas empresas (pymes), el empleo y la inclusión social, el medioambiente y la conectividad</w:t>
      </w:r>
      <w:r>
        <w:rPr>
          <w:rStyle w:val="FootnoteReference"/>
          <w:rFonts w:ascii="Times New Roman" w:hAnsi="Times New Roman" w:cs="Times New Roman"/>
          <w:noProof/>
        </w:rPr>
        <w:footnoteReference w:id="11"/>
      </w:r>
      <w:r>
        <w:rPr>
          <w:rFonts w:ascii="Times New Roman" w:hAnsi="Times New Roman"/>
          <w:noProof/>
        </w:rPr>
        <w:t xml:space="preserve">. La ayuda de estos fondos asciende a más de 13 000 millones EUR para el período 2014-2020.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Comisión ha creado </w:t>
      </w:r>
      <w:r>
        <w:rPr>
          <w:rFonts w:ascii="Times New Roman" w:hAnsi="Times New Roman"/>
          <w:b/>
          <w:noProof/>
        </w:rPr>
        <w:t xml:space="preserve">dos grupos de trabajo </w:t>
      </w:r>
      <w:r>
        <w:rPr>
          <w:rFonts w:ascii="Times New Roman" w:hAnsi="Times New Roman"/>
          <w:noProof/>
        </w:rPr>
        <w:t>dedicados</w:t>
      </w:r>
      <w:r>
        <w:rPr>
          <w:rFonts w:ascii="Times New Roman" w:hAnsi="Times New Roman"/>
          <w:b/>
          <w:noProof/>
        </w:rPr>
        <w:t xml:space="preserve"> </w:t>
      </w:r>
      <w:r>
        <w:rPr>
          <w:rFonts w:ascii="Times New Roman" w:hAnsi="Times New Roman"/>
          <w:noProof/>
        </w:rPr>
        <w:t>a apoyar a la Reunión sobre la transición energética y a Canarias en materia de gestión de residuos, que reúnen a los servicios de la Comisión con las partes interesadas nacionales y regionales.</w:t>
      </w:r>
    </w:p>
    <w:p>
      <w:pPr>
        <w:spacing w:before="120" w:line="240" w:lineRule="auto"/>
        <w:jc w:val="both"/>
        <w:rPr>
          <w:rFonts w:ascii="Times New Roman" w:hAnsi="Times New Roman" w:cs="Times New Roman"/>
          <w:noProof/>
          <w:sz w:val="24"/>
          <w:szCs w:val="24"/>
        </w:rPr>
      </w:pPr>
      <w:r>
        <w:rPr>
          <w:rFonts w:ascii="Times New Roman" w:hAnsi="Times New Roman"/>
          <w:noProof/>
        </w:rPr>
        <w:t>La Oficina Estadística de la Unión Europea (Eurostat) ha desarrollado una página de internet sobre los datos de las regiones ultraperiféricas</w:t>
      </w:r>
      <w:r>
        <w:rPr>
          <w:rStyle w:val="FootnoteReference"/>
          <w:rFonts w:ascii="Times New Roman" w:hAnsi="Times New Roman" w:cs="Times New Roman"/>
          <w:noProof/>
        </w:rPr>
        <w:footnoteReference w:id="12"/>
      </w:r>
      <w:r>
        <w:rPr>
          <w:rFonts w:ascii="Times New Roman" w:hAnsi="Times New Roman"/>
          <w:noProof/>
        </w:rPr>
        <w:t xml:space="preserve">. En 2019, la Comisión puso en marcha un estudio para mejorar los datos y el conocimiento de la gestión sostenible de la pesca y la conservación de las poblaciones de peces en estas regiones. La oficina estadística de Francia coopera con San Martín y Sint-Maarten para recoger datos locales. La oficina estadística de Portugal trabaja con Madeira y Azores en los datos relativos a la agricultura, el mar y el transporte; Azores está mejorando los datos sobre economía azul y Canarias, los datos sobre producción local. </w:t>
      </w:r>
    </w:p>
    <w:p>
      <w:pPr>
        <w:spacing w:before="120" w:after="0" w:line="240" w:lineRule="auto"/>
        <w:jc w:val="both"/>
        <w:rPr>
          <w:rFonts w:ascii="Times New Roman" w:hAnsi="Times New Roman" w:cs="Times New Roman"/>
          <w:i/>
          <w:noProof/>
          <w:sz w:val="24"/>
          <w:szCs w:val="24"/>
        </w:rPr>
      </w:pPr>
      <w:r>
        <w:rPr>
          <w:rFonts w:ascii="Times New Roman" w:hAnsi="Times New Roman"/>
          <w:i/>
          <w:noProof/>
        </w:rPr>
        <w:t>La Comisión consagró las preocupaciones de las regiones ultraperiféricas en un número sin precedentes de iniciativas de la UE y las regiones redoblaron sus esfuerzos para contribuir a la elaboración de políticas. Hay margen para explorar más a fondo el potencial de los grupos de trabajo. La recogida de datos a nivel de las regiones ultraperiféricas es necesaria para apoyar la elaboración de políticas adaptadas a estas regiones.</w:t>
      </w:r>
    </w:p>
    <w:p>
      <w:pPr>
        <w:spacing w:before="360"/>
        <w:rPr>
          <w:rFonts w:ascii="Times New Roman" w:hAnsi="Times New Roman" w:cs="Times New Roman"/>
          <w:b/>
          <w:smallCaps/>
          <w:noProof/>
          <w:sz w:val="24"/>
          <w:szCs w:val="24"/>
        </w:rPr>
      </w:pPr>
      <w:r>
        <w:rPr>
          <w:rFonts w:ascii="Times New Roman" w:hAnsi="Times New Roman"/>
          <w:b/>
          <w:smallCaps/>
          <w:noProof/>
        </w:rPr>
        <w:t xml:space="preserve">2. Aprovechar los activos de las regiones ultraperiféricas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Comunicación destaca los activos de las regiones ultraperiféricas, incluida la economía azul, la biodiversidad y las fuentes de energía renovables, y presenta acciones para desarrollar oportunidades en estos sectores con vistas a apoyar el crecimiento. </w:t>
      </w:r>
    </w:p>
    <w:p>
      <w:pPr>
        <w:spacing w:before="120" w:after="120" w:line="240" w:lineRule="auto"/>
        <w:rPr>
          <w:rFonts w:ascii="Times New Roman" w:hAnsi="Times New Roman" w:cs="Times New Roman"/>
          <w:noProof/>
          <w:sz w:val="24"/>
          <w:szCs w:val="24"/>
        </w:rPr>
      </w:pPr>
      <w:r>
        <w:rPr>
          <w:rFonts w:ascii="Times New Roman" w:hAnsi="Times New Roman"/>
          <w:b/>
          <w:noProof/>
        </w:rPr>
        <w:t>Economía azul</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Comisión reforzó el marco jurídico y financiero para mejorar la economía azul en las regiones ultraperiféricas, garantizando al mismo tiempo una gestión sostenible de los recursos y de los ecosistemas marinos. En 2018, la Comisión revisó las </w:t>
      </w:r>
      <w:r>
        <w:rPr>
          <w:rFonts w:ascii="Times New Roman" w:hAnsi="Times New Roman"/>
          <w:b/>
          <w:noProof/>
        </w:rPr>
        <w:t>Directrices sobre ayudas estatales</w:t>
      </w:r>
      <w:r>
        <w:rPr>
          <w:rFonts w:ascii="Times New Roman" w:hAnsi="Times New Roman"/>
          <w:noProof/>
        </w:rPr>
        <w:t xml:space="preserve"> de la UE para permitir el apoyo público a la adquisición de buques pesqueros en las regiones ultraperiféricas con una serie de condiciones destinadas a garantizar la pesca sostenible.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Comisión propuso </w:t>
      </w:r>
      <w:r>
        <w:rPr>
          <w:rFonts w:ascii="Times New Roman" w:hAnsi="Times New Roman"/>
          <w:b/>
          <w:noProof/>
        </w:rPr>
        <w:t>medidas específicas</w:t>
      </w:r>
      <w:r>
        <w:rPr>
          <w:rFonts w:ascii="Times New Roman" w:hAnsi="Times New Roman"/>
          <w:noProof/>
        </w:rPr>
        <w:t xml:space="preserve"> para las regiones ultraperiféricas en el Fondo Europeo Marítimo y de Pesca 2021-2027, que incluye un presupuesto destinado a estas regiones, tanto para inversiones estructurales como para la </w:t>
      </w:r>
      <w:r>
        <w:rPr>
          <w:rFonts w:ascii="Times New Roman" w:hAnsi="Times New Roman"/>
          <w:b/>
          <w:noProof/>
        </w:rPr>
        <w:t>compensación</w:t>
      </w:r>
      <w:r>
        <w:rPr>
          <w:rFonts w:ascii="Times New Roman" w:hAnsi="Times New Roman"/>
          <w:noProof/>
        </w:rPr>
        <w:t xml:space="preserve"> de los costes adicionales. Además, la Comisión propuso que cada Estado miembro elaborase un </w:t>
      </w:r>
      <w:r>
        <w:rPr>
          <w:rFonts w:ascii="Times New Roman" w:hAnsi="Times New Roman"/>
          <w:b/>
          <w:noProof/>
        </w:rPr>
        <w:t>plan de acción</w:t>
      </w:r>
      <w:r>
        <w:rPr>
          <w:rFonts w:ascii="Times New Roman" w:hAnsi="Times New Roman"/>
          <w:noProof/>
        </w:rPr>
        <w:t xml:space="preserve"> para abordar los retos relacionados con la pesca y la economía azul sostenible en sus regiones ultraperiféricas.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En 2019, la Comisión creó un Consejo Consultivo para las Regiones Ultraperiféricas a fin de consultar a las partes interesadas de estas regiones sobre cuestiones relacionadas con la pesca y garantizó que el </w:t>
      </w:r>
      <w:r>
        <w:rPr>
          <w:rFonts w:ascii="Times New Roman" w:hAnsi="Times New Roman"/>
          <w:b/>
          <w:noProof/>
        </w:rPr>
        <w:t>Acuerdo de Asociación UE-Mercosur</w:t>
      </w:r>
      <w:r>
        <w:rPr>
          <w:rFonts w:ascii="Times New Roman" w:hAnsi="Times New Roman"/>
          <w:noProof/>
        </w:rPr>
        <w:t xml:space="preserve"> comprometiera a las partes a luchar contra la pesca ilegal. Por lo que se refiere a la capacidad de la flota, en 2019 la Comisión presentó una </w:t>
      </w:r>
      <w:r>
        <w:rPr>
          <w:rFonts w:ascii="Times New Roman" w:hAnsi="Times New Roman"/>
          <w:b/>
          <w:noProof/>
        </w:rPr>
        <w:t>evaluación del sistema de «entrada/salida»</w:t>
      </w:r>
      <w:r>
        <w:rPr>
          <w:rFonts w:ascii="Times New Roman" w:hAnsi="Times New Roman"/>
          <w:noProof/>
        </w:rPr>
        <w:t xml:space="preserve"> en el marco de la política pesquera común. En su Comunicación sobre el Pacto Verde de diciembre de 2019, la Comisión destacó el papel central de la economía azul en la lucha contra el cambio climático y anunció su intención de proponer formas de gestionar de manera más sostenible el espacio marítimo.</w:t>
      </w:r>
    </w:p>
    <w:p>
      <w:pPr>
        <w:spacing w:before="120" w:after="0" w:line="240" w:lineRule="auto"/>
        <w:jc w:val="both"/>
        <w:rPr>
          <w:rFonts w:ascii="Times New Roman" w:hAnsi="Times New Roman" w:cs="Times New Roman"/>
          <w:noProof/>
          <w:sz w:val="24"/>
          <w:szCs w:val="24"/>
        </w:rPr>
      </w:pPr>
      <w:r>
        <w:rPr>
          <w:rFonts w:ascii="Times New Roman" w:hAnsi="Times New Roman"/>
          <w:noProof/>
        </w:rPr>
        <w:t>El Consejo adoptó unas Conclusiones sobre los océanos y los mares en las que destaca la importancia de las políticas marítimas y pesqueras europeas para apoyar la economía azul de las regiones ultraperiféricas, así como la vulnerabilidad de estas regiones al cambio climático que afecta a sus costas, sus ecosistemas y su biodiversidad</w:t>
      </w:r>
      <w:r>
        <w:rPr>
          <w:rStyle w:val="FootnoteReference"/>
          <w:rFonts w:ascii="Times New Roman" w:hAnsi="Times New Roman" w:cs="Times New Roman"/>
          <w:noProof/>
        </w:rPr>
        <w:footnoteReference w:id="13"/>
      </w:r>
      <w:r>
        <w:rPr>
          <w:rFonts w:ascii="Times New Roman" w:hAnsi="Times New Roman"/>
          <w:noProof/>
        </w:rPr>
        <w:t>.</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Las regiones ultraperiféricas están configurando las </w:t>
      </w:r>
      <w:r>
        <w:rPr>
          <w:rFonts w:ascii="Times New Roman" w:hAnsi="Times New Roman"/>
          <w:b/>
          <w:noProof/>
        </w:rPr>
        <w:t>estrategias de la economía azul</w:t>
      </w:r>
      <w:r>
        <w:rPr>
          <w:rFonts w:ascii="Times New Roman" w:hAnsi="Times New Roman"/>
          <w:noProof/>
        </w:rPr>
        <w:t xml:space="preserve"> destinadas a lograr un uso sostenible de los recursos marinos y preservar la biodiversidad; el progreso es desigual y varía en cuanto al ámbito de aplicación y el enfoque. Con el apoyo del Fondo Europeo Marítimo y de Pesca, algunas regiones están mejorando la ordenación del espacio marítimo para un mejor uso de los océanos, en particular, Azores, Madeira, Canarias y la Reunión. Muchas regiones han desarrollado </w:t>
      </w:r>
      <w:r>
        <w:rPr>
          <w:rFonts w:ascii="Times New Roman" w:hAnsi="Times New Roman"/>
          <w:b/>
          <w:noProof/>
        </w:rPr>
        <w:t>medidas de apoyo</w:t>
      </w:r>
      <w:r>
        <w:rPr>
          <w:rFonts w:ascii="Times New Roman" w:hAnsi="Times New Roman"/>
          <w:noProof/>
        </w:rPr>
        <w:t xml:space="preserve">, como instrumentos financieros para los operadores a pequeña escala (en Madeira, líneas de crédito para pequeñas empresas; en la Guayana Francesa, préstamos a los pequeños operadores; y en Mayotte, ayudas para la adquisición de buques) y desarrollo de capacidades (en Martinica, Azores y Madeira).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rPr>
        <w:t xml:space="preserve">Las regiones ultraperiféricas están invirtiendo más en </w:t>
      </w:r>
      <w:r>
        <w:rPr>
          <w:rFonts w:ascii="Times New Roman" w:hAnsi="Times New Roman"/>
          <w:b/>
          <w:noProof/>
        </w:rPr>
        <w:t>sectores emergentes</w:t>
      </w:r>
      <w:r>
        <w:rPr>
          <w:rFonts w:ascii="Times New Roman" w:hAnsi="Times New Roman"/>
          <w:noProof/>
        </w:rPr>
        <w:t xml:space="preserve">, como el seguimiento y la exploración de espacios marítimos (Observatorio Atlántico de Azores) o la energía marina renovable [Plataforma Oceánica de Canarias (PLOCAN)]. Todas las regiones ultraperiféricas fomentaron el </w:t>
      </w:r>
      <w:r>
        <w:rPr>
          <w:rFonts w:ascii="Times New Roman" w:hAnsi="Times New Roman"/>
          <w:b/>
          <w:noProof/>
        </w:rPr>
        <w:t>desarrollo sostenible de la pesca</w:t>
      </w:r>
      <w:r>
        <w:rPr>
          <w:rFonts w:ascii="Times New Roman" w:hAnsi="Times New Roman"/>
          <w:noProof/>
        </w:rPr>
        <w:t xml:space="preserve"> mediante el proyecto ORFISH y algunas fomentan el turismo azul sostenible, por ejemplo en el mar Caribe.</w:t>
      </w:r>
    </w:p>
    <w:p>
      <w:pP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rPr>
        <w:t xml:space="preserve">Para impulsar el crecimiento azul, las regiones necesitan estrategias de economía azul adaptadas y exhaustivas que abarquen sectores tradicionales e innovadores. En este sentido, es importante centrarse en actividades innovadoras, mejorar los conocimientos científicos sobre la pesca y las zonas marinas y potenciar al máximo la ayuda nacional y de la UE. </w:t>
      </w:r>
    </w:p>
    <w:p>
      <w:pPr>
        <w:spacing w:before="120" w:after="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b/>
          <w:noProof/>
        </w:rPr>
        <w:t>Agricultura y desarrollo rural</w:t>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propuesta de la Comisión de reformar la </w:t>
      </w:r>
      <w:r>
        <w:rPr>
          <w:rFonts w:ascii="Times New Roman" w:hAnsi="Times New Roman"/>
          <w:b/>
          <w:noProof/>
        </w:rPr>
        <w:t>Política Agrícola Común 2021-2027</w:t>
      </w:r>
      <w:r>
        <w:rPr>
          <w:rFonts w:ascii="Times New Roman" w:hAnsi="Times New Roman"/>
          <w:noProof/>
        </w:rPr>
        <w:t xml:space="preserve"> establece condiciones y excepciones específicas que reflejan las necesidades de las regiones ultraperiféricas. Las propuestas prevén que los planes estratégicos nacionales tengan en cuenta las circunstancias específicas de las regiones ultraperiféricas, y que estas regiones se beneficien de los porcentajes máximos de cofinanciación del </w:t>
      </w:r>
      <w:r>
        <w:rPr>
          <w:rFonts w:ascii="Times New Roman" w:hAnsi="Times New Roman"/>
          <w:b/>
          <w:noProof/>
        </w:rPr>
        <w:t>Fondo Europeo Agrícola de Desarrollo Rural</w:t>
      </w:r>
      <w:r>
        <w:rPr>
          <w:rFonts w:ascii="Times New Roman" w:hAnsi="Times New Roman"/>
          <w:noProof/>
        </w:rPr>
        <w:t xml:space="preserve"> y de un conjunto de condiciones favorables específicas. </w:t>
      </w:r>
    </w:p>
    <w:p>
      <w:pPr>
        <w:spacing w:before="120" w:after="0" w:line="240" w:lineRule="auto"/>
        <w:jc w:val="both"/>
        <w:rPr>
          <w:rFonts w:ascii="Times New Roman" w:hAnsi="Times New Roman" w:cs="Times New Roman"/>
          <w:noProof/>
          <w:sz w:val="24"/>
          <w:szCs w:val="24"/>
        </w:rPr>
      </w:pPr>
      <w:r>
        <w:rPr>
          <w:rFonts w:ascii="Times New Roman" w:hAnsi="Times New Roman"/>
          <w:noProof/>
        </w:rPr>
        <w:t>Además, la Comisión propuso continuar con el</w:t>
      </w:r>
      <w:r>
        <w:rPr>
          <w:rFonts w:ascii="Times New Roman" w:hAnsi="Times New Roman"/>
          <w:b/>
          <w:noProof/>
        </w:rPr>
        <w:t xml:space="preserve"> </w:t>
      </w:r>
      <w:r>
        <w:rPr>
          <w:rFonts w:ascii="Times New Roman" w:hAnsi="Times New Roman"/>
          <w:noProof/>
        </w:rPr>
        <w:t xml:space="preserve">régimen agrícola de la UE para las regiones ultraperiféricas </w:t>
      </w:r>
      <w:r>
        <w:rPr>
          <w:rFonts w:ascii="Times New Roman" w:hAnsi="Times New Roman"/>
          <w:b/>
          <w:noProof/>
        </w:rPr>
        <w:t>POSEI</w:t>
      </w:r>
      <w:r>
        <w:rPr>
          <w:rFonts w:ascii="Times New Roman" w:hAnsi="Times New Roman"/>
          <w:noProof/>
        </w:rPr>
        <w:t>, de modo que se mantengan los pagos directos a los agricultores de estas regiones. En 2017-2019, el régimen POSEI apoyó la producción agrícola y el empleo en las regiones ultraperiféricas, garantizó el suministro de productos agrícolas seleccionados a estas regiones y mitigó los costes adicionales de transporte de dichos productos.</w:t>
      </w:r>
    </w:p>
    <w:p>
      <w:pPr>
        <w:spacing w:before="120" w:after="0" w:line="240" w:lineRule="auto"/>
        <w:jc w:val="both"/>
        <w:rPr>
          <w:rFonts w:ascii="Times New Roman" w:hAnsi="Times New Roman" w:cs="Times New Roman"/>
          <w:noProof/>
          <w:sz w:val="24"/>
          <w:szCs w:val="24"/>
        </w:rPr>
      </w:pPr>
      <w:r>
        <w:rPr>
          <w:rFonts w:ascii="Times New Roman" w:hAnsi="Times New Roman"/>
          <w:noProof/>
        </w:rPr>
        <w:t>Con el apoyo de sus programas de desarrollo rural cofinanciados por la UE, las regiones ultraperiféricas ayudaron a los jóvenes agricultores a crecer y comercializar productos como los aguacates, los plátanos y la caña de azúcar, y desarrollaron medidas agroambientales e iniciativas Leader</w:t>
      </w:r>
      <w:r>
        <w:rPr>
          <w:rStyle w:val="FootnoteReference"/>
          <w:rFonts w:ascii="Times New Roman" w:hAnsi="Times New Roman" w:cs="Times New Roman"/>
          <w:noProof/>
        </w:rPr>
        <w:footnoteReference w:id="14"/>
      </w:r>
      <w:r>
        <w:rPr>
          <w:rFonts w:ascii="Times New Roman" w:hAnsi="Times New Roman"/>
          <w:noProof/>
        </w:rPr>
        <w:t xml:space="preserve">. Estas medidas hacen especial hincapié en la mejora de las condiciones de vida de la población rural.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Varias regiones ultraperiféricas han desarrollado </w:t>
      </w:r>
      <w:r>
        <w:rPr>
          <w:rFonts w:ascii="Times New Roman" w:hAnsi="Times New Roman"/>
          <w:b/>
          <w:noProof/>
        </w:rPr>
        <w:t>regímenes de calidad</w:t>
      </w:r>
      <w:r>
        <w:rPr>
          <w:rFonts w:ascii="Times New Roman" w:hAnsi="Times New Roman"/>
          <w:noProof/>
        </w:rPr>
        <w:t xml:space="preserve"> para los productos agrícolas en combinación con medidas de comercialización. Otras han invertido en </w:t>
      </w:r>
      <w:r>
        <w:rPr>
          <w:rFonts w:ascii="Times New Roman" w:hAnsi="Times New Roman"/>
          <w:b/>
          <w:noProof/>
        </w:rPr>
        <w:t>nuevas tecnologías agrícolas</w:t>
      </w:r>
      <w:r>
        <w:rPr>
          <w:rFonts w:ascii="Times New Roman" w:hAnsi="Times New Roman"/>
          <w:noProof/>
        </w:rPr>
        <w:t xml:space="preserve">, tales como el cultivo sin suelo de plantas y hortalizas en San Martín, la utilización de aeronaves pilotadas a distancia en Azores y pruebas del uso de recursos orgánicos en la Guayana Francesa. El Gobierno francés también está desarrollando </w:t>
      </w:r>
      <w:r>
        <w:rPr>
          <w:rFonts w:ascii="Times New Roman" w:hAnsi="Times New Roman"/>
          <w:b/>
          <w:noProof/>
        </w:rPr>
        <w:t>herramientas de gestión de riesgos</w:t>
      </w:r>
      <w:r>
        <w:rPr>
          <w:rFonts w:ascii="Times New Roman" w:hAnsi="Times New Roman"/>
          <w:noProof/>
        </w:rPr>
        <w:t xml:space="preserve">, por ejemplo, para la producción de plátanos. </w:t>
      </w:r>
    </w:p>
    <w:p>
      <w:pPr>
        <w:spacing w:before="120" w:after="0" w:line="240" w:lineRule="auto"/>
        <w:jc w:val="both"/>
        <w:rPr>
          <w:rFonts w:ascii="Times New Roman" w:hAnsi="Times New Roman" w:cs="Times New Roman"/>
          <w:i/>
          <w:noProof/>
          <w:sz w:val="24"/>
          <w:szCs w:val="24"/>
        </w:rPr>
      </w:pPr>
      <w:r>
        <w:rPr>
          <w:rFonts w:ascii="Times New Roman" w:hAnsi="Times New Roman"/>
          <w:i/>
          <w:noProof/>
        </w:rPr>
        <w:t>La agricultura sigue siendo un sector clave: garantizar la calidad y la innovación en la producción local, unos ingresos justos para los agricultores y la optimización de los instrumentos de apoyo son retos clave que hay que superar.</w:t>
      </w:r>
    </w:p>
    <w:p>
      <w:pPr>
        <w:spacing w:before="120" w:after="120" w:line="240" w:lineRule="auto"/>
        <w:rPr>
          <w:rFonts w:ascii="Times New Roman" w:hAnsi="Times New Roman" w:cs="Times New Roman"/>
          <w:b/>
          <w:noProof/>
          <w:sz w:val="24"/>
          <w:szCs w:val="24"/>
        </w:rPr>
      </w:pPr>
      <w:r>
        <w:rPr>
          <w:rFonts w:ascii="Times New Roman" w:hAnsi="Times New Roman"/>
          <w:b/>
          <w:noProof/>
        </w:rPr>
        <w:t>Biodiversidad</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Para apoyar a las regiones ultraperiféricas a la hora de preservar su biodiversidad única, en 2019 la Comisión puso en marcha una convocatoria de proyectos adaptados a las necesidades y capacidades de estas regiones (Life4BEST). La Comisión propuso que el </w:t>
      </w:r>
      <w:r>
        <w:rPr>
          <w:rFonts w:ascii="Times New Roman" w:hAnsi="Times New Roman"/>
          <w:b/>
          <w:noProof/>
        </w:rPr>
        <w:t xml:space="preserve">programa LIFE para el período </w:t>
      </w:r>
      <w:r>
        <w:rPr>
          <w:rFonts w:ascii="Times New Roman" w:hAnsi="Times New Roman"/>
          <w:noProof/>
        </w:rPr>
        <w:t xml:space="preserve">2021-2027 apoyara la naturaleza y la biodiversidad en las regiones ultraperiféricas y prestara especial atención a estas regiones en sus criterios de adjudicación. Además, los proyectos a favor de la biodiversidad pueden optar a financiación en el marco de la propuesta de la Comisión para el </w:t>
      </w:r>
      <w:r>
        <w:rPr>
          <w:rFonts w:ascii="Times New Roman" w:hAnsi="Times New Roman"/>
          <w:b/>
          <w:noProof/>
        </w:rPr>
        <w:t>Fondo Europeo de Desarrollo Regional</w:t>
      </w:r>
      <w:r>
        <w:rPr>
          <w:rFonts w:ascii="Times New Roman" w:hAnsi="Times New Roman"/>
          <w:noProof/>
        </w:rPr>
        <w:t xml:space="preserve"> 2021-2027. </w:t>
      </w:r>
    </w:p>
    <w:p>
      <w:pPr>
        <w:spacing w:before="120" w:after="0" w:line="240" w:lineRule="auto"/>
        <w:jc w:val="both"/>
        <w:rPr>
          <w:rFonts w:ascii="Times New Roman" w:hAnsi="Times New Roman"/>
          <w:noProof/>
          <w:sz w:val="24"/>
          <w:szCs w:val="24"/>
        </w:rPr>
      </w:pPr>
      <w:r>
        <w:rPr>
          <w:rFonts w:ascii="Times New Roman" w:hAnsi="Times New Roman"/>
          <w:noProof/>
        </w:rPr>
        <w:t xml:space="preserve">La Comisión destacó la biodiversidad única de las regiones ultraperiféricas en su Pacto Verde, que presenta el cambio climático como una de las causas principales de la pérdida de biodiversidad. </w:t>
      </w:r>
    </w:p>
    <w:p>
      <w:pPr>
        <w:spacing w:before="120" w:after="0" w:line="240" w:lineRule="auto"/>
        <w:jc w:val="both"/>
        <w:rPr>
          <w:rFonts w:ascii="Times New Roman" w:hAnsi="Times New Roman" w:cs="Times New Roman"/>
          <w:noProof/>
          <w:sz w:val="24"/>
          <w:szCs w:val="24"/>
        </w:rPr>
      </w:pPr>
      <w:r>
        <w:rPr>
          <w:rFonts w:ascii="Times New Roman" w:hAnsi="Times New Roman"/>
          <w:noProof/>
        </w:rPr>
        <w:t>Francia ha intensificado sus esfuerzos por apoyar la biodiversidad en sus regiones ultraperiféricas mediante un plan de acción específico (2018). La Agencia Francesa para la Biodiversidad apoya más de ochenta proyectos en las regiones ultraperiféricas. Portugal financió proyectos de apoyo a las reservas de la biosfera en Azores y Madeira. La Guayana Francesa, la Reunión, Guadalupe y Mayotte están creando agencias regionales para la biodiversidad. Martinica puso en marcha un programa de conservación y valorización de la biodiversidad (2019), mientras que la Reunión y Azores protegen los hábitats locales y las especies endémicas con el apoyo del Fondo Europeo de Desarrollo Regional</w:t>
      </w:r>
      <w:r>
        <w:rPr>
          <w:rStyle w:val="FootnoteReference"/>
          <w:rFonts w:ascii="Times New Roman" w:hAnsi="Times New Roman" w:cs="Times New Roman"/>
          <w:noProof/>
        </w:rPr>
        <w:footnoteReference w:id="15"/>
      </w:r>
      <w:r>
        <w:rPr>
          <w:rFonts w:ascii="Times New Roman" w:hAnsi="Times New Roman"/>
          <w:noProof/>
        </w:rPr>
        <w:t xml:space="preserve"> y el programa LIFE.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Además, las regiones ultraperiféricas aumentaron su cooperación en materia de biodiversidad con los </w:t>
      </w:r>
      <w:r>
        <w:rPr>
          <w:rFonts w:ascii="Times New Roman" w:hAnsi="Times New Roman"/>
          <w:b/>
          <w:noProof/>
        </w:rPr>
        <w:t>países y territorios de ultramar o terceros países</w:t>
      </w:r>
      <w:r>
        <w:rPr>
          <w:rFonts w:ascii="Times New Roman" w:hAnsi="Times New Roman"/>
          <w:noProof/>
        </w:rPr>
        <w:t xml:space="preserve"> en el marco de los programas Interreg.</w:t>
      </w:r>
    </w:p>
    <w:p>
      <w:pPr>
        <w:spacing w:before="120" w:after="0" w:line="240" w:lineRule="auto"/>
        <w:jc w:val="both"/>
        <w:rPr>
          <w:rFonts w:ascii="Times New Roman" w:hAnsi="Times New Roman" w:cs="Times New Roman"/>
          <w:noProof/>
          <w:sz w:val="24"/>
          <w:szCs w:val="24"/>
        </w:rPr>
      </w:pPr>
      <w:r>
        <w:rPr>
          <w:rFonts w:ascii="Times New Roman" w:hAnsi="Times New Roman"/>
          <w:i/>
          <w:noProof/>
        </w:rPr>
        <w:t xml:space="preserve">Las regiones ultraperiféricas albergan una parte importante de la biodiversidad de la UE, que constituye uno de sus principales activos. Se requieren esfuerzos sostenidos y coordinados en todas las distintas políticas para preservar la biodiversidad de estas regiones, a la vez que se explora su potencial. </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Economía circular</w:t>
      </w:r>
    </w:p>
    <w:p>
      <w:pPr>
        <w:spacing w:before="120" w:after="0" w:line="240" w:lineRule="auto"/>
        <w:jc w:val="both"/>
        <w:rPr>
          <w:rFonts w:ascii="Times New Roman" w:hAnsi="Times New Roman"/>
          <w:noProof/>
          <w:sz w:val="24"/>
          <w:szCs w:val="24"/>
        </w:rPr>
      </w:pPr>
      <w:r>
        <w:rPr>
          <w:rFonts w:ascii="Times New Roman" w:hAnsi="Times New Roman"/>
          <w:noProof/>
        </w:rPr>
        <w:t xml:space="preserve">En el </w:t>
      </w:r>
      <w:r>
        <w:rPr>
          <w:rFonts w:ascii="Times New Roman" w:hAnsi="Times New Roman"/>
          <w:b/>
          <w:noProof/>
        </w:rPr>
        <w:t>programa de trabajo de</w:t>
      </w:r>
      <w:r>
        <w:rPr>
          <w:rFonts w:ascii="Times New Roman" w:hAnsi="Times New Roman"/>
          <w:noProof/>
        </w:rPr>
        <w:t xml:space="preserve"> </w:t>
      </w:r>
      <w:r>
        <w:rPr>
          <w:rFonts w:ascii="Times New Roman" w:hAnsi="Times New Roman"/>
          <w:b/>
          <w:noProof/>
        </w:rPr>
        <w:t>LIFE para el período 2018-2020</w:t>
      </w:r>
      <w:r>
        <w:rPr>
          <w:rFonts w:ascii="Times New Roman" w:hAnsi="Times New Roman"/>
          <w:noProof/>
        </w:rPr>
        <w:t>, la Comisión se centró específicamente en las regiones ultraperiféricas.</w:t>
      </w:r>
      <w:r>
        <w:rPr>
          <w:rFonts w:ascii="Times New Roman" w:hAnsi="Times New Roman"/>
          <w:b/>
          <w:noProof/>
        </w:rPr>
        <w:t xml:space="preserve">  </w:t>
      </w:r>
      <w:r>
        <w:rPr>
          <w:rFonts w:ascii="Times New Roman" w:hAnsi="Times New Roman"/>
          <w:noProof/>
        </w:rPr>
        <w:t xml:space="preserve">La </w:t>
      </w:r>
      <w:r>
        <w:rPr>
          <w:rFonts w:ascii="Times New Roman" w:hAnsi="Times New Roman"/>
          <w:b/>
          <w:noProof/>
        </w:rPr>
        <w:t>gestión de los residuos</w:t>
      </w:r>
      <w:r>
        <w:rPr>
          <w:rFonts w:ascii="Times New Roman" w:hAnsi="Times New Roman"/>
          <w:noProof/>
        </w:rPr>
        <w:t xml:space="preserve"> en estas regiones es uno de los temas de este programa de trabajo. Además, a petición de Canarias y con el apoyo de España, la Comisión ha creado un grupo de trabajo para detectar obstáculos y configurar soluciones para mejorar la recogida, la reutilización, el reciclado y la trazabilidad de residuos en estas islas y que reúne a las administraciones europeas, nacionales, regionales y locales. La Comisión también propuso que el Fondo Europeo de Desarrollo Regional apoye la transición a la economía circular en el período 2021-2027. </w:t>
      </w:r>
    </w:p>
    <w:p>
      <w:pPr>
        <w:spacing w:before="120" w:after="0" w:line="240" w:lineRule="auto"/>
        <w:jc w:val="both"/>
        <w:rPr>
          <w:rFonts w:ascii="Times New Roman" w:hAnsi="Times New Roman" w:cs="Times New Roman"/>
          <w:noProof/>
          <w:sz w:val="24"/>
          <w:szCs w:val="24"/>
        </w:rPr>
      </w:pPr>
      <w:r>
        <w:rPr>
          <w:rFonts w:ascii="Times New Roman" w:hAnsi="Times New Roman"/>
          <w:noProof/>
        </w:rPr>
        <w:t>En sus conclusiones de octubre de 2019 sobre la economía circular, el Consejo destacó la necesidad de tener en cuenta la situación específica de las regiones ultraperiféricas y de garantizar una transición justa e integradora.</w:t>
      </w:r>
      <w:r>
        <w:rPr>
          <w:noProof/>
        </w:rPr>
        <w:t xml:space="preserve"> </w:t>
      </w:r>
      <w:r>
        <w:rPr>
          <w:rFonts w:ascii="Times New Roman" w:hAnsi="Times New Roman"/>
          <w:noProof/>
        </w:rPr>
        <w:t>Además, en marzo de 2020 la Comisión adoptó un nuevo plan de acción para la economía circular que abarca todo el ciclo de vida de los productos y se centra en sectores de alta intensidad, lo que pone de relieve las características específicas de las regiones ultraperiféricas.</w:t>
      </w:r>
    </w:p>
    <w:p>
      <w:pPr>
        <w:spacing w:before="120" w:after="0" w:line="240" w:lineRule="auto"/>
        <w:jc w:val="both"/>
        <w:rPr>
          <w:rFonts w:ascii="Times New Roman" w:hAnsi="Times New Roman" w:cs="Times New Roman"/>
          <w:noProof/>
          <w:sz w:val="24"/>
          <w:szCs w:val="24"/>
        </w:rPr>
      </w:pPr>
      <w:r>
        <w:rPr>
          <w:rFonts w:ascii="Times New Roman" w:hAnsi="Times New Roman"/>
          <w:noProof/>
        </w:rPr>
        <w:t>En 2019, Francia declaró la intención de avanzar hacia una política de «cero residuos» en sus territorios de ultramar</w:t>
      </w:r>
      <w:r>
        <w:rPr>
          <w:rStyle w:val="FootnoteReference"/>
          <w:rFonts w:ascii="Times New Roman" w:hAnsi="Times New Roman" w:cs="Times New Roman"/>
          <w:noProof/>
        </w:rPr>
        <w:footnoteReference w:id="16"/>
      </w:r>
      <w:r>
        <w:rPr>
          <w:rFonts w:ascii="Times New Roman" w:hAnsi="Times New Roman"/>
          <w:noProof/>
        </w:rPr>
        <w:t xml:space="preserve">. Las regiones francesas están desarrollando planes regionales de prevención y gestión de residuos y Azores revisó su plan estratégico de residuos regionales. </w:t>
      </w:r>
    </w:p>
    <w:p>
      <w:pPr>
        <w:spacing w:before="120" w:after="0" w:line="240" w:lineRule="auto"/>
        <w:jc w:val="both"/>
        <w:rPr>
          <w:rFonts w:ascii="Times New Roman" w:hAnsi="Times New Roman" w:cs="Times New Roman"/>
          <w:noProof/>
          <w:sz w:val="24"/>
          <w:szCs w:val="24"/>
        </w:rPr>
      </w:pPr>
      <w:r>
        <w:rPr>
          <w:rFonts w:ascii="Times New Roman" w:hAnsi="Times New Roman"/>
          <w:noProof/>
        </w:rPr>
        <w:t>La mayoría de las regiones ultraperiféricas están diseñando planes de acción para la economía circular que incluyen la producción y el consumo sostenibles, así como la gestión de residuos. Varias regiones han desarrollado proyectos para introducir modelos de economía circular, reducir los residuos y eliminar los residuos plásticos.  En 2018-2019, la mayoría de las regiones ultraperiféricas francesas pusieron en marcha convocatorias de proyectos para desarrollar la economía circular con el apoyo de la Agencia Francesa de Medioambiente y de Control de la Energía. Por ejemplo, la Reunión puso en marcha veintidós proyectos relacionados con la economía circular que van desde el diseño y la duración de la vida de los productos hasta el reciclado, y Martinica creó servicios de reparación y organizó campañas de sensibilización sobre la reducción de residuos.</w:t>
      </w:r>
    </w:p>
    <w:p>
      <w:pPr>
        <w:spacing w:before="120" w:after="0" w:line="240" w:lineRule="auto"/>
        <w:jc w:val="both"/>
        <w:rPr>
          <w:rFonts w:ascii="Times New Roman" w:hAnsi="Times New Roman" w:cs="Times New Roman"/>
          <w:noProof/>
          <w:sz w:val="24"/>
          <w:szCs w:val="24"/>
        </w:rPr>
      </w:pPr>
      <w:r>
        <w:rPr>
          <w:rFonts w:ascii="Times New Roman" w:hAnsi="Times New Roman"/>
          <w:i/>
          <w:noProof/>
        </w:rPr>
        <w:t xml:space="preserve">Las regiones ultraperiféricas tienen mucho que ganar con la implantación de modelos de economía circular como condición esencial para el crecimiento sostenible. Es importante acelerar los esfuerzos en materia de gestión de residuos, en particular en la mejora de la circularidad en la gestión y el tratamiento de los biorresiduos y en la reducción de residuos mediante su reutilización o reparación. </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 xml:space="preserve">Cambio climático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En su </w:t>
      </w:r>
      <w:r>
        <w:rPr>
          <w:rFonts w:ascii="Times New Roman" w:hAnsi="Times New Roman"/>
          <w:b/>
          <w:noProof/>
        </w:rPr>
        <w:t>evaluación de la estrategia de adaptación de la UE</w:t>
      </w:r>
      <w:r>
        <w:rPr>
          <w:rFonts w:ascii="Times New Roman" w:hAnsi="Times New Roman"/>
          <w:noProof/>
        </w:rPr>
        <w:t xml:space="preserve"> de 2018, la Comisión subrayó la necesidad de pasar de la generación de conocimientos a su utilización para configurar la acción en las regiones ultraperiféricas. Como se anunció en la Comunicación sobre el </w:t>
      </w:r>
      <w:r>
        <w:rPr>
          <w:rFonts w:ascii="Times New Roman" w:hAnsi="Times New Roman"/>
          <w:b/>
          <w:noProof/>
        </w:rPr>
        <w:t>Pacto</w:t>
      </w:r>
      <w:r>
        <w:rPr>
          <w:rFonts w:ascii="Times New Roman" w:hAnsi="Times New Roman"/>
          <w:noProof/>
        </w:rPr>
        <w:t xml:space="preserve"> </w:t>
      </w:r>
      <w:r>
        <w:rPr>
          <w:rFonts w:ascii="Times New Roman" w:hAnsi="Times New Roman"/>
          <w:b/>
          <w:noProof/>
        </w:rPr>
        <w:t>Verde</w:t>
      </w:r>
      <w:r>
        <w:rPr>
          <w:rFonts w:ascii="Times New Roman" w:hAnsi="Times New Roman"/>
          <w:noProof/>
        </w:rPr>
        <w:t xml:space="preserve">, la Comisión tiene la intención de adoptar una estrategia ambiciosa de la UE en materia de adaptación al cambio climático. El programa de trabajo LIFE para el período 2018-2020 establece específicamente proyectos de preparación para </w:t>
      </w:r>
      <w:r>
        <w:rPr>
          <w:rFonts w:ascii="Times New Roman" w:hAnsi="Times New Roman"/>
          <w:b/>
          <w:noProof/>
        </w:rPr>
        <w:t>fenómenos meteorológicos extremos</w:t>
      </w:r>
      <w:r>
        <w:rPr>
          <w:rFonts w:ascii="Times New Roman" w:hAnsi="Times New Roman"/>
          <w:noProof/>
        </w:rPr>
        <w:t xml:space="preserve"> en las regiones ultraperiféricas. En este contexto, LIFE está apoyando a Guadalupe y a la Guayana Francesa en la restauración de sus ecosistemas para proteger sus territorios frente a los efectos del cambio climático, como el aumento del nivel del mar.</w:t>
      </w:r>
    </w:p>
    <w:p>
      <w:pPr>
        <w:spacing w:before="120" w:after="0" w:line="240" w:lineRule="auto"/>
        <w:jc w:val="both"/>
        <w:rPr>
          <w:rFonts w:ascii="Times New Roman" w:hAnsi="Times New Roman" w:cs="Times New Roman"/>
          <w:i/>
          <w:noProof/>
          <w:sz w:val="24"/>
          <w:szCs w:val="24"/>
        </w:rPr>
      </w:pPr>
      <w:r>
        <w:rPr>
          <w:rFonts w:ascii="Times New Roman" w:hAnsi="Times New Roman"/>
          <w:noProof/>
        </w:rPr>
        <w:t>La Comisión propuso además el cambio climático como una de sus prioridades de inversión en el Fondo Europeo de Desarrollo Regional 2021-2027</w:t>
      </w:r>
      <w:r>
        <w:rPr>
          <w:rStyle w:val="FootnoteReference"/>
          <w:rFonts w:ascii="Times New Roman" w:hAnsi="Times New Roman" w:cs="Times New Roman"/>
          <w:noProof/>
        </w:rPr>
        <w:footnoteReference w:id="17"/>
      </w:r>
      <w:r>
        <w:rPr>
          <w:rFonts w:ascii="Times New Roman" w:hAnsi="Times New Roman"/>
          <w:noProof/>
        </w:rPr>
        <w:t xml:space="preserve">. Asimismo, la Comisión destinó 49 millones EUR del </w:t>
      </w:r>
      <w:r>
        <w:rPr>
          <w:rFonts w:ascii="Times New Roman" w:hAnsi="Times New Roman"/>
          <w:b/>
          <w:noProof/>
        </w:rPr>
        <w:t>Fondo de Solidaridad de la Unión Europea</w:t>
      </w:r>
      <w:r>
        <w:rPr>
          <w:rFonts w:ascii="Times New Roman" w:hAnsi="Times New Roman"/>
          <w:noProof/>
        </w:rPr>
        <w:t xml:space="preserve"> para apoyar la reconstrucción de San Martín y Guadalupe, que resultaron gravemente afectados por los huracanes Irma y María en 2017. Este Fondo también se movilizó para apoyar a Azores, que resultó afectada por el huracán Lorenzo en octubre de 2019</w:t>
      </w:r>
      <w:r>
        <w:rPr>
          <w:rStyle w:val="FootnoteReference"/>
          <w:rFonts w:ascii="Times New Roman" w:hAnsi="Times New Roman" w:cs="Times New Roman"/>
          <w:noProof/>
        </w:rPr>
        <w:footnoteReference w:id="18"/>
      </w:r>
      <w:r>
        <w:rPr>
          <w:rFonts w:ascii="Times New Roman" w:hAnsi="Times New Roman"/>
          <w:noProof/>
        </w:rPr>
        <w:t>.</w:t>
      </w:r>
      <w:r>
        <w:rPr>
          <w:rFonts w:ascii="Times New Roman" w:hAnsi="Times New Roman"/>
          <w:i/>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En 2019, Francia nombró un delegado para acelerar las </w:t>
      </w:r>
      <w:r>
        <w:rPr>
          <w:rFonts w:ascii="Times New Roman" w:hAnsi="Times New Roman"/>
          <w:b/>
          <w:noProof/>
        </w:rPr>
        <w:t>medidas preventivas y de adaptación</w:t>
      </w:r>
      <w:r>
        <w:rPr>
          <w:rFonts w:ascii="Times New Roman" w:hAnsi="Times New Roman"/>
          <w:noProof/>
        </w:rPr>
        <w:t xml:space="preserve"> en las regiones ultraperiféricas francesas. Azores adoptó un programa regional sobre el cambio climático en septiembre de 2019, mientras que Canarias creó en 2018 un Observatorio sobre el Cambio Climático.</w:t>
      </w:r>
    </w:p>
    <w:p>
      <w:pPr>
        <w:spacing w:before="120" w:after="0" w:line="240" w:lineRule="auto"/>
        <w:jc w:val="both"/>
        <w:rPr>
          <w:rFonts w:ascii="Times New Roman" w:hAnsi="Times New Roman" w:cs="Times New Roman"/>
          <w:b/>
          <w:noProof/>
          <w:sz w:val="24"/>
          <w:szCs w:val="24"/>
        </w:rPr>
      </w:pPr>
      <w:r>
        <w:rPr>
          <w:rFonts w:ascii="Times New Roman" w:hAnsi="Times New Roman"/>
          <w:i/>
          <w:noProof/>
        </w:rPr>
        <w:t>Las regiones ultraperiféricas son especialmente vulnerables a los fenómenos meteorológicos extremos ligados al cambio climático. Es necesario adoptar medidas sostenidas y coordinadas a todos los niveles y en las distintas políticas, a fin de canalizar las inversiones hacia la mejora de la capacidad de adaptación, el refuerzo de la resiliencia, la prevención y la preparación frente al cambio climático.</w:t>
      </w:r>
    </w:p>
    <w:p>
      <w:pPr>
        <w:spacing w:before="120" w:after="120" w:line="240" w:lineRule="auto"/>
        <w:rPr>
          <w:rFonts w:ascii="Times New Roman" w:hAnsi="Times New Roman" w:cs="Times New Roman"/>
          <w:noProof/>
          <w:sz w:val="24"/>
          <w:szCs w:val="24"/>
        </w:rPr>
      </w:pPr>
      <w:r>
        <w:rPr>
          <w:rFonts w:ascii="Times New Roman" w:hAnsi="Times New Roman"/>
          <w:b/>
          <w:noProof/>
        </w:rPr>
        <w:t>Energía</w:t>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La UE adoptó legislación en favor de las energías renovables y la eficiencia energética. Por ejemplo, la Directiva sobre fuentes de energías renovables de 2018</w:t>
      </w:r>
      <w:r>
        <w:rPr>
          <w:rStyle w:val="FootnoteReference"/>
          <w:rFonts w:ascii="Times New Roman" w:hAnsi="Times New Roman" w:cs="Times New Roman"/>
          <w:noProof/>
        </w:rPr>
        <w:footnoteReference w:id="19"/>
      </w:r>
      <w:r>
        <w:rPr>
          <w:rFonts w:ascii="Times New Roman" w:hAnsi="Times New Roman"/>
          <w:noProof/>
        </w:rPr>
        <w:t xml:space="preserve">, que debe transponerse de aquí a mediados de 2021, reconoce el papel de las comunidades locales en la transición hacia una energía limpia, un papel especialmente importante en territorios aislados como las regiones ultraperiféricas.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En el contexto de la </w:t>
      </w:r>
      <w:r>
        <w:rPr>
          <w:rFonts w:ascii="Times New Roman" w:hAnsi="Times New Roman"/>
          <w:b/>
          <w:noProof/>
        </w:rPr>
        <w:t>iniciativa «Energía limpia para las islas de la UE»</w:t>
      </w:r>
      <w:r>
        <w:rPr>
          <w:rFonts w:ascii="Times New Roman" w:hAnsi="Times New Roman"/>
          <w:noProof/>
        </w:rPr>
        <w:t>, la Comisión ofrece asesoramiento a Guadalupe, Azores y Canarias sobre cómo desarrollar estrategias y proyectos sobre energía limpia, y en el foro anual de la iniciativa en Canarias en 2018 promovió el conocimiento de las regiones ultraperiféricas sobre energía renovable. Además, en 2019, la Comisión estableció un mecanismo</w:t>
      </w:r>
      <w:r>
        <w:rPr>
          <w:rStyle w:val="FootnoteReference"/>
          <w:rFonts w:ascii="Times New Roman" w:hAnsi="Times New Roman" w:cs="Times New Roman"/>
          <w:noProof/>
        </w:rPr>
        <w:footnoteReference w:id="20"/>
      </w:r>
      <w:r>
        <w:rPr>
          <w:rFonts w:ascii="Times New Roman" w:hAnsi="Times New Roman"/>
          <w:noProof/>
        </w:rPr>
        <w:t>, respaldado por Horizonte 2020, para movilizar</w:t>
      </w:r>
      <w:r>
        <w:rPr>
          <w:rFonts w:ascii="Arial" w:hAnsi="Arial"/>
          <w:noProof/>
          <w:color w:val="1E1E1E"/>
        </w:rPr>
        <w:t xml:space="preserve"> </w:t>
      </w:r>
      <w:r>
        <w:rPr>
          <w:rFonts w:ascii="Times New Roman" w:hAnsi="Times New Roman"/>
          <w:noProof/>
          <w:color w:val="1E1E1E"/>
        </w:rPr>
        <w:t>al menos 100 millones EUR para proyectos de energía sostenible</w:t>
      </w:r>
      <w:r>
        <w:rPr>
          <w:rFonts w:ascii="Times New Roman" w:hAnsi="Times New Roman"/>
          <w:noProof/>
        </w:rPr>
        <w:t xml:space="preserve"> en las islas europeas, incluidas las regiones ultraperiféricas, y se comprometió en su Comunicación sobre el Pacto Verde a desarrollar un marco político a largo plazo para acelerar la transición de las islas de la UE, con el apoyo de los Estados miembros.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A partir de 2021, el </w:t>
      </w:r>
      <w:r>
        <w:rPr>
          <w:rFonts w:ascii="Times New Roman" w:hAnsi="Times New Roman"/>
          <w:b/>
          <w:noProof/>
        </w:rPr>
        <w:t>Mecanismo «Conectar Europa»</w:t>
      </w:r>
      <w:r>
        <w:rPr>
          <w:rFonts w:ascii="Times New Roman" w:hAnsi="Times New Roman"/>
          <w:noProof/>
        </w:rPr>
        <w:t xml:space="preserve"> (MCE) debe ofrecer importantes oportunidades para las regiones ultraperiféricas: una tarifa preferente para las obras relacionadas con la energía (así como en el ámbito digital y del transporte) y una atención especial en los criterios de adjudicación. Además, la Comisión propuso centrar las inversiones del Fondo Europeo de Desarrollo Regional para el período 2021-2027 en medidas de eficiencia energética y energías renovables como una de sus prioridades para una Europa más verde.</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A petición de la Reunión, la Comisión creó en 2018 un </w:t>
      </w:r>
      <w:r>
        <w:rPr>
          <w:rFonts w:ascii="Times New Roman" w:hAnsi="Times New Roman"/>
          <w:b/>
          <w:noProof/>
        </w:rPr>
        <w:t>grupo de trabajo sobre la transición energética</w:t>
      </w:r>
      <w:r>
        <w:rPr>
          <w:rFonts w:ascii="Times New Roman" w:hAnsi="Times New Roman"/>
          <w:noProof/>
        </w:rPr>
        <w:t xml:space="preserve"> con representantes de los servicios nacionales y regionales y del sector privado, que ha dado lugar a un plan de acción para mejorar la coordinación entre las distintas iniciativas.</w:t>
      </w:r>
    </w:p>
    <w:p>
      <w:pPr>
        <w:spacing w:before="120" w:after="0" w:line="240" w:lineRule="auto"/>
        <w:jc w:val="both"/>
        <w:rPr>
          <w:rFonts w:ascii="Times New Roman" w:hAnsi="Times New Roman" w:cs="Times New Roman"/>
          <w:noProof/>
          <w:sz w:val="24"/>
          <w:szCs w:val="24"/>
        </w:rPr>
      </w:pPr>
      <w:r>
        <w:rPr>
          <w:rFonts w:ascii="Times New Roman" w:hAnsi="Times New Roman"/>
          <w:noProof/>
        </w:rPr>
        <w:t>En 2019, Francia lanzó convocatorias para apoyar las zonas no conectadas con el continente: más de un tercio del presupuesto de 530 millones EUR se ha dedicado a las poblaciones desfavorecidas. España apoya la formación y la difusión de conocimientos sobre energías renovables y eficiencia energética en Canarias.</w:t>
      </w:r>
    </w:p>
    <w:p>
      <w:pPr>
        <w:spacing w:before="120" w:after="0" w:line="240" w:lineRule="auto"/>
        <w:jc w:val="both"/>
        <w:rPr>
          <w:rFonts w:ascii="Times New Roman" w:hAnsi="Times New Roman" w:cs="Times New Roman"/>
          <w:noProof/>
          <w:sz w:val="24"/>
          <w:szCs w:val="24"/>
        </w:rPr>
      </w:pPr>
      <w:r>
        <w:rPr>
          <w:rFonts w:ascii="Times New Roman" w:hAnsi="Times New Roman"/>
          <w:noProof/>
        </w:rPr>
        <w:t>Las regiones ultraperiféricas han puesto en marcha sus propias estrategias para reducir las emisiones de gases de efecto invernadero e incrementar el uso de energías renovables y la eficiencia energética. También han desarrollado proyectos con financiación nacional o de la UE, como la producción de electricidad basada en la energía solar o la biomasa (Martinica, Guadalupe, la Guayana Francesa) y las microrredes inteligentes (la Reunión). Muchas regiones ultraperiféricas han invertido en movilidad eléctrica. Desde 2017, Canarias ha duplicado con creces la cantidad de tiempo</w:t>
      </w:r>
      <w:r>
        <w:rPr>
          <w:rFonts w:ascii="Times New Roman" w:hAnsi="Times New Roman"/>
          <w:i/>
          <w:noProof/>
        </w:rPr>
        <w:t xml:space="preserve"> </w:t>
      </w:r>
      <w:r>
        <w:rPr>
          <w:rFonts w:ascii="Times New Roman" w:hAnsi="Times New Roman"/>
          <w:noProof/>
        </w:rPr>
        <w:t>durante el cual la isla de El Hierro utiliza un 100 % de energía renovable.</w:t>
      </w:r>
    </w:p>
    <w:p>
      <w:pPr>
        <w:spacing w:before="120" w:after="0" w:line="240" w:lineRule="auto"/>
        <w:jc w:val="both"/>
        <w:rPr>
          <w:rFonts w:ascii="Times New Roman" w:hAnsi="Times New Roman" w:cs="Times New Roman"/>
          <w:b/>
          <w:noProof/>
          <w:sz w:val="24"/>
          <w:szCs w:val="24"/>
        </w:rPr>
      </w:pPr>
      <w:r>
        <w:rPr>
          <w:rFonts w:ascii="Times New Roman" w:hAnsi="Times New Roman"/>
          <w:i/>
          <w:noProof/>
        </w:rPr>
        <w:t xml:space="preserve">Dada la dependencia de las regiones ultraperiféricas de los combustibles fósiles importados, se necesitan esfuerzos constantes para acelerar la transición energética, en particular invirtiendo en el almacenamiento y las redes inteligentes, en fuentes de energía renovables (incluida la energía marina), en soluciones de transporte limpio y en eficiencia energética, de modo que se contribuya a la autonomía energética en estas regiones remotas, así como a la neutralidad en carbono. </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rPr>
        <w:t>3. Posibilitar el crecimiento y la creación de empleo</w:t>
      </w:r>
    </w:p>
    <w:p>
      <w:pPr>
        <w:spacing w:before="120" w:after="0" w:line="240" w:lineRule="auto"/>
        <w:jc w:val="both"/>
        <w:rPr>
          <w:rFonts w:ascii="Times New Roman" w:hAnsi="Times New Roman" w:cs="Times New Roman"/>
          <w:noProof/>
          <w:sz w:val="24"/>
          <w:szCs w:val="24"/>
        </w:rPr>
      </w:pPr>
      <w:r>
        <w:rPr>
          <w:rFonts w:ascii="Times New Roman" w:hAnsi="Times New Roman"/>
          <w:noProof/>
        </w:rPr>
        <w:t>La Comunicación propone medidas para desbloquear el crecimiento en las regiones ultraperiféricas, incluidas las inversiones en investigación e innovación, emprendimiento, desarrollo de capacidades, así como conexiones digitales y de transporte.</w:t>
      </w:r>
    </w:p>
    <w:p>
      <w:pPr>
        <w:spacing w:before="120" w:after="120" w:line="240" w:lineRule="auto"/>
        <w:rPr>
          <w:rFonts w:ascii="Times New Roman" w:hAnsi="Times New Roman" w:cs="Times New Roman"/>
          <w:noProof/>
          <w:sz w:val="24"/>
          <w:szCs w:val="24"/>
        </w:rPr>
      </w:pPr>
      <w:r>
        <w:rPr>
          <w:rFonts w:ascii="Times New Roman" w:hAnsi="Times New Roman"/>
          <w:b/>
          <w:noProof/>
        </w:rPr>
        <w:t>Investigación e innovación</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Para impulsar el potencial de investigación de las regiones ultraperiféricas, la Comisión puso en marcha una convocatoria específica para una </w:t>
      </w:r>
      <w:r>
        <w:rPr>
          <w:rFonts w:ascii="Times New Roman" w:hAnsi="Times New Roman"/>
          <w:b/>
          <w:noProof/>
        </w:rPr>
        <w:t>acción de coordinación y apoyo</w:t>
      </w:r>
      <w:r>
        <w:rPr>
          <w:rFonts w:ascii="Times New Roman" w:hAnsi="Times New Roman"/>
          <w:noProof/>
        </w:rPr>
        <w:t xml:space="preserve"> en el marco del programa de investigación Horizonte 2020 de la UE. Esto dio lugar al proyecto FORWARD, que reúne a las universidades, la industria, la sociedad civil y los gobiernos de todas las regiones ultraperiféricas a fin de </w:t>
      </w:r>
      <w:r>
        <w:rPr>
          <w:rFonts w:ascii="Times New Roman" w:hAnsi="Times New Roman"/>
          <w:b/>
          <w:noProof/>
        </w:rPr>
        <w:t>determinar sus capacidades de investigación</w:t>
      </w:r>
      <w:r>
        <w:rPr>
          <w:rFonts w:ascii="Times New Roman" w:hAnsi="Times New Roman"/>
          <w:noProof/>
        </w:rPr>
        <w:t>, detectar ámbitos de excelencia y apoyar su participación en proyectos de investigación internacionales.</w:t>
      </w:r>
    </w:p>
    <w:p>
      <w:pPr>
        <w:spacing w:before="120" w:after="0" w:line="240" w:lineRule="auto"/>
        <w:jc w:val="both"/>
        <w:rPr>
          <w:rFonts w:ascii="Times New Roman" w:hAnsi="Times New Roman" w:cs="Times New Roman"/>
          <w:noProof/>
          <w:sz w:val="24"/>
          <w:szCs w:val="24"/>
        </w:rPr>
      </w:pPr>
      <w:r>
        <w:rPr>
          <w:rFonts w:ascii="Times New Roman" w:hAnsi="Times New Roman"/>
          <w:noProof/>
        </w:rPr>
        <w:t>Además, la Comisión propuso que el programa «</w:t>
      </w:r>
      <w:r>
        <w:rPr>
          <w:rFonts w:ascii="Times New Roman" w:hAnsi="Times New Roman"/>
          <w:b/>
          <w:noProof/>
        </w:rPr>
        <w:t>Horizonte Europa</w:t>
      </w:r>
      <w:r>
        <w:rPr>
          <w:rFonts w:ascii="Times New Roman" w:hAnsi="Times New Roman"/>
          <w:noProof/>
        </w:rPr>
        <w:t xml:space="preserve">» 2021-2027 de la UE extienda sus medidas de ampliación de la participación y difusión de la excelencia a las regiones ultraperiféricas. Asimismo, en 2021-2027, estas regiones podrán beneficiarse del nuevo instrumento para las inversiones interregionales en innovación en el marco de la cooperación territorial europea para participar en las cadenas de valor mundiales y aumentar sus vínculos con otras regiones europeas en ámbitos comunes de especialización inteligente.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mayoría de las regiones ultraperiféricas están evaluando sus </w:t>
      </w:r>
      <w:r>
        <w:rPr>
          <w:rFonts w:ascii="Times New Roman" w:hAnsi="Times New Roman"/>
          <w:b/>
          <w:noProof/>
        </w:rPr>
        <w:t>estrategias de especialización inteligente</w:t>
      </w:r>
      <w:r>
        <w:rPr>
          <w:rStyle w:val="FootnoteReference"/>
          <w:rFonts w:ascii="Times New Roman" w:hAnsi="Times New Roman" w:cs="Times New Roman"/>
          <w:noProof/>
        </w:rPr>
        <w:footnoteReference w:id="21"/>
      </w:r>
      <w:r>
        <w:rPr>
          <w:rFonts w:ascii="Times New Roman" w:hAnsi="Times New Roman"/>
          <w:noProof/>
        </w:rPr>
        <w:t xml:space="preserve"> para adaptar sus ecosistemas de innovación a los sectores más prometedores. Azores, Madeira y Canarias están configurando la estrategia de especialización transregional de la Macaronesia. Las regiones ultraperiféricas han desarrollado iniciativas para fomentar la integración de los agentes locales en las redes internacionales de investigación y mejorar su participación en la investigación financiada por la UE (por ejemplo, el plan de Azores para la internacionalización de la ciencia y la tecnología). Francia ha seguido esforzándose por aumentar la capacidad de innovación de sus regiones con el Gran Plan de Inversiones para 2018-2022.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Los sectores seleccionados varían según las regiones. Algunas regiones se centraron en la economía azul, por ejemplo, con el proyecto Horizonte 2020 sobre el impacto del cambio climático derivado del transporte marítimo, el turismo, la energía y la acuicultura, en el que participan las regiones de la Macaronesia y el Caribe. Otras invirtieron en el espacio, por ejemplo Azores y Portugal, con el nuevo puerto espacial internacional y la agencia espacial portuguesa en la isla de Santa María. Otras regiones han invertido en la transición energética (la Reunión y Canarias han adoptado para la descarbonización de los sistemas de energía); en la asistencia sanitaria (Madeira y Guadalupe); y en el desarrollo de productos agrícolas o cosméticos basados en sustancias naturales (la Guayana Francesa). </w:t>
      </w:r>
    </w:p>
    <w:p>
      <w:pPr>
        <w:spacing w:before="120" w:after="0" w:line="240" w:lineRule="auto"/>
        <w:jc w:val="both"/>
        <w:rPr>
          <w:rFonts w:ascii="Times New Roman" w:hAnsi="Times New Roman" w:cs="Times New Roman"/>
          <w:i/>
          <w:noProof/>
          <w:sz w:val="24"/>
          <w:szCs w:val="24"/>
        </w:rPr>
      </w:pPr>
      <w:r>
        <w:rPr>
          <w:rFonts w:ascii="Times New Roman" w:hAnsi="Times New Roman"/>
          <w:i/>
          <w:noProof/>
        </w:rPr>
        <w:t>El desarrollo del potencial de investigación e innovación de las regiones ultraperiféricas es fundamental para impulsar el crecimiento en estas regiones. Aumentar su participación en las redes internacionales de investigación y en las cadenas de valor mundiales, tanto dentro de Europa como con terceros países, puede ayudar a las regiones ultraperiféricas a reforzar sus sistemas de innovación y crear empleo.</w:t>
      </w:r>
    </w:p>
    <w:p>
      <w:pPr>
        <w:keepNext/>
        <w:spacing w:before="120" w:after="120" w:line="240" w:lineRule="auto"/>
        <w:rPr>
          <w:rFonts w:ascii="Times New Roman" w:hAnsi="Times New Roman"/>
          <w:noProof/>
          <w:sz w:val="24"/>
          <w:szCs w:val="24"/>
        </w:rPr>
      </w:pPr>
      <w:r>
        <w:rPr>
          <w:rFonts w:ascii="Times New Roman" w:hAnsi="Times New Roman"/>
          <w:b/>
          <w:noProof/>
        </w:rPr>
        <w:t>Empleo, educación y formación</w:t>
      </w:r>
      <w:r>
        <w:rPr>
          <w:rFonts w:ascii="Times New Roman" w:hAnsi="Times New Roman"/>
          <w:noProof/>
        </w:rPr>
        <w:t xml:space="preserve"> </w:t>
      </w:r>
    </w:p>
    <w:p>
      <w:pPr>
        <w:spacing w:before="120" w:after="0" w:line="240" w:lineRule="auto"/>
        <w:jc w:val="both"/>
        <w:rPr>
          <w:rFonts w:ascii="Times New Roman" w:hAnsi="Times New Roman"/>
          <w:noProof/>
          <w:sz w:val="24"/>
          <w:szCs w:val="24"/>
        </w:rPr>
      </w:pPr>
      <w:r>
        <w:rPr>
          <w:rFonts w:ascii="Times New Roman" w:hAnsi="Times New Roman"/>
          <w:noProof/>
        </w:rPr>
        <w:t>Los fondos de la política agrícola y de cohesión de la UE proporcionan un apoyo sustancial al desarrollo social en las regiones ultraperiféricas</w:t>
      </w:r>
      <w:r>
        <w:rPr>
          <w:rStyle w:val="FootnoteReference"/>
          <w:rFonts w:ascii="Times New Roman" w:hAnsi="Times New Roman"/>
          <w:noProof/>
        </w:rPr>
        <w:footnoteReference w:id="22"/>
      </w:r>
      <w:r>
        <w:rPr>
          <w:rFonts w:ascii="Times New Roman" w:hAnsi="Times New Roman"/>
          <w:noProof/>
        </w:rPr>
        <w:t xml:space="preserve">. </w:t>
      </w:r>
    </w:p>
    <w:p>
      <w:pPr>
        <w:spacing w:before="120" w:line="240" w:lineRule="auto"/>
        <w:jc w:val="both"/>
        <w:rPr>
          <w:rFonts w:ascii="Times New Roman" w:hAnsi="Times New Roman"/>
          <w:noProof/>
          <w:sz w:val="24"/>
          <w:szCs w:val="24"/>
        </w:rPr>
      </w:pPr>
      <w:r>
        <w:rPr>
          <w:rFonts w:ascii="Times New Roman" w:hAnsi="Times New Roman"/>
          <w:noProof/>
        </w:rPr>
        <w:t xml:space="preserve">La propuesta de la Comisión para el Fondo Social Europeo Plus 2021-2027 garantiza los porcentajes de cofinanciación más elevados para las regiones ultraperiféricas, establece una </w:t>
      </w:r>
      <w:r>
        <w:rPr>
          <w:rFonts w:ascii="Times New Roman" w:hAnsi="Times New Roman"/>
          <w:b/>
          <w:noProof/>
        </w:rPr>
        <w:t>dotación adicional específica</w:t>
      </w:r>
      <w:r>
        <w:rPr>
          <w:rFonts w:ascii="Times New Roman" w:hAnsi="Times New Roman"/>
          <w:noProof/>
        </w:rPr>
        <w:t xml:space="preserve"> para apoyar el empleo, la educación y la inclusión en estas regiones, y asigna el 15 % del capítulo nacional a </w:t>
      </w:r>
      <w:r>
        <w:rPr>
          <w:rFonts w:ascii="Times New Roman" w:hAnsi="Times New Roman"/>
          <w:b/>
          <w:noProof/>
        </w:rPr>
        <w:t>apoyar a los jóvenes</w:t>
      </w:r>
      <w:r>
        <w:rPr>
          <w:rFonts w:ascii="Times New Roman" w:hAnsi="Times New Roman"/>
          <w:noProof/>
        </w:rPr>
        <w:t xml:space="preserve"> de las regiones ultraperiféricas con un porcentaje significativo de personas que ni estudian ni trabajan. </w:t>
      </w:r>
    </w:p>
    <w:p>
      <w:pPr>
        <w:spacing w:before="120" w:line="240" w:lineRule="auto"/>
        <w:jc w:val="both"/>
        <w:rPr>
          <w:rFonts w:ascii="Times New Roman" w:hAnsi="Times New Roman"/>
          <w:noProof/>
          <w:sz w:val="24"/>
          <w:szCs w:val="24"/>
        </w:rPr>
      </w:pPr>
      <w:r>
        <w:rPr>
          <w:rFonts w:ascii="Times New Roman" w:hAnsi="Times New Roman"/>
          <w:noProof/>
        </w:rPr>
        <w:t xml:space="preserve">En 2018, la Comisión mejoró el acceso a la microfinanciación en las regiones ultraperiféricas francesas mediante el aumento de la garantía del Programa para el Empleo y la Innovación Social en favor de una asociación de apoyo a pequeños empresarios, la ADIE. Además, la Comisión aumentó la dotación de la </w:t>
      </w:r>
      <w:r>
        <w:rPr>
          <w:rFonts w:ascii="Times New Roman" w:hAnsi="Times New Roman"/>
          <w:b/>
          <w:noProof/>
        </w:rPr>
        <w:t>Iniciativa sobre Empleo Juvenil</w:t>
      </w:r>
      <w:r>
        <w:rPr>
          <w:rFonts w:ascii="Times New Roman" w:hAnsi="Times New Roman"/>
          <w:noProof/>
        </w:rPr>
        <w:t xml:space="preserve"> para Francia, incluidas sus regiones ultraperiféricas, así como los recursos del </w:t>
      </w:r>
      <w:r>
        <w:rPr>
          <w:rFonts w:ascii="Times New Roman" w:hAnsi="Times New Roman"/>
          <w:b/>
          <w:noProof/>
        </w:rPr>
        <w:t>Fondo Social Europeo</w:t>
      </w:r>
      <w:r>
        <w:rPr>
          <w:rFonts w:ascii="Times New Roman" w:hAnsi="Times New Roman"/>
          <w:noProof/>
        </w:rPr>
        <w:t xml:space="preserve"> para España, incluida Canarias. </w:t>
      </w:r>
    </w:p>
    <w:p>
      <w:pPr>
        <w:spacing w:before="120" w:line="240" w:lineRule="auto"/>
        <w:jc w:val="both"/>
        <w:rPr>
          <w:rFonts w:ascii="Times New Roman" w:hAnsi="Times New Roman"/>
          <w:noProof/>
          <w:sz w:val="24"/>
          <w:szCs w:val="24"/>
        </w:rPr>
      </w:pPr>
      <w:r>
        <w:rPr>
          <w:rFonts w:ascii="Times New Roman" w:hAnsi="Times New Roman"/>
          <w:noProof/>
        </w:rPr>
        <w:t xml:space="preserve">En el mismo año, en el marco de </w:t>
      </w:r>
      <w:r>
        <w:rPr>
          <w:rFonts w:ascii="Times New Roman" w:hAnsi="Times New Roman"/>
          <w:b/>
          <w:noProof/>
        </w:rPr>
        <w:t>Erasmus+</w:t>
      </w:r>
      <w:r>
        <w:rPr>
          <w:rFonts w:ascii="Times New Roman" w:hAnsi="Times New Roman"/>
          <w:noProof/>
        </w:rPr>
        <w:t>, la Comisión aumentó la asignación mensual para los residentes de las regiones ultraperiféricas y las subvenciones para viajes de los ciudadanos de Mayotte y de la Reunión</w:t>
      </w:r>
      <w:r>
        <w:rPr>
          <w:rStyle w:val="FootnoteReference"/>
          <w:rFonts w:ascii="Times New Roman" w:hAnsi="Times New Roman" w:cs="Times New Roman"/>
          <w:noProof/>
        </w:rPr>
        <w:footnoteReference w:id="23"/>
      </w:r>
      <w:r>
        <w:rPr>
          <w:rFonts w:ascii="Times New Roman" w:hAnsi="Times New Roman"/>
          <w:noProof/>
        </w:rPr>
        <w:t xml:space="preserve">. La Comisión también amplió al </w:t>
      </w:r>
      <w:r>
        <w:rPr>
          <w:rFonts w:ascii="Times New Roman" w:hAnsi="Times New Roman"/>
          <w:b/>
          <w:noProof/>
        </w:rPr>
        <w:t>Cuerpo Europeo de Solidaridad</w:t>
      </w:r>
      <w:r>
        <w:rPr>
          <w:rFonts w:ascii="Times New Roman" w:hAnsi="Times New Roman"/>
          <w:noProof/>
        </w:rPr>
        <w:t xml:space="preserve"> las condiciones específicas de Erasmus para los ciudadanos de las regiones ultraperiféricas. En su propuesta de Erasmus 2021-2027, la Comisión se comprometió a </w:t>
      </w:r>
      <w:r>
        <w:rPr>
          <w:rFonts w:ascii="Times New Roman" w:hAnsi="Times New Roman"/>
          <w:b/>
          <w:noProof/>
        </w:rPr>
        <w:t>aumentar la participación de las regiones ultraperiféricas</w:t>
      </w:r>
      <w:r>
        <w:rPr>
          <w:rFonts w:ascii="Times New Roman" w:hAnsi="Times New Roman"/>
          <w:noProof/>
        </w:rPr>
        <w:t xml:space="preserve"> en las acciones de movilidad, también con los </w:t>
      </w:r>
      <w:r>
        <w:rPr>
          <w:rFonts w:ascii="Times New Roman" w:hAnsi="Times New Roman"/>
          <w:b/>
          <w:noProof/>
        </w:rPr>
        <w:t>países vecinos</w:t>
      </w:r>
      <w:r>
        <w:rPr>
          <w:rFonts w:ascii="Times New Roman" w:hAnsi="Times New Roman"/>
          <w:noProof/>
        </w:rPr>
        <w:t xml:space="preserve">, y a supervisar esta participación. </w:t>
      </w:r>
    </w:p>
    <w:p>
      <w:pPr>
        <w:spacing w:before="120" w:line="240" w:lineRule="auto"/>
        <w:jc w:val="both"/>
        <w:rPr>
          <w:rFonts w:ascii="Times New Roman" w:hAnsi="Times New Roman"/>
          <w:noProof/>
          <w:sz w:val="24"/>
          <w:szCs w:val="24"/>
        </w:rPr>
      </w:pPr>
      <w:r>
        <w:rPr>
          <w:rFonts w:ascii="Times New Roman" w:hAnsi="Times New Roman"/>
          <w:noProof/>
        </w:rPr>
        <w:t>Francia ha revisado su legislación</w:t>
      </w:r>
      <w:r>
        <w:rPr>
          <w:rStyle w:val="FootnoteReference"/>
          <w:rFonts w:ascii="Times New Roman" w:hAnsi="Times New Roman" w:cs="Times New Roman"/>
          <w:noProof/>
        </w:rPr>
        <w:footnoteReference w:id="24"/>
      </w:r>
      <w:r>
        <w:rPr>
          <w:rFonts w:ascii="Times New Roman" w:hAnsi="Times New Roman"/>
          <w:noProof/>
        </w:rPr>
        <w:t xml:space="preserve"> con el fin de desarrollar contratos de aprendizaje con terceros países vecinos. La mayoría de las regiones ultraperiféricas (Martinica, la Reunión, Azores, Madeira y Canarias) han desarrollado planes de acción para mejorar el espíritu empresarial en el marco del proyecto Interreg GROW RUP destinado a los desempleados en los sectores de la economía azul y verde. La Guayana Francesa creó un bachillerato en el ámbito aeroespacial; la Reunión está invirtiendo en su universidad regional; en Azores se pusieron en marcha varias iniciativas para promover el empleo de los jóvenes. </w:t>
      </w:r>
    </w:p>
    <w:p>
      <w:pPr>
        <w:spacing w:before="120" w:after="0" w:line="240" w:lineRule="auto"/>
        <w:jc w:val="both"/>
        <w:rPr>
          <w:rFonts w:ascii="Times New Roman" w:hAnsi="Times New Roman"/>
          <w:i/>
          <w:noProof/>
          <w:sz w:val="24"/>
          <w:szCs w:val="24"/>
        </w:rPr>
      </w:pPr>
      <w:r>
        <w:rPr>
          <w:rFonts w:ascii="Times New Roman" w:hAnsi="Times New Roman"/>
          <w:i/>
          <w:noProof/>
        </w:rPr>
        <w:t>La mejora de las capacidades, en particular entre los jóvenes, es esencial para responder a las necesidades del mercado laboral y mejorar la empleabilidad de los ciudadanos. Una mayor inversión en movilidad internacional mejoraría la cooperación con los países vecinos y apoyaría la integración regional.</w:t>
      </w:r>
    </w:p>
    <w:p>
      <w:pPr>
        <w:spacing w:before="120" w:after="120" w:line="240" w:lineRule="auto"/>
        <w:jc w:val="both"/>
        <w:rPr>
          <w:rFonts w:ascii="Times New Roman" w:hAnsi="Times New Roman"/>
          <w:noProof/>
          <w:sz w:val="24"/>
          <w:szCs w:val="24"/>
        </w:rPr>
      </w:pPr>
      <w:r>
        <w:rPr>
          <w:rFonts w:ascii="Times New Roman" w:hAnsi="Times New Roman"/>
          <w:b/>
          <w:noProof/>
        </w:rPr>
        <w:t>Competitividad, emprendimiento y mercado único</w:t>
      </w:r>
      <w:r>
        <w:rPr>
          <w:rFonts w:ascii="Times New Roman" w:hAnsi="Times New Roman"/>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rPr>
        <w:t>La política agrícola y de cohesión de la UE proporciona un apoyo sustancial para impulsar la competitividad de las pymes en las regiones ultraperiféricas</w:t>
      </w:r>
      <w:r>
        <w:rPr>
          <w:rStyle w:val="FootnoteReference"/>
          <w:rFonts w:ascii="Times New Roman" w:hAnsi="Times New Roman" w:cs="Times New Roman"/>
          <w:noProof/>
        </w:rPr>
        <w:footnoteReference w:id="25"/>
      </w:r>
      <w:r>
        <w:rPr>
          <w:rFonts w:ascii="Times New Roman" w:hAnsi="Times New Roman"/>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Para mejorar el acceso de estas regiones a la financiación, el </w:t>
      </w:r>
      <w:r>
        <w:rPr>
          <w:rFonts w:ascii="Times New Roman" w:hAnsi="Times New Roman"/>
          <w:b/>
          <w:noProof/>
        </w:rPr>
        <w:t>Centro Europeo de Asesoramiento para la Inversión</w:t>
      </w:r>
      <w:r>
        <w:rPr>
          <w:rFonts w:ascii="Times New Roman" w:hAnsi="Times New Roman"/>
          <w:noProof/>
        </w:rPr>
        <w:t xml:space="preserve"> analizó la situación de cada región y propuso formas de sacar el máximo partido de la ayuda financiera, incluido el Fondo Europeo para Inversiones Estratégicas</w:t>
      </w:r>
      <w:r>
        <w:rPr>
          <w:rFonts w:ascii="Times New Roman" w:hAnsi="Times New Roman" w:cs="Times New Roman"/>
          <w:noProof/>
          <w:vertAlign w:val="superscript"/>
        </w:rPr>
        <w:footnoteReference w:id="26"/>
      </w:r>
      <w:r>
        <w:rPr>
          <w:rFonts w:ascii="Times New Roman" w:hAnsi="Times New Roman"/>
          <w:noProof/>
        </w:rPr>
        <w:t>. La Comisión impulsó los debates con las autoridades nacionales y regionales y las instituciones financieras sobre las soluciones propuestas y fomentó su puesta en práctica. Además, la propuesta de la Comisión para el programa InvestEU anima a los Estados miembros a abordar las deficiencias del mercado en las regiones ultraperiféricas, recurriendo al programa para atraer la inversión privada y aumentar el apalancamiento de la financiación</w:t>
      </w:r>
      <w:r>
        <w:rPr>
          <w:rFonts w:ascii="Times New Roman" w:hAnsi="Times New Roman"/>
          <w:i/>
          <w:noProof/>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En 2019, la Comisión puso en marcha una convocatoria de propuestas en el marco del programa </w:t>
      </w:r>
      <w:r>
        <w:rPr>
          <w:rFonts w:ascii="Times New Roman" w:hAnsi="Times New Roman"/>
          <w:b/>
          <w:noProof/>
        </w:rPr>
        <w:t>Erasmus para Jóvenes Emprendedores</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que anima a los solicitantes a incluir a entidades de las regiones ultraperiféricas. Como consecuencia de ello, un primer punto de contacto en Martinica está apoyando a los empresarios locales. La propuesta de la Comisión para el </w:t>
      </w:r>
      <w:r>
        <w:rPr>
          <w:rFonts w:ascii="Times New Roman" w:hAnsi="Times New Roman"/>
          <w:b/>
          <w:noProof/>
        </w:rPr>
        <w:t>programa sobre el mercado único</w:t>
      </w:r>
      <w:r>
        <w:rPr>
          <w:rFonts w:ascii="Times New Roman" w:hAnsi="Times New Roman"/>
          <w:noProof/>
        </w:rPr>
        <w:t xml:space="preserve"> 2021-2027 subraya además la necesidad de integrar mejor las regiones ultraperiféricas en el mercado interior. Además, la Comisión propuso que el </w:t>
      </w:r>
      <w:r>
        <w:rPr>
          <w:rFonts w:ascii="Times New Roman" w:hAnsi="Times New Roman"/>
          <w:b/>
          <w:noProof/>
        </w:rPr>
        <w:t>Fondo Europeo de Desarrollo Regional</w:t>
      </w:r>
      <w:r>
        <w:rPr>
          <w:rFonts w:ascii="Times New Roman" w:hAnsi="Times New Roman"/>
          <w:noProof/>
        </w:rPr>
        <w:t xml:space="preserve"> siga proporcionando una dotación específica para compensar los costes adicionales a los que se enfrentan las empresas situadas en estas regiones.</w:t>
      </w:r>
      <w:r>
        <w:rPr>
          <w:rFonts w:ascii="Verdana" w:hAnsi="Verdana"/>
          <w:noProof/>
          <w:color w:val="444345"/>
          <w:sz w:val="18"/>
          <w:szCs w:val="18"/>
        </w:rPr>
        <w:t xml:space="preserve"> </w:t>
      </w:r>
      <w:r>
        <w:rPr>
          <w:rFonts w:ascii="Times New Roman" w:hAnsi="Times New Roman"/>
          <w:noProof/>
        </w:rPr>
        <w:t xml:space="preserve">El apoyo de la </w:t>
      </w:r>
      <w:r>
        <w:rPr>
          <w:rFonts w:ascii="Times New Roman" w:hAnsi="Times New Roman"/>
          <w:b/>
          <w:noProof/>
        </w:rPr>
        <w:t>Red Europea para las Empresas</w:t>
      </w:r>
      <w:r>
        <w:rPr>
          <w:rFonts w:ascii="Times New Roman" w:hAnsi="Times New Roman"/>
          <w:noProof/>
        </w:rPr>
        <w:t xml:space="preserve"> está disponible en Azores, Madeira, Canarias, Martinica, Guadalupe y la Reunión.</w:t>
      </w:r>
    </w:p>
    <w:p>
      <w:p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Francia apoyó a las empresas de las regiones ultraperiféricas con regímenes fiscales o condiciones de financiación específicos. Canarias y Martinica elaboraron estrategias de internacionalización. Algunas regiones intensificaron sus relaciones comerciales con terceros países vecinos; por ejemplo, Guadalupe apoyó a empresas en la exportación a los Estados Unidos, y la Reunión creó un servicio para apoyar a las empresas emergentes en Mozambique, así como instrumentos financieros para las pymes que reciben apoyo del Fondo Europeo de Desarrollo Regional. Mayotte y la Reunión están creando tecnopolos. </w:t>
      </w:r>
    </w:p>
    <w:p>
      <w:pPr>
        <w:spacing w:before="120" w:after="0" w:line="240" w:lineRule="auto"/>
        <w:jc w:val="both"/>
        <w:rPr>
          <w:rFonts w:ascii="Times New Roman" w:hAnsi="Times New Roman" w:cs="Times New Roman"/>
          <w:b/>
          <w:noProof/>
          <w:sz w:val="24"/>
          <w:szCs w:val="24"/>
        </w:rPr>
      </w:pPr>
      <w:r>
        <w:rPr>
          <w:rFonts w:ascii="Times New Roman" w:hAnsi="Times New Roman"/>
          <w:i/>
          <w:noProof/>
        </w:rPr>
        <w:t>Se necesitan mayores esfuerzos a todos los niveles para mejorar el espíritu empresarial e impulsar la competitividad en sectores con un elevado potencial, como la biodiversidad y la economía azul.</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Accesibilidad digital</w:t>
      </w:r>
      <w:r>
        <w:rPr>
          <w:rFonts w:ascii="Times New Roman" w:hAnsi="Times New Roman"/>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noProof/>
        </w:rPr>
        <w:t xml:space="preserve">En 2017, la Comisión puso en marcha la red de </w:t>
      </w:r>
      <w:r>
        <w:rPr>
          <w:rFonts w:ascii="Times New Roman" w:hAnsi="Times New Roman"/>
          <w:b/>
          <w:noProof/>
        </w:rPr>
        <w:t>oficinas competentes en materia de banda ancha</w:t>
      </w:r>
      <w:r>
        <w:rPr>
          <w:rFonts w:ascii="Times New Roman" w:hAnsi="Times New Roman"/>
          <w:noProof/>
        </w:rPr>
        <w:t xml:space="preserve"> de la UE para ayudar a los Estados miembros y a las regiones a diseñar y aplicar estrategias para llevar la banda ancha a las zonas no cubiertas por el despliegue comercial. La Comisión ha alentado la participación de las regiones ultraperiféricas en esta red y ha recomendado que los Estados miembros apoyen su participación. La Comisión también aprobó dos grandes proyectos de redes de banda ancha de alta velocidad en la Reunión (2018) y Martinica (2019), con el apoyo del Fondo Europeo de Desarrollo Regional. En su propuesta para el programa Europa Digital 2021-2027, la Comisión previó la designación de entidades digitales específicas en las regiones ultraperiféricas y prestó una especial atención a estas regiones en los criterios de adjudicación. Además, en el marco del Mecanismo «Conectar Europa» 2021-2027, serán subvencionables los proyectos de apoyo a redes troncales nuevas o mejoradas, incluidos los cables submarinos entre Estados miembros y entre la Unión y terceros países. Por otra parte, la lista indicativa de proyectos de infraestructura de conectividad digital de interés común que acompaña a la propuesta del Mecanismo «Conectar Europa»</w:t>
      </w:r>
      <w:r>
        <w:rPr>
          <w:rStyle w:val="FootnoteReference"/>
          <w:rFonts w:ascii="Times New Roman" w:hAnsi="Times New Roman" w:cs="Times New Roman"/>
          <w:noProof/>
        </w:rPr>
        <w:footnoteReference w:id="27"/>
      </w:r>
      <w:r>
        <w:rPr>
          <w:rFonts w:ascii="Times New Roman" w:hAnsi="Times New Roman"/>
          <w:noProof/>
        </w:rPr>
        <w:t xml:space="preserve"> modificada por el Parlamento Europeo y el Consejo</w:t>
      </w:r>
      <w:r>
        <w:rPr>
          <w:rStyle w:val="FootnoteReference"/>
          <w:rFonts w:ascii="Times New Roman" w:hAnsi="Times New Roman" w:cs="Times New Roman"/>
          <w:noProof/>
        </w:rPr>
        <w:footnoteReference w:id="28"/>
      </w:r>
      <w:r>
        <w:rPr>
          <w:rFonts w:ascii="Times New Roman" w:hAnsi="Times New Roman"/>
          <w:noProof/>
        </w:rPr>
        <w:t xml:space="preserve"> incluye un nuevo cable submarino que une Madeira, Azores y Portugal continental. Los proyectos de conectividad digital en las regiones ultraperiféricas pueden beneficiarse de un porcentaje de cofinanciación más elevado.</w:t>
      </w:r>
    </w:p>
    <w:p>
      <w:pPr>
        <w:spacing w:before="120" w:after="0" w:line="240" w:lineRule="auto"/>
        <w:jc w:val="both"/>
        <w:rPr>
          <w:rFonts w:ascii="Times New Roman" w:hAnsi="Times New Roman"/>
          <w:noProof/>
          <w:sz w:val="24"/>
        </w:rPr>
      </w:pPr>
      <w:r>
        <w:rPr>
          <w:rFonts w:ascii="Times New Roman" w:hAnsi="Times New Roman"/>
          <w:noProof/>
        </w:rPr>
        <w:t xml:space="preserve">Francia mejoró las competencias digitales invirtiendo en centros educativos, mientras que Madeira y Canarias desarrollaron nuevos cursos. En 2019, Portugal creó un grupo de trabajo para preparar la sustitución de los cables submarinos entre sus regiones ultraperiféricas y el continente. Además, Madeira y la Guayana Francesa planearon conectarse al cable submarino entre Portugal y Brasil con una ayuda de la UE de 26,5 millones EUR.  </w:t>
      </w:r>
    </w:p>
    <w:p>
      <w:pPr>
        <w:spacing w:before="120" w:after="0" w:line="240" w:lineRule="auto"/>
        <w:jc w:val="both"/>
        <w:rPr>
          <w:rFonts w:ascii="Times New Roman" w:hAnsi="Times New Roman"/>
          <w:i/>
          <w:noProof/>
          <w:sz w:val="24"/>
        </w:rPr>
      </w:pPr>
      <w:r>
        <w:rPr>
          <w:rFonts w:ascii="Times New Roman" w:hAnsi="Times New Roman"/>
          <w:i/>
          <w:noProof/>
        </w:rPr>
        <w:t>El aumento de la digitalización de las regiones ultraperiféricas sobre la base de una buena conectividad a la UE y a terceros países es importante para que estas regiones puedan aprovechar el mercado único digital y desarrollar su actividad empresarial a escala internacional. La red de oficinas competentes en materia de banda ancha puede ayudar a las regiones ultraperiféricas a reforzar su capacidad para ejecutar proyectos en este sector mediante el intercambio de buenas prácticas y el apoyo técnico.</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Transporte</w:t>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Comisión propuso disposiciones específicas para las regiones ultraperiféricas en el Mecanismo «Conectar Europa» 2021-2027: las obras de transporte, como las conexiones con aeropuertos, puertos y nodos urbanos de estas regiones, pueden optar a financiación y pueden beneficiarse de un porcentaje de cofinanciación más elevado.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Además, la Comisión propuso que, excepcionalmente, las regiones ultraperiféricas pudieran utilizar el Fondo Europeo de Desarrollo Regional 2021-2027 para invertir en </w:t>
      </w:r>
      <w:r>
        <w:rPr>
          <w:rFonts w:ascii="Times New Roman" w:hAnsi="Times New Roman"/>
          <w:b/>
          <w:noProof/>
        </w:rPr>
        <w:t>infraestructuras aeroportuarias</w:t>
      </w:r>
      <w:r>
        <w:rPr>
          <w:rFonts w:ascii="Times New Roman" w:hAnsi="Times New Roman"/>
          <w:noProof/>
        </w:rPr>
        <w:t>. En 2019, la Comisión también proporcionó a las regiones ultraperiféricas un análisis de sus necesidades de conectividad, en el que se indican posibles proyectos relacionados con las infraestructuras y los servicios.</w:t>
      </w:r>
      <w:r>
        <w:rPr>
          <w:rFonts w:ascii="Times New Roman" w:hAnsi="Times New Roman"/>
          <w:b/>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Comisión tiene la intención de proponer una revisión de las </w:t>
      </w:r>
      <w:r>
        <w:rPr>
          <w:rFonts w:ascii="Times New Roman" w:hAnsi="Times New Roman"/>
          <w:b/>
          <w:noProof/>
        </w:rPr>
        <w:t>orientaciones de la red transeuropea de transporte en 2021</w:t>
      </w:r>
      <w:r>
        <w:rPr>
          <w:rFonts w:ascii="Times New Roman" w:hAnsi="Times New Roman"/>
          <w:noProof/>
        </w:rPr>
        <w:t xml:space="preserve"> y de analizar los problemas específicos de las regiones ultraperiféricas en este contexto. Por último, el Banco Europeo de Inversiones invirtió 100 millones EUR y 60 millones EUR en los aeropuertos de la Reunión y Guadalupe, respectivamente, con el apoyo del Fondo Europeo para Inversiones Estratégicas.</w:t>
      </w:r>
    </w:p>
    <w:p>
      <w:pPr>
        <w:spacing w:before="120" w:after="0" w:line="240" w:lineRule="auto"/>
        <w:jc w:val="both"/>
        <w:rPr>
          <w:rFonts w:ascii="Times New Roman" w:hAnsi="Times New Roman" w:cs="Times New Roman"/>
          <w:noProof/>
          <w:sz w:val="24"/>
          <w:szCs w:val="24"/>
        </w:rPr>
      </w:pPr>
      <w:r>
        <w:rPr>
          <w:rFonts w:ascii="Times New Roman" w:hAnsi="Times New Roman"/>
          <w:noProof/>
        </w:rPr>
        <w:t>Las regiones ultraperiféricas siguieron mejorando sus infraestructuras de transporte por carretera y marítimo con el apoyo del Fondo Europeo de Desarrollo Regional. Esto incluye la mejora de la seguridad de las infraestructuras viarias y el desarrollo del transporte público en Madeira, la Guayana Francesa y Mayotte, así como la mejora de la accesibilidad de diversas islas en Azores. Además, la Guayana Francesa está creando nuevas rutas de transporte marítimo con terceros países y Guadalupe está estableciendo una nueva conexión aérea con los Estados Unidos.</w:t>
      </w:r>
    </w:p>
    <w:p>
      <w:pPr>
        <w:spacing w:before="120" w:after="0" w:line="240" w:lineRule="auto"/>
        <w:jc w:val="both"/>
        <w:rPr>
          <w:rFonts w:ascii="Times New Roman" w:hAnsi="Times New Roman" w:cs="Times New Roman"/>
          <w:i/>
          <w:noProof/>
          <w:sz w:val="24"/>
          <w:szCs w:val="24"/>
        </w:rPr>
      </w:pPr>
      <w:r>
        <w:rPr>
          <w:rFonts w:ascii="Times New Roman" w:hAnsi="Times New Roman"/>
          <w:i/>
          <w:noProof/>
        </w:rPr>
        <w:t>Son necesarios esfuerzos constantes a nivel de la UE, nacional y regional para apoyar la conectividad en las regiones ultraperiféricas. A este respecto, son importantes la configuración de una sólida cartera de proyectos y la optimización de la ayuda disponible.</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rPr>
        <w:t>4. Intensificar la cooperación de las regiones ultraperiféricas con sus vecinos y más allá</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propuesta de la Comisión para la cooperación territorial europea 2021-2027 pretende </w:t>
      </w:r>
      <w:r>
        <w:rPr>
          <w:rFonts w:ascii="Times New Roman" w:hAnsi="Times New Roman"/>
          <w:b/>
          <w:noProof/>
        </w:rPr>
        <w:t>facilitar la cooperación entre las regiones ultraperiféricas y sus vecinos</w:t>
      </w:r>
      <w:r>
        <w:rPr>
          <w:rFonts w:ascii="Times New Roman" w:hAnsi="Times New Roman"/>
          <w:noProof/>
        </w:rPr>
        <w:t xml:space="preserve"> con un presupuesto reservado y unas normas flexibles en materia de cooperación en consonancia con el instrumento de financiación exterior. En este contexto, las regiones ultraperiféricas han intercambiado buenas prácticas para </w:t>
      </w:r>
      <w:r>
        <w:rPr>
          <w:rFonts w:ascii="Times New Roman" w:hAnsi="Times New Roman"/>
          <w:b/>
          <w:noProof/>
        </w:rPr>
        <w:t>facilitar proyectos conjuntos</w:t>
      </w:r>
      <w:r>
        <w:rPr>
          <w:rFonts w:ascii="Times New Roman" w:hAnsi="Times New Roman"/>
          <w:noProof/>
        </w:rPr>
        <w:t xml:space="preserve"> durante 2019 y han creado plataformas comunes con participación de programas externos.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UE inició las negociaciones con los Estados de África, del Caribe y del Pacífico sobre el acuerdo posterior a Cotonú, con un mandato de negociación que consagra la necesidad de tener en cuenta las preocupaciones y la situación de las regiones ultraperiféricas. Este acuerdo es importante a la hora de configurar la cooperación en cuestiones mundiales como la gobernanza de los océanos. </w:t>
      </w:r>
    </w:p>
    <w:p>
      <w:pPr>
        <w:spacing w:before="120" w:after="0" w:line="240" w:lineRule="auto"/>
        <w:jc w:val="both"/>
        <w:rPr>
          <w:rFonts w:ascii="Times New Roman" w:hAnsi="Times New Roman" w:cs="Times New Roman"/>
          <w:noProof/>
          <w:sz w:val="24"/>
          <w:szCs w:val="24"/>
        </w:rPr>
      </w:pPr>
      <w:r>
        <w:rPr>
          <w:rFonts w:ascii="Times New Roman" w:hAnsi="Times New Roman"/>
          <w:noProof/>
        </w:rPr>
        <w:t>En 2019, Guadalupe se adhirió a la Organización de Estados del Caribe Oriental y San Martín solicitó ser observadora. La Guayana Francesa inició un estudio sobre los obstáculos a que se enfrentan las empresas locales, mientras que Martinica y la Reunión apoyaron la internacionalización de empresas locales, y la Reunión y Mayotte apoyaron la movilidad de los estudiantes a terceros países. Las regiones ultraperiféricas participaron en proyectos de cooperación regional con sus vecinos, por ejemplo, en los ámbitos del transporte, la salud, el turismo azul y las capacidades. La Macaronesia refuerza la cooperación con Cabo Verde, Mauritania y Senegal a través del proyecto Hexagone en el marco de su programa de cooperación territorial. En 2018 y 2019, los países del Mar Caribe, junto con las regiones ultraperiféricas de la zona, participaron en un ejercicio conjunto para poner a prueba el sistema de alerta temprana de tsunamis.</w:t>
      </w:r>
    </w:p>
    <w:p>
      <w:pPr>
        <w:spacing w:before="120" w:line="240" w:lineRule="auto"/>
        <w:jc w:val="both"/>
        <w:rPr>
          <w:rFonts w:ascii="Calibri" w:hAnsi="Calibri" w:cs="Calibri"/>
          <w:i/>
          <w:iCs/>
          <w:noProof/>
          <w:color w:val="1F497D"/>
        </w:rPr>
      </w:pPr>
      <w:r>
        <w:rPr>
          <w:rFonts w:ascii="Times New Roman" w:hAnsi="Times New Roman"/>
          <w:noProof/>
        </w:rPr>
        <w:t xml:space="preserve">Algunas regiones ultraperiféricas se enfrentan a importantes retos socioeconómicos debido a la </w:t>
      </w:r>
      <w:r>
        <w:rPr>
          <w:rFonts w:ascii="Times New Roman" w:hAnsi="Times New Roman"/>
          <w:b/>
          <w:noProof/>
        </w:rPr>
        <w:t>migración</w:t>
      </w:r>
      <w:r>
        <w:rPr>
          <w:rFonts w:ascii="Times New Roman" w:hAnsi="Times New Roman"/>
          <w:noProof/>
        </w:rPr>
        <w:t xml:space="preserve">. En este contexto, los </w:t>
      </w:r>
      <w:r>
        <w:rPr>
          <w:rFonts w:ascii="Times New Roman" w:hAnsi="Times New Roman"/>
          <w:iCs/>
          <w:noProof/>
        </w:rPr>
        <w:t xml:space="preserve">programas nacionales apoyados a través de varios fondos de la UE incluyen una serie de acciones específicas. Por ejemplo, el </w:t>
      </w:r>
      <w:r>
        <w:rPr>
          <w:rFonts w:ascii="Times New Roman" w:hAnsi="Times New Roman"/>
          <w:noProof/>
        </w:rPr>
        <w:t xml:space="preserve">Fondo de Asilo, Migración e Integración y el Fondo de Seguridad Interior de la UE apoyaron la gestión de las solicitudes de asilo en la Guayana Francesa, el desarrollo del </w:t>
      </w:r>
      <w:hyperlink r:id="rId16" w:anchor="080126248ad359ff/c_" w:history="1">
        <w:r>
          <w:rPr>
            <w:rFonts w:ascii="Times New Roman" w:hAnsi="Times New Roman"/>
            <w:noProof/>
          </w:rPr>
          <w:t>Sistema Europeo de Vigilancia de Fronteras</w:t>
        </w:r>
      </w:hyperlink>
      <w:r>
        <w:rPr>
          <w:rFonts w:ascii="Times New Roman" w:hAnsi="Times New Roman"/>
          <w:noProof/>
        </w:rPr>
        <w:t xml:space="preserve"> en Azores y Madeira </w:t>
      </w:r>
      <w:r>
        <w:rPr>
          <w:rFonts w:ascii="Times New Roman" w:hAnsi="Times New Roman"/>
          <w:iCs/>
          <w:noProof/>
        </w:rPr>
        <w:t>y la integración de los migrantes en la sociedad y en el mercado laboral</w:t>
      </w:r>
      <w:r>
        <w:rPr>
          <w:rFonts w:ascii="Times New Roman" w:hAnsi="Times New Roman"/>
          <w:noProof/>
        </w:rPr>
        <w:t xml:space="preserve"> en Canarias. Francia creó servicios especializados en migración en Mayotte. En Madeira,</w:t>
      </w:r>
      <w:r>
        <w:rPr>
          <w:rFonts w:ascii="Times New Roman" w:hAnsi="Times New Roman"/>
          <w:iCs/>
          <w:noProof/>
        </w:rPr>
        <w:t xml:space="preserve"> los fondos de la política de cohesión financiaron proyectos para </w:t>
      </w:r>
      <w:r>
        <w:rPr>
          <w:rFonts w:ascii="Times New Roman" w:hAnsi="Times New Roman"/>
          <w:noProof/>
        </w:rPr>
        <w:t>proporcionar asistencia sanitaria, educación, seguridad social y vivienda a los ciudadanos de Venezuela. En lo que respecta a la movilidad con</w:t>
      </w:r>
      <w:r>
        <w:rPr>
          <w:rFonts w:ascii="Times New Roman" w:hAnsi="Times New Roman"/>
          <w:b/>
          <w:noProof/>
        </w:rPr>
        <w:t xml:space="preserve"> sus vecinos</w:t>
      </w:r>
      <w:r>
        <w:rPr>
          <w:rFonts w:ascii="Times New Roman" w:hAnsi="Times New Roman"/>
          <w:noProof/>
        </w:rPr>
        <w:t xml:space="preserve">, la UE intensificó su relación con Marruecos, como confirmó el Consejo de Asociación UE-Marruecos de junio de 2019.  </w:t>
      </w:r>
    </w:p>
    <w:p>
      <w:pP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rPr>
        <w:t xml:space="preserve">La creación de confianza en los países vecinos y el desarrollo de prácticas comunes para compartir recursos son fundamentales para aprovechar las nuevas oportunidades de cooperación. Las plataformas en las que participan tanto el Fondo Europeo de Desarrollo Regional como las partes interesadas del Fondo Europeo de Desarrollo podrían contribuir a este fin. </w:t>
      </w:r>
      <w:r>
        <w:rPr>
          <w:rFonts w:ascii="Times New Roman" w:hAnsi="Times New Roman"/>
          <w:i/>
          <w:iCs/>
          <w:noProof/>
        </w:rPr>
        <w:t>Los acuerdos de asociación de movilidad podrían facilitar la integración regional</w:t>
      </w:r>
      <w:r>
        <w:rPr>
          <w:rFonts w:ascii="Times New Roman" w:hAnsi="Times New Roman"/>
          <w:i/>
          <w:noProof/>
        </w:rPr>
        <w:t>.</w:t>
      </w:r>
      <w:r>
        <w:rPr>
          <w:rFonts w:ascii="Times New Roman" w:hAnsi="Times New Roman"/>
          <w:i/>
          <w:iCs/>
          <w:noProof/>
        </w:rPr>
        <w:t xml:space="preserve"> </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rPr>
        <w:t>5. Conclusiones</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aplicación de la Comunicación de 2017 «Una asociación estratégica renovada y más fuerte con las regiones ultraperiféricas de la Unión Europea» va por buen camino. En poco más de dos años, la Comunicación ha dado resultados positivos concretos para las regiones ultraperiféricas. </w:t>
      </w:r>
    </w:p>
    <w:p>
      <w:pPr>
        <w:spacing w:before="120" w:after="0" w:line="240" w:lineRule="auto"/>
        <w:jc w:val="both"/>
        <w:rPr>
          <w:rFonts w:ascii="Times New Roman" w:hAnsi="Times New Roman" w:cs="Times New Roman"/>
          <w:noProof/>
          <w:sz w:val="24"/>
          <w:szCs w:val="24"/>
        </w:rPr>
      </w:pPr>
      <w:r>
        <w:rPr>
          <w:rFonts w:ascii="Times New Roman" w:hAnsi="Times New Roman"/>
          <w:noProof/>
        </w:rPr>
        <w:t>La Comisión ha cumplido sus compromisos mediante la creación de oportunidades específicas para las regiones ultraperiféricas en una amplia gama de programas de la UE, la adaptación sistemática de la legislación, las políticas y los instrumentos de la UE a sus necesidades e intereses, y la prestación de apoyo adaptado a estas regiones. Es importante que el Parlamento Europeo y el Consejo adopten los programas de la UE 2021-2027 que proporcionan un acceso adaptado y condiciones específicas para las regiones ultraperiféricas, como propone la Comisión.</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Las regiones ultraperiféricas y los respectivos Estados miembros han desempeñado su papel adoptando estrategias regionales y nacionales y desarrollando iniciativas concretas para aplicar la Comunicación, así como haciendo oír su voz en la formulación de políticas.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Teniendo en cuenta los progresos realizados, la plena aplicación de la Comunicación </w:t>
      </w:r>
      <w:r>
        <w:rPr>
          <w:rFonts w:ascii="Times New Roman" w:hAnsi="Times New Roman"/>
          <w:b/>
          <w:noProof/>
        </w:rPr>
        <w:t>requiere acelerar y centrar los esfuerzos, a todos los niveles, en sectores clave: abordar el cambio climático, proteger la biodiversidad, introducir la economía circular y orientarse hacia las energías renovables</w:t>
      </w:r>
      <w:r>
        <w:rPr>
          <w:rFonts w:ascii="Times New Roman" w:hAnsi="Times New Roman"/>
          <w:noProof/>
        </w:rPr>
        <w:t xml:space="preserve">. La inversión en estos sectores es especialmente importante para garantizar un crecimiento sostenible en estas regiones vulnerables, remotas y aisladas de la UE. Esta es la razón por la que la Comisión prestará especial atención al papel de las regiones ultraperiféricas en el Pacto Verde, teniendo en cuenta sus vulnerabilidades y sus activos. El Fondo Europeo de Desarrollo Regional constituye una fuente importante de financiación para invertir en estos sectores.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Además, es necesario proseguir los esfuerzos para seguir desarrollando la economía azul y mejorando la conectividad en las regiones ultraperiféricas. La inversión en capacidades sigue siendo un factor clave para apoyar la creación de empleo y el espíritu empresarial en todos los sectores.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Una asociación sólida y una estrecha cooperación entre la Unión Europea, las regiones ultraperiféricas y los respectivos Estados miembros siguen siendo fundamentales para desarrollar el potencial de estas regiones remotas y apoyar su transición hacia una economía verde que sitúe a las personas en primer lugar. Aunque la situación de cada región ultraperiférica varía considerablemente, aún queda mucho por hacer para reducir las desigualdades entre estas regiones y el continente europeo. </w:t>
      </w:r>
    </w:p>
    <w:p>
      <w:pPr>
        <w:spacing w:before="120" w:after="0" w:line="240" w:lineRule="auto"/>
        <w:jc w:val="both"/>
        <w:rPr>
          <w:rFonts w:ascii="Times New Roman" w:hAnsi="Times New Roman" w:cs="Times New Roman"/>
          <w:b/>
          <w:i/>
          <w:noProof/>
          <w:sz w:val="24"/>
          <w:szCs w:val="24"/>
        </w:rPr>
      </w:pPr>
      <w:r>
        <w:rPr>
          <w:rFonts w:ascii="Times New Roman" w:hAnsi="Times New Roman"/>
          <w:noProof/>
        </w:rPr>
        <w:t xml:space="preserve">Llegar a las regiones ultraperiféricas contribuye a construir una Unión Europea integradora </w:t>
      </w:r>
      <w:r>
        <w:rPr>
          <w:rFonts w:ascii="Times New Roman" w:hAnsi="Times New Roman"/>
          <w:b/>
          <w:noProof/>
        </w:rPr>
        <w:t>que no deja a nadie atrás</w:t>
      </w:r>
      <w:r>
        <w:rPr>
          <w:rFonts w:ascii="Times New Roman" w:hAnsi="Times New Roman"/>
          <w:noProof/>
        </w:rPr>
        <w:t xml:space="preserve">. A su vez, las regiones ultraperiféricas, con sus activos únicos, pueden contribuir de forma significativa a </w:t>
      </w:r>
      <w:r>
        <w:rPr>
          <w:rFonts w:ascii="Times New Roman" w:hAnsi="Times New Roman"/>
          <w:b/>
          <w:noProof/>
        </w:rPr>
        <w:t>una Unión Europea más verde, climáticamente neutra y sostenible</w:t>
      </w:r>
      <w:r>
        <w:rPr>
          <w:rFonts w:ascii="Times New Roman" w:hAnsi="Times New Roman"/>
          <w:noProof/>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45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9222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 623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Todas las regiones ultraperiféricas son islas o archipiélagos, excepto la Guayana Francesa, situada en América Latina</w:t>
      </w:r>
      <w:r>
        <w:t>.</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Conclusiones del Consejo de Asuntos Generales de abril de 2018. </w:t>
      </w:r>
    </w:p>
  </w:footnote>
  <w:footnote w:id="5">
    <w:p>
      <w:pPr>
        <w:pStyle w:val="FootnoteText"/>
        <w:rPr>
          <w:rFonts w:ascii="Times New Roman" w:hAnsi="Times New Roman" w:cs="Times New Roman"/>
          <w:sz w:val="2"/>
          <w:szCs w:val="2"/>
        </w:rPr>
      </w:pPr>
      <w:r>
        <w:rPr>
          <w:rStyle w:val="FootnoteReference"/>
          <w:rFonts w:ascii="Times New Roman" w:hAnsi="Times New Roman" w:cs="Times New Roman"/>
        </w:rPr>
        <w:footnoteRef/>
      </w:r>
      <w:r>
        <w:rPr>
          <w:rFonts w:ascii="Times New Roman" w:hAnsi="Times New Roman"/>
        </w:rPr>
        <w:t xml:space="preserve"> El informe abarca acciones desde la adopción de la Comunicación. </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los anexos se presentan las acciones emprendidas por cada región ultraperiférica y su respectivo Estado miembro.</w:t>
      </w:r>
    </w:p>
  </w:footnote>
  <w:footnote w:id="7">
    <w:p>
      <w:pPr>
        <w:pStyle w:val="FootnoteText"/>
      </w:pPr>
      <w:r>
        <w:rPr>
          <w:rStyle w:val="FootnoteReference"/>
          <w:rFonts w:ascii="Times New Roman" w:hAnsi="Times New Roman" w:cs="Times New Roman"/>
        </w:rPr>
        <w:footnoteRef/>
      </w:r>
      <w:r>
        <w:rPr>
          <w:rFonts w:ascii="Times New Roman" w:hAnsi="Times New Roman"/>
        </w:rPr>
        <w:t xml:space="preserve"> Comunicación de la Comisión «El Pacto Verde Europeo», COM(2019) 640 final, de 11 de diciembre de 2019. </w:t>
      </w:r>
    </w:p>
  </w:footnote>
  <w:footnote w:id="8">
    <w:p>
      <w:pPr>
        <w:pStyle w:val="FootnoteText"/>
        <w:jc w:val="both"/>
        <w:rPr>
          <w:rFonts w:ascii="Times New Roman" w:hAnsi="Times New Roman" w:cs="Times New Roman"/>
          <w:bCs/>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bCs/>
        </w:rPr>
        <w:t>La Decisión (UE) 2020/13 del Consejo, sobre las directrices de negociación de Acuerdos de Asociación Económica con los países y regiones de África, el Caribe y el Pacífico, establece que estos acuerdos</w:t>
      </w:r>
      <w:r>
        <w:rPr>
          <w:rFonts w:ascii="Times New Roman" w:hAnsi="Times New Roman"/>
          <w:bCs/>
          <w:i/>
        </w:rPr>
        <w:t xml:space="preserve"> </w:t>
      </w:r>
      <w:r>
        <w:rPr>
          <w:rFonts w:ascii="Times New Roman" w:hAnsi="Times New Roman"/>
          <w:bCs/>
        </w:rPr>
        <w:t>podrán establecer medidas específicas en favor de los productos de las regiones ultraperiféricas a efectos de su integración en el comercio intrarregional.</w:t>
      </w:r>
      <w:r>
        <w:rPr>
          <w:rFonts w:ascii="Times New Roman" w:hAnsi="Times New Roman"/>
          <w:iCs/>
        </w:rPr>
        <w:t xml:space="preserve"> </w:t>
      </w:r>
    </w:p>
  </w:footnote>
  <w:footnote w:id="9">
    <w:p>
      <w:pPr>
        <w:pStyle w:val="FootnoteText"/>
      </w:pPr>
      <w:r>
        <w:rPr>
          <w:rStyle w:val="FootnoteReference"/>
        </w:rPr>
        <w:footnoteRef/>
      </w:r>
      <w:r>
        <w:t xml:space="preserve"> </w:t>
      </w:r>
      <w:r>
        <w:rPr>
          <w:rFonts w:ascii="Times New Roman" w:hAnsi="Times New Roman"/>
          <w:i/>
        </w:rPr>
        <w:t>L’Instrument Financier pour l’Environnement</w:t>
      </w:r>
      <w:r>
        <w:rPr>
          <w:rFonts w:ascii="Times New Roman" w:hAnsi="Times New Roman"/>
        </w:rPr>
        <w:t xml:space="preserve"> («el Instrumento Financiero para el Medioambiente»)</w:t>
      </w:r>
      <w:r>
        <w:rPr>
          <w:i/>
        </w:rPr>
        <w:t>.</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Foro de las Regiones Ultraperiféricas para Asuntos Marítimos y Pesca en 2018 y 2019.</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https://cohesiondata.ec.europa.eu/2014-2020/2014-2020-RUPs-OR-EU-planned-investment/8gwq-ke5u</w:t>
        </w:r>
      </w:hyperlink>
      <w:r>
        <w:t>.</w:t>
      </w:r>
    </w:p>
  </w:footnote>
  <w:footnote w:id="12">
    <w:p>
      <w:pPr>
        <w:pStyle w:val="FootnoteText"/>
        <w:jc w:val="both"/>
      </w:pPr>
      <w:r>
        <w:rPr>
          <w:rStyle w:val="FootnoteReference"/>
          <w:rFonts w:ascii="Times New Roman" w:hAnsi="Times New Roman" w:cs="Times New Roman"/>
        </w:rPr>
        <w:footnoteRef/>
      </w:r>
      <w:r>
        <w:rPr>
          <w:rFonts w:ascii="Times New Roman" w:hAnsi="Times New Roman"/>
        </w:rPr>
        <w:t xml:space="preserve"> Regions and cities’ illustrated (Regiones y ciudades ilustradas):</w:t>
      </w:r>
      <w:r>
        <w:rPr>
          <w:rFonts w:ascii="Times New Roman" w:hAnsi="Times New Roman"/>
        </w:rPr>
        <w:tab/>
        <w:t xml:space="preserve"> </w:t>
      </w:r>
      <w:hyperlink r:id="rId2" w:anchor="?vis=outermost.economy&amp;lang=en" w:history="1">
        <w:r>
          <w:rPr>
            <w:rStyle w:val="Hyperlink"/>
            <w:rFonts w:ascii="Times New Roman" w:hAnsi="Times New Roman"/>
          </w:rPr>
          <w:t>https://ec.europa.eu/eurostat/cache/RCI/#?vis=outermost.economy&amp;lang=en</w:t>
        </w:r>
      </w:hyperlink>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Conclusiones del Consejo sobre los océanos y los mares, de 19 de noviembre de 2019.</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Programa Leader: Relaciones entre acciones de desarrollo de la economía rural. </w:t>
      </w:r>
    </w:p>
  </w:footnote>
  <w:footnote w:id="15">
    <w:p>
      <w:pPr>
        <w:pStyle w:val="FootnoteText"/>
      </w:pPr>
      <w:r>
        <w:rPr>
          <w:rStyle w:val="FootnoteReference"/>
          <w:rFonts w:ascii="Times New Roman" w:hAnsi="Times New Roman" w:cs="Times New Roman"/>
        </w:rPr>
        <w:footnoteRef/>
      </w:r>
      <w:r>
        <w:rPr>
          <w:rFonts w:ascii="Times New Roman" w:hAnsi="Times New Roman"/>
        </w:rPr>
        <w:t xml:space="preserve"> En 2014-2020, el Fondo Europeo de Desarrollo Regional destinó más de 54 millones EUR a la biodiversidad en las regiones ultraperiféricas.</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Trajectoire outre-mer 5.0.</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El total de la ayuda prevista del Fondo Europeo de Desarrollo Regional para el cambio climático en todas las regiones ultraperiféricas en el período 2014-2020 se sitúa en torno a los 1 100 millones EUR. </w:t>
      </w:r>
    </w:p>
  </w:footnote>
  <w:footnote w:id="18">
    <w:p>
      <w:pPr>
        <w:pStyle w:val="FootnoteText"/>
      </w:pPr>
      <w:r>
        <w:rPr>
          <w:rStyle w:val="FootnoteReference"/>
          <w:rFonts w:ascii="Times New Roman" w:hAnsi="Times New Roman" w:cs="Times New Roman"/>
        </w:rPr>
        <w:footnoteRef/>
      </w:r>
      <w:r>
        <w:rPr>
          <w:rFonts w:ascii="Times New Roman" w:hAnsi="Times New Roman"/>
        </w:rPr>
        <w:t xml:space="preserve"> En diciembre de 2019 se pagó un anticipo de la ayuda prevista del Fondo de Solidaridad de la Unión Europea.</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Directiva (UE) 2018/2001 del Parlamento Europeo y del Consejo, de 11 de diciembre de 2018, relativa al fomento del uso de energía procedente de fuentes renovables (DO L</w:t>
      </w:r>
      <w:r>
        <w:rPr>
          <w:rStyle w:val="Emphasis"/>
          <w:rFonts w:ascii="Times New Roman" w:hAnsi="Times New Roman"/>
          <w:i w:val="0"/>
        </w:rPr>
        <w:t xml:space="preserve"> 328 de 21.12.2018, p. 82).</w:t>
      </w:r>
    </w:p>
  </w:footnote>
  <w:footnote w:id="20">
    <w:p>
      <w:pPr>
        <w:pStyle w:val="FootnoteText"/>
      </w:pPr>
      <w:r>
        <w:rPr>
          <w:rStyle w:val="FootnoteReference"/>
          <w:rFonts w:ascii="Times New Roman" w:hAnsi="Times New Roman" w:cs="Times New Roman"/>
        </w:rPr>
        <w:footnoteRef/>
      </w:r>
      <w:r>
        <w:rPr>
          <w:rFonts w:ascii="Times New Roman" w:hAnsi="Times New Roman"/>
        </w:rPr>
        <w:t xml:space="preserve"> https://www.nesoi.eu/</w:t>
      </w:r>
      <w:r>
        <w:t>.</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puesta en marcha de estrategias de especialización inteligente para apoyar a las regiones y a los Estados miembros en su transición económica es una condición previa para beneficiarse de los Fondos Estructurales y de Inversión Europeos en 2014-2020. </w:t>
      </w:r>
    </w:p>
  </w:footnote>
  <w:footnote w:id="22">
    <w:p>
      <w:pPr>
        <w:pStyle w:val="FootnoteText"/>
        <w:jc w:val="both"/>
      </w:pPr>
      <w:r>
        <w:rPr>
          <w:rStyle w:val="FootnoteReference"/>
          <w:rFonts w:ascii="Times New Roman" w:hAnsi="Times New Roman" w:cs="Times New Roman"/>
        </w:rPr>
        <w:footnoteRef/>
      </w:r>
      <w:r>
        <w:rPr>
          <w:rStyle w:val="FootnoteReference"/>
          <w:rFonts w:ascii="Times New Roman" w:hAnsi="Times New Roman"/>
          <w:vertAlign w:val="baseline"/>
        </w:rPr>
        <w:t xml:space="preserve"> </w:t>
      </w:r>
      <w:r>
        <w:rPr>
          <w:rFonts w:ascii="Times New Roman" w:hAnsi="Times New Roman"/>
        </w:rPr>
        <w:t xml:space="preserve">El Fondo Europeo de Desarrollo Regional, el Fondo Social Europeo y el Fondo Europeo Agrícola de Desarrollo Rural han destinado en conjunto más de 3 000 millones EUR a apoyar la inclusión social, la educación, la formación profesional y el empleo en las regiones ultraperiféricas en el período 2014-2020. </w:t>
      </w:r>
      <w:r>
        <w:rPr>
          <w:rFonts w:ascii="Times New Roman" w:hAnsi="Times New Roman"/>
        </w:rPr>
        <w:tab/>
      </w:r>
      <w:r>
        <w:rPr>
          <w:rFonts w:ascii="Times New Roman" w:hAnsi="Times New Roman"/>
        </w:rPr>
        <w:br/>
      </w:r>
      <w:hyperlink r:id="rId3" w:history="1">
        <w:r>
          <w:rPr>
            <w:rFonts w:ascii="Times New Roman" w:hAnsi="Times New Roman"/>
          </w:rPr>
          <w:t>https://cohesiondata.ec.europa.eu/2014-2020/2014-2020-RUPs-OR-EU-planned-investment/8gwq-ke5u</w:t>
        </w:r>
      </w:hyperlink>
      <w:r>
        <w:t>.</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Creando becas de viaje excepcionales para los residentes que viajen desde más de 8 000 km de distancia.</w:t>
      </w:r>
    </w:p>
  </w:footnote>
  <w:footnote w:id="24">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rFonts w:ascii="Times New Roman" w:hAnsi="Times New Roman"/>
          <w:i/>
          <w:lang w:val="fr-FR"/>
        </w:rPr>
        <w:t>Loi relative à la liberté de choisir son avenir professionnel</w:t>
      </w:r>
      <w:r>
        <w:rPr>
          <w:rFonts w:ascii="Times New Roman" w:hAnsi="Times New Roman"/>
          <w:lang w:val="fr-FR"/>
        </w:rPr>
        <w:t>», de 5.9.2018.</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El Fondo Europeo de Desarrollo Regional y el Fondo Europeo Agrícola de Desarrollo Rural están cofinanciando proyectos para apoyar la competitividad de las pymes en las regiones ultraperiféricas por un valor de 1 500 millones EUR en 2014-2020</w:t>
      </w:r>
      <w:r>
        <w:t>:</w:t>
      </w:r>
    </w:p>
    <w:p>
      <w:pPr>
        <w:pStyle w:val="FootnoteText"/>
        <w:rPr>
          <w:rFonts w:ascii="Times New Roman" w:hAnsi="Times New Roman" w:cs="Times New Roman"/>
        </w:rPr>
      </w:pPr>
      <w:r>
        <w:rPr>
          <w:rFonts w:ascii="Times New Roman" w:hAnsi="Times New Roman"/>
        </w:rPr>
        <w:t xml:space="preserve"> </w:t>
      </w:r>
      <w:hyperlink r:id="rId4" w:history="1">
        <w:r>
          <w:rPr>
            <w:rStyle w:val="Hyperlink"/>
            <w:rFonts w:ascii="Times New Roman" w:hAnsi="Times New Roman"/>
          </w:rPr>
          <w:t>https://cohesiondata.ec.europa.eu/2014-2020/2014-2020-RUPs-OR-EU-planned-investment/8gwq-ke5u</w:t>
        </w:r>
      </w:hyperlink>
      <w:r>
        <w:t>.</w:t>
      </w:r>
    </w:p>
  </w:footnote>
  <w:footnote w:id="26">
    <w:p>
      <w:pPr>
        <w:pStyle w:val="FootnoteText"/>
      </w:pPr>
      <w:r>
        <w:rPr>
          <w:rStyle w:val="FootnoteReference"/>
          <w:rFonts w:ascii="Times New Roman" w:hAnsi="Times New Roman" w:cs="Times New Roman"/>
        </w:rPr>
        <w:footnoteRef/>
      </w:r>
      <w:r>
        <w:rPr>
          <w:rFonts w:ascii="Times New Roman" w:hAnsi="Times New Roman"/>
        </w:rPr>
        <w:t xml:space="preserve"> https://ec.europa.eu/regional_policy/sources/policy/themes/outermost-regions/pdf/rup_2019/invest_platform_feasibillity_study_es.pdf</w:t>
      </w:r>
    </w:p>
  </w:footnote>
  <w:footnote w:id="27">
    <w:p>
      <w:pPr>
        <w:pStyle w:val="FootnoteText"/>
      </w:pPr>
      <w:r>
        <w:rPr>
          <w:rStyle w:val="FootnoteReference"/>
          <w:rFonts w:ascii="Times New Roman" w:hAnsi="Times New Roman" w:cs="Times New Roman"/>
        </w:rPr>
        <w:footnoteRef/>
      </w:r>
      <w:r>
        <w:rPr>
          <w:rFonts w:ascii="Times New Roman" w:hAnsi="Times New Roman"/>
        </w:rPr>
        <w:t xml:space="preserve"> Parte V del anexo de la propuesta de Reglamento del Parlamento Europeo y del Consejo por el que se establece el Mecanismo «Conectar Europa», COM(2018) 438 final.</w:t>
      </w:r>
      <w:r>
        <w:t xml:space="preserve"> </w:t>
      </w:r>
    </w:p>
  </w:footnote>
  <w:footnote w:id="28">
    <w:p>
      <w:pPr>
        <w:pStyle w:val="FootnoteText"/>
        <w:rPr>
          <w:rFonts w:ascii="Times New Roman" w:hAnsi="Times New Roman" w:cs="Times New Roman"/>
        </w:rPr>
      </w:pPr>
      <w:r>
        <w:rPr>
          <w:rStyle w:val="FootnoteReference"/>
        </w:rPr>
        <w:footnoteRef/>
      </w:r>
      <w:r>
        <w:t> </w:t>
      </w:r>
      <w:r>
        <w:rPr>
          <w:rFonts w:ascii="Times New Roman" w:hAnsi="Times New Roman"/>
        </w:rPr>
        <w:t>Diálogo tripartito sobre el Reglamento por el que se establece el Mecanismo «Conectar Europa» de 7 de marzo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BB7"/>
    <w:multiLevelType w:val="hybridMultilevel"/>
    <w:tmpl w:val="FB26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1679AF"/>
    <w:multiLevelType w:val="hybridMultilevel"/>
    <w:tmpl w:val="7DC0C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1A655B"/>
    <w:multiLevelType w:val="hybridMultilevel"/>
    <w:tmpl w:val="53A69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6F0C2A"/>
    <w:multiLevelType w:val="hybridMultilevel"/>
    <w:tmpl w:val="0D5E4BC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3B5B550E"/>
    <w:multiLevelType w:val="hybridMultilevel"/>
    <w:tmpl w:val="880465A8"/>
    <w:lvl w:ilvl="0" w:tplc="4984AC48">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40BA6F81"/>
    <w:multiLevelType w:val="hybridMultilevel"/>
    <w:tmpl w:val="8A462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3010B3A"/>
    <w:multiLevelType w:val="hybridMultilevel"/>
    <w:tmpl w:val="ABCC5EB4"/>
    <w:lvl w:ilvl="0" w:tplc="4984AC48">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5332603F"/>
    <w:multiLevelType w:val="hybridMultilevel"/>
    <w:tmpl w:val="0F1C10CC"/>
    <w:lvl w:ilvl="0" w:tplc="F2007D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E16413"/>
    <w:multiLevelType w:val="hybridMultilevel"/>
    <w:tmpl w:val="E8B4FB82"/>
    <w:lvl w:ilvl="0" w:tplc="4984AC48">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584053F9"/>
    <w:multiLevelType w:val="hybridMultilevel"/>
    <w:tmpl w:val="7FE6F8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588D51C4"/>
    <w:multiLevelType w:val="hybridMultilevel"/>
    <w:tmpl w:val="59E2B5E2"/>
    <w:lvl w:ilvl="0" w:tplc="D31449FA">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0310ED4"/>
    <w:multiLevelType w:val="hybridMultilevel"/>
    <w:tmpl w:val="D49872EA"/>
    <w:lvl w:ilvl="0" w:tplc="AF4C7892">
      <w:start w:val="1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0F02C54"/>
    <w:multiLevelType w:val="hybridMultilevel"/>
    <w:tmpl w:val="865843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C4E3D09"/>
    <w:multiLevelType w:val="multilevel"/>
    <w:tmpl w:val="75C0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F44D7D"/>
    <w:multiLevelType w:val="hybridMultilevel"/>
    <w:tmpl w:val="14B27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75008A7"/>
    <w:multiLevelType w:val="hybridMultilevel"/>
    <w:tmpl w:val="E2E4E0C0"/>
    <w:lvl w:ilvl="0" w:tplc="E12E468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12"/>
  </w:num>
  <w:num w:numId="5">
    <w:abstractNumId w:val="8"/>
  </w:num>
  <w:num w:numId="6">
    <w:abstractNumId w:val="4"/>
  </w:num>
  <w:num w:numId="7">
    <w:abstractNumId w:val="6"/>
  </w:num>
  <w:num w:numId="8">
    <w:abstractNumId w:val="10"/>
  </w:num>
  <w:num w:numId="9">
    <w:abstractNumId w:val="13"/>
  </w:num>
  <w:num w:numId="10">
    <w:abstractNumId w:val="9"/>
  </w:num>
  <w:num w:numId="11">
    <w:abstractNumId w:val="7"/>
  </w:num>
  <w:num w:numId="12">
    <w:abstractNumId w:val="3"/>
  </w:num>
  <w:num w:numId="13">
    <w:abstractNumId w:val="15"/>
  </w:num>
  <w:num w:numId="14">
    <w:abstractNumId w:val="14"/>
  </w:num>
  <w:num w:numId="15">
    <w:abstractNumId w:val="0"/>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E885FE4-E12E-43A1-BF05-A4B9936C7701"/>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selas, "/>
    <w:docVar w:name="LW_EMISSION_SUFFIX" w:val=" "/>
    <w:docVar w:name="LW_ID_DOCTYPE_NONLW" w:val="CP-003"/>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0) 1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L PARLAMENTO EUROPEO, AL CONSEJO, AL COMITÉ ECONÓMICO Y SOCIAL EUROPEO, AL COMITÉ DE LAS REGIONES Y AL BANCO EUROPEO DE INVERSIONES,_x000d__x000d__x000b__x000d__x000d__x000b_sobre la aplicación de la Comunicación de la Comisión relativa a una asociación estratégica renovada y más fuerte con las regiones ultraperiféricas de la Unión Europea_x000d__x000d__x000d__x000d__x000d__x000d__x000d__x000d__x000d__x000d__x000d__x000d__x000b_"/>
    <w:docVar w:name="LW_TYPE.DOC.CP" w:val="INFORME DE LA COMISIÓN"/>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1309">
      <w:bodyDiv w:val="1"/>
      <w:marLeft w:val="0"/>
      <w:marRight w:val="0"/>
      <w:marTop w:val="0"/>
      <w:marBottom w:val="0"/>
      <w:divBdr>
        <w:top w:val="none" w:sz="0" w:space="0" w:color="auto"/>
        <w:left w:val="none" w:sz="0" w:space="0" w:color="auto"/>
        <w:bottom w:val="none" w:sz="0" w:space="0" w:color="auto"/>
        <w:right w:val="none" w:sz="0" w:space="0" w:color="auto"/>
      </w:divBdr>
    </w:div>
    <w:div w:id="159782794">
      <w:bodyDiv w:val="1"/>
      <w:marLeft w:val="0"/>
      <w:marRight w:val="0"/>
      <w:marTop w:val="0"/>
      <w:marBottom w:val="0"/>
      <w:divBdr>
        <w:top w:val="none" w:sz="0" w:space="0" w:color="auto"/>
        <w:left w:val="none" w:sz="0" w:space="0" w:color="auto"/>
        <w:bottom w:val="none" w:sz="0" w:space="0" w:color="auto"/>
        <w:right w:val="none" w:sz="0" w:space="0" w:color="auto"/>
      </w:divBdr>
    </w:div>
    <w:div w:id="220866270">
      <w:bodyDiv w:val="1"/>
      <w:marLeft w:val="0"/>
      <w:marRight w:val="0"/>
      <w:marTop w:val="0"/>
      <w:marBottom w:val="0"/>
      <w:divBdr>
        <w:top w:val="none" w:sz="0" w:space="0" w:color="auto"/>
        <w:left w:val="none" w:sz="0" w:space="0" w:color="auto"/>
        <w:bottom w:val="none" w:sz="0" w:space="0" w:color="auto"/>
        <w:right w:val="none" w:sz="0" w:space="0" w:color="auto"/>
      </w:divBdr>
    </w:div>
    <w:div w:id="223106420">
      <w:bodyDiv w:val="1"/>
      <w:marLeft w:val="0"/>
      <w:marRight w:val="0"/>
      <w:marTop w:val="0"/>
      <w:marBottom w:val="0"/>
      <w:divBdr>
        <w:top w:val="none" w:sz="0" w:space="0" w:color="auto"/>
        <w:left w:val="none" w:sz="0" w:space="0" w:color="auto"/>
        <w:bottom w:val="none" w:sz="0" w:space="0" w:color="auto"/>
        <w:right w:val="none" w:sz="0" w:space="0" w:color="auto"/>
      </w:divBdr>
    </w:div>
    <w:div w:id="354230640">
      <w:bodyDiv w:val="1"/>
      <w:marLeft w:val="0"/>
      <w:marRight w:val="0"/>
      <w:marTop w:val="0"/>
      <w:marBottom w:val="0"/>
      <w:divBdr>
        <w:top w:val="none" w:sz="0" w:space="0" w:color="auto"/>
        <w:left w:val="none" w:sz="0" w:space="0" w:color="auto"/>
        <w:bottom w:val="none" w:sz="0" w:space="0" w:color="auto"/>
        <w:right w:val="none" w:sz="0" w:space="0" w:color="auto"/>
      </w:divBdr>
    </w:div>
    <w:div w:id="362368882">
      <w:bodyDiv w:val="1"/>
      <w:marLeft w:val="0"/>
      <w:marRight w:val="0"/>
      <w:marTop w:val="0"/>
      <w:marBottom w:val="0"/>
      <w:divBdr>
        <w:top w:val="none" w:sz="0" w:space="0" w:color="auto"/>
        <w:left w:val="none" w:sz="0" w:space="0" w:color="auto"/>
        <w:bottom w:val="none" w:sz="0" w:space="0" w:color="auto"/>
        <w:right w:val="none" w:sz="0" w:space="0" w:color="auto"/>
      </w:divBdr>
    </w:div>
    <w:div w:id="368457504">
      <w:bodyDiv w:val="1"/>
      <w:marLeft w:val="0"/>
      <w:marRight w:val="0"/>
      <w:marTop w:val="0"/>
      <w:marBottom w:val="0"/>
      <w:divBdr>
        <w:top w:val="none" w:sz="0" w:space="0" w:color="auto"/>
        <w:left w:val="none" w:sz="0" w:space="0" w:color="auto"/>
        <w:bottom w:val="none" w:sz="0" w:space="0" w:color="auto"/>
        <w:right w:val="none" w:sz="0" w:space="0" w:color="auto"/>
      </w:divBdr>
    </w:div>
    <w:div w:id="468329940">
      <w:bodyDiv w:val="1"/>
      <w:marLeft w:val="0"/>
      <w:marRight w:val="0"/>
      <w:marTop w:val="0"/>
      <w:marBottom w:val="0"/>
      <w:divBdr>
        <w:top w:val="none" w:sz="0" w:space="0" w:color="auto"/>
        <w:left w:val="none" w:sz="0" w:space="0" w:color="auto"/>
        <w:bottom w:val="none" w:sz="0" w:space="0" w:color="auto"/>
        <w:right w:val="none" w:sz="0" w:space="0" w:color="auto"/>
      </w:divBdr>
    </w:div>
    <w:div w:id="580287751">
      <w:bodyDiv w:val="1"/>
      <w:marLeft w:val="0"/>
      <w:marRight w:val="0"/>
      <w:marTop w:val="0"/>
      <w:marBottom w:val="0"/>
      <w:divBdr>
        <w:top w:val="none" w:sz="0" w:space="0" w:color="auto"/>
        <w:left w:val="none" w:sz="0" w:space="0" w:color="auto"/>
        <w:bottom w:val="none" w:sz="0" w:space="0" w:color="auto"/>
        <w:right w:val="none" w:sz="0" w:space="0" w:color="auto"/>
      </w:divBdr>
    </w:div>
    <w:div w:id="681518760">
      <w:bodyDiv w:val="1"/>
      <w:marLeft w:val="0"/>
      <w:marRight w:val="0"/>
      <w:marTop w:val="0"/>
      <w:marBottom w:val="0"/>
      <w:divBdr>
        <w:top w:val="none" w:sz="0" w:space="0" w:color="auto"/>
        <w:left w:val="none" w:sz="0" w:space="0" w:color="auto"/>
        <w:bottom w:val="none" w:sz="0" w:space="0" w:color="auto"/>
        <w:right w:val="none" w:sz="0" w:space="0" w:color="auto"/>
      </w:divBdr>
    </w:div>
    <w:div w:id="714936570">
      <w:bodyDiv w:val="1"/>
      <w:marLeft w:val="0"/>
      <w:marRight w:val="0"/>
      <w:marTop w:val="0"/>
      <w:marBottom w:val="0"/>
      <w:divBdr>
        <w:top w:val="none" w:sz="0" w:space="0" w:color="auto"/>
        <w:left w:val="none" w:sz="0" w:space="0" w:color="auto"/>
        <w:bottom w:val="none" w:sz="0" w:space="0" w:color="auto"/>
        <w:right w:val="none" w:sz="0" w:space="0" w:color="auto"/>
      </w:divBdr>
    </w:div>
    <w:div w:id="740445267">
      <w:bodyDiv w:val="1"/>
      <w:marLeft w:val="0"/>
      <w:marRight w:val="0"/>
      <w:marTop w:val="0"/>
      <w:marBottom w:val="0"/>
      <w:divBdr>
        <w:top w:val="none" w:sz="0" w:space="0" w:color="auto"/>
        <w:left w:val="none" w:sz="0" w:space="0" w:color="auto"/>
        <w:bottom w:val="none" w:sz="0" w:space="0" w:color="auto"/>
        <w:right w:val="none" w:sz="0" w:space="0" w:color="auto"/>
      </w:divBdr>
      <w:divsChild>
        <w:div w:id="861894599">
          <w:marLeft w:val="0"/>
          <w:marRight w:val="0"/>
          <w:marTop w:val="0"/>
          <w:marBottom w:val="0"/>
          <w:divBdr>
            <w:top w:val="none" w:sz="0" w:space="0" w:color="auto"/>
            <w:left w:val="none" w:sz="0" w:space="0" w:color="auto"/>
            <w:bottom w:val="none" w:sz="0" w:space="0" w:color="auto"/>
            <w:right w:val="none" w:sz="0" w:space="0" w:color="auto"/>
          </w:divBdr>
          <w:divsChild>
            <w:div w:id="1987927631">
              <w:marLeft w:val="0"/>
              <w:marRight w:val="0"/>
              <w:marTop w:val="0"/>
              <w:marBottom w:val="0"/>
              <w:divBdr>
                <w:top w:val="none" w:sz="0" w:space="0" w:color="auto"/>
                <w:left w:val="none" w:sz="0" w:space="0" w:color="auto"/>
                <w:bottom w:val="none" w:sz="0" w:space="0" w:color="auto"/>
                <w:right w:val="none" w:sz="0" w:space="0" w:color="auto"/>
              </w:divBdr>
            </w:div>
          </w:divsChild>
        </w:div>
        <w:div w:id="1823496728">
          <w:marLeft w:val="0"/>
          <w:marRight w:val="0"/>
          <w:marTop w:val="0"/>
          <w:marBottom w:val="0"/>
          <w:divBdr>
            <w:top w:val="none" w:sz="0" w:space="0" w:color="auto"/>
            <w:left w:val="none" w:sz="0" w:space="0" w:color="auto"/>
            <w:bottom w:val="none" w:sz="0" w:space="0" w:color="auto"/>
            <w:right w:val="none" w:sz="0" w:space="0" w:color="auto"/>
          </w:divBdr>
          <w:divsChild>
            <w:div w:id="1248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1368">
      <w:bodyDiv w:val="1"/>
      <w:marLeft w:val="0"/>
      <w:marRight w:val="0"/>
      <w:marTop w:val="0"/>
      <w:marBottom w:val="0"/>
      <w:divBdr>
        <w:top w:val="none" w:sz="0" w:space="0" w:color="auto"/>
        <w:left w:val="none" w:sz="0" w:space="0" w:color="auto"/>
        <w:bottom w:val="none" w:sz="0" w:space="0" w:color="auto"/>
        <w:right w:val="none" w:sz="0" w:space="0" w:color="auto"/>
      </w:divBdr>
    </w:div>
    <w:div w:id="800920901">
      <w:bodyDiv w:val="1"/>
      <w:marLeft w:val="0"/>
      <w:marRight w:val="0"/>
      <w:marTop w:val="0"/>
      <w:marBottom w:val="0"/>
      <w:divBdr>
        <w:top w:val="none" w:sz="0" w:space="0" w:color="auto"/>
        <w:left w:val="none" w:sz="0" w:space="0" w:color="auto"/>
        <w:bottom w:val="none" w:sz="0" w:space="0" w:color="auto"/>
        <w:right w:val="none" w:sz="0" w:space="0" w:color="auto"/>
      </w:divBdr>
    </w:div>
    <w:div w:id="908420042">
      <w:bodyDiv w:val="1"/>
      <w:marLeft w:val="0"/>
      <w:marRight w:val="0"/>
      <w:marTop w:val="0"/>
      <w:marBottom w:val="0"/>
      <w:divBdr>
        <w:top w:val="none" w:sz="0" w:space="0" w:color="auto"/>
        <w:left w:val="none" w:sz="0" w:space="0" w:color="auto"/>
        <w:bottom w:val="none" w:sz="0" w:space="0" w:color="auto"/>
        <w:right w:val="none" w:sz="0" w:space="0" w:color="auto"/>
      </w:divBdr>
    </w:div>
    <w:div w:id="1054081837">
      <w:bodyDiv w:val="1"/>
      <w:marLeft w:val="0"/>
      <w:marRight w:val="0"/>
      <w:marTop w:val="0"/>
      <w:marBottom w:val="0"/>
      <w:divBdr>
        <w:top w:val="none" w:sz="0" w:space="0" w:color="auto"/>
        <w:left w:val="none" w:sz="0" w:space="0" w:color="auto"/>
        <w:bottom w:val="none" w:sz="0" w:space="0" w:color="auto"/>
        <w:right w:val="none" w:sz="0" w:space="0" w:color="auto"/>
      </w:divBdr>
    </w:div>
    <w:div w:id="1081830802">
      <w:bodyDiv w:val="1"/>
      <w:marLeft w:val="0"/>
      <w:marRight w:val="0"/>
      <w:marTop w:val="0"/>
      <w:marBottom w:val="0"/>
      <w:divBdr>
        <w:top w:val="none" w:sz="0" w:space="0" w:color="auto"/>
        <w:left w:val="none" w:sz="0" w:space="0" w:color="auto"/>
        <w:bottom w:val="none" w:sz="0" w:space="0" w:color="auto"/>
        <w:right w:val="none" w:sz="0" w:space="0" w:color="auto"/>
      </w:divBdr>
    </w:div>
    <w:div w:id="1084842524">
      <w:bodyDiv w:val="1"/>
      <w:marLeft w:val="0"/>
      <w:marRight w:val="0"/>
      <w:marTop w:val="0"/>
      <w:marBottom w:val="0"/>
      <w:divBdr>
        <w:top w:val="none" w:sz="0" w:space="0" w:color="auto"/>
        <w:left w:val="none" w:sz="0" w:space="0" w:color="auto"/>
        <w:bottom w:val="none" w:sz="0" w:space="0" w:color="auto"/>
        <w:right w:val="none" w:sz="0" w:space="0" w:color="auto"/>
      </w:divBdr>
    </w:div>
    <w:div w:id="1128203455">
      <w:bodyDiv w:val="1"/>
      <w:marLeft w:val="0"/>
      <w:marRight w:val="0"/>
      <w:marTop w:val="0"/>
      <w:marBottom w:val="0"/>
      <w:divBdr>
        <w:top w:val="none" w:sz="0" w:space="0" w:color="auto"/>
        <w:left w:val="none" w:sz="0" w:space="0" w:color="auto"/>
        <w:bottom w:val="none" w:sz="0" w:space="0" w:color="auto"/>
        <w:right w:val="none" w:sz="0" w:space="0" w:color="auto"/>
      </w:divBdr>
    </w:div>
    <w:div w:id="1165171678">
      <w:bodyDiv w:val="1"/>
      <w:marLeft w:val="0"/>
      <w:marRight w:val="0"/>
      <w:marTop w:val="0"/>
      <w:marBottom w:val="0"/>
      <w:divBdr>
        <w:top w:val="none" w:sz="0" w:space="0" w:color="auto"/>
        <w:left w:val="none" w:sz="0" w:space="0" w:color="auto"/>
        <w:bottom w:val="none" w:sz="0" w:space="0" w:color="auto"/>
        <w:right w:val="none" w:sz="0" w:space="0" w:color="auto"/>
      </w:divBdr>
    </w:div>
    <w:div w:id="1279486867">
      <w:bodyDiv w:val="1"/>
      <w:marLeft w:val="0"/>
      <w:marRight w:val="0"/>
      <w:marTop w:val="0"/>
      <w:marBottom w:val="0"/>
      <w:divBdr>
        <w:top w:val="none" w:sz="0" w:space="0" w:color="auto"/>
        <w:left w:val="none" w:sz="0" w:space="0" w:color="auto"/>
        <w:bottom w:val="none" w:sz="0" w:space="0" w:color="auto"/>
        <w:right w:val="none" w:sz="0" w:space="0" w:color="auto"/>
      </w:divBdr>
    </w:div>
    <w:div w:id="1310749300">
      <w:bodyDiv w:val="1"/>
      <w:marLeft w:val="0"/>
      <w:marRight w:val="0"/>
      <w:marTop w:val="0"/>
      <w:marBottom w:val="0"/>
      <w:divBdr>
        <w:top w:val="none" w:sz="0" w:space="0" w:color="auto"/>
        <w:left w:val="none" w:sz="0" w:space="0" w:color="auto"/>
        <w:bottom w:val="none" w:sz="0" w:space="0" w:color="auto"/>
        <w:right w:val="none" w:sz="0" w:space="0" w:color="auto"/>
      </w:divBdr>
    </w:div>
    <w:div w:id="1320422999">
      <w:bodyDiv w:val="1"/>
      <w:marLeft w:val="0"/>
      <w:marRight w:val="0"/>
      <w:marTop w:val="0"/>
      <w:marBottom w:val="0"/>
      <w:divBdr>
        <w:top w:val="none" w:sz="0" w:space="0" w:color="auto"/>
        <w:left w:val="none" w:sz="0" w:space="0" w:color="auto"/>
        <w:bottom w:val="none" w:sz="0" w:space="0" w:color="auto"/>
        <w:right w:val="none" w:sz="0" w:space="0" w:color="auto"/>
      </w:divBdr>
    </w:div>
    <w:div w:id="1374698461">
      <w:bodyDiv w:val="1"/>
      <w:marLeft w:val="0"/>
      <w:marRight w:val="0"/>
      <w:marTop w:val="0"/>
      <w:marBottom w:val="0"/>
      <w:divBdr>
        <w:top w:val="none" w:sz="0" w:space="0" w:color="auto"/>
        <w:left w:val="none" w:sz="0" w:space="0" w:color="auto"/>
        <w:bottom w:val="none" w:sz="0" w:space="0" w:color="auto"/>
        <w:right w:val="none" w:sz="0" w:space="0" w:color="auto"/>
      </w:divBdr>
    </w:div>
    <w:div w:id="1390837413">
      <w:bodyDiv w:val="1"/>
      <w:marLeft w:val="0"/>
      <w:marRight w:val="0"/>
      <w:marTop w:val="0"/>
      <w:marBottom w:val="0"/>
      <w:divBdr>
        <w:top w:val="none" w:sz="0" w:space="0" w:color="auto"/>
        <w:left w:val="none" w:sz="0" w:space="0" w:color="auto"/>
        <w:bottom w:val="none" w:sz="0" w:space="0" w:color="auto"/>
        <w:right w:val="none" w:sz="0" w:space="0" w:color="auto"/>
      </w:divBdr>
    </w:div>
    <w:div w:id="1431966386">
      <w:bodyDiv w:val="1"/>
      <w:marLeft w:val="0"/>
      <w:marRight w:val="0"/>
      <w:marTop w:val="0"/>
      <w:marBottom w:val="0"/>
      <w:divBdr>
        <w:top w:val="none" w:sz="0" w:space="0" w:color="auto"/>
        <w:left w:val="none" w:sz="0" w:space="0" w:color="auto"/>
        <w:bottom w:val="none" w:sz="0" w:space="0" w:color="auto"/>
        <w:right w:val="none" w:sz="0" w:space="0" w:color="auto"/>
      </w:divBdr>
    </w:div>
    <w:div w:id="1442605019">
      <w:bodyDiv w:val="1"/>
      <w:marLeft w:val="0"/>
      <w:marRight w:val="0"/>
      <w:marTop w:val="0"/>
      <w:marBottom w:val="0"/>
      <w:divBdr>
        <w:top w:val="none" w:sz="0" w:space="0" w:color="auto"/>
        <w:left w:val="none" w:sz="0" w:space="0" w:color="auto"/>
        <w:bottom w:val="none" w:sz="0" w:space="0" w:color="auto"/>
        <w:right w:val="none" w:sz="0" w:space="0" w:color="auto"/>
      </w:divBdr>
    </w:div>
    <w:div w:id="1444501012">
      <w:bodyDiv w:val="1"/>
      <w:marLeft w:val="0"/>
      <w:marRight w:val="0"/>
      <w:marTop w:val="0"/>
      <w:marBottom w:val="0"/>
      <w:divBdr>
        <w:top w:val="none" w:sz="0" w:space="0" w:color="auto"/>
        <w:left w:val="none" w:sz="0" w:space="0" w:color="auto"/>
        <w:bottom w:val="none" w:sz="0" w:space="0" w:color="auto"/>
        <w:right w:val="none" w:sz="0" w:space="0" w:color="auto"/>
      </w:divBdr>
    </w:div>
    <w:div w:id="1457138745">
      <w:bodyDiv w:val="1"/>
      <w:marLeft w:val="0"/>
      <w:marRight w:val="0"/>
      <w:marTop w:val="0"/>
      <w:marBottom w:val="0"/>
      <w:divBdr>
        <w:top w:val="none" w:sz="0" w:space="0" w:color="auto"/>
        <w:left w:val="none" w:sz="0" w:space="0" w:color="auto"/>
        <w:bottom w:val="none" w:sz="0" w:space="0" w:color="auto"/>
        <w:right w:val="none" w:sz="0" w:space="0" w:color="auto"/>
      </w:divBdr>
    </w:div>
    <w:div w:id="1497841968">
      <w:bodyDiv w:val="1"/>
      <w:marLeft w:val="0"/>
      <w:marRight w:val="0"/>
      <w:marTop w:val="0"/>
      <w:marBottom w:val="0"/>
      <w:divBdr>
        <w:top w:val="none" w:sz="0" w:space="0" w:color="auto"/>
        <w:left w:val="none" w:sz="0" w:space="0" w:color="auto"/>
        <w:bottom w:val="none" w:sz="0" w:space="0" w:color="auto"/>
        <w:right w:val="none" w:sz="0" w:space="0" w:color="auto"/>
      </w:divBdr>
    </w:div>
    <w:div w:id="1518039952">
      <w:bodyDiv w:val="1"/>
      <w:marLeft w:val="0"/>
      <w:marRight w:val="0"/>
      <w:marTop w:val="0"/>
      <w:marBottom w:val="0"/>
      <w:divBdr>
        <w:top w:val="none" w:sz="0" w:space="0" w:color="auto"/>
        <w:left w:val="none" w:sz="0" w:space="0" w:color="auto"/>
        <w:bottom w:val="none" w:sz="0" w:space="0" w:color="auto"/>
        <w:right w:val="none" w:sz="0" w:space="0" w:color="auto"/>
      </w:divBdr>
    </w:div>
    <w:div w:id="1531146784">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578008330">
      <w:bodyDiv w:val="1"/>
      <w:marLeft w:val="0"/>
      <w:marRight w:val="0"/>
      <w:marTop w:val="0"/>
      <w:marBottom w:val="0"/>
      <w:divBdr>
        <w:top w:val="none" w:sz="0" w:space="0" w:color="auto"/>
        <w:left w:val="none" w:sz="0" w:space="0" w:color="auto"/>
        <w:bottom w:val="none" w:sz="0" w:space="0" w:color="auto"/>
        <w:right w:val="none" w:sz="0" w:space="0" w:color="auto"/>
      </w:divBdr>
    </w:div>
    <w:div w:id="1620065592">
      <w:bodyDiv w:val="1"/>
      <w:marLeft w:val="0"/>
      <w:marRight w:val="0"/>
      <w:marTop w:val="0"/>
      <w:marBottom w:val="0"/>
      <w:divBdr>
        <w:top w:val="none" w:sz="0" w:space="0" w:color="auto"/>
        <w:left w:val="none" w:sz="0" w:space="0" w:color="auto"/>
        <w:bottom w:val="none" w:sz="0" w:space="0" w:color="auto"/>
        <w:right w:val="none" w:sz="0" w:space="0" w:color="auto"/>
      </w:divBdr>
    </w:div>
    <w:div w:id="1648975552">
      <w:bodyDiv w:val="1"/>
      <w:marLeft w:val="0"/>
      <w:marRight w:val="0"/>
      <w:marTop w:val="0"/>
      <w:marBottom w:val="0"/>
      <w:divBdr>
        <w:top w:val="none" w:sz="0" w:space="0" w:color="auto"/>
        <w:left w:val="none" w:sz="0" w:space="0" w:color="auto"/>
        <w:bottom w:val="none" w:sz="0" w:space="0" w:color="auto"/>
        <w:right w:val="none" w:sz="0" w:space="0" w:color="auto"/>
      </w:divBdr>
    </w:div>
    <w:div w:id="1862083073">
      <w:bodyDiv w:val="1"/>
      <w:marLeft w:val="0"/>
      <w:marRight w:val="0"/>
      <w:marTop w:val="0"/>
      <w:marBottom w:val="0"/>
      <w:divBdr>
        <w:top w:val="none" w:sz="0" w:space="0" w:color="auto"/>
        <w:left w:val="none" w:sz="0" w:space="0" w:color="auto"/>
        <w:bottom w:val="none" w:sz="0" w:space="0" w:color="auto"/>
        <w:right w:val="none" w:sz="0" w:space="0" w:color="auto"/>
      </w:divBdr>
    </w:div>
    <w:div w:id="1899899315">
      <w:bodyDiv w:val="1"/>
      <w:marLeft w:val="0"/>
      <w:marRight w:val="0"/>
      <w:marTop w:val="0"/>
      <w:marBottom w:val="0"/>
      <w:divBdr>
        <w:top w:val="none" w:sz="0" w:space="0" w:color="auto"/>
        <w:left w:val="none" w:sz="0" w:space="0" w:color="auto"/>
        <w:bottom w:val="none" w:sz="0" w:space="0" w:color="auto"/>
        <w:right w:val="none" w:sz="0" w:space="0" w:color="auto"/>
      </w:divBdr>
    </w:div>
    <w:div w:id="1948734117">
      <w:bodyDiv w:val="1"/>
      <w:marLeft w:val="0"/>
      <w:marRight w:val="0"/>
      <w:marTop w:val="0"/>
      <w:marBottom w:val="0"/>
      <w:divBdr>
        <w:top w:val="none" w:sz="0" w:space="0" w:color="auto"/>
        <w:left w:val="none" w:sz="0" w:space="0" w:color="auto"/>
        <w:bottom w:val="none" w:sz="0" w:space="0" w:color="auto"/>
        <w:right w:val="none" w:sz="0" w:space="0" w:color="auto"/>
      </w:divBdr>
    </w:div>
    <w:div w:id="2045515445">
      <w:bodyDiv w:val="1"/>
      <w:marLeft w:val="0"/>
      <w:marRight w:val="0"/>
      <w:marTop w:val="0"/>
      <w:marBottom w:val="0"/>
      <w:divBdr>
        <w:top w:val="none" w:sz="0" w:space="0" w:color="auto"/>
        <w:left w:val="none" w:sz="0" w:space="0" w:color="auto"/>
        <w:bottom w:val="none" w:sz="0" w:space="0" w:color="auto"/>
        <w:right w:val="none" w:sz="0" w:space="0" w:color="auto"/>
      </w:divBdr>
    </w:div>
    <w:div w:id="2067950306">
      <w:bodyDiv w:val="1"/>
      <w:marLeft w:val="0"/>
      <w:marRight w:val="0"/>
      <w:marTop w:val="0"/>
      <w:marBottom w:val="0"/>
      <w:divBdr>
        <w:top w:val="none" w:sz="0" w:space="0" w:color="auto"/>
        <w:left w:val="none" w:sz="0" w:space="0" w:color="auto"/>
        <w:bottom w:val="none" w:sz="0" w:space="0" w:color="auto"/>
        <w:right w:val="none" w:sz="0" w:space="0" w:color="auto"/>
      </w:divBdr>
    </w:div>
    <w:div w:id="2107535820">
      <w:bodyDiv w:val="1"/>
      <w:marLeft w:val="0"/>
      <w:marRight w:val="0"/>
      <w:marTop w:val="0"/>
      <w:marBottom w:val="0"/>
      <w:divBdr>
        <w:top w:val="none" w:sz="0" w:space="0" w:color="auto"/>
        <w:left w:val="none" w:sz="0" w:space="0" w:color="auto"/>
        <w:bottom w:val="none" w:sz="0" w:space="0" w:color="auto"/>
        <w:right w:val="none" w:sz="0" w:space="0" w:color="auto"/>
      </w:divBdr>
    </w:div>
    <w:div w:id="21145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home-affairs/e-library/multimedia/infographic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2014-2020/2014-2020-RUPs-OR-EU-planned-investment/8gwq-ke5u" TargetMode="External"/><Relationship Id="rId2" Type="http://schemas.openxmlformats.org/officeDocument/2006/relationships/hyperlink" Target="https://ec.europa.eu/eurostat/cache/RCI/" TargetMode="External"/><Relationship Id="rId1" Type="http://schemas.openxmlformats.org/officeDocument/2006/relationships/hyperlink" Target="https://cohesiondata.ec.europa.eu/2014-2020/2014-2020-RUPs-OR-EU-planned-investment/8gwq-ke5u" TargetMode="External"/><Relationship Id="rId4" Type="http://schemas.openxmlformats.org/officeDocument/2006/relationships/hyperlink" Target="https://cohesiondata.ec.europa.eu/2014-2020/2014-2020-RUPs-OR-EU-planned-investment/8gwq-ke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9578342-2709-4FF6-B50C-2B4FCB1B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6492</Words>
  <Characters>36550</Characters>
  <Application>Microsoft Office Word</Application>
  <DocSecurity>0</DocSecurity>
  <Lines>493</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2020-02-04T16:28:00Z</cp:lastPrinted>
  <dcterms:created xsi:type="dcterms:W3CDTF">2020-03-10T15:38:00Z</dcterms:created>
  <dcterms:modified xsi:type="dcterms:W3CDTF">2020-03-17T11:35:00Z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200267774</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CP-003</vt:lpwstr>
  </property>
  <property fmtid="{D5CDD505-2E9C-101B-9397-08002B2CF9AE}" pid="8" name="Last edited using">
    <vt:lpwstr>LW 7.0, Build 20190717</vt:lpwstr>
  </property>
  <property fmtid="{D5CDD505-2E9C-101B-9397-08002B2CF9AE}" pid="9" name="Created using">
    <vt:lpwstr>LW 7.0, Build 20190717</vt:lpwstr>
  </property>
</Properties>
</file>