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C0E7D0FA-F47A-4741-89E5-AA29EE53258E" style="width:450.75pt;height:379.5pt">
            <v:imagedata r:id="rId12" o:title=""/>
          </v:shape>
        </w:pict>
      </w:r>
    </w:p>
    <w:p>
      <w:pPr>
        <w:rPr>
          <w:noProof/>
        </w:rPr>
        <w:sectPr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spacing w:after="480"/>
        <w:rPr>
          <w:noProof/>
        </w:rPr>
      </w:pPr>
      <w:bookmarkStart w:id="0" w:name="_GoBack"/>
      <w:bookmarkEnd w:id="0"/>
      <w:r>
        <w:rPr>
          <w:noProof/>
        </w:rPr>
        <w:lastRenderedPageBreak/>
        <w:t>INDOKOLÁS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1.</w:t>
      </w:r>
      <w:r>
        <w:rPr>
          <w:noProof/>
        </w:rPr>
        <w:tab/>
        <w:t>A JAVASLAT HÁTTERE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color w:val="000000"/>
          <w:bdr w:val="nil"/>
        </w:rPr>
        <w:t>•</w:t>
      </w:r>
      <w:r>
        <w:rPr>
          <w:noProof/>
        </w:rPr>
        <w:tab/>
        <w:t>A javaslat indokai és céljai</w:t>
      </w:r>
    </w:p>
    <w:p>
      <w:pPr>
        <w:rPr>
          <w:noProof/>
        </w:rPr>
      </w:pPr>
      <w:r>
        <w:rPr>
          <w:noProof/>
        </w:rPr>
        <w:t>A COVID19 mára világjárvánnyá vált. E világjárványban a WHO április 17-i adatai szerint több mint 2 millió ember fertőződött meg, akik közül csaknem 140 000-en vesztették életüket. A járványra adott első reakcióként az egész világ az életmentésre összpontosít, a vírus terjedésének megfékezését és az egészségügyi rendszerek megerősítését célzó intézkedésekkel. Ezen intézkedések sok esetben a társadalom és a gazdaság leállításával járnak, hiszen az életmentés nem kényszerülhet kompromisszumokra, még a munkahelyek védelmében sem. Éppen ellenkezőleg, a gazdaság és a társadalom fenntartható fejlődése csak a vírus leküzdésével folytatódhat.</w:t>
      </w:r>
    </w:p>
    <w:p>
      <w:pPr>
        <w:rPr>
          <w:noProof/>
        </w:rPr>
      </w:pPr>
      <w:r>
        <w:rPr>
          <w:noProof/>
        </w:rPr>
        <w:t xml:space="preserve">Mindazonáltal gyors intézkedésekre került sor a válság gazdasági következményeinek korlátozása érdekében is. Ezen intézkedések ellenére, a globális recesszió és a pénzügyi piacokra nehezedő súlyos nyomás együttes hatása miatt a legtöbb – ha nem az összes – bővítési és szomszédságpolitikai partner idén recesszióra számíthat. A jelenlegi válság oka mindegyiküknél azonos, időtartama és súlyossága azonban eltérő lehet, attól függően, hogy milyen a gazdasági szerkezetük, és mennyiben képesek hatásos ellenintézkedéseket hozni. A recesszió a kereskedelem összeomlásával és a feltörekvő piacokat hátrányosan érintő kockázatkerülő magatartás előtérbe kerülésével együtt súlyos nyomás alá helyezi a fizetési mérlegeket. A járvány – terjedésével és gazdasági következményeivel arányosan – a társadalmi stabilitásra és a biztonságra is egyértelmű és közvetlen kockázatot jelent, amely a régión belül és kívül is továbbgyűrűző hatásokkal járhat. </w:t>
      </w:r>
    </w:p>
    <w:p>
      <w:pPr>
        <w:rPr>
          <w:b/>
          <w:bCs/>
          <w:noProof/>
        </w:rPr>
      </w:pPr>
      <w:r>
        <w:rPr>
          <w:b/>
          <w:bCs/>
          <w:noProof/>
        </w:rPr>
        <w:t xml:space="preserve">Mindezek alapján az Európai Bizottság a COVID19-válsággal összefüggésben tíz szomszédsági partner makroszintű pénzügyi támogatását (MFA) javasolja. </w:t>
      </w:r>
    </w:p>
    <w:p>
      <w:pPr>
        <w:rPr>
          <w:noProof/>
        </w:rPr>
      </w:pPr>
      <w:r>
        <w:rPr>
          <w:noProof/>
        </w:rPr>
        <w:t xml:space="preserve">A makroszintű pénzügyi támogatás az EU külső válságreagálási eszköztárának részeként – a kapcsolódó, gazdasági reformprogramhoz kötött IMF-hitellel együtt – a fizetésimérleg-krízisek kezelésére szolgál. A Bizottság a jelenlegi kivételes helyzetben </w:t>
      </w:r>
      <w:r>
        <w:rPr>
          <w:b/>
          <w:bCs/>
          <w:noProof/>
        </w:rPr>
        <w:t>az MFA-programoknak az IMF szükséghelyzeti támogatásában részesülő partnerekre való kiterjesztését javasolja</w:t>
      </w:r>
      <w:r>
        <w:rPr>
          <w:noProof/>
        </w:rPr>
        <w:t xml:space="preserve">, még akkor is, ha az IMF-támogatás nem ír elő előzetes intézkedést és/vagy feltételrendszert, mint például a gyorsfinanszírozási eszköz esetében. Ezek a „válsághelyzeti makroszintű pénzügyi támogatások” ezért </w:t>
      </w:r>
      <w:r>
        <w:rPr>
          <w:b/>
          <w:bCs/>
          <w:noProof/>
        </w:rPr>
        <w:t>rövidebb időtartamúak</w:t>
      </w:r>
      <w:r>
        <w:rPr>
          <w:noProof/>
        </w:rPr>
        <w:t xml:space="preserve"> lesznek (2,5 év helyett 12 hónaposak), és </w:t>
      </w:r>
      <w:r>
        <w:rPr>
          <w:b/>
          <w:bCs/>
          <w:noProof/>
        </w:rPr>
        <w:t>csak két folyósítással</w:t>
      </w:r>
      <w:r>
        <w:rPr>
          <w:noProof/>
        </w:rPr>
        <w:t xml:space="preserve"> járnak majd. Az első folyósításra az MFA-határozat és a kedvezményezettekkel kötendő megfelelő egyetértési megállapodások jóváhagyását követően a lehető leghamarabb sor kerül. A </w:t>
      </w:r>
      <w:r>
        <w:rPr>
          <w:b/>
          <w:noProof/>
        </w:rPr>
        <w:t>második folyósításra</w:t>
      </w:r>
      <w:r>
        <w:rPr>
          <w:noProof/>
        </w:rPr>
        <w:t xml:space="preserve"> az egyetértési megállapodásokban foglalt </w:t>
      </w:r>
      <w:r>
        <w:rPr>
          <w:b/>
          <w:noProof/>
        </w:rPr>
        <w:t>feltételek teljesülése esetén kerül sor</w:t>
      </w:r>
      <w:r>
        <w:rPr>
          <w:noProof/>
        </w:rPr>
        <w:t xml:space="preserve">. E feltételrendszer – mint minden makroszintű pénzügyi támogatás esetében – az egyes partnerekre van szabva, hogy az MFA-eszköz keretében teljes mértékben elősegíthesse a makrogazdasági stabilitást és egyúttal az általános makrogazdasági irányítás javítását, a gazdasági kormányzás és az átláthatóság megerősítését, illetve a megújított fenntartható növekedés feltételeinek a javítását. A feltételek kidolgozásakor ügyelni kell azok teljesíthetőségére, különösen a rövidebb időtartamra és a folyamatban lévő világjárványra tekintettel. </w:t>
      </w:r>
    </w:p>
    <w:p>
      <w:pPr>
        <w:rPr>
          <w:noProof/>
        </w:rPr>
      </w:pPr>
      <w:r>
        <w:rPr>
          <w:noProof/>
        </w:rPr>
        <w:t xml:space="preserve">Az Európai Bizottság </w:t>
      </w:r>
      <w:r>
        <w:rPr>
          <w:b/>
          <w:noProof/>
        </w:rPr>
        <w:t>tíz partner összesen 3 milliárd EUR összegű MFA-támogatását</w:t>
      </w:r>
      <w:r>
        <w:rPr>
          <w:noProof/>
        </w:rPr>
        <w:t xml:space="preserve"> javasolja az Európai Parlamentnek és a Tanácsnak. A támogatás középtávú hitelek formájában valósulna meg. 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lastRenderedPageBreak/>
        <w:t xml:space="preserve">A javasolt uniós makroszintű pénzügyi támogatás célja, hogy segítse a partnereket a folyamatban lévő IMF-programokkal összefüggő sürgős külső finanszírozási igényeik egy részének fedezésében, ily módon csökkentve gazdaságuk fizetési mérlegének COVID19-válsággal kapcsolatos rövid távú sebezhetőségét. A javasolt támogatás előmozdítaná a külső stabilizációt, és ezáltal növelné a hatóságok szakpolitikai mozgásterét a COVID19-válság gazdasági következményeinek ellensúlyozását célzó intézkedések végrehajtásához, ugyanakkor ösztönözné azoknak a reformoknak a végrehajtását, amelyek a makrogazdasági irányításnak, a gazdasági kormányzásnak és az átláthatóságnak, valamint a megújított fenntartható növekedés feltételeinek a javítására irányulnak. 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javasolt makroszintű pénzügyi támogatás összhangban van az uniós bővítési és szomszédságpolitikai célokkal. Jelezné a régióbeli partnerek számára, hogy az EU készen áll támogatásukra e példa nélküli válság idején. A Bizottság ebben a helyzetben úgy ítéli meg, hogy teljesülnek a javasolt összegű és típusú makroszintű pénzügyi támogatás politikai és gazdasági előfeltételei.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b/>
          <w:noProof/>
        </w:rPr>
        <w:t>A javasolt makroszintű pénzügyi támogatás kedvezményezettje az Albán Köztársaság, Bosznia-Hercegovina, Grúzia, a Jordán Hásimita Királyság, Koszovó</w:t>
      </w:r>
      <w:r>
        <w:rPr>
          <w:rStyle w:val="FootnoteReference"/>
          <w:b/>
          <w:noProof/>
        </w:rPr>
        <w:footnoteReference w:customMarkFollows="1" w:id="2"/>
        <w:t>*</w:t>
      </w:r>
      <w:r>
        <w:rPr>
          <w:b/>
          <w:noProof/>
        </w:rPr>
        <w:t>, a Moldovai Köztársaság, Montenegró, az Észak-macedón Köztársaság, a Tunéziai Köztársaság és Ukrajna.</w:t>
      </w:r>
      <w:r>
        <w:rPr>
          <w:noProof/>
        </w:rPr>
        <w:t xml:space="preserve"> A COVID19-válság azonban a folyamatosan változó helyzet miatt más országokban is egyre nagyobb kihívást jelent. A makroszintű pénzügyi támogatás egyéb támogatható országok számára is rendelkezésre áll, amennyiben a későbbiekben fizetésimérleg-nehézségeik merülnének fel. A Bizottság továbbá megbeszélést fog kezdeményezni az MFA-eszköz hatóköréről és annak az EU más külső szakpolitikáival való kölcsönhatásáról.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makroszintű pénzügyi támogatás összegét a partnerek fennmaradó külső finanszírozási igényének előzetes becslése alapján határozták meg, figyelembe véve a partnerek saját forrásokból – főként a rendelkezésükre álló nemzetközi tartalékokból – illetve az IMF és a Világbank által rendelkezésre bocsátott forrásokból történő önfinanszírozási képességét. A támogatás összegének meghatározásakor figyelembe vették továbbá az EU és a más támogatók közötti méltányos tehermegosztás biztosításának szükségességét, az EU egyéb külső finanszírozási eszközeinek a partnernél történt korábbi alkalmazását és a teljes uniós szerepvállalás hozzáadott értékét is.</w:t>
      </w:r>
    </w:p>
    <w:p>
      <w:pPr>
        <w:keepNext/>
        <w:keepLines/>
        <w:spacing w:before="0" w:after="240"/>
        <w:rPr>
          <w:rFonts w:eastAsia="Times New Roman"/>
          <w:i/>
          <w:iCs/>
          <w:noProof/>
        </w:rPr>
      </w:pPr>
      <w:r>
        <w:rPr>
          <w:i/>
          <w:iCs/>
          <w:noProof/>
        </w:rPr>
        <w:t>Bővítési partnerek</w:t>
      </w:r>
    </w:p>
    <w:p>
      <w:pPr>
        <w:spacing w:before="0" w:after="240"/>
        <w:rPr>
          <w:rFonts w:eastAsia="Times New Roman"/>
          <w:noProof/>
        </w:rPr>
      </w:pPr>
      <w:r>
        <w:rPr>
          <w:b/>
          <w:bCs/>
          <w:noProof/>
        </w:rPr>
        <w:t xml:space="preserve">Albánia különösen ki van téve a világjárvány gazdasági következményeinek, mivel szoros gazdasági kapcsolatban áll egyes erősen érintett uniós tagállamokkal, gazdaságában kiemelt szerepet tölt be az idegenforgalom, és nagyok a refinanszírozási igényei. </w:t>
      </w:r>
      <w:r>
        <w:rPr>
          <w:noProof/>
        </w:rPr>
        <w:t xml:space="preserve">A helyzetet súlyosbítja, hogy az egészségügyi ágazatnak korlátozottak a kapacitásai, és hogy a 2019. novemberi földrengés okozta károk enyhítése már felemésztette a költségvetés szűkös tartalékait. A kormány ennek ellenére gyors szakpolitikai intézkedésekkel – a GDP mintegy 2 %-át kitevő összeggel – támogatja az érintett vállalkozásokat és háztartásokat, valamint az egészségügyi ágazatot. A módosított költségvetés szerint 2020-ban a hiány a GDP 4 %-a lesz, az államadósság pedig 69 % fölé emelkedik, noha ez optimista várakozásnak tűnik. A nemzetközi intézmények előrejelzései szerint a reál-GDP idén mintegy </w:t>
      </w:r>
      <w:r>
        <w:rPr>
          <w:noProof/>
        </w:rPr>
        <w:lastRenderedPageBreak/>
        <w:t>5 %-kal csökken. A költségvetési hiány mellett a kormánynak 545 millió EUR összegű külföldi adósságtörlesztést kell refinanszíroznia (ez az összeg a GDP 3,8 %-ának felel meg). Ezt kezdetben egy 500-600 millió EUR összegű eurókötvény-kibocsátással kívánták részlegesen fedezni, de a jelenlegi helyzetben egy ilyen volumenű kibocsátás piaci kilátásai igen bizonytalannak tűnnek. Az IMF gyorsfinanszírozási eszközéből, a Világbank hiteleiből és az uniós Előcsatlakozási Támogatási Eszköz vissza nem térítendő támogatásaiból származó források felhasználása után még fennálló finanszírozási hiány elérheti a GDP 2,5 %-át, vagyis mintegy 350 millió EUR-t. Ezzel összefüggésben 180 millió EUR összegű makroszintű pénzügyi támogatás indokolt.</w:t>
      </w:r>
    </w:p>
    <w:p>
      <w:pPr>
        <w:spacing w:before="240" w:after="240"/>
        <w:rPr>
          <w:rFonts w:eastAsia="Calibri"/>
          <w:noProof/>
        </w:rPr>
      </w:pPr>
      <w:r>
        <w:rPr>
          <w:b/>
          <w:bCs/>
          <w:noProof/>
        </w:rPr>
        <w:t>Bosznia-Hercegovinában a COVID19-világjárvány kitörése jelentősen súlyosbította a már folyamatban lévő gazdasági lassulást</w:t>
      </w:r>
      <w:r>
        <w:rPr>
          <w:noProof/>
        </w:rPr>
        <w:t>, főként a közlekedés és az idegenforgalom, de a munkavállalói hazautalások tekintetében is, amelyek a GDP mintegy 5 %-át teszik ki, és különösen az alacsonyabb jövedelmű háztartások számára jelentenek nélkülözhetetlen bevételi forrást. A legutóbbi, 2020-ra vonatkozó előrejelzések szerint a gazdasági tevékenység akár 10 %-kal is visszaeshet, a munkanélküliség pedig meredeken nő. A költségvetés meglehetősen jó fő számai ellenére az ország rövid távon csak igen korlátozottan képes előteremteni a szükséges forrásokat. A boszniai hatóságok már 330 millió EUR összegű sürgősségi finanszírozást kértek az IMF-től (ez az összeg a GDP közel 2 %-ának felel meg). A gazdaság lassulása a bevételek jelentős csökkenéséhez és a transzferek meredek emelkedéséhez fog vezetni, erőteljesen növelve a finanszírozási igényeket. A jelenlegi becslések szerint az IMF 330 millió EUR-s (a GDP közel 2 %-át kitevő) és a Világbank mintegy 20 millió EUR-s (a GDP 0,1 %-át kitevő) hozzájárulása után fennmaradó finanszírozási hiány 2020-ban mintegy 500 millió EUR lesz (a GDP 2,8 %-a). Az ország a gyenge hitelminősítése miatt csak igen korlátozottan fér hozzá a nemzetközi pénzügyi piacokhoz, saját pénzügyi piacai pedig túl kicsik ahhoz, hogy kielégítsék ezeket a fennmaradó finanszírozási igényeket. Ezzel összefüggésben 250 millió EUR összegű makroszintű pénzügyi támogatás indokolt.</w:t>
      </w:r>
    </w:p>
    <w:p>
      <w:pPr>
        <w:spacing w:before="0" w:after="240"/>
        <w:rPr>
          <w:noProof/>
          <w:szCs w:val="24"/>
        </w:rPr>
      </w:pPr>
      <w:r>
        <w:rPr>
          <w:b/>
          <w:bCs/>
          <w:noProof/>
        </w:rPr>
        <w:t xml:space="preserve">A COVID19-világjárvány kitörése és az azt követő karanténintézkedések a kereskedelmi és a pénzügyi forgalom megakasztásával komoly hatást gyakoroltak Koszovó gazdaságára. </w:t>
      </w:r>
      <w:r>
        <w:rPr>
          <w:noProof/>
        </w:rPr>
        <w:t>A magánfogyasztásra jelentős részben a GDP több mint 10 %-át kitevő hazautalások nyújtanak fedezetet, a diaszpórába irányuló szolgáltatásexport (főként az idegenforgalom) pedig az igen nagy (a GDP több mint 40 %-át kitevő) áruforgalmi hiányt mérsékli. A koszovói gazdaság egy másik sebezhető pontja a gyenge magánszektor, amelynek fő szereplői, a mikrovállalkozások, csak korlátozott likviditási tartalékokkal rendelkeznek. Ezzel összefüggésben a reál-GDP 2020-ban várhatóan mintegy 5 %-kal csökkenni fog. A költségvetés mozgástere a 2019-es év meglehetősen jó fő számai ellenére korlátozott. Koszovónak nincs hozzáférése a nemzetközi pénzügyi piacokhoz (a hitelminősítés hiánya miatt), adósságának közel kétharmadát egy szűk befektetői kör birtokolja – ebből a koszovói nyugdíjbiztosítási alap és a központi bank mintegy 38 %-ot, illetve 23 %-ot. Az állami bevételek visszaesése miatt a nagy összegű alapvető kifizetések és a válságreagálási intézkedések együttese akut likviditási kockázatot teremt: az IMF becslései szerint a kormányzat bevételei április–júniusban 50-60 %-kal csökkennek az előző évhez képest, ugyanakkor az ügyvivő kormány által elfogadott válságcsomag 180 millió EUR-val növeli a kiadásokat. A kormány banki egyenlege, amely most sem éri el a jogszabályban előírt arányt – a GDP 4,5 %-át –, 2020-ban várhatóan tovább csökken, a GDP 2,5 %-ára. Az IMF Kormányzótanácsa április 10-én jóváhagyta a Koszovó által kért 51,6 millió EUR összegű likviditási támogatást, amelyet a gyorsfinanszírozási eszközből nyújtanak. Az aktuális becslések alapján a fennmaradó finanszírozási hiány mintegy 210 millió EUR. Ezzel összefüggésben 100 millió EUR összegű makroszintű pénzügyi támogatás indokolt.</w:t>
      </w:r>
    </w:p>
    <w:p>
      <w:pPr>
        <w:spacing w:before="0" w:after="240"/>
        <w:rPr>
          <w:rFonts w:eastAsia="Times New Roman"/>
          <w:noProof/>
        </w:rPr>
      </w:pPr>
      <w:r>
        <w:rPr>
          <w:b/>
          <w:bCs/>
          <w:noProof/>
        </w:rPr>
        <w:lastRenderedPageBreak/>
        <w:t xml:space="preserve">Montenegró különösen ki van téve a világjárvány gazdasági következményeinek, mivel gazdaságában kiemelt szerepet tölt be az idegenforgalom, és nagyok a külső finanszírozási igényei. </w:t>
      </w:r>
      <w:r>
        <w:rPr>
          <w:noProof/>
        </w:rPr>
        <w:t>Montenegró 2020-ban mély recesszióval néz szembe: a nemzetközi intézmények előrejelzése szerint a gazdaság reálértéken 9 %-kal fog zsugorodni. Az egyik leginkább érintett ágazat az idegenforgalom, amely a GDP több mint 20 %-át adó ágazatként a devizabevételek, a foglalkoztatás és az adóbevételek egyik fő forrása. A koronavírus megfékezésére irányuló intézkedések miatt azonban az idegenforgalom és az utazás még a főszezon előtt leállt. A kormány a korlátozott költségvetési mozgástér ellenére gyors szakpolitikai intézkedésekkel – a GDP mintegy 2 %-át kitevő összeggel – támogatja a gazdaságot a világjárvány következményeinek kezelésében. Az intézkedések közül különösen az adók és a társadalombiztosítási járulékok halasztott fizetése, a hiteltörlesztési moratóriumok, az államtól bérelt ingatlanok bérleti díjainak megfizetésére vonatkozó moratóriumok, valamint a vállalkozásoknak és a munkavállalóknak nyújtott támogatások emelhetők ki. A pénzügyminisztérium előzetes becslései szerint 2020-ban a költségvetési hiány a GDP több mint 7 %-ára emelkedik, az államadósság pedig további 2,6 százalékponttal, a GDP 82 %-ára nő, ami a legmagasabb a régióban. Az IMF és a Világbank hitelei, valamint az uniós vissza nem térítendő támogatások után még fennálló finanszírozási hiány elérheti a 120 millió EUR-t. Ezzel összefüggésben 60 millió EUR összegű makroszintű pénzügyi támogatás indokolt.</w:t>
      </w:r>
    </w:p>
    <w:p>
      <w:pPr>
        <w:spacing w:before="0" w:after="240"/>
        <w:rPr>
          <w:noProof/>
        </w:rPr>
      </w:pPr>
      <w:r>
        <w:rPr>
          <w:b/>
          <w:bCs/>
          <w:noProof/>
        </w:rPr>
        <w:t>Észak-Macedónia gazdasága komoly problémákkal küszködik, mivel a széles körben alkalmazott karanténintézkedések erősen visszavetik a termelést és a foglalkoztatást, ami a külkereskedelmi tevékenységet is súlyosan érinti.</w:t>
      </w:r>
      <w:r>
        <w:rPr>
          <w:noProof/>
        </w:rPr>
        <w:t xml:space="preserve"> A jelenlegi előrejelzések szerint a reál-GDP 2020-ban mintegy 4 %-kal csökkenni fog. A kormány kellő időben határozott intézkedéseket hozott annak érdekében, hogy a leginkább érintett ágazatokban áprilisban és májusban támogatni tudja a kkv-k likviditását és a foglalkoztatást. A válság társadalmi-gazdasági következményeinek kezelésére szolgáló költségvetési mozgástér azonban korlátozott. A kormány 2020-ra a legkedvezőbb forgatókönyv alapján 20 %-os bevételkiesést vár az eredeti költségvetéshez képest, és a kiadások átcsoportosítását tervezi a felső határ emelése nélkül. A 2019. évi GDP alapján ez mintegy 8 %-os hiányt jelentene. A külföldről érkező magántranszferek – a munkavállalói hazautalások és a beáramló közvetlen külföldi tőkebefektetések – várhatóan jelentősen csökkenni fognak, ami miatt csökkenni fognak a tartalékok is. Emellett 2020–2021-ben különösen nagyok lesznek a kormány és az állami vállalatok hazai és külső refinanszírozási igényei (összesen 1,65 milliárd EUR, a 2019. évi GDP mintegy 7,3 %-ának megfelelő összeg mindkét év esetében).</w:t>
      </w:r>
      <w:r>
        <w:rPr>
          <w:noProof/>
          <w:color w:val="000000"/>
        </w:rPr>
        <w:t xml:space="preserve"> Ezek az igények az 500 millió EUR összegű 2014. évi eurókötvénynek, a 2015. évi eurókötvény egyes részeinek és a Világbank 2013. évi szakpolitikai garanciájának a törlesztésével, valamint a fő közúti közlekedési infrastruktúrák megépítéséért felelős állami vállalat jelentős külföldi kereskedelmi hiteleinek visszafizetésével kapcsolatosak. A kormány 177 millió EUR összegű támogatást kért az IMF-től a gyorsfinanszírozási eszközön keresztül, és a Világbanktól is hitelt vett fel. A jelenlegi becslések szerint az IMF-től és a Világbanktól, illetve az uniós vissza nem térítendő támogatásokból származó források beszámítása után fennmaradó finanszírozási hiány mintegy 330 millió EUR.</w:t>
      </w:r>
      <w:r>
        <w:rPr>
          <w:noProof/>
        </w:rPr>
        <w:t xml:space="preserve"> Ezzel összefüggésben 160 millió EUR összegű makroszintű pénzügyi támogatás indokolt.</w:t>
      </w:r>
    </w:p>
    <w:p>
      <w:pPr>
        <w:keepNext/>
        <w:keepLines/>
        <w:spacing w:before="0" w:after="240"/>
        <w:rPr>
          <w:i/>
          <w:iCs/>
          <w:noProof/>
        </w:rPr>
      </w:pPr>
      <w:r>
        <w:rPr>
          <w:i/>
          <w:iCs/>
          <w:noProof/>
        </w:rPr>
        <w:t>Keleti szomszédság</w:t>
      </w:r>
    </w:p>
    <w:p>
      <w:pPr>
        <w:spacing w:before="0" w:after="240"/>
        <w:rPr>
          <w:noProof/>
        </w:rPr>
      </w:pPr>
      <w:r>
        <w:rPr>
          <w:b/>
          <w:bCs/>
          <w:noProof/>
        </w:rPr>
        <w:t xml:space="preserve">Grúzia idén mély recesszióba fog lépni, amit a finanszírozási igények növekedése kísér. </w:t>
      </w:r>
      <w:r>
        <w:rPr>
          <w:noProof/>
        </w:rPr>
        <w:t xml:space="preserve">Grúzia gazdaságát súlyosan érinti a koronaválság. A közelmúltbeli becslések szerint a gazdaság 2020-ban a járvány hatását is figyelembe véve mintegy 4 %-kal fog zsugorodni. A válságenyhítő intézkedések költsége, az egészségügyi kiadások növekedése és a bevételek </w:t>
      </w:r>
      <w:r>
        <w:rPr>
          <w:noProof/>
        </w:rPr>
        <w:lastRenderedPageBreak/>
        <w:t xml:space="preserve">csökkenése miatt a költségvetési hiány 2020-ban várhatóan a GDP mintegy 8 %-ára emelkedik. Grúzia fizetési mérlege is romlani fog, amit a szolgáltatások exportjából (különösen az idegenforgalomból) származó bevételek, a hazautalások és valószínűleg a közvetlen külföldi tőkebefektetések csökkenése, illetve a portfóliótőke kiáramlása okoz. Az IMF előzetes becslése alapján a külső finanszírozási hiány 2020–2021-ben mintegy 1,6 milliárd USD lesz, amelynek megszüntetéséhez Grúziának a nemzetközi partnerek segítségére lesz szüksége. A hatóságok és az IMF között április 14-én kötött szakértői szintű megállapodás mintegy 375 millió USD-vel megnövelte a már csaknem teljesen folyósított jelenlegi kibővített finanszírozási eszköz (EFF) keretét. A megnövelt összegből 308 millió USD-t 2020-ban kell folyósítani. Az ország a Világbankkal, az ADB-vel, az AFD-vel, a KfW-vel és az EBB-vel is tárgyal a szakpolitikai alapú hitelek növeléséről. Grúzia egy folyamatban lévő MFA-program kedvezményezettje. A támogatás 25 millió EUR-s végső részletének folyósítására várhatóan 2020 második negyedévében kerül sor, a megállapodás szerinti szakpolitikai feltételek teljesülésétől függően. E feltételek többsége már teljesült. A jelenlegi információk alapján az idei finanszírozási hiány összege mintegy 900 millió USD. Ennek megszüntetése céljából – azt is figyelembe véve, hogy az egyéb hitelezők hozzájárulására is jók a kilátások – egy új, 150 millió EUR összegű MFA-program indokolt. </w:t>
      </w:r>
    </w:p>
    <w:p>
      <w:pPr>
        <w:spacing w:after="240"/>
        <w:rPr>
          <w:noProof/>
          <w:sz w:val="22"/>
        </w:rPr>
      </w:pPr>
      <w:r>
        <w:rPr>
          <w:b/>
          <w:bCs/>
          <w:noProof/>
        </w:rPr>
        <w:t>A Moldovai Köztársaság (a továbbiakban: Moldova) gazdaságára 2020-ban erőteljes hatást gyakorolnak a COVID19-járvány megfékezésére szolgáló intézkedések és a globális recesszió következményei.</w:t>
      </w:r>
      <w:r>
        <w:rPr>
          <w:noProof/>
        </w:rPr>
        <w:t xml:space="preserve"> A válság fő átviteli csatornája az, hogy a válság által sújtott országok – különösen az uniós tagállamok – viszonylatában jelentősen csökken a hazautalások és a kereskedelem volumene (előbbi Moldovában a GDP 15 %-át teszi ki). Moldova gazdasága 2020-ban várhatóan recesszióba esik, és a válság miatt súlyos nyomás nehezedik majd a fizetési mérlegre és az államháztartásra. Az előzetes becslések szerint a külső finanszírozási hiány 2020-ban 800 millió USD (a GDP mintegy 7 %-a) lesz, a költségvetés finanszírozási hiánya pedig 10,5 milliárd MDL (körülbelül 550 millió USD). Moldova államadóssága és nemzetközi tartalékai az elmúlt években pozitív pályán mozogtak – egy hároméves IMF EFF/ECF programnak köszönhetően –, így az országnak van némi költségvetési mozgástere a sokkhatások ellensúlyozására, de csak rövid ideig és egyértelmű korlátokkal. Az IMF készen áll arra, hogy a COVID19-válság gazdasági hatásainak enyhítése érdekében mintegy 240 millió USD (220 millió EUR) összegű sürgősségi támogatást nyújtson Moldovának. Moldova egy folyamatban lévő MFA-program kedvezményezettje. A támogatás együttesen 70 millió EUR-s második és harmadik részletének folyósítására a program 2020. júliusi lejárta előtt kerülhet sor, a feltételek teljesülése esetén. Emellett a válság hatásainak kezelése érdekében át lehetne irányítani az Oroszország által 2020-ra ígért, 200 millió EUR összegű, elsősorban infrastrukturális beruházásokra szánt hiteleket. Moldovának azonban a nemzetközi tőkepiacokhoz való korlátozott hozzáférése miatt további támogatásra lenne szüksége a külső finanszírozási hiány fedezéséhez. Mindezek alapján egy új, 100 millió EUR összegű MFA-program indokolt.</w:t>
      </w:r>
    </w:p>
    <w:p>
      <w:pPr>
        <w:spacing w:before="0" w:after="240"/>
        <w:rPr>
          <w:noProof/>
          <w:szCs w:val="24"/>
        </w:rPr>
      </w:pPr>
      <w:r>
        <w:rPr>
          <w:b/>
          <w:bCs/>
          <w:noProof/>
        </w:rPr>
        <w:t>Ukrajna makrogazdasági stabilitása idén újra nyomás alá került, különösen a márciusban kezdődő váratlan kormányátalakítás miatt, amely egybeesett a globális koronavírus-válság kitörésével.</w:t>
      </w:r>
      <w:r>
        <w:rPr>
          <w:noProof/>
        </w:rPr>
        <w:t xml:space="preserve"> A pénzügyi piaci feltételek jelentősen romlottak március közepén, amikor az eurókötvények hozama a januári 4,4 %-ról megháromszorozódott, majd 8 %-on stabilizálódott. A 2020 tekintetében 4 % és 9 % között előre jelzett komoly visszaesés miatti félelmek a gazdaságba vetett bizalom csökkenéséhez és a devizakereslet ugrásszerű növekedéséhez vezettek. Az Ukrán Nemzeti Banknak március második felében 2,2 milliárd USD-nak megfelelő összegű értékesítéssel kellett beavatkoznia, ami több mint 8 %-kal csökkentette hivatalos nemzetközi tartalékait a 2020. február végi 27 milliárd USD-hez képest. A parlament által 2020. április 13-án jóváhagyott költségvetésmódosítás egy 2,5 </w:t>
      </w:r>
      <w:r>
        <w:rPr>
          <w:noProof/>
        </w:rPr>
        <w:lastRenderedPageBreak/>
        <w:t>milliárd EUR-s koronavírus-alapot hozott létre a COVID19 megfékezését célzó azonnali intézkedések támogatására. Az államháztartásnak a recesszióval összefüggő várható romlása és a válsággal összefüggő többletkiadások miatt a 2020. évi költségvetési hiánycél a GDP 7,5 %-ára módosult (ez 11 milliárd USD-nek felel meg) A költségvetési hiány egy része belföldről is finanszírozható, a kormánynak azonban 2020-ban külső adósságokat is kell törlesztenie, 5 milliárd USD értékben. Az IMF becslése szerint a teljes külső finanszírozási hiány 2020-ban mintegy 12 milliárd USD lesz. Az IMF ezért beleegyezett abba, hogy a közelmúltban jóváhagyott hároméves program méretét 5,5 milliárd USD-ről 10 milliárd USD-re növeli, amelyből idén 3,5 milliárd USD áll majd rendelkezésre. A Világbank hitelével és a meglévő uniós MFA-program hátralévő 500 millió EUR-s részletével együtt – ez utóbbinak feltételei teljesültek, folyósítása 2020 második negyedévére várható, amint végrehajtják az új IMF-program megelőző intézkedéseit – mintegy 5 milliárd USD összegű finanszírozás áll rendelkezésre. A 12 milliárd USD összegű hiány fennmaradó részét további hivatalos finanszírozással vagy a nemzetközi tartalékok lehívásával kell fedezni. Ezzel összefüggésben egy új, 1,2 milliárd EUR összegű MFA-program indokolt.</w:t>
      </w:r>
    </w:p>
    <w:p>
      <w:pPr>
        <w:keepNext/>
        <w:keepLines/>
        <w:spacing w:before="0" w:after="240"/>
        <w:rPr>
          <w:i/>
          <w:iCs/>
          <w:noProof/>
        </w:rPr>
      </w:pPr>
      <w:r>
        <w:rPr>
          <w:i/>
          <w:iCs/>
          <w:noProof/>
        </w:rPr>
        <w:t>Déli szomszédság</w:t>
      </w:r>
    </w:p>
    <w:p>
      <w:pPr>
        <w:spacing w:before="0" w:after="240"/>
        <w:rPr>
          <w:noProof/>
          <w:szCs w:val="24"/>
        </w:rPr>
      </w:pPr>
      <w:r>
        <w:rPr>
          <w:b/>
          <w:bCs/>
          <w:noProof/>
        </w:rPr>
        <w:t>Jordániában nem lehet elkerülni a recessziót, mivel egyre nagyobb nyomás nehezedik a fizetési mérlegre, ami az ország korlátozott politikai mozgásterét tükrözi.</w:t>
      </w:r>
      <w:r>
        <w:rPr>
          <w:noProof/>
        </w:rPr>
        <w:t xml:space="preserve"> A koronavírus megjelenése várhatóan jelentős hatást gyakorol majd a jordán gazdaságra, mivel zavart okoz a kereskedelmi forgalomban, a globális értékláncokban és az idegenforgalomban. Jordánia a költségvetési mozgástér korlátozottsága miatt eddig főként monetáris politikai intézkedéseket hozott a gazdasági károk mérséklésére. Az általános karanténhelyzet azonban korlátozza az ilyen intézkedések hatékonyságát. A gazdaság 2020-ban valószínűleg recesszióba kerül, ami súlyos következményekkel jár a már amúgy is magas (2019 végén mintegy 19 %-os) munkanélküliségre nézve. A költségvetési hiány várhatóan a GDP 5 %-a fölé nő, különösen az adóbevételek várható csökkenése miatt. A bruttó államadósság ezért 2020-ban valószínűleg átlépi a GDP 100 %-ának megfelelő mértéket. A költségvetési hiány finanszírozásához szükséges kedvezményes hitelek biztosítása döntő fontosságú lesz a kamatterhek alacsony szinten tartása és az adósság fenntarthatóságának támogatása szempontjából. Jordániának már a koronavírus-járvány kitörése előtt is jelentős külső finanszírozási igénye volt. Az EU ezzel összefüggésben már 2020 januárjában elfogadott egy 500 millió EUR összegű MFA-műveletet az ország javára. A Covid19-válság miatt a finanszírozási igény tovább nőtt. Az idegenforgalom meredek visszaesése miatt várhatóan tovább nő majd a folyó fizetési mérleg hiánya is. Emellett a pénzügyi piacokon jelentősen emelkednek a feltörekvő gazdaságok számára kínált kamatlábak, ami veszélyezteti a 2020 októberében lejáró 1,25 milliárd USD összegű eurókötvény megújítását. A jelenlegi információk alapján az idei finanszírozási hiány összege mintegy 1,5 milliárd USD, és ezért további 200 millió EUR összegű MFA-támogatás indokolt. Ez a meglévő MFA-programmal együtt összesen 700 millió EUR-s támogatást jelent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spacing w:before="0" w:after="240"/>
        <w:rPr>
          <w:noProof/>
          <w:szCs w:val="24"/>
        </w:rPr>
      </w:pPr>
      <w:r>
        <w:rPr>
          <w:b/>
          <w:bCs/>
          <w:noProof/>
        </w:rPr>
        <w:t>Tunézia jelentős finanszírozási igényei az egyre erősödő gazdasági válság közepette nemzetközi támogatást tesznek szükségessé.</w:t>
      </w:r>
      <w:r>
        <w:rPr>
          <w:noProof/>
        </w:rPr>
        <w:t xml:space="preserve"> Tunézia 2020-ban valószínűleg recesszióba </w:t>
      </w:r>
      <w:r>
        <w:rPr>
          <w:noProof/>
        </w:rPr>
        <w:lastRenderedPageBreak/>
        <w:t>süllyed, mivel a gazdaságát jelentősen befolyásolja majd a globális kereslet visszaesése és a koronavírus terjedésének megállítása érdekében március közepén bevezetett karanténintézkedések hatása. Noha a válság gazdasági hatásainak enyhítése érdekében monetáris és költségvetési intézkedéseket fogadtak el, a makrogazdasági egyensúlyhiány továbbra is fennáll, a szakpolitikai mozgástér továbbra is korlátozott, és az év során várhatóan növekedni fog a külső finanszírozási igény. A visszaesés komoly nyomást fog gyakorolni a foglalkoztatásra és a társadalmi stabilitásra. Mindez rontani fogja a költségvetés helyzetét, csökkenti a bevételeket, és további nyomást gyakorol a gazdaság és az egészségügyi rendszer finanszírozhatóságára. Következésképpen 2020-ban a költségvetési hiány valószínűleg jelentősen nő, és az államadósság is emelkedik. A kormány az előre jelzettnél nagyobb költségvetési hiányra számít (a GDP 4,3 %-ára), ami mintegy 1 milliárd USD összegű (a GDP 2,6 %-ának megfelelő) további külső finanszírozást tesz szükségessé. A világjárványnak a magánszektorra és annak külső finanszírozáshoz való hozzáférésére gyakorolt hatásai miatt a fizetési mérleg hiánya még ennél is nagyobb lesz (a GDP mintegy 4,7 %-a). Emellett az alacsonyabb olajárak nem tudják ellensúlyozni a hazautalások és az idegenforgalom meredek csökkenését (a GDP több mint 7 %-a), ami a devizabevételek csökkenéséhez vezet. A kormány 2020-ban nagy valószínűséggel nem lesz képes a hazai és nemzetközi piacokról fedezni finanszírozási igényét, és ezért az IMF-től 753 millió USD-nak (kvótája 100 %-ának) megfelelő sürgősségi segélyt kért. A kormánynak ebben az évben mintegy 3,5 milliárd USD összegű külső finanszírozásra van szüksége az adósságtörlesztésekhez, amelyek áprilisra és júniusra összpontosulnak, és ezáltal nyomást gyakorolnak a likviditásra. Emellett a finanszírozási igények várhatóan a COVID19 költségvetési hatásával és az arra adott válasszal összhangban is növekedni fognak, miközben az év során a pénzügyi piacokhoz való hozzáférés is komoly kihívást fog jelenteni, vagyis a tervezett 1,1 milliárd USD összegű piaci kibocsátást már nem lehet magától értetődőnek tekinteni. A jelenlegi információk alapján az idei finanszírozási hiány összege megközelítőleg 2,5 milliárd EUR, és ezért egy 600 millió EUR összegű MFA-program indokolt.</w:t>
      </w:r>
    </w:p>
    <w:p>
      <w:pPr>
        <w:pStyle w:val="ManualHeading2"/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  <w:color w:val="000000"/>
          <w:bdr w:val="nil"/>
        </w:rPr>
        <w:t>•</w:t>
      </w:r>
      <w:r>
        <w:rPr>
          <w:noProof/>
        </w:rPr>
        <w:tab/>
        <w:t>Összhang a szabályozási terület jelenlegi rendelkezéseivel</w:t>
      </w:r>
    </w:p>
    <w:p>
      <w:pPr>
        <w:spacing w:before="0" w:after="240"/>
        <w:rPr>
          <w:noProof/>
          <w:szCs w:val="24"/>
        </w:rPr>
      </w:pPr>
      <w:r>
        <w:rPr>
          <w:noProof/>
        </w:rPr>
        <w:t>A javasolt MFA-műveletre a koronavírus-világjárvánnyal összefüggésben igen sürgető, rendkívüli körülmények között kerül sor. A javasolt makroszintű pénzügyi támogatás összhangban van az EU azon kötelezettségvállalásával, hogy támogatja a bővítési és szomszédságpolitikai partnereket sürgető gazdasági nehézségeik megoldásában. A támogatás összhangban áll az MFA-eszköz használatára irányadó elvekkel is, beleértve kivételes jellegét, politikai előfeltételeit, kiegészítő jellegét, feltételhez kötöttségét és pénzügyi fegyelmét. A szóban forgó MFA-műveletek időtartama alatt a Bizottság továbbra is nyomon követi és értékeli majd e kritériumok megvalósulását és különösen – az Európai Külügyi Szolgálattal szoros együttműködésben – a politikai előfeltételek teljesülését.</w:t>
      </w:r>
    </w:p>
    <w:p>
      <w:pPr>
        <w:spacing w:before="0" w:after="240"/>
        <w:rPr>
          <w:noProof/>
          <w:szCs w:val="24"/>
        </w:rPr>
      </w:pPr>
      <w:r>
        <w:rPr>
          <w:noProof/>
        </w:rPr>
        <w:t>A Bizottság a végrehajtás során biztosítani fogja a támogatás összhangját a közelmúltbeli és a még folyamatban lévő, különösen a következő MFA-határozatok hatálya alá tartozó MFA-műveletekkel:</w:t>
      </w:r>
    </w:p>
    <w:p>
      <w:pPr>
        <w:pStyle w:val="Bullet1"/>
        <w:numPr>
          <w:ilvl w:val="0"/>
          <w:numId w:val="18"/>
        </w:numPr>
        <w:rPr>
          <w:noProof/>
        </w:rPr>
      </w:pPr>
      <w:r>
        <w:rPr>
          <w:noProof/>
        </w:rPr>
        <w:t>az Európai Parlament és a Tanács (EU) 2016/1112 határozata (2016. július 6.) a Tunéziának nyújtandó további makroszintű pénzügyi támogatásról;</w:t>
      </w:r>
    </w:p>
    <w:p>
      <w:pPr>
        <w:pStyle w:val="Bullet1"/>
        <w:rPr>
          <w:noProof/>
        </w:rPr>
      </w:pPr>
      <w:r>
        <w:rPr>
          <w:noProof/>
        </w:rPr>
        <w:t>az Európai Parlament és a Tanács (EU) 2017/1565 határozata (2017. szeptember 13.) a Moldovai Köztársaságnak nyújtandó makroszintű pénzügyi támogatásról;</w:t>
      </w:r>
    </w:p>
    <w:p>
      <w:pPr>
        <w:pStyle w:val="Bullet1"/>
        <w:rPr>
          <w:noProof/>
        </w:rPr>
      </w:pPr>
      <w:r>
        <w:rPr>
          <w:noProof/>
        </w:rPr>
        <w:lastRenderedPageBreak/>
        <w:t>az Európai Parlament és a Tanács (EU) 2018/598 határozata (2018. április 18.) a Grúziának nyújtandó további makroszintű pénzügyi támogatásról;</w:t>
      </w:r>
    </w:p>
    <w:p>
      <w:pPr>
        <w:pStyle w:val="Bullet1"/>
        <w:rPr>
          <w:noProof/>
        </w:rPr>
      </w:pPr>
      <w:r>
        <w:rPr>
          <w:noProof/>
        </w:rPr>
        <w:t>az Európai Parlament és a Tanács (EU) 2018/947 határozata (2018. július 4.) az Ukrajnának nyújtandó további makroszintű pénzügyi támogatásról;</w:t>
      </w:r>
    </w:p>
    <w:p>
      <w:pPr>
        <w:pStyle w:val="Bullet1"/>
        <w:rPr>
          <w:noProof/>
        </w:rPr>
      </w:pPr>
      <w:r>
        <w:rPr>
          <w:noProof/>
        </w:rPr>
        <w:t>az Európai Parlament és a Tanács (EU) 2020/33 határozata (2020. január 15.) a Jordán Hásimita Királyságnak nyújtandó további makroszintű pénzügyi támogatásról.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color w:val="000000"/>
          <w:bdr w:val="nil"/>
        </w:rPr>
        <w:t>•</w:t>
      </w:r>
      <w:r>
        <w:rPr>
          <w:noProof/>
        </w:rPr>
        <w:tab/>
        <w:t>Összhang az Unió egyéb szakpolitikáival</w:t>
      </w:r>
    </w:p>
    <w:p>
      <w:pPr>
        <w:spacing w:before="0" w:after="240"/>
        <w:rPr>
          <w:noProof/>
        </w:rPr>
      </w:pPr>
      <w:r>
        <w:rPr>
          <w:noProof/>
        </w:rPr>
        <w:t>Az EU minden rendelkezésre álló eszközt mozgósít, és szorosan együttműködik a tagállamokkal és az európai pénzügyi intézményekkel annak érdekében, hogy „Európa együtt” jelszóval hatékony külső választ adjon a COVID19-válságra. Az uniós makroszintű pénzügyi támogatás a bővítési és a szomszédságpolitikai régióra vonatkozó megközelítés részét képezi, és kiegészíti az Előcsatlakozási Támogatási Eszköz és az Európai Szomszédsági Támogatási Eszköz keretében mozgósított összesen 3,87 milliárd EUR összegű vissza nem térítendő támogatást, amely a szomszédsági beruházási platform és a Nyugat-Balkáni Beruházási Fórum keretében vegyes finanszírozást és pénzügyi eszközökhöz nyújtott hozzájárulásokat is tartalmaz. Emellett az Európai Beruházási Bank külső hitelezési megbízatása keretében folytatódni fog a köz- és a magánszektorbeli beruházásokat támogató hitelezés. A szomszédságpolitikai partnerek az Európai Fenntartható Fejlődési Alapból származó, összesen 0,5 milliárd EUR összegű garanciával fedezett – főként kkv-finanszírozásra irányuló – beruházási programokban is részt vehetnek.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Az uniós makroszintű pénzügyi támogatás segíti a hatóságokat a rövid távú makrogazdasági politikai és strukturális reformok megvalósítását szolgáló megfelelő keret elfogadásában, és ezáltal összességében növelni fogja az uniós szerepvállalás hozzáadott értékét és az Unió – akár más pénzügyi eszközök keretében végrehajtott – átfogó intervencióinak hatékonyságát.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2.</w:t>
      </w:r>
      <w:r>
        <w:rPr>
          <w:noProof/>
        </w:rPr>
        <w:tab/>
        <w:t>JOGALAP, SZUBSZIDIARITÁS ÉS ARÁNYOSSÁG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Jogalap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javaslat jogalapja az EUMSZ 212. cikke. A jelenlegi sürgős helyzetben az EUMSZ 213. cikke is szolgálhatna a javaslat jogalapjaként. A Bizottság azonban úgy döntött, hogy a javaslatot az EUMSZ 212. cikke alapján terjeszti elő, hogy a rendes jogalkotási eljárást követhesse, az Európai Parlament teljes körű bevonásával. A Bizottság a gyors elfogadás érdekében az Európai Parlament és a Tanács együttműködésére számít.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 xml:space="preserve">Szubszidiaritás (nem kizárólagos hatáskör esetén) 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javaslat nem tartozik az Európai Unió kizárólagos hatáskörébe, ezért a szubszidiaritás elve alkalmazandó, mivel a kedvezményezettek rövid távú makrogazdasági stabilitásának helyreállítására irányuló célkitűzést a tagállamok nem tudják egyedül kielégítően megvalósítani, és ezért az az Európai Unió által jobban megvalósítható. Ez főként a támogatás nagyságrendjével és a támogatás hatékonyságának maximalizálása érdekében az adományozók közötti koordináció elősegítésével indokolható.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bdr w:val="nil"/>
        </w:rPr>
        <w:t>Arányosság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javaslat megfelel az arányosság elvének: a lehetséges fizetésképtelenség megelőzésével a rövid távú makrogazdasági stabilitás célkitűzésének eléréséhez szükséges minimumra szorítkozik, és nem lépi túl a célhoz szükséges mértéket.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kedvezményezettek 2020. és 2021. évi külső finanszírozási igényének nagysága miatt a támogatás csak korlátozott mértékben fedezi az igényeket. Mivel a kedvezményezetteknek egyéb bilaterális és multilaterális támogatók, illetve hitelezők is ígértek támogatást, a tehermegosztás megfelelő szintűnek tekinthető az EU részéről.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A jogi aktus típusának megválasztása</w:t>
      </w:r>
    </w:p>
    <w:p>
      <w:pPr>
        <w:tabs>
          <w:tab w:val="left" w:pos="719"/>
        </w:tabs>
        <w:spacing w:before="0" w:after="240"/>
        <w:rPr>
          <w:rFonts w:eastAsia="Arial Unicode MS"/>
          <w:noProof/>
        </w:rPr>
      </w:pPr>
      <w:r>
        <w:rPr>
          <w:noProof/>
        </w:rPr>
        <w:t>E makrogazdasági célkitűzések eléréséhez projektfinanszírozás vagy technikai segítségnyújtás nem lenne megfelelő vagy kielégítő. A makroszintű pénzügyi támogatás egyéb uniós eszközökhöz viszonyított legfontosabb hozzáadott értéke a kedvezményezettek külső finanszírozási igényeinek azonnali enyhítése a gyors végrehajtás révén. A támogatás egyúttal – a fizetési mérleg és a költségvetési helyzet fenntarthatóságának biztosítása és a strukturális reformok megvalósítását szolgáló megfelelő keret létrehozásának előmozdítása révén – hozzájárul a stabil makrogazdasági keret megteremtéséhez is. A makrogazdasági és strukturális politikák megfelelő keretének létrehozásához való hozzájárulás révén a makroszintű pénzügyi támogatás növelheti a kedvezményezettek javára más, szűkebb fókuszú uniós pénzügyi eszközök keretében finanszírozott cselekvések hatékonyságát.</w:t>
      </w:r>
    </w:p>
    <w:p>
      <w:pPr>
        <w:pStyle w:val="ManualHeading1"/>
        <w:spacing w:before="0" w:after="240"/>
        <w:jc w:val="left"/>
        <w:rPr>
          <w:noProof/>
        </w:rPr>
      </w:pPr>
      <w:r>
        <w:rPr>
          <w:noProof/>
        </w:rPr>
        <w:t>3.</w:t>
      </w:r>
      <w:r>
        <w:rPr>
          <w:noProof/>
        </w:rPr>
        <w:tab/>
        <w:t>AZ UTÓLAGOS ÉRTÉKELÉSEK, AZ ÉRDEKELT FELEKKEL FOLYTATOTT KONZULTÁCIÓK ÉS A HATÁSVIZSGÁLATOK EREDMÉNYEI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A jelenleg hatályban lévő jogszabályok utólagos értékelése / célravezetőségi vizsgálata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Minden MFA-művelet utólagos értékelés tárgyát képezi, amelyet általában a támogatási határozat szerinti rendelkezésreállási időszak végétől számított két éven belül végeznek el. A cél kettős: i. egyfelől a kedvezményezett gazdaságára, és különösen külső pozíciójának fenntarthatóságára gyakorolt hatás elemzése; ii. másfelől az uniós szerepvállalás hozzáadott értékének értékelése.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eddigi értékelések kimutatták, hogy a makroszintű pénzügyi támogatások valóban hozzájárulnak a kedvezményezett külső fenntarthatóságának javításához, makrogazdasági stabilitásához és szerkezeti reformjainak megvalósításához. Az MFA-műveletek pozitív hatást gyakoroltak a kedvezményezettek fizetési mérlegére, és hozzájárultak költségvetési terheik enyhítéséhez. Valamelyest hozzájárultak a gazdasági növekedéshez is.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Minden értékelés kiemeli, hogy az uniós makroszintű pénzügyi támogatás egyik fontos jellemzőjét a rendkívül kedvező feltételrendszer – vagyis a viszonylag alacsony kamatlábak, a hosszú futamidő és a hosszú türelmi idő – adja, amely mozgásteret biztosít a költségvetés számára, és hozzájárul az államadósság fenntarthatóságához.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Az utólagos értékelések azt is megerősítik, hogy a korábbi makroszintű pénzügyi támogatásokat hatékonyan hajtották végre, és azokat megfelelően összehangolták más uniós programokkal és más támogatók (nevezetesen az IMF és a Világbank) programjaival. Világossá vált, hogy a makroszintű pénzügyi támogatás szakpolitikai feltételrendszere eltér </w:t>
      </w:r>
      <w:r>
        <w:rPr>
          <w:noProof/>
        </w:rPr>
        <w:lastRenderedPageBreak/>
        <w:t>ugyan az IMF-étől, de azt kiegészíti és/vagy megerősíti. A közelmúlt tapasztalatai azt mutatják, hogy a két független, de összehangolt program együttes alkalmazása – az egymást kiegészítő feltételrendszerek és az összeadódó pénzügyi források révén – javítja az eredményességet.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értékelések az egyes MFA-műveletek hiányosságaira is rámutattak, amelyek közül a leggyakoribb az átláthatóság hiánya és néha a tárgyalások elhúzódása volt. A Bizottság az azonosított korlátokat a 2010–2020 közötti időszakban végrehajtott műveletek hamarosan – a tervek szerint már 2020-ban – induló értékelése során is meg fogja vizsgálni. Ez az értékelés jó alapot adhatna továbbá az MFA-eszköz hatókörének és egyéb vetületeinek további átgondolására, illetve az EU más külső szakpolitikáival való kölcsönhatásának elemzésére.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Az MFA-műveletek kapcsán készített utólagos értékelések zárójelentései elérhetők a </w:t>
      </w:r>
      <w:hyperlink r:id="rId14">
        <w:r>
          <w:rPr>
            <w:rStyle w:val="Hyperlink"/>
            <w:noProof/>
          </w:rPr>
          <w:t>https://ec.europa.eu/info/evaluation-reports-economic-and-financial-affairs-policies-and-spending-activities_en</w:t>
        </w:r>
      </w:hyperlink>
      <w:r>
        <w:rPr>
          <w:noProof/>
        </w:rPr>
        <w:t xml:space="preserve"> weboldalon.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Az érdekelt felekkel folytatott konzultációk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makroszintű pénzügyi támogatás a COVID19-válságra való uniós és – szélesebb körű – nemzetközi reagálás szerves részét képezi. A Bizottság szolgálatai az MFA-javaslat előkészítése során konzultáltak a Nemzetközi Valutaalappal, amely már jelentős finanszírozási programok bevezetésén dolgozik, valamint más multilaterális és bilaterális hitelezőkkel és támogatókkal. A Bizottság a potenciális kedvezményezettek hatóságaival is rendszeresen egyeztetett.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Szakértői vélemények beszerzése és felhasználása</w:t>
      </w:r>
    </w:p>
    <w:p>
      <w:pPr>
        <w:tabs>
          <w:tab w:val="left" w:pos="719"/>
        </w:tabs>
        <w:spacing w:before="0" w:after="240"/>
        <w:rPr>
          <w:noProof/>
        </w:rPr>
      </w:pPr>
      <w:r>
        <w:rPr>
          <w:noProof/>
        </w:rPr>
        <w:t>A jóváhagyási eljárás sürgősségére tekintettel a kedvezményezett államháztartási folyamatainak és közigazgatási eljárásainak minőségéről és megbízhatóságáról szóló működési értékelést a Bizottság fogja elkészíteni, szükség esetén külső szakértők segítségével.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Hatásvizsgálat</w:t>
      </w:r>
    </w:p>
    <w:p>
      <w:pPr>
        <w:spacing w:before="0" w:after="240"/>
        <w:rPr>
          <w:noProof/>
        </w:rPr>
      </w:pPr>
      <w:r>
        <w:rPr>
          <w:noProof/>
        </w:rPr>
        <w:t xml:space="preserve">Az uniós makroszintű pénzügyi támogatás szükséghelyzeti eszközként csökkenti a partnerek fizetésképtelenségének és gazdasági összeomlásának kockázatát: fedezi rövid távú külső finanszírozási igényeiket, továbbá elősegíti a fizetési mérleg és a költségvetési egyenleg megerősítésére és a megújult fenntartható növekedés támogatására irányuló szakpolitikai intézkedéseiket. Következésképpen ehhez az MFA-javaslathoz nem kell elkészíteni a minőségi jogalkotásra vonatkozó bizottsági iránymutatás (SWD(2015) 111 final) szerinti hatásvizsgálatot, mivel e sürgető szükséghelyzet gyors megoldása politikai szempontból elengedhetetlen. 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4.</w:t>
      </w:r>
      <w:r>
        <w:rPr>
          <w:noProof/>
        </w:rPr>
        <w:tab/>
        <w:t>KÖLTSÉGVETÉSI VONZATOK</w:t>
      </w:r>
    </w:p>
    <w:p>
      <w:pPr>
        <w:spacing w:before="0" w:after="240"/>
        <w:rPr>
          <w:noProof/>
        </w:rPr>
      </w:pPr>
      <w:r>
        <w:rPr>
          <w:noProof/>
        </w:rPr>
        <w:t xml:space="preserve">A tervezett támogatást hitelek formájában nyújtanák, finanszírozását a Bizottság által az Unió nevében megvalósított hitelfelvétel biztosítaná. A támogatás költségvetési vonzata abból adódik, hogy a folyósított összegek 9 %-ának megfelelő összeggel fel kell tölteni a külső </w:t>
      </w:r>
      <w:r>
        <w:rPr>
          <w:noProof/>
        </w:rPr>
        <w:lastRenderedPageBreak/>
        <w:t>fellépésekre vonatkozó uniós garanciaalapot. A garanciaalap szabályai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szerint az alapot az n+2. évben kell feltölteni, ahol az n. év a folyósítás éve, vagyis a tervek szerint 2020. A 2020-ban folyósított hitelek ezért a 2022. évi költségvetésre fognak hatást gyakorolni, maximum 270 millió EUR összegben. Ha a hitelek egy részét 2021-ben folyósítják, a megfelelő tartalékfeltöltés a 2023. évi költségvetés terhére fog történni.</w:t>
      </w:r>
    </w:p>
    <w:p>
      <w:pPr>
        <w:spacing w:before="0" w:after="240"/>
        <w:rPr>
          <w:noProof/>
        </w:rPr>
      </w:pPr>
      <w:r>
        <w:rPr>
          <w:noProof/>
        </w:rPr>
        <w:t xml:space="preserve">A Bizottság megítélése szerint a garanciaalapban tartalékolt összegek megfelelő fedezetet nyújtanak a szóban forgó MFA-hitelekkel kapcsolatos függő kötelezettségekre. A jelenlegi makrogazdasági körülmények között a hitelkockázati kitettségek potenciális koncentrációja miatt azonban előfordulhat, hogy a hitelek futamideje alatt további költségvetési forrásokat kell majd elkülöníteni. </w:t>
      </w:r>
    </w:p>
    <w:p>
      <w:pPr>
        <w:spacing w:before="0" w:after="240"/>
        <w:rPr>
          <w:noProof/>
        </w:rPr>
      </w:pPr>
      <w:r>
        <w:rPr>
          <w:noProof/>
          <w:color w:val="000000"/>
        </w:rPr>
        <w:t>A Bizottság úgy véli, hogy a javasolt MFA-műveletek költségvetési vonzata beilleszthető a következő többéves pénzügyi keretre irányuló javaslatba.</w:t>
      </w:r>
    </w:p>
    <w:p>
      <w:pPr>
        <w:pStyle w:val="ManualHeading1"/>
        <w:spacing w:before="0" w:after="240"/>
        <w:rPr>
          <w:noProof/>
        </w:rPr>
      </w:pPr>
      <w:r>
        <w:rPr>
          <w:noProof/>
        </w:rPr>
        <w:t>5.</w:t>
      </w:r>
      <w:r>
        <w:rPr>
          <w:noProof/>
        </w:rPr>
        <w:tab/>
        <w:t>EGYÉB ELEMEK</w:t>
      </w:r>
    </w:p>
    <w:p>
      <w:pPr>
        <w:pStyle w:val="ManualHeading2"/>
        <w:spacing w:before="0" w:after="240"/>
        <w:rPr>
          <w:rFonts w:eastAsia="Arial Unicode MS"/>
          <w:noProof/>
        </w:rPr>
      </w:pPr>
      <w:r>
        <w:rPr>
          <w:noProof/>
          <w:bdr w:val="nil"/>
        </w:rPr>
        <w:t>•</w:t>
      </w:r>
      <w:r>
        <w:rPr>
          <w:noProof/>
        </w:rPr>
        <w:tab/>
      </w:r>
      <w:r>
        <w:rPr>
          <w:noProof/>
          <w:bdr w:val="nil"/>
        </w:rPr>
        <w:t>Végrehajtási tervek, valamint a nyomon követés, az értékelés és a jelentéstétel szabályai</w:t>
      </w:r>
    </w:p>
    <w:p>
      <w:pPr>
        <w:spacing w:before="0" w:after="240"/>
        <w:rPr>
          <w:noProof/>
        </w:rPr>
      </w:pPr>
      <w:r>
        <w:rPr>
          <w:noProof/>
        </w:rPr>
        <w:t xml:space="preserve">Az Európai Unió – közép- és hosszú lejáratú hitelek formájában – összesen legfeljebb 3 milliárd EUR összegű makroszintű pénzügyi támogatást bocsát a partnerek rendelkezésére, amely 2020–21-ben hozzájárul majd az érintett országok külső finanszírozási igényének fedezéséhez. </w:t>
      </w:r>
    </w:p>
    <w:p>
      <w:pPr>
        <w:spacing w:before="0" w:after="240"/>
        <w:rPr>
          <w:noProof/>
        </w:rPr>
      </w:pPr>
      <w:r>
        <w:rPr>
          <w:noProof/>
        </w:rPr>
        <w:t>A finanszírozási igények előzetes értékelése alapján a makroszintű pénzügyi támogatás összegét a következőképpen kell elosztani a kedvezményezettek között:</w:t>
      </w:r>
    </w:p>
    <w:p>
      <w:pPr>
        <w:pStyle w:val="Bullet1"/>
        <w:numPr>
          <w:ilvl w:val="0"/>
          <w:numId w:val="17"/>
        </w:numPr>
        <w:spacing w:before="0" w:after="240"/>
        <w:ind w:left="1418"/>
        <w:contextualSpacing/>
        <w:rPr>
          <w:noProof/>
        </w:rPr>
      </w:pPr>
      <w:r>
        <w:rPr>
          <w:noProof/>
        </w:rPr>
        <w:t>180 millió EUR az Albán Köztársaság számára</w:t>
      </w:r>
    </w:p>
    <w:p>
      <w:pPr>
        <w:pStyle w:val="Bullet1"/>
        <w:numPr>
          <w:ilvl w:val="0"/>
          <w:numId w:val="17"/>
        </w:numPr>
        <w:spacing w:before="0" w:after="240"/>
        <w:ind w:left="1418"/>
        <w:contextualSpacing/>
        <w:rPr>
          <w:noProof/>
        </w:rPr>
      </w:pPr>
      <w:r>
        <w:rPr>
          <w:noProof/>
        </w:rPr>
        <w:t>250 millió EUR Bosznia-Hercegovina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150 millió EUR Grúzia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200 millió EUR a Jordán Hásimita Királyság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100 millió EUR Koszovó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100 millió EUR a Moldovai Köztársaság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60 millió EUR Montenegró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160 millió EUR az Észak-macedón Köztársaság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600 millió EUR a Tunéziai Köztársaság számára</w:t>
      </w:r>
    </w:p>
    <w:p>
      <w:pPr>
        <w:pStyle w:val="Bullet1"/>
        <w:spacing w:before="0" w:after="240"/>
        <w:ind w:left="1418"/>
        <w:contextualSpacing/>
        <w:rPr>
          <w:noProof/>
        </w:rPr>
      </w:pPr>
      <w:r>
        <w:rPr>
          <w:noProof/>
        </w:rPr>
        <w:t>1,2 milliárd EUR Ukrajna számára</w:t>
      </w:r>
    </w:p>
    <w:p>
      <w:pPr>
        <w:spacing w:before="0" w:after="240"/>
        <w:rPr>
          <w:noProof/>
        </w:rPr>
      </w:pPr>
      <w:r>
        <w:rPr>
          <w:noProof/>
        </w:rPr>
        <w:t xml:space="preserve">A tervek szerint a hiteleket két részletben folyósítják. Az első részlet folyósítására várhatóan 2020 közepe felé kerül sor. A második részlet folyósítására 2020 negyedik negyedévében, vagy 2021 első felében kerülhet sor, ha a kapcsolódó szakpolitikai intézkedéseket időben végrehajtották. </w:t>
      </w:r>
    </w:p>
    <w:p>
      <w:pPr>
        <w:spacing w:before="0" w:after="240"/>
        <w:rPr>
          <w:noProof/>
        </w:rPr>
      </w:pPr>
      <w:r>
        <w:rPr>
          <w:noProof/>
        </w:rPr>
        <w:t xml:space="preserve">A támogatást a Bizottság fogja kezelni. A költségvetési rendelettel összeegyeztethető, csalás és egyéb szabálytalanságok elleni speciális rendelkezések alkalmazandók. </w:t>
      </w:r>
    </w:p>
    <w:p>
      <w:pPr>
        <w:spacing w:before="0" w:after="240"/>
        <w:rPr>
          <w:noProof/>
        </w:rPr>
      </w:pPr>
      <w:r>
        <w:rPr>
          <w:noProof/>
        </w:rPr>
        <w:lastRenderedPageBreak/>
        <w:t>A Bizottság egyetértési megállapodást fog kötni az egyes partnerek hatóságaival, amelyben meghatározza a javasolt MFA-művelethez kapcsolódó reformintézkedéseket, ideértve azok időzítését és ütemezését is. Továbbá, mint általában a makroszintű pénzügyi támogatás esetében, a folyósítások többek között az IMF-program megfelelő végrehajtásától és az IMF-források partner általi folyamatos lehívásától függnek.</w:t>
      </w:r>
    </w:p>
    <w:p>
      <w:pPr>
        <w:spacing w:before="0" w:after="240"/>
        <w:rPr>
          <w:noProof/>
        </w:rPr>
      </w:pPr>
      <w:r>
        <w:rPr>
          <w:noProof/>
        </w:rPr>
        <w:t>A javaslat hatályvesztésre vonatkozó rendelkezést tartalmaz. A javaslat szerint a makroszintű pénzügyi támogatás az egyetértési megállapodás hatálybalépését követő első naptól számított 12 hónapig áll majd rendelkezésre.</w:t>
      </w:r>
    </w:p>
    <w:p>
      <w:pPr>
        <w:spacing w:before="0" w:after="240"/>
        <w:rPr>
          <w:noProof/>
        </w:rPr>
      </w:pPr>
      <w:r>
        <w:rPr>
          <w:noProof/>
        </w:rPr>
        <w:t xml:space="preserve">A Bizottság minden évben jelentést fog benyújtani az Európai Parlamentnek és a Tanácsnak e határozat előző évi végrehajtásáról. A Bizottság értékelni fogja továbbá a támogatás célkitűzéseinek teljesülését, többek között egy utólagos értékelés keretében, amelyet a támogatás rendelkezésreállási időszakának lejártát követő két éven belül terjeszt az Európai Parlament és a Tanács elé. </w:t>
      </w:r>
    </w:p>
    <w:p>
      <w:pPr>
        <w:spacing w:before="0" w:after="240"/>
        <w:rPr>
          <w:noProof/>
        </w:rPr>
        <w:sectPr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2020/0065 (COD)</w:t>
      </w:r>
    </w:p>
    <w:p>
      <w:pPr>
        <w:pStyle w:val="Statut"/>
        <w:rPr>
          <w:noProof/>
        </w:rPr>
      </w:pPr>
      <w:r>
        <w:rPr>
          <w:noProof/>
        </w:rPr>
        <w:t>Javaslat</w:t>
      </w:r>
    </w:p>
    <w:p>
      <w:pPr>
        <w:pStyle w:val="Typedudocument"/>
        <w:rPr>
          <w:noProof/>
        </w:rPr>
      </w:pPr>
      <w:r>
        <w:rPr>
          <w:noProof/>
        </w:rPr>
        <w:t>AZ EURÓPAI PARLAMENT ÉS A TANÁCS HATÁROZATA</w:t>
      </w:r>
    </w:p>
    <w:p>
      <w:pPr>
        <w:pStyle w:val="Titreobjet"/>
        <w:rPr>
          <w:noProof/>
        </w:rPr>
      </w:pPr>
      <w:r>
        <w:rPr>
          <w:noProof/>
        </w:rPr>
        <w:t xml:space="preserve">a Covid19-világjárvány okozta válsággal összefüggésben a bővítési és a szomszédságpolitikai partnerek számára makroszintű pénzügyi támogatás nyújtásáról </w:t>
      </w:r>
      <w:r>
        <w:rPr>
          <w:noProof/>
        </w:rPr>
        <w:br/>
      </w:r>
    </w:p>
    <w:p>
      <w:pPr>
        <w:pStyle w:val="Institutionquiagit"/>
        <w:rPr>
          <w:noProof/>
        </w:rPr>
      </w:pPr>
      <w:r>
        <w:rPr>
          <w:noProof/>
        </w:rPr>
        <w:t>AZ EURÓPAI PARLAMENT ÉS AZ EURÓPAI UNIÓ TANÁCSA,</w:t>
      </w:r>
    </w:p>
    <w:p>
      <w:pPr>
        <w:rPr>
          <w:noProof/>
        </w:rPr>
      </w:pPr>
      <w:r>
        <w:rPr>
          <w:noProof/>
        </w:rPr>
        <w:t>tekintettel az Európai Unió működéséről szóló szerződésre és különösen annak 212. cikke (2) bekezdésére,</w:t>
      </w:r>
    </w:p>
    <w:p>
      <w:pPr>
        <w:rPr>
          <w:noProof/>
        </w:rPr>
      </w:pPr>
      <w:r>
        <w:rPr>
          <w:noProof/>
        </w:rPr>
        <w:t>tekintettel az Európai Bizottság javaslatára,</w:t>
      </w:r>
    </w:p>
    <w:p>
      <w:pPr>
        <w:rPr>
          <w:noProof/>
        </w:rPr>
      </w:pPr>
      <w:r>
        <w:rPr>
          <w:noProof/>
        </w:rPr>
        <w:t>a jogalkotási aktus tervezete nemzeti parlamenteknek való megküldését követően,</w:t>
      </w:r>
    </w:p>
    <w:p>
      <w:pPr>
        <w:rPr>
          <w:noProof/>
        </w:rPr>
      </w:pPr>
      <w:r>
        <w:rPr>
          <w:noProof/>
        </w:rPr>
        <w:t>rendes jogalkotási eljárás keretében,</w:t>
      </w:r>
    </w:p>
    <w:p>
      <w:pPr>
        <w:spacing w:before="100" w:beforeAutospacing="1" w:after="100" w:afterAutospacing="1"/>
        <w:rPr>
          <w:noProof/>
        </w:rPr>
      </w:pPr>
      <w:r>
        <w:rPr>
          <w:noProof/>
        </w:rPr>
        <w:t>mivel:</w:t>
      </w:r>
    </w:p>
    <w:p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A jelenlegi Covid19-válság rendkívül hátrányosan érinti a bővítési és szomszédságpolitikai régiók gazdasági és pénzügyi stabilitását. A partnereknek pillanatnyilag gyenge és gyorsan romló fizetési mérleggel és költségvetési helyzettel kell megküzdeniük, miközben a gazdaság a recesszió irányába tart. Erős érvek szólnak amellett, hogy az EU gyorsan és határozottan lépjen e gazdaságok támogatása érdekében. Az uniós makroszintű pénzügyi támogatásra irányuló javaslat ezért a következő tíz partnerre terjed ki: az Albán Köztársaság, Bosznia-Hercegovina, Koszovó</w:t>
      </w:r>
      <w:r>
        <w:rPr>
          <w:rStyle w:val="FootnoteReference"/>
          <w:noProof/>
          <w:lang w:eastAsia="ko-KR"/>
        </w:rPr>
        <w:footnoteReference w:customMarkFollows="1" w:id="5"/>
        <w:t>*</w:t>
      </w:r>
      <w:r>
        <w:rPr>
          <w:noProof/>
        </w:rPr>
        <w:t>, Montenegró, az Észak-macedón Köztársaság a bővítési régióban; Grúzia, a Moldovai Köztársaság és Ukrajna a keleti szomszédságban, valamint a Jordán Hásimita Királyság és a Tunéziai Köztársaság a déli szomszédságban (a továbbiakban: a partner(ek)).</w:t>
      </w:r>
    </w:p>
    <w:p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A támogatás sürgőssége a partnerek azon a forrásokon felüli azonnali forrásigényéhez kapcsolódik, amelyeket egyéb uniós eszközökön keresztül, valamint nemzetközi pénzügyi intézményektől, uniós tagállamoktól és más bilaterális támogatóktól kapnak, annak érdekében, hogy rövid távon szakpolitikai mozgásteret teremtsenek a hatóságok számára a Covid19-válság negatív gazdasági következményeinek ellensúlyozására irányuló intézkedések végrehajtásához. </w:t>
      </w:r>
    </w:p>
    <w:p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Az egyes partnerek hatóságai és a Nemzetközi Valutaalap (IMF) megállapodtak vagy várhatóan rövidesen megállapodnak egy olyan programról, amelyet az IMF-fel kötött finanszírozási megállapodás fog támogatni.</w:t>
      </w:r>
    </w:p>
    <w:p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 xml:space="preserve">Az uniós makroszintű pénzügyi támogatásnak feltétel nélküli és célhoz nem kötött fizetésimérleg-támogatás formájában nyújtott rendkívüli pénzügyi eszköznek kell </w:t>
      </w:r>
      <w:r>
        <w:rPr>
          <w:noProof/>
        </w:rPr>
        <w:lastRenderedPageBreak/>
        <w:t>lennie, amelynek célja a kedvezményezett azonnali külső finanszírozási igényének kielégítése a Nemzetközi Valutaalappal (IMF) kötött folyósítási megállapodással párhuzamosan, amely egy egyeztetett gazdasági reformprogram függvénye. A Covid19-válsággal összefüggésben az uniós makroszintű pénzügyi támogatást az IMF-től olyan – például a gyorsfinanszírozási eszközön keresztüli – sürgősségi finanszírozásban részesülő partnerek számára is elérhetővé kell tenni, amelyhez nem feltétlenül kapcsolódik előzetes intézkedés és/vagy feltételrendszer. E támogatásnak ezért időben rövidebbnek kell lennie, két folyósításra kell korlátozódnia, és meghatározott számú reformintézkedést tartalmazó szakpolitikai program végrehajtását kell támogatnia.</w:t>
      </w:r>
    </w:p>
    <w:p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  <w:t>Az Unió által a partnereknek nyújtott pénzügyi támogatás összhangban van a bővítési politikában és a szomszédságpolitikában meghatározott uniós szakpolitikával.</w:t>
      </w:r>
    </w:p>
    <w:p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Mivel a partnerek vagy csatlakozásra váró / előcsatlakozási támogatásban részesülő partnerek, vagy az európai szomszédságpolitika hatálya alá tartoznak, jogosultak uniós makroszintű pénzügyi támogatásra.</w:t>
      </w:r>
    </w:p>
    <w:p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Mivel a partnerek drámaian romló külső finanszírozási igénye várhatóan jóval meghaladja az IMF és egyéb multilaterális intézmények által biztosított forrásokat, a partnereknek nyújtandó uniós makroszintű pénzügyi támogatás a jelenlegi rendkívüli körülmények között a partnerek pénzügyi stabilizáció támogatása iránti kérésére adott megfelelő válasznak tekinthető. Az uniós makroszintű pénzügyi támogatás hozzájárulna a gazdasági stabilizációhoz, kiegészítve az IMF pénzügyi megállapodása keretében rendelkezésre bocsátott forrásokat.</w:t>
      </w:r>
    </w:p>
    <w:p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>Indokolt, hogy az uniós makroszintű pénzügyi támogatás célja a partner fenntartható külső finanszírozási helyzetének visszaállítása, és ezáltal a megújult gazdasági és társadalmi fejlődés támogatása legyen.</w:t>
      </w:r>
    </w:p>
    <w:p>
      <w:pPr>
        <w:pStyle w:val="ManualConsidrant"/>
        <w:rPr>
          <w:noProof/>
        </w:rPr>
      </w:pPr>
      <w:r>
        <w:rPr>
          <w:noProof/>
        </w:rPr>
        <w:t>(9)</w:t>
      </w:r>
      <w:r>
        <w:rPr>
          <w:noProof/>
        </w:rPr>
        <w:tab/>
        <w:t xml:space="preserve">Az uniós makroszintű pénzügyi támogatás összegét az egyes partnerek fennmaradó külső finanszírozási igényének előzetes becslése alapján határozták meg, figyelembe véve a saját forrásokból történő finanszírozási képességüket, és különösen a rendelkezésükre álló nemzetközi tartalékokat. Az uniós makroszintű pénzügyi támogatásnak ki kell egészítenie az IMF és a Világbank programjait és forrásait. A támogatás összegének meghatározása figyelembe veszi továbbá az Unió és a más támogatók közötti méltányos tehermegosztás biztosításának szükségességét, az Unió egyéb külső finanszírozási eszközeinek a partnernél történt korábbi alkalmazását és a teljes uniós szerepvállalás hozzáadott értékét is. </w:t>
      </w:r>
    </w:p>
    <w:p>
      <w:pPr>
        <w:pStyle w:val="ManualConsidrant"/>
        <w:rPr>
          <w:noProof/>
        </w:rPr>
      </w:pPr>
      <w:r>
        <w:rPr>
          <w:noProof/>
        </w:rPr>
        <w:t>(10)</w:t>
      </w:r>
      <w:r>
        <w:rPr>
          <w:noProof/>
        </w:rPr>
        <w:tab/>
        <w:t>A Bizottságnak biztosítania kell, hogy az uniós makroszintű pénzügyi támogatás jogi szempontból és tartalmilag összhangban álljon a külső fellépés és az egyéb vonatkozó uniós szakpolitikák különböző területein rögzített alapelvekkel és célkitűzésekkel, illetve meghozott intézkedésekkel.</w:t>
      </w:r>
    </w:p>
    <w:p>
      <w:pPr>
        <w:pStyle w:val="ManualConsidrant"/>
        <w:rPr>
          <w:noProof/>
        </w:rPr>
      </w:pPr>
      <w:r>
        <w:rPr>
          <w:noProof/>
        </w:rPr>
        <w:t>(11)</w:t>
      </w:r>
      <w:r>
        <w:rPr>
          <w:noProof/>
        </w:rPr>
        <w:tab/>
        <w:t xml:space="preserve">Az uniós makroszintű pénzügyi támogatásnak elő kell mozdítania a partnerekkel kapcsolatos uniós külpolitikát. A makroszintű pénzügyi támogatási műveletek során a Bizottság szolgálatainak és az Európai Külügyi Szolgálatnak mindvégig szorosan együtt kell működniük annak érdekében, hogy koordinálják az Unió külpolitikáját, és biztosítsák annak következetességét. </w:t>
      </w:r>
    </w:p>
    <w:p>
      <w:pPr>
        <w:pStyle w:val="ManualConsidrant"/>
        <w:rPr>
          <w:noProof/>
        </w:rPr>
      </w:pPr>
      <w:r>
        <w:rPr>
          <w:noProof/>
        </w:rPr>
        <w:t>(12)</w:t>
      </w:r>
      <w:r>
        <w:rPr>
          <w:noProof/>
        </w:rPr>
        <w:tab/>
        <w:t xml:space="preserve">Az uniós makroszintű pénzügyi támogatásnak hozzá kell járulnia az Unióval közösen vallott értékekkel, többek között a demokráciával, a jogállamisággal, a jó kormányzással, az emberi jogok tiszteletben tartásával, a fenntartható fejlődéssel és a szegénység visszaszorításával, valamint a nyitott, szabályokon alapuló és méltányos </w:t>
      </w:r>
      <w:r>
        <w:rPr>
          <w:noProof/>
        </w:rPr>
        <w:lastRenderedPageBreak/>
        <w:t>kereskedelem elveivel összefüggésben a partnerek által tett kötelezettségvállalásokhoz.</w:t>
      </w:r>
    </w:p>
    <w:p>
      <w:pPr>
        <w:pStyle w:val="ManualConsidrant"/>
        <w:rPr>
          <w:noProof/>
        </w:rPr>
      </w:pPr>
      <w:r>
        <w:rPr>
          <w:noProof/>
        </w:rPr>
        <w:t>(13)</w:t>
      </w:r>
      <w:r>
        <w:rPr>
          <w:noProof/>
        </w:rPr>
        <w:tab/>
        <w:t>Az uniós makroszintű pénzügyi támogatás nyújtásának előfeltétele, hogy a partnerek tiszteletben tartsák a hatékony demokratikus mechanizmusokat, többek között a többpárti parlamentáris rendszert és a jogállamiságot, valamint garantálják az emberi jogok tiszteletben tartását. Emellett az uniós makroszintű pénzügyi támogatás konkrét célkitűzéseinek fokozniuk kell a partnereknél az államháztartás-gazdálkodási rendszerek hatékonyságát, átláthatóságát és elszámoltathatóságát, valamint elő kell segíteniük a fenntartható növekedés és a költségvetési konszolidáció előmozdítását célzó strukturális reformokat. A Bizottságnak és az Európai Külügyi Szolgálatnak rendszeresen nyomon kell követnie az előfeltételek teljesülését és az említett célkitűzések megvalósulását.</w:t>
      </w:r>
    </w:p>
    <w:p>
      <w:pPr>
        <w:pStyle w:val="ManualConsidrant"/>
        <w:rPr>
          <w:noProof/>
        </w:rPr>
      </w:pPr>
      <w:r>
        <w:rPr>
          <w:noProof/>
        </w:rPr>
        <w:t>(14)</w:t>
      </w:r>
      <w:r>
        <w:rPr>
          <w:noProof/>
        </w:rPr>
        <w:tab/>
        <w:t>Az Unió uniós makroszintű pénzügyi támogatáshoz kapcsolódó pénzügyi érdekeinek hatékony védelme céljából a partnereknek megfelelő intézkedéseket kell hozniuk a támogatással kapcsolatos csalás, korrupció és bármely egyéb szabálytalanság megelőzése és az ellenük való küzdelem vonatkozásában. Ezen túlmenően rendelkezni kell a Bizottság által végrehajtandó ellenőrzésekről, a Számvevőszék által végzendő pénzügyi ellenőrzésekről és az Európai Ügyészség hatásköreinek gyakorlásáról.</w:t>
      </w:r>
    </w:p>
    <w:p>
      <w:pPr>
        <w:pStyle w:val="ManualConsidrant"/>
        <w:rPr>
          <w:noProof/>
        </w:rPr>
      </w:pPr>
      <w:r>
        <w:rPr>
          <w:noProof/>
        </w:rPr>
        <w:t>(15)</w:t>
      </w:r>
      <w:r>
        <w:rPr>
          <w:noProof/>
        </w:rPr>
        <w:tab/>
        <w:t>Az uniós makroszintű pénzügyi támogatás rendelkezésre bocsátása az Európai Parlament és a Tanács (mint az Unió költségvetési hatósága) hatáskörének sérelme nélkül történik.</w:t>
      </w:r>
    </w:p>
    <w:p>
      <w:pPr>
        <w:pStyle w:val="ManualConsidrant"/>
        <w:rPr>
          <w:noProof/>
        </w:rPr>
      </w:pPr>
      <w:r>
        <w:rPr>
          <w:noProof/>
        </w:rPr>
        <w:t>(16)</w:t>
      </w:r>
      <w:r>
        <w:rPr>
          <w:noProof/>
        </w:rPr>
        <w:tab/>
        <w:t>A makroszintű pénzügyi támogatáshoz szükséges tartalék összegeinek összhangban kell lenniük a többéves pénzügyi keretben megállapított költségvetési előirányzatokkal.</w:t>
      </w:r>
    </w:p>
    <w:p>
      <w:pPr>
        <w:pStyle w:val="ManualConsidrant"/>
        <w:rPr>
          <w:noProof/>
        </w:rPr>
      </w:pPr>
      <w:r>
        <w:rPr>
          <w:noProof/>
        </w:rPr>
        <w:t>(17)</w:t>
      </w:r>
      <w:r>
        <w:rPr>
          <w:noProof/>
        </w:rPr>
        <w:tab/>
        <w:t>Az uniós makroszintű pénzügyi támogatást a Bizottságnak kell kezelnie. Annak érdekében, hogy az Európai Parlament és a Tanács nyomon követhesse e határozat végrehajtását, a Bizottságnak rendszeresen tájékoztatnia kell őket a támogatással kapcsolatos fejleményekről, és rendelkezésükre kell bocsátania a vonatkozó dokumentumokat.</w:t>
      </w:r>
    </w:p>
    <w:p>
      <w:pPr>
        <w:pStyle w:val="ManualConsidrant"/>
        <w:rPr>
          <w:noProof/>
        </w:rPr>
      </w:pPr>
      <w:r>
        <w:rPr>
          <w:noProof/>
        </w:rPr>
        <w:t>(18)</w:t>
      </w:r>
      <w:r>
        <w:rPr>
          <w:noProof/>
        </w:rPr>
        <w:tab/>
        <w:t>Ezen határozat egységes végrehajtási feltételeinek biztosítása érdekében a Bizottságra végrehajtási hatásköröket kell ruházni. Ezeket a hatásköröket a 182/2011/EU európai parlamenti és tanácsi rendeletnek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megfelelően kell gyakorolni.</w:t>
      </w:r>
    </w:p>
    <w:p>
      <w:pPr>
        <w:pStyle w:val="ManualConsidrant"/>
        <w:rPr>
          <w:noProof/>
        </w:rPr>
      </w:pPr>
      <w:r>
        <w:rPr>
          <w:noProof/>
        </w:rPr>
        <w:t>(19)</w:t>
      </w:r>
      <w:r>
        <w:rPr>
          <w:noProof/>
        </w:rPr>
        <w:tab/>
        <w:t xml:space="preserve">Az uniós makroszintű pénzügyi támogatást egyetértési megállapodásban megállapítandó gazdaságpolitikai feltételekhez kell kötni. A végrehajtás egységes feltételeinek biztosítása és a hatékonyság érdekében a Bizottságot fel kell hatalmazni arra, hogy e feltételeket a 182/2011/EU rendelettel összhangban a tagállamok képviselőiből álló bizottság felügyelete alatt tárgyalja meg a partner hatóságaival. Az említett rendelet értelmében általános szabályként a tanácsadó-bizottsági eljárást kell alkalmazni az említett rendeletben meghatározottaktól eltérő esetekben. Tekintettel a 90 millió EUR összeghatárnál nagyobb mértékű támogatás potenciálisan jelentős hatásaira, az említett összeghatár feletti műveletekre helyénvaló a vizsgálóbizottsági eljárást alkalmazni. Figyelemmel az egyes partnereknek nyújtandó uniós makroszintű pénzügyi támogatás összegére, a tanácsadó-bizottsági eljárást kell alkalmazni a </w:t>
      </w:r>
      <w:r>
        <w:rPr>
          <w:noProof/>
        </w:rPr>
        <w:lastRenderedPageBreak/>
        <w:t>Montenegróval kötendő egyetértési megállapodás elfogadására, míg a vizsgálóbizottsági eljárást kell alkalmazni az e határozat hatálya alá tartozó többi partnerrel kötendő egyetértési megállapodás elfogadására, valamint ezekhez kapcsolódóan a támogatás csökkentésére, felfüggesztésére és megszüntetésére,</w:t>
      </w:r>
    </w:p>
    <w:p>
      <w:pPr>
        <w:pStyle w:val="Formuledadoption"/>
        <w:spacing w:before="100" w:beforeAutospacing="1" w:after="100" w:afterAutospacing="1"/>
        <w:rPr>
          <w:noProof/>
        </w:rPr>
      </w:pPr>
      <w:r>
        <w:rPr>
          <w:noProof/>
        </w:rPr>
        <w:t xml:space="preserve">ELFOGADTA EZT A HATÁROZATOT: 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1.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Az Unió legfeljebb 3 milliárd EUR összegű makroszintű pénzügyi támogatást (a továbbiakban: uniós makroszintű pénzügyi támogatás) nyújt az Albán Köztársaságnak, Bosznia-Hercegovinának, Grúziának, a Jordán Hásimita Királyságnak, Koszovónak, a Moldovai Köztársaságnak, Montenegrónak, az Észak-macedón Köztársaságnak, a Tunéziai Köztársaságnak és Ukrajnának (a továbbiakban: a partner(ek)) az említett partnerek gazdasági stabilizációjának és érdemi reformprogramjának támogatása céljából. A támogatás hozzájárul a partnerek sürgős – a Nemzetközi Valutaalap (IMF) által támogatott programban meghatározott – fizetésimérleg-szükségleteinek fedezéséhez, és a következőképpen kell rendelkezésre bocsátani: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180 millió EUR-t az Albán Köztársaság számára,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250 millió EUR-t Bosznia-Hercegovina számára,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150 millió EUR-t Grúzia számára,</w:t>
      </w:r>
    </w:p>
    <w:p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200 millió EUR-t a Jordán Hásimita Királyság számára,</w:t>
      </w:r>
    </w:p>
    <w:p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>100 millió EUR-t Koszovó számára,</w:t>
      </w:r>
    </w:p>
    <w:p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  <w:t>100 millió EUR-t a Moldovai Köztársaság számára,</w:t>
      </w:r>
    </w:p>
    <w:p>
      <w:pPr>
        <w:pStyle w:val="Point1"/>
        <w:rPr>
          <w:noProof/>
        </w:rPr>
      </w:pPr>
      <w:r>
        <w:rPr>
          <w:noProof/>
        </w:rPr>
        <w:t>g)</w:t>
      </w:r>
      <w:r>
        <w:rPr>
          <w:noProof/>
        </w:rPr>
        <w:tab/>
        <w:t>60 millió EUR-t Montenegró számára,</w:t>
      </w:r>
    </w:p>
    <w:p>
      <w:pPr>
        <w:pStyle w:val="Point1"/>
        <w:rPr>
          <w:noProof/>
        </w:rPr>
      </w:pPr>
      <w:r>
        <w:rPr>
          <w:noProof/>
        </w:rPr>
        <w:t>h)</w:t>
      </w:r>
      <w:r>
        <w:rPr>
          <w:noProof/>
        </w:rPr>
        <w:tab/>
        <w:t>160 millió EUR-t az Észak-macedón Köztársaság számára,</w:t>
      </w:r>
    </w:p>
    <w:p>
      <w:pPr>
        <w:pStyle w:val="Point1"/>
        <w:rPr>
          <w:noProof/>
        </w:rPr>
      </w:pPr>
      <w:r>
        <w:rPr>
          <w:noProof/>
        </w:rPr>
        <w:t>i)</w:t>
      </w:r>
      <w:r>
        <w:rPr>
          <w:noProof/>
        </w:rPr>
        <w:tab/>
        <w:t>600 millió EUR-t a Tunéziai Köztársaság számára,</w:t>
      </w:r>
    </w:p>
    <w:p>
      <w:pPr>
        <w:pStyle w:val="Point1"/>
        <w:rPr>
          <w:noProof/>
        </w:rPr>
      </w:pPr>
      <w:r>
        <w:rPr>
          <w:noProof/>
        </w:rPr>
        <w:t>j)</w:t>
      </w:r>
      <w:r>
        <w:rPr>
          <w:noProof/>
        </w:rPr>
        <w:tab/>
        <w:t xml:space="preserve">1,2 milliárd EUR-t Ukrajna számára. 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Az Unió az uniós makroszintű pénzügyi támogatás teljes összegét hitel formájában bocsátja az egyes partnerek rendelkezésére. A Bizottság felhatalmazást kap arra, hogy a szükséges források biztosítása céljából az Unió nevében a tőkepiacokon vagy pénzügyi intézményektől hitelt vegyen fel, és a pénzt a partnernek továbbhitelezze. A hitel maximális átlagos futamideje 15 év.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>Az uniós makroszintű pénzügyi támogatás rendelkezésre bocsátását a Bizottság az IMF és a partner között létrejött megállapodásokkal és egyetértési megállapodásokkal összeegyeztethető módon irányítja. A Bizottság rendszeresen tájékoztatja az Európai Parlamentet és a Tanácsot az uniós makroszintű pénzügyi támogatással kapcsolatos fejleményekről, ideértve annak folyósításait is, valamint kellő időben ezen intézmények rendelkezésére bocsátja a vonatkozó dokumentumokat.</w:t>
      </w:r>
    </w:p>
    <w:p>
      <w:pPr>
        <w:pStyle w:val="Point0"/>
        <w:rPr>
          <w:rFonts w:eastAsia="Times New Roman"/>
          <w:noProof/>
        </w:rPr>
      </w:pPr>
      <w:r>
        <w:t>(4)</w:t>
      </w:r>
      <w:r>
        <w:tab/>
      </w:r>
      <w:r>
        <w:rPr>
          <w:noProof/>
        </w:rPr>
        <w:t xml:space="preserve">Az uniós makroszintű pénzügyi támogatás a 3. cikk (1) bekezdésében említett egyetértési megállapodás hatálybalépését követő első naptól számított 12 hónapig áll rendelkezésre. </w:t>
      </w:r>
    </w:p>
    <w:p>
      <w:pPr>
        <w:pStyle w:val="Point0"/>
        <w:rPr>
          <w:noProof/>
        </w:rPr>
      </w:pPr>
      <w:r>
        <w:lastRenderedPageBreak/>
        <w:t>(5)</w:t>
      </w:r>
      <w:r>
        <w:tab/>
      </w:r>
      <w:r>
        <w:rPr>
          <w:noProof/>
        </w:rPr>
        <w:t>Abban az esetben, ha a partner finanszírozási szükséglete az uniós makroszintű pénzügyi támogatás folyósításának időszakában jelentősen csökken a kezdeti előrejelzésekhez képest, a Bizottság a 7. cikk (2) bekezdésében említett vizsgálóbizottsági eljárás keretében csökkenti, felfüggeszti vagy megszünteti a támogatást.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2.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Az uniós makroszintű pénzügyi támogatás nyújtásának előfeltétele, hogy a partner tiszteletben tartsa a hatékony demokratikus mechanizmusokat, többek között a többpárti parlamentáris rendszert és a jogállamiságot, valamint garantálja az emberi jogok tiszteletben tartását.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A Bizottság és az Európai Külügyi Szolgálat az uniós makroszintű pénzügyi támogatás teljes életciklusa alatt nyomon követi ezen előfeltétel teljesülését.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>E cikk (1) és (2) bekezdését a 2010/427/EU tanácsi határozattal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összhangban kell alkalmazni.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3.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 Bizottság a 7. cikk (2) bekezdésében említett vizsgálóbizottsági eljárás keretében megállapodik az egyes partnerek hatóságaival az uniós makroszintű pénzügyi támogatáshoz kapcsolódó, a strukturális reformokra és a rendezett államháztartásra összpontosító, pontosan meghatározott gazdaságpolitikai és pénzügyi feltételekről, amelyeket az e feltételek teljesítésére vonatkozó időkeretet is tartalmazó egyetértési megállapodásba (a továbbiakban: egyetértési megállapodás) kell foglalni. Az egyetértési megállapodásban meghatározott gazdaságpolitikai és pénzügyi feltételeknek összhangban kell lenniük az 1. cikk (3) bekezdésében említett megállapodásokkal és egyetértési megállapodásokkal, köztük a partner által az IMF támogatásával végrehajtott makrogazdasági kiigazítási és strukturálisreform-programokkal.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 xml:space="preserve">Az (1) bekezdésben említett feltételek különösen a partnerek államháztartás-gazdálkodási rendszerei hatékonyságának, átláthatóságának és elszámoltathatóságának javítását célozzák, többek között az uniós makroszintű pénzügyi támogatás felhasználása tekintetében. A szakpolitikai intézkedések kidolgozásakor megfelelő mértékben figyelembe kell venni a kölcsönös piacnyitás, a szabályokon alapuló és méltányos kereskedelem kialakítása, valamint az Unió külpolitikájával összefüggő más prioritások terén elért előrelépést is. Az említett célkitűzések megvalósítása terén elért eredményeket a Bizottság rendszeresen nyomon követi. 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 xml:space="preserve">Az uniós makroszintű pénzügyi támogatás részletes pénzügyi feltételeit a Bizottság és az egyes partnerek hatóságai között külön-külön megkötendő hitelmegállapodásban kell meghatározni. </w:t>
      </w:r>
    </w:p>
    <w:p>
      <w:pPr>
        <w:pStyle w:val="Point0"/>
        <w:rPr>
          <w:noProof/>
        </w:rPr>
      </w:pPr>
      <w:r>
        <w:t>(4)</w:t>
      </w:r>
      <w:r>
        <w:tab/>
      </w:r>
      <w:r>
        <w:rPr>
          <w:noProof/>
        </w:rPr>
        <w:t xml:space="preserve">A Bizottság rendszeres időközönként ellenőrzi, hogy folyamatosan teljesülnek-e a 4. cikk (3) bekezdésében említett feltételek, ideértve azt is, hogy a partner gazdaságpolitikája összhangban áll-e az uniós makroszintű pénzügyi támogatás </w:t>
      </w:r>
      <w:r>
        <w:rPr>
          <w:noProof/>
        </w:rPr>
        <w:lastRenderedPageBreak/>
        <w:t>célkitűzéseivel. Ennek során a Bizottság szorosan együttműködik az IMF-fel és a Világbankkal, és szükség esetén az Európai Parlamenttel és a Tanáccsal.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4.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 xml:space="preserve">A (3) bekezdésben említett feltételektől függően a Bizottság az uniós makroszintű pénzügyi támogatást két hitelrészletben bocsátja rendelkezésre. Az egyes részletek nagyságát a 3. cikkben említett egyetértési megállapodásban határozzák meg. 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Az uniós makroszintű pénzügyi támogatás összegeire szükség esetén a 2009/480/EK, Euratom tanácsi rendelettel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összhangban tartalékot kell képezni. 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>A Bizottság az összes alábbi feltétel teljesítésétől függően dönt a részletek rendelkezésre bocsátásáról: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a 2. cikkben foglalt előfeltétel;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a nem elővigyázatossági jellegű IMF-hitelkeret végrehajtása terén elért tartósan kielégítő eredmény; </w:t>
      </w:r>
    </w:p>
    <w:p>
      <w:pPr>
        <w:pStyle w:val="Point1"/>
        <w:rPr>
          <w:noProof/>
          <w:szCs w:val="24"/>
        </w:rPr>
      </w:pPr>
      <w:r>
        <w:rPr>
          <w:noProof/>
        </w:rPr>
        <w:t>c)</w:t>
      </w:r>
      <w:r>
        <w:rPr>
          <w:noProof/>
        </w:rPr>
        <w:tab/>
        <w:t xml:space="preserve">az egyetértési megállapodásban szereplő gazdaságpolitikai és pénzügyi feltételek kielégítő végrehajtása. </w:t>
      </w:r>
    </w:p>
    <w:p>
      <w:pPr>
        <w:pStyle w:val="Text1"/>
        <w:rPr>
          <w:noProof/>
        </w:rPr>
      </w:pPr>
      <w:r>
        <w:rPr>
          <w:noProof/>
        </w:rPr>
        <w:t xml:space="preserve">A második részlet folyósítására elvileg legkorábban három hónappal az első részlet rendelkezésre bocsátása után kerülhet sor. </w:t>
      </w:r>
    </w:p>
    <w:p>
      <w:pPr>
        <w:pStyle w:val="Point0"/>
        <w:rPr>
          <w:noProof/>
        </w:rPr>
      </w:pPr>
      <w:r>
        <w:t>(4)</w:t>
      </w:r>
      <w:r>
        <w:tab/>
      </w:r>
      <w:r>
        <w:rPr>
          <w:noProof/>
        </w:rPr>
        <w:t xml:space="preserve">Amennyiben a (3) bekezdés első albekezdésében említett feltételek nem teljesülnek, a Bizottság átmenetileg felfüggeszti vagy megszünteti az uniós makroszintű pénzügyi támogatás folyósítását. Ilyen esetekben tájékoztatja az Európai Parlamentet és a Tanácsot a felfüggesztés vagy megszüntetés okairól. </w:t>
      </w:r>
    </w:p>
    <w:p>
      <w:pPr>
        <w:pStyle w:val="Point0"/>
        <w:rPr>
          <w:noProof/>
        </w:rPr>
      </w:pPr>
      <w:r>
        <w:t>(5)</w:t>
      </w:r>
      <w:r>
        <w:tab/>
      </w:r>
      <w:r>
        <w:rPr>
          <w:noProof/>
        </w:rPr>
        <w:t>Az uniós makroszintű pénzügyi támogatást a partner központi bankjának kell folyósítani. Az egyetértési megállapodásban meghatározandó rendelkezésektől függően – ideértve a fennmaradó költségvetési finanszírozási igény megerősítését is – az uniós pénzeszközöket a pénzügyminisztérium, mint végső kedvezményezett számára is át lehet utalni.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5.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Az uniós makroszintű pénzügyi támogatáshoz kapcsolódó hitelfelvételi és hitelnyújtási műveleteket EUR-ban, egyazon értéknap alkalmazásával kell végrehajtani, és az Unió ezek során nem lehet érintett a futamidők átalakításában, és az Uniót nem lehet árfolyam- vagy kamatkockázatnak vagy más kereskedelmi kockázatnak kitenni.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 xml:space="preserve">Ha a körülmények megengedik és amennyiben a partner kéri, a Bizottság megteheti a szükséges lépéseket annak biztosítására, hogy a hitelfeltételek tartalmazzanak előtörlesztési rendelkezést, és hogy ehhez a hitelfelvételi műveletek feltételei közé felvett megfelelő rendelkezés kapcsolódjon. 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 xml:space="preserve">Amennyiben a körülmények lehetővé teszik a hitel kamatlábának csökkentését, és a partner kérelmezi, a Bizottság dönthet úgy, hogy részben vagy egészben </w:t>
      </w:r>
      <w:r>
        <w:rPr>
          <w:noProof/>
        </w:rPr>
        <w:lastRenderedPageBreak/>
        <w:t>refinanszírozza eredeti kölcsöneit, vagy átalakíthatja a vonatkozó pénzügyi feltételeket. A refinanszírozási vagy átalakítási műveleteket az (1) és a (4) bekezdéssel összhangban kell végrehajtani, és azok nem eredményezhetik az érintett felvett hitelek futamidejének meghosszabbítását, illetve a refinanszírozás vagy az átalakítás napján fennálló tőketartozás összegének növekedését.</w:t>
      </w:r>
    </w:p>
    <w:p>
      <w:pPr>
        <w:pStyle w:val="Point0"/>
        <w:rPr>
          <w:noProof/>
        </w:rPr>
      </w:pPr>
      <w:r>
        <w:t>(4)</w:t>
      </w:r>
      <w:r>
        <w:tab/>
      </w:r>
      <w:r>
        <w:rPr>
          <w:noProof/>
        </w:rPr>
        <w:t xml:space="preserve">Az e határozat szerinti hitelfelvételi és -nyújtási műveletekhez kapcsolódó, az Unió részéről felmerülő költségeket a partner viseli. </w:t>
      </w:r>
    </w:p>
    <w:p>
      <w:pPr>
        <w:pStyle w:val="Point0"/>
        <w:rPr>
          <w:noProof/>
        </w:rPr>
      </w:pPr>
      <w:r>
        <w:t>(5)</w:t>
      </w:r>
      <w:r>
        <w:tab/>
      </w:r>
      <w:r>
        <w:rPr>
          <w:noProof/>
        </w:rPr>
        <w:t>A Bizottság tájékoztatja az Európai Parlamentet és a Tanácsot a (2) és (3) bekezdésben említett műveletek alakulásáról.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6.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Az uniós makroszintű pénzügyi támogatást az (EU, Euratom) 2018/1046 európai parlamenti és tanácsi rendeletnek megfelelően kell végrehajtani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Az uniós makroszintű pénzügyi támogatás végrehajtása közvetlen irányítással történik.</w:t>
      </w:r>
    </w:p>
    <w:p>
      <w:pPr>
        <w:pStyle w:val="Point0"/>
        <w:rPr>
          <w:noProof/>
        </w:rPr>
      </w:pPr>
      <w:r>
        <w:t>(3)</w:t>
      </w:r>
      <w:r>
        <w:tab/>
      </w:r>
      <w:r>
        <w:rPr>
          <w:noProof/>
        </w:rPr>
        <w:t xml:space="preserve">A 3. cikk (3) bekezdésében említett hitelmegállapodásnak rendelkeznie kell az alábbiakról: 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annak biztosítása, hogy a partner rendszeresen ellenőrizze az uniós költségvetésből nyújtott finanszírozás megfelelő felhasználását, megtegye a megfelelő intézkedéseket a szabálytalanságok és a csalások elkerüléséhez, és szükség esetén jogi lépéseket tegyen az e határozat alapján nyújtott, jogellenesen felhasznált pénzeszközök visszafizettetése érdekében;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az Unió pénzügyi érdekei védelmének biztosítása, különösen az uniós makroszintű pénzügyi támogatást érintő csalás, korrupció és egyéb szabálytalanságok megelőzését és az ellenük való küzdelmet illetően meghozandó egyedi intézkedések előírása, összhangban a 2988/95/EK, Euratom tanácsi rendelettel</w:t>
      </w:r>
      <w:r>
        <w:rPr>
          <w:rStyle w:val="FootnoteReference"/>
          <w:noProof/>
        </w:rPr>
        <w:footnoteReference w:id="10"/>
      </w:r>
      <w:r>
        <w:rPr>
          <w:noProof/>
        </w:rPr>
        <w:t>, a 2185/96/Euratom, EK tanácsi rendelettel</w:t>
      </w:r>
      <w:r>
        <w:rPr>
          <w:rStyle w:val="FootnoteReference"/>
          <w:noProof/>
        </w:rPr>
        <w:footnoteReference w:id="11"/>
      </w:r>
      <w:r>
        <w:rPr>
          <w:noProof/>
        </w:rPr>
        <w:t>, valamint a 883/2013/EU, Euratom európai parlamenti és tanácsi rendelettel</w:t>
      </w:r>
      <w:r>
        <w:rPr>
          <w:rStyle w:val="FootnoteReference"/>
          <w:noProof/>
        </w:rPr>
        <w:footnoteReference w:id="12"/>
      </w:r>
      <w:r>
        <w:rPr>
          <w:noProof/>
        </w:rPr>
        <w:t>, továbbá az Európai Ügyészség tekintetében megerősített együttműködésben részt vevő tagállamok esetében az (EU) 2017/1939 tanácsi rendelettel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. Az Európai Csalás Elleni Hivatal (OLAF) e célból kifejezetten jogosult </w:t>
      </w:r>
      <w:r>
        <w:rPr>
          <w:noProof/>
        </w:rPr>
        <w:lastRenderedPageBreak/>
        <w:t xml:space="preserve">vizsgálatok végzésére, beleértve különösen a helyszíni ellenőrzéseket és vizsgálatokat, többek között a digitális igazságügyi műveleteket és az interjúkat; 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 xml:space="preserve">a Bizottságnak vagy képviselőinek kifejezett felhatalmazása ellenőrzések, ezen belül helyszíni ellenőrzések és vizsgálatok lefolytatására; </w:t>
      </w:r>
    </w:p>
    <w:p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a Bizottság és a Számvevőszék kifejezett felhatalmazása arra, hogy az uniós makroszintű pénzügyi támogatás rendelkezésre állásának időtartama alatt és azt követően is ellenőrzéseket – többek között dokumentum-ellenőrzéseket és helyszíni ellenőrzéseket, például működési értékeléseket – hajtsanak végre;</w:t>
      </w:r>
    </w:p>
    <w:p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>annak biztosítása, hogy amennyiben megállapítást nyer, hogy a partner az uniós makroszintű pénzügyi támogatás kezelésével kapcsolatban csalást vagy korrupciós cselekményt követ el, illetve más olyan jogellenes tevékenységet folytat, amely sérti az Unió pénzügyi érdekeit, az Uniónak jogában álljon a hitel lejárat előtti visszafizettetése;</w:t>
      </w:r>
    </w:p>
    <w:p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  <w:t>annak biztosítása, hogy az Uniónak a pénzügyi támogatással kapcsolatban felmerült költségeit a partner viselje.</w:t>
      </w:r>
    </w:p>
    <w:p>
      <w:pPr>
        <w:pStyle w:val="Point0"/>
        <w:rPr>
          <w:noProof/>
        </w:rPr>
      </w:pPr>
      <w:r>
        <w:t>(4)</w:t>
      </w:r>
      <w:r>
        <w:tab/>
      </w:r>
      <w:r>
        <w:rPr>
          <w:noProof/>
        </w:rPr>
        <w:t>Az uniós makroszintű pénzügyi támogatás végrehajtása előtt a Bizottság – működési értékelés révén – értékeli a partner támogatás szempontjából releváns pénzügyi szabályainak, adminisztratív eljárásainak, valamint külső és belső ellenőrzési mechanizmusainak megbízhatóságát.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7.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 Bizottság munkáját egy bizottság segíti. Ez a bizottság a 182/2011/EU rendelet értelmében vett bizottság.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>Az e bekezdésre történő hivatkozáskor a Montenegrónak nyújtott uniós makroszintű pénzügyi támogatásra vonatkozóan a 182/2011/EU rendelet 4. cikkét, míg az e határozat hatálya alá tartozó többi partnernek nyújtott uniós makroszintű pénzügyi támogatásra vonatkozóan a 182/2011/EU rendelet 5 cikkét kell alkalmazni.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8. cikk</w:t>
      </w:r>
    </w:p>
    <w:p>
      <w:pPr>
        <w:pStyle w:val="Point0"/>
        <w:rPr>
          <w:noProof/>
        </w:rPr>
      </w:pPr>
      <w:r>
        <w:t>(1)</w:t>
      </w:r>
      <w:r>
        <w:tab/>
      </w:r>
      <w:r>
        <w:rPr>
          <w:noProof/>
        </w:rPr>
        <w:t>A Bizottság minden év június 30-ig jelentést nyújt be az Európai Parlamentnek és a Tanácsnak e határozat előző évi végrehajtásáról, beleértve a végrehajtás értékelését. A jelentés: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megvizsgálja az uniós makroszintű pénzügyi támogatás végrehajtása terén elért előrelépést;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értékeli a partner gazdasági helyzetét és kilátásait, valamint a 3. cikk (1) bekezdésében említett szakpolitikai intézkedések végrehajtása terén elért előrelépést;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bemutatja az egyetértési megállapodásban meghatározott gazdaságpolitikai feltételek, a partner aktuális gazdasági és költségvetési eredményei, valamint a Bizottságnak az uniós makroszintű pénzügyi támogatás részleteinek folyósítására vonatkozó határozatai közötti összefüggést.</w:t>
      </w:r>
    </w:p>
    <w:p>
      <w:pPr>
        <w:pStyle w:val="Point0"/>
        <w:rPr>
          <w:noProof/>
        </w:rPr>
      </w:pPr>
      <w:r>
        <w:t>(2)</w:t>
      </w:r>
      <w:r>
        <w:tab/>
      </w:r>
      <w:r>
        <w:rPr>
          <w:noProof/>
        </w:rPr>
        <w:t xml:space="preserve">Az 1. cikk (4) bekezdésében említett rendelkezésreállási időszak lejárta után legkésőbb két évvel a Bizottság utólagos értékelő jelentést nyújt be az Európai </w:t>
      </w:r>
      <w:r>
        <w:rPr>
          <w:noProof/>
        </w:rPr>
        <w:lastRenderedPageBreak/>
        <w:t>Parlamentnek és a Tanácsnak, amely értékeli a lezárt uniós makroszintű pénzügyi támogatási műveletek eredményeit és hatékonyságát, valamint azt, hogy ezek milyen mértékben járultak hozzá a támogatás céljainak megvalósításához.</w:t>
      </w:r>
    </w:p>
    <w:p>
      <w:pPr>
        <w:pStyle w:val="Titrearticle"/>
        <w:spacing w:before="100" w:beforeAutospacing="1" w:after="100" w:afterAutospacing="1"/>
        <w:rPr>
          <w:noProof/>
        </w:rPr>
      </w:pPr>
      <w:r>
        <w:rPr>
          <w:noProof/>
        </w:rPr>
        <w:t>9. cikk</w:t>
      </w:r>
    </w:p>
    <w:p>
      <w:pPr>
        <w:keepNext/>
        <w:keepLines/>
        <w:spacing w:before="100" w:beforeAutospacing="1" w:after="100" w:afterAutospacing="1"/>
        <w:rPr>
          <w:noProof/>
        </w:rPr>
      </w:pPr>
      <w:r>
        <w:rPr>
          <w:noProof/>
        </w:rPr>
        <w:t xml:space="preserve">Ez a határozat az </w:t>
      </w:r>
      <w:r>
        <w:rPr>
          <w:i/>
          <w:noProof/>
        </w:rPr>
        <w:t>Európai Unió Hivatalos Lapjában</w:t>
      </w:r>
      <w:r>
        <w:rPr>
          <w:noProof/>
        </w:rPr>
        <w:t xml:space="preserve"> való kihirdetését követő napon lép hatályba.</w:t>
      </w:r>
    </w:p>
    <w:p>
      <w:pPr>
        <w:pStyle w:val="Fait"/>
        <w:rPr>
          <w:noProof/>
        </w:rPr>
      </w:pPr>
      <w:r>
        <w:t>Kelt Brüsszelben, -án/-én.</w:t>
      </w:r>
    </w:p>
    <w:p>
      <w:pPr>
        <w:pStyle w:val="Institutionquisigne"/>
        <w:rPr>
          <w:noProof/>
        </w:rPr>
      </w:pPr>
      <w:r>
        <w:rPr>
          <w:noProof/>
        </w:rPr>
        <w:t>az Európai Parlament részéről</w:t>
      </w:r>
      <w:r>
        <w:rPr>
          <w:noProof/>
        </w:rPr>
        <w:tab/>
        <w:t>a Tanács részéről</w:t>
      </w:r>
    </w:p>
    <w:p>
      <w:pPr>
        <w:pStyle w:val="Personnequisigne"/>
        <w:rPr>
          <w:noProof/>
        </w:rPr>
      </w:pPr>
      <w:r>
        <w:rPr>
          <w:noProof/>
        </w:rPr>
        <w:t>az elnök</w:t>
      </w:r>
      <w:r>
        <w:rPr>
          <w:noProof/>
        </w:rPr>
        <w:tab/>
        <w:t>az elnök</w:t>
      </w:r>
    </w:p>
    <w:p>
      <w:pPr>
        <w:rPr>
          <w:noProof/>
        </w:rPr>
        <w:sectPr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Fichefinanciretitre"/>
        <w:rPr>
          <w:noProof/>
        </w:rPr>
      </w:pPr>
      <w:r>
        <w:rPr>
          <w:noProof/>
        </w:rPr>
        <w:lastRenderedPageBreak/>
        <w:t>PÉNZÜGYI KIMUTATÁS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A JAVASLAT/KEZDEMÉNYEZÉS FŐBB ADATAI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1.1.</w:t>
      </w:r>
      <w:r>
        <w:rPr>
          <w:noProof/>
        </w:rPr>
        <w:tab/>
      </w:r>
      <w:r>
        <w:rPr>
          <w:b w:val="0"/>
          <w:noProof/>
        </w:rPr>
        <w:t xml:space="preserve">A javaslat/kezdeményezés címe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1.2.</w:t>
      </w:r>
      <w:r>
        <w:rPr>
          <w:noProof/>
        </w:rPr>
        <w:tab/>
      </w:r>
      <w:r>
        <w:rPr>
          <w:b w:val="0"/>
          <w:noProof/>
        </w:rPr>
        <w:t>A tevékenységalapú irányítás/tevékenységalapú költségvetés-tervezés keretébe tartozó érintett szakpolitikai terület(ek)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1.3.</w:t>
      </w:r>
      <w:r>
        <w:rPr>
          <w:noProof/>
        </w:rPr>
        <w:tab/>
      </w:r>
      <w:r>
        <w:rPr>
          <w:b w:val="0"/>
          <w:noProof/>
        </w:rPr>
        <w:t xml:space="preserve">A javaslat/kezdeményezés típusa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1.4.</w:t>
      </w:r>
      <w:r>
        <w:rPr>
          <w:noProof/>
        </w:rPr>
        <w:tab/>
      </w:r>
      <w:r>
        <w:rPr>
          <w:b w:val="0"/>
          <w:noProof/>
        </w:rPr>
        <w:t xml:space="preserve">Célkitűzés(ek)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1.5.</w:t>
      </w:r>
      <w:r>
        <w:rPr>
          <w:noProof/>
        </w:rPr>
        <w:tab/>
      </w:r>
      <w:r>
        <w:rPr>
          <w:b w:val="0"/>
          <w:noProof/>
        </w:rPr>
        <w:t xml:space="preserve">A javaslat/kezdeményezés indoklása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1.6.</w:t>
      </w:r>
      <w:r>
        <w:rPr>
          <w:noProof/>
        </w:rPr>
        <w:tab/>
      </w:r>
      <w:r>
        <w:rPr>
          <w:b w:val="0"/>
          <w:noProof/>
        </w:rPr>
        <w:t xml:space="preserve">Időtartam és pénzügyi hatás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1.7.</w:t>
      </w:r>
      <w:r>
        <w:rPr>
          <w:noProof/>
        </w:rPr>
        <w:tab/>
      </w:r>
      <w:r>
        <w:rPr>
          <w:b w:val="0"/>
          <w:noProof/>
        </w:rPr>
        <w:t xml:space="preserve">Tervezett irányítási módszer(ek)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IRÁNYÍTÁSI INTÉZKEDÉSEK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2.1.</w:t>
      </w:r>
      <w:r>
        <w:rPr>
          <w:noProof/>
        </w:rPr>
        <w:tab/>
      </w:r>
      <w:r>
        <w:rPr>
          <w:b w:val="0"/>
          <w:noProof/>
        </w:rPr>
        <w:t xml:space="preserve">A nyomon követésre és a jelentéstételre vonatkozó rendelkezések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2.2.</w:t>
      </w:r>
      <w:r>
        <w:rPr>
          <w:noProof/>
        </w:rPr>
        <w:tab/>
      </w:r>
      <w:r>
        <w:rPr>
          <w:b w:val="0"/>
          <w:noProof/>
        </w:rPr>
        <w:t xml:space="preserve">Irányítási és kontrollrendszer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2.3.</w:t>
      </w:r>
      <w:r>
        <w:rPr>
          <w:noProof/>
        </w:rPr>
        <w:tab/>
      </w:r>
      <w:r>
        <w:rPr>
          <w:b w:val="0"/>
          <w:noProof/>
        </w:rPr>
        <w:t xml:space="preserve">A csalások és a szabálytalanságok megelőzésére vonatkozó intézkedések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A JAVASLAT/KEZDEMÉNYEZÉS BECSÜLT PÉNZÜGYI HATÁSA </w:t>
      </w:r>
    </w:p>
    <w:p>
      <w:pPr>
        <w:pStyle w:val="ManualHeading2"/>
        <w:rPr>
          <w:b w:val="0"/>
          <w:noProof/>
        </w:rPr>
      </w:pPr>
      <w:r>
        <w:rPr>
          <w:noProof/>
        </w:rPr>
        <w:tab/>
      </w:r>
      <w:r>
        <w:rPr>
          <w:b w:val="0"/>
          <w:noProof/>
        </w:rPr>
        <w:t>3.1.</w:t>
      </w:r>
      <w:r>
        <w:rPr>
          <w:noProof/>
        </w:rPr>
        <w:tab/>
      </w:r>
      <w:r>
        <w:rPr>
          <w:b w:val="0"/>
          <w:noProof/>
        </w:rPr>
        <w:t xml:space="preserve">A többéves pénzügyi keret érintett fejezete/fejezetei és a költségvetés érintett kiadási sora/sorai </w:t>
      </w:r>
    </w:p>
    <w:p>
      <w:pPr>
        <w:pStyle w:val="ManualHeading2"/>
        <w:rPr>
          <w:noProof/>
        </w:rPr>
      </w:pPr>
      <w:r>
        <w:rPr>
          <w:noProof/>
        </w:rPr>
        <w:tab/>
      </w:r>
      <w:r>
        <w:rPr>
          <w:b w:val="0"/>
          <w:noProof/>
        </w:rPr>
        <w:t>3.2.</w:t>
      </w:r>
      <w:r>
        <w:rPr>
          <w:noProof/>
        </w:rPr>
        <w:tab/>
      </w:r>
      <w:r>
        <w:rPr>
          <w:b w:val="0"/>
          <w:noProof/>
        </w:rPr>
        <w:t>A kiadásokra gyakorolt becsült hatás</w:t>
      </w:r>
      <w:r>
        <w:rPr>
          <w:noProof/>
        </w:rPr>
        <w:t xml:space="preserve"> </w:t>
      </w:r>
    </w:p>
    <w:p>
      <w:pPr>
        <w:pStyle w:val="ManualHeading3"/>
        <w:rPr>
          <w:noProof/>
        </w:rPr>
      </w:pPr>
      <w:r>
        <w:rPr>
          <w:noProof/>
        </w:rPr>
        <w:tab/>
        <w:t>3.2.1.</w:t>
      </w:r>
      <w:r>
        <w:rPr>
          <w:noProof/>
        </w:rPr>
        <w:tab/>
        <w:t xml:space="preserve">A kiadásokra gyakorolt becsült hatás összefoglalása </w:t>
      </w:r>
    </w:p>
    <w:p>
      <w:pPr>
        <w:pStyle w:val="ManualHeading3"/>
        <w:rPr>
          <w:noProof/>
        </w:rPr>
      </w:pPr>
      <w:r>
        <w:rPr>
          <w:noProof/>
        </w:rPr>
        <w:tab/>
        <w:t>3.2.2.</w:t>
      </w:r>
      <w:r>
        <w:rPr>
          <w:noProof/>
        </w:rPr>
        <w:tab/>
        <w:t xml:space="preserve">Az operatív előirányzatokra gyakorolt becsült hatás </w:t>
      </w:r>
    </w:p>
    <w:p>
      <w:pPr>
        <w:pStyle w:val="ManualHeading3"/>
        <w:rPr>
          <w:noProof/>
        </w:rPr>
      </w:pPr>
      <w:r>
        <w:rPr>
          <w:noProof/>
        </w:rPr>
        <w:tab/>
        <w:t>3.2.3.</w:t>
      </w:r>
      <w:r>
        <w:rPr>
          <w:noProof/>
        </w:rPr>
        <w:tab/>
        <w:t>Az igazgatási előirányzatokra gyakorolt becsült hatás</w:t>
      </w:r>
    </w:p>
    <w:p>
      <w:pPr>
        <w:pStyle w:val="ManualHeading3"/>
        <w:rPr>
          <w:noProof/>
        </w:rPr>
      </w:pPr>
      <w:r>
        <w:rPr>
          <w:noProof/>
        </w:rPr>
        <w:tab/>
        <w:t>3.2.4.</w:t>
      </w:r>
      <w:r>
        <w:rPr>
          <w:noProof/>
        </w:rPr>
        <w:tab/>
        <w:t>A jelenlegi többéves pénzügyi kerettel való összeegyeztethetőség</w:t>
      </w:r>
    </w:p>
    <w:p>
      <w:pPr>
        <w:pStyle w:val="ManualHeading3"/>
        <w:rPr>
          <w:noProof/>
        </w:rPr>
      </w:pPr>
      <w:r>
        <w:rPr>
          <w:noProof/>
        </w:rPr>
        <w:tab/>
        <w:t>3.2.5.</w:t>
      </w:r>
      <w:r>
        <w:rPr>
          <w:noProof/>
        </w:rPr>
        <w:tab/>
        <w:t xml:space="preserve">Harmadik felek részvétele a finanszírozásban </w:t>
      </w:r>
    </w:p>
    <w:p>
      <w:pPr>
        <w:pStyle w:val="ManualHeading2"/>
        <w:jc w:val="left"/>
        <w:rPr>
          <w:b w:val="0"/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</w:rPr>
        <w:tab/>
      </w:r>
      <w:r>
        <w:rPr>
          <w:b w:val="0"/>
          <w:noProof/>
        </w:rPr>
        <w:t>3.3.</w:t>
      </w:r>
      <w:r>
        <w:rPr>
          <w:noProof/>
        </w:rPr>
        <w:tab/>
      </w:r>
      <w:r>
        <w:rPr>
          <w:b w:val="0"/>
          <w:noProof/>
        </w:rPr>
        <w:t>A bevételre gyakorolt becsült hatás</w:t>
      </w:r>
    </w:p>
    <w:p>
      <w:pPr>
        <w:jc w:val="center"/>
        <w:rPr>
          <w:noProof/>
        </w:rPr>
      </w:pPr>
      <w:r>
        <w:rPr>
          <w:b/>
          <w:noProof/>
          <w:u w:val="single"/>
        </w:rPr>
        <w:t>PÉNZÜGYI KIMUTATÁS</w:t>
      </w:r>
    </w:p>
    <w:p>
      <w:pPr>
        <w:pStyle w:val="ManualHeading1"/>
        <w:rPr>
          <w:noProof/>
        </w:rPr>
      </w:pPr>
      <w:r>
        <w:t>1.</w:t>
      </w:r>
      <w:r>
        <w:tab/>
      </w:r>
      <w:r>
        <w:rPr>
          <w:noProof/>
        </w:rPr>
        <w:t xml:space="preserve">A JAVASLAT/KEZDEMÉNYEZÉS FŐBB ADATAI </w:t>
      </w:r>
    </w:p>
    <w:p>
      <w:pPr>
        <w:pStyle w:val="ManualHeading2"/>
        <w:rPr>
          <w:noProof/>
        </w:rPr>
      </w:pPr>
      <w:r>
        <w:t>1.1.</w:t>
      </w:r>
      <w:r>
        <w:tab/>
      </w:r>
      <w:r>
        <w:rPr>
          <w:noProof/>
        </w:rPr>
        <w:t xml:space="preserve">A javaslat/kezdeményezés címe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Makroszintű pénzügyi támogatás nyújtása a COVID19-világjárvány okozta válsággal összefüggésben a bővítési és a szomszédságpolitikában részt vevő partnerek számára</w:t>
      </w:r>
    </w:p>
    <w:p>
      <w:pPr>
        <w:pStyle w:val="ManualHeading2"/>
        <w:rPr>
          <w:noProof/>
        </w:rPr>
      </w:pPr>
      <w:r>
        <w:t>1.2.</w:t>
      </w:r>
      <w:r>
        <w:tab/>
      </w:r>
      <w:r>
        <w:rPr>
          <w:noProof/>
        </w:rPr>
        <w:t>A tevékenységalapú irányítás/tevékenységalapú költségvetés-tervezés keretébe tartozó érintett szakpolitikai terület(ek)</w:t>
      </w:r>
      <w:r>
        <w:rPr>
          <w:rStyle w:val="FootnoteReference"/>
          <w:noProof/>
        </w:rPr>
        <w:footnoteReference w:id="14"/>
      </w:r>
      <w:r>
        <w:rPr>
          <w:i/>
          <w:iCs/>
          <w:noProof/>
        </w:rPr>
        <w:t xml:space="preserve">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Szakpolitikai terület:</w:t>
      </w:r>
      <w:r>
        <w:rPr>
          <w:noProof/>
        </w:rPr>
        <w:tab/>
        <w:t>Gazdasági és pénzügyek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Tevékenység:</w:t>
      </w:r>
      <w:r>
        <w:rPr>
          <w:noProof/>
        </w:rPr>
        <w:tab/>
        <w:t>Nemzetközi gazdasági és pénzügyek</w:t>
      </w:r>
    </w:p>
    <w:p>
      <w:pPr>
        <w:pStyle w:val="ManualHeading2"/>
        <w:rPr>
          <w:bCs/>
          <w:noProof/>
          <w:szCs w:val="24"/>
        </w:rPr>
      </w:pPr>
      <w:r>
        <w:t>1.3.</w:t>
      </w:r>
      <w:r>
        <w:tab/>
      </w:r>
      <w:r>
        <w:rPr>
          <w:noProof/>
        </w:rPr>
        <w:t xml:space="preserve">A javaslat/kezdeményezés típusa </w:t>
      </w:r>
    </w:p>
    <w:p>
      <w:pPr>
        <w:pStyle w:val="Text1"/>
        <w:rPr>
          <w:b/>
          <w:noProof/>
          <w:sz w:val="22"/>
        </w:rPr>
      </w:pPr>
      <w:r>
        <w:rPr>
          <w:b/>
          <w:noProof/>
        </w:rPr>
        <w:t>X</w:t>
      </w:r>
      <w:r>
        <w:rPr>
          <w:noProof/>
        </w:rPr>
        <w:t xml:space="preserve"> A javaslat/kezdeményezés </w:t>
      </w:r>
      <w:r>
        <w:rPr>
          <w:b/>
          <w:noProof/>
        </w:rPr>
        <w:t>új intézkedésre</w:t>
      </w:r>
      <w:r>
        <w:rPr>
          <w:noProof/>
        </w:rPr>
        <w:t xml:space="preserve"> irányul</w:t>
      </w:r>
      <w:r>
        <w:rPr>
          <w:b/>
          <w:noProof/>
          <w:sz w:val="22"/>
        </w:rPr>
        <w:t xml:space="preserve"> </w:t>
      </w:r>
    </w:p>
    <w:p>
      <w:pPr>
        <w:pStyle w:val="Text1"/>
        <w:rPr>
          <w:noProof/>
        </w:rPr>
      </w:pPr>
      <w:r>
        <w:rPr>
          <w:noProof/>
          <w:sz w:val="22"/>
        </w:rPr>
        <w:sym w:font="Wingdings" w:char="F0A8"/>
      </w:r>
      <w:r>
        <w:rPr>
          <w:i/>
          <w:iCs/>
          <w:noProof/>
          <w:sz w:val="22"/>
        </w:rPr>
        <w:t xml:space="preserve"> </w:t>
      </w:r>
      <w:r>
        <w:rPr>
          <w:noProof/>
        </w:rPr>
        <w:t xml:space="preserve">A javaslat/kezdeményezés </w:t>
      </w:r>
      <w:r>
        <w:rPr>
          <w:b/>
          <w:bCs/>
          <w:noProof/>
        </w:rPr>
        <w:t>kísérleti projektet/előkészítő intézkedést követő új intézkedésre</w:t>
      </w:r>
      <w:r>
        <w:rPr>
          <w:noProof/>
        </w:rPr>
        <w:t xml:space="preserve"> irányul</w:t>
      </w:r>
      <w:r>
        <w:rPr>
          <w:rStyle w:val="FootnoteReference"/>
          <w:bCs/>
          <w:noProof/>
        </w:rPr>
        <w:footnoteReference w:id="15"/>
      </w:r>
      <w:r>
        <w:rPr>
          <w:noProof/>
          <w:sz w:val="22"/>
        </w:rPr>
        <w:t xml:space="preserve"> </w:t>
      </w:r>
    </w:p>
    <w:p>
      <w:pPr>
        <w:pStyle w:val="Text1"/>
        <w:rPr>
          <w:noProof/>
          <w:sz w:val="22"/>
        </w:rPr>
      </w:pPr>
      <w:r>
        <w:rPr>
          <w:b/>
          <w:noProof/>
        </w:rPr>
        <w:t>X</w:t>
      </w:r>
      <w:r>
        <w:rPr>
          <w:noProof/>
        </w:rPr>
        <w:t xml:space="preserve"> A javaslat/kezdeményezés </w:t>
      </w:r>
      <w:r>
        <w:rPr>
          <w:b/>
          <w:noProof/>
        </w:rPr>
        <w:t>jelenlegi intézkedés meghosszabbítására</w:t>
      </w:r>
      <w:r>
        <w:rPr>
          <w:noProof/>
        </w:rPr>
        <w:t xml:space="preserve"> irányul</w:t>
      </w:r>
      <w:r>
        <w:rPr>
          <w:noProof/>
          <w:sz w:val="22"/>
        </w:rPr>
        <w:t xml:space="preserve"> </w:t>
      </w:r>
    </w:p>
    <w:p>
      <w:pPr>
        <w:pStyle w:val="Text1"/>
        <w:rPr>
          <w:noProof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noProof/>
        </w:rPr>
        <w:t xml:space="preserve">A javaslat/kezdeményezés </w:t>
      </w:r>
      <w:r>
        <w:rPr>
          <w:b/>
          <w:noProof/>
        </w:rPr>
        <w:t>új intézkedésnek megfelelően módosított intézkedésre</w:t>
      </w:r>
      <w:r>
        <w:rPr>
          <w:noProof/>
        </w:rPr>
        <w:t xml:space="preserve"> irányul </w:t>
      </w:r>
    </w:p>
    <w:p>
      <w:pPr>
        <w:pStyle w:val="ManualHeading2"/>
        <w:rPr>
          <w:bCs/>
          <w:noProof/>
          <w:szCs w:val="24"/>
        </w:rPr>
      </w:pPr>
      <w:r>
        <w:t>1.4.</w:t>
      </w:r>
      <w:r>
        <w:tab/>
      </w:r>
      <w:r>
        <w:rPr>
          <w:noProof/>
        </w:rPr>
        <w:t>Célkitűzés(ek)</w:t>
      </w:r>
    </w:p>
    <w:p>
      <w:pPr>
        <w:pStyle w:val="ManualHeading3"/>
        <w:rPr>
          <w:noProof/>
        </w:rPr>
      </w:pPr>
      <w:r>
        <w:t>1.4.1.</w:t>
      </w:r>
      <w:r>
        <w:tab/>
      </w:r>
      <w:r>
        <w:rPr>
          <w:noProof/>
        </w:rPr>
        <w:t xml:space="preserve">A javaslat/kezdeményezés által érintett többéves bizottsági stratégiai célkitűzés(ek)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 „Új lendület a foglalkoztatásnak, a növekedésnek és a beruházásoknak: a jólét elősegítése az Európai Unión kívül”</w:t>
      </w:r>
    </w:p>
    <w:p>
      <w:pPr>
        <w:pStyle w:val="ManualHeading3"/>
        <w:rPr>
          <w:bCs/>
          <w:noProof/>
          <w:szCs w:val="24"/>
        </w:rPr>
      </w:pPr>
      <w:r>
        <w:t>1.4.2.</w:t>
      </w:r>
      <w:r>
        <w:tab/>
      </w:r>
      <w:r>
        <w:rPr>
          <w:noProof/>
        </w:rPr>
        <w:t xml:space="preserve">Konkrét célkitűzés(ek) és a tevékenységalapú irányítás/tevékenységalapú költségvetés-tervezés keretébe tartozó érintett tevékenység(ek)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>
        <w:rPr>
          <w:noProof/>
          <w:u w:val="single"/>
        </w:rPr>
        <w:t>Konkrét célkitűzés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„A jólét elősegítése az Európai Unión kívül”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u w:val="single"/>
        </w:rPr>
      </w:pPr>
      <w:r>
        <w:rPr>
          <w:noProof/>
          <w:u w:val="single"/>
        </w:rPr>
        <w:t>A tevékenységalapú irányítás/tevékenységalapú költségvetés-tervezés keretébe tartozó érintett tevékenység(ek)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Gazdasági és Pénzügyi Főigazgatóság (DG ECFIN) kapcsolódó tevékenységei: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a)</w:t>
      </w:r>
      <w:r>
        <w:rPr>
          <w:noProof/>
        </w:rPr>
        <w:tab/>
        <w:t xml:space="preserve">a makroszintű pénzügyi stabilitás támogatása és a növekedésösztönző reformok előmozdítása az EU-n kívül, többek között a kulcsfontosságú partnerekkel folytatott rendszeres gazdasági párbeszéd révén és makroszintű pénzügyi támogatás nyújtásával, valamint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b)</w:t>
      </w:r>
      <w:r>
        <w:rPr>
          <w:noProof/>
        </w:rPr>
        <w:tab/>
        <w:t>a bővítési folyamat támogatása, az uniós bővítés- és szomszédságpolitika, valamint egyéb uniós prioritások partnerországokban való végrehajtásának támogatása gazdasági elemzés, szakpolitikai értékelések elvégzése és tanácsadás révén.</w:t>
      </w:r>
    </w:p>
    <w:p>
      <w:pPr>
        <w:pStyle w:val="ManualHeading3"/>
        <w:rPr>
          <w:bCs/>
          <w:noProof/>
          <w:szCs w:val="24"/>
        </w:rPr>
      </w:pPr>
      <w:r>
        <w:rPr>
          <w:noProof/>
        </w:rPr>
        <w:br w:type="page"/>
      </w:r>
      <w:r>
        <w:t>1.4.3.</w:t>
      </w:r>
      <w:r>
        <w:tab/>
      </w:r>
      <w:r>
        <w:rPr>
          <w:noProof/>
        </w:rPr>
        <w:t>Várható eredmény(ek) és hatás(ok)</w:t>
      </w:r>
    </w:p>
    <w:p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Tüntesse fel, milyen hatásokat gyakorolhat a javaslat/kezdeményezés a kedvezményezettekre/célcsoportokra.</w:t>
      </w:r>
    </w:p>
    <w:p>
      <w:pPr>
        <w:pStyle w:val="Bullet1"/>
        <w:rPr>
          <w:noProof/>
        </w:rPr>
      </w:pPr>
      <w:r>
        <w:rPr>
          <w:noProof/>
        </w:rPr>
        <w:t xml:space="preserve">A jelenlegi COVID19-válság okozta jelentős fizetésimérleg-romlás közepette hozzájárul a partner külső finanszírozási igényeinek teljesítéséhez. </w:t>
      </w:r>
    </w:p>
    <w:p>
      <w:pPr>
        <w:pStyle w:val="Bullet1"/>
        <w:rPr>
          <w:noProof/>
        </w:rPr>
      </w:pPr>
      <w:r>
        <w:rPr>
          <w:noProof/>
        </w:rPr>
        <w:t>Enyhíti a partner költségvetési finanszírozási igényeit.</w:t>
      </w:r>
    </w:p>
    <w:p>
      <w:pPr>
        <w:pStyle w:val="Bullet1"/>
        <w:rPr>
          <w:noProof/>
        </w:rPr>
      </w:pPr>
      <w:r>
        <w:rPr>
          <w:noProof/>
        </w:rPr>
        <w:t>A tervezett IMF-programmal összefüggésben támogatja a költségvetési konszolidációs intézkedéseket és a külső stabilizációt.</w:t>
      </w:r>
    </w:p>
    <w:p>
      <w:pPr>
        <w:pStyle w:val="Bullet1"/>
        <w:rPr>
          <w:noProof/>
        </w:rPr>
      </w:pPr>
      <w:r>
        <w:rPr>
          <w:noProof/>
        </w:rPr>
        <w:t>Támogatja az általános makrogazdasági irányítás javítását, a gazdasági kormányzás és az átláthatóság megerősítését és a fenntartható növekedés feltételeinek javítását célzó strukturális reformokat.</w:t>
      </w:r>
    </w:p>
    <w:p>
      <w:pPr>
        <w:pStyle w:val="ManualHeading3"/>
        <w:rPr>
          <w:bCs/>
          <w:noProof/>
          <w:szCs w:val="24"/>
        </w:rPr>
      </w:pPr>
      <w:r>
        <w:t>1.4.4.</w:t>
      </w:r>
      <w:r>
        <w:tab/>
      </w:r>
      <w:r>
        <w:rPr>
          <w:noProof/>
        </w:rPr>
        <w:t xml:space="preserve">Eredmény- és hatásmutatók </w:t>
      </w:r>
    </w:p>
    <w:p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Tüntesse fel a javaslat/kezdeményezés megvalósításának nyomon követését lehetővé tevő mutatókat.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partnerek hatóságainak rendszeresen jelentést kell készíteniük meghatározott gazdasági teljesítménymutatókról a Bizottság szolgálatai részére, és a támogatás összes részletének folyósítása előtt átfogó jelentést kell benyújtaniuk az egyeztetett szakpolitikai feltételek teljesítéséről.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pénzügyi folyamatok és a partnereknél végrehajtott igazgatási eljárások szükség esetén elvégzett működési értékelését követően a Bizottság szolgálatai folytatják az államháztartási gazdálkodás nyomon követését. Az Európai Unió partnereknél működő küldöttségei emellett rendszeresen beszámolnak a támogatás nyomon követése szempontjából lényeges kérdésekről. A Bizottság szolgálatai szoros kapcsolatban maradnak az IMF-fel és a Világbankkal annak érdekében, hogy építhessenek a két szervezetnek az egyes partnereknél folytatott tevékenységeiből eredő információkra.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javasolt jogalkotási határozat rendelkezik a makroszintű pénzügyi támogatási művelet végrehajtásának értékelését tartalmazó, a Tanácsnak és az Európai Parlamentnek címzett éves jelentésről. A végrehajtási időszak leteltét követő két éven belül független utólagos értékelésre is sor kerül majd.</w:t>
      </w:r>
    </w:p>
    <w:p>
      <w:pPr>
        <w:pStyle w:val="ManualHeading2"/>
        <w:rPr>
          <w:bCs/>
          <w:noProof/>
          <w:szCs w:val="24"/>
        </w:rPr>
      </w:pPr>
      <w:r>
        <w:t>1.5.</w:t>
      </w:r>
      <w:r>
        <w:tab/>
      </w:r>
      <w:r>
        <w:rPr>
          <w:noProof/>
        </w:rPr>
        <w:t xml:space="preserve">A javaslat/kezdeményezés indoklása </w:t>
      </w:r>
    </w:p>
    <w:p>
      <w:pPr>
        <w:pStyle w:val="ManualHeading3"/>
        <w:rPr>
          <w:noProof/>
        </w:rPr>
      </w:pPr>
      <w:r>
        <w:t>1.5.1.</w:t>
      </w:r>
      <w:r>
        <w:tab/>
      </w:r>
      <w:r>
        <w:rPr>
          <w:noProof/>
        </w:rPr>
        <w:t xml:space="preserve">Rövid vagy hosszú távon kielégítendő szükséglet(ek)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támogatás folyósításának feltétele lesz a partner és az IMF közötti finanszírozási megállapodás politikai előfeltételeinek teljesítése és a megállapodás kielégítő végrehajtása. Emellett a Bizottságnak – egyetértési megállapodásban rögzített formában – konkrét szakpolitikai intézkedésekről megállapodásra kell jutnia a partner hatóságaival.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tervek szerint a támogatást két részletben bocsátják rendelkezésre. Az első részlet folyósítására várhatóan 2020 közepén kerül sor. A második részlet folyósítására várhatóan 2020 negyedik negyedévében vagy 2021 első felében kerül sor, feltéve, hogy az egyes részletekhez kapcsolódó szakpolitikai intézkedéseket időben végrehajtották.</w:t>
      </w:r>
    </w:p>
    <w:p>
      <w:pPr>
        <w:pStyle w:val="ManualHeading3"/>
        <w:rPr>
          <w:bCs/>
          <w:noProof/>
          <w:szCs w:val="24"/>
        </w:rPr>
      </w:pPr>
      <w:r>
        <w:t>1.5.2.</w:t>
      </w:r>
      <w:r>
        <w:tab/>
      </w:r>
      <w:r>
        <w:rPr>
          <w:noProof/>
        </w:rPr>
        <w:t>Az uniós részvételből adódó többletérték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makroszintű pénzügyi támogatás szakpolitikai alapú eszköz, amelynek célja a rövid és középtávú külső pénzügyi igények enyhítése. A jelenlegi COVID19-válsággal összefüggésben a makroszintű pénzügyi támogatás hozzá fog járulni ahhoz, hogy a hatóságok hatékony gazdasági választ tudjanak adni a válságra. A javasolt makroszintű pénzügyi támogatás segít a partnereknek abban, hogy megbirkózzanak a COVID19-válság által felfokozott gazdasági nehézségekkel, és ezáltal hozzájárul majd a makrogazdasági stabilitás és a gazdasági reformok ösztönzéséhez. A makroszintű pénzügyi támogatás kiegészíti a nemzetközi pénzügyi intézmények, a kétoldalú támogatók és más uniós pénzügyi intézmények által rendelkezésre bocsátott forrásokat. Ezáltal hozzájárul a nemzetközi közösség által nyújtott pénzügyi támogatás, valamint az egyéb uniós pénzügyi támogatás – többek között a költségvetési támogatási műveletek – általános hatékonyságához.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makroszintű pénzügyi támogatás pénzügyi hatása mellett a javasolt program megerősíti a kormányok reform melletti elkötelezettségét és az EU-val fenntartott kapcsolatok szorosabbra fűzésére irányuló törekvését. Ez az eredmény többek között a támogatás folyósításához kapcsolódó megfelelő feltételrendszer révén érhető el. Tágabb összefüggésben a program azt jelzi, hogy az EU készen áll arra, hogy támogassa a partnereket a gazdasági nehézségek idején.</w:t>
      </w:r>
      <w:r>
        <w:rPr>
          <w:noProof/>
          <w:highlight w:val="yellow"/>
        </w:rPr>
        <w:t xml:space="preserve"> </w:t>
      </w:r>
    </w:p>
    <w:p>
      <w:pPr>
        <w:pStyle w:val="ManualHeading3"/>
        <w:rPr>
          <w:noProof/>
        </w:rPr>
      </w:pPr>
      <w:r>
        <w:t>1.5.3.</w:t>
      </w:r>
      <w:r>
        <w:tab/>
      </w:r>
      <w:r>
        <w:rPr>
          <w:noProof/>
        </w:rPr>
        <w:t xml:space="preserve"> Hasonló korábbi tapasztalatok tanulsága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partnereknél végrehajtott makroszintű pénzügyi támogatási műveletek utólagos értékelés tárgyát képezik. Az eddig végzett (már befejeződött makroszintű pénzügyi támogatási programokra vonatkozó) értékelésekből kiderült, hogy a makroszintű pénzügyi támogatások, ha olykor mérsékelten és közvetve is, de hozzájárulnak a partnernél a külső fenntarthatóság javításához, a makrogazdasági stabilitáshoz és a strukturális reformok megvalósításához. E támogatások a legtöbb esetben pozitív hatással voltak a partner fizetési mérlegére, és hozzájárultak a költségvetés terheinek enyhítéséhez. Emellett valamelyest hozzájárultak a gazdasági növekedéshez is.</w:t>
      </w:r>
    </w:p>
    <w:p>
      <w:pPr>
        <w:pStyle w:val="ManualHeading3"/>
        <w:rPr>
          <w:bCs/>
          <w:noProof/>
          <w:szCs w:val="24"/>
        </w:rPr>
      </w:pPr>
      <w:r>
        <w:t>1.5.4.</w:t>
      </w:r>
      <w:r>
        <w:tab/>
      </w:r>
      <w:r>
        <w:rPr>
          <w:noProof/>
        </w:rPr>
        <w:t>Egyéb releváns eszközökkel való összeegyeztethetőség és lehetséges szinergia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Az EU a Nyugat-Balkán, valamint a déli és keleti szomszédság egyik fő támogatója, amely e térségek gazdasági, strukturális és intézményi reformjait, valamint a civil társadalmat támogatja. Ebben az összefüggésben a makroszintű pénzügyi támogatás kiegészíti a partnerek támogatását célzó egyéb uniós külső tevékenységeket vagy eszközöket. A támogatás összhangban áll továbbá az Európai Szomszédsági Támogatási Eszköz és az Előcsatlakozási Támogatási Eszköz keretében a 2014–2020 közötti időszakra szóló kétoldalú támogatások kiemelt területeit meghatározó egységes támogatási kerettel.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makroszintű pénzügyi támogatás egyéb uniós eszközökhöz viszonyított legfontosabb hozzáadott értéke a stabil makrogazdasági keret megteremtéséhez való hozzájárulás; ez többek között a fizetési mérleg és a költségvetési helyzet fenntarthatóságának biztosítása és a strukturális reformok továbbvitelét szolgáló megfelelő keret létrehozásának előmozdítása révén valósul meg. A makroszintű pénzügyi támogatás nem jelent rendszeres pénzügyi támogatást, és azt meg kell szüntetni, amint a partner külső pénzügyi helyzete újra fenntartható pályára került.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</w:rPr>
      </w:pPr>
      <w:r>
        <w:rPr>
          <w:noProof/>
        </w:rPr>
        <w:t>A makroszintű pénzügyi támogatás emellett kiegészíti a nemzetközi közösség kilátásba helyezett beavatkozásait, mindenekelőtt az IMF és a Világbank által támogatott kiigazítási és reformprogramokat.</w:t>
      </w:r>
    </w:p>
    <w:p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1.6.</w:t>
      </w:r>
      <w:r>
        <w:tab/>
      </w:r>
      <w:r>
        <w:rPr>
          <w:noProof/>
        </w:rPr>
        <w:t xml:space="preserve">Időtartam és pénzügyi hatás </w:t>
      </w:r>
    </w:p>
    <w:p>
      <w:pPr>
        <w:pStyle w:val="Text1"/>
        <w:rPr>
          <w:noProof/>
        </w:rPr>
      </w:pPr>
      <w:r>
        <w:rPr>
          <w:b/>
          <w:noProof/>
        </w:rPr>
        <w:t>X</w:t>
      </w:r>
      <w:r>
        <w:rPr>
          <w:noProof/>
        </w:rPr>
        <w:t xml:space="preserve"> A javaslat/kezdeményezés </w:t>
      </w:r>
      <w:r>
        <w:rPr>
          <w:b/>
          <w:noProof/>
        </w:rPr>
        <w:t>határozott időtartamra</w:t>
      </w:r>
      <w:r>
        <w:rPr>
          <w:noProof/>
        </w:rPr>
        <w:t xml:space="preserve"> vonatkozik</w:t>
      </w:r>
      <w:r>
        <w:rPr>
          <w:b/>
          <w:noProof/>
        </w:rPr>
        <w:t xml:space="preserve">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javaslat/kezdeményezés időtartama: 2020. június – 2021. május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Pénzügyi hatás: 2022-től 2023-ig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noProof/>
        </w:rPr>
        <w:t xml:space="preserve">A javaslat/kezdeményezés </w:t>
      </w:r>
      <w:r>
        <w:rPr>
          <w:b/>
          <w:noProof/>
        </w:rPr>
        <w:t>határozatlan időtartamra</w:t>
      </w:r>
      <w:r>
        <w:rPr>
          <w:noProof/>
        </w:rPr>
        <w:t xml:space="preserve"> vonatkozik</w:t>
      </w:r>
    </w:p>
    <w:p>
      <w:pPr>
        <w:pStyle w:val="ListDash1"/>
        <w:rPr>
          <w:noProof/>
        </w:rPr>
      </w:pPr>
      <w:r>
        <w:rPr>
          <w:noProof/>
        </w:rPr>
        <w:t>Beindítási időszak: ÉÉÉÉ-tól/-től ÉÉÉÉ-ig</w:t>
      </w:r>
    </w:p>
    <w:p>
      <w:pPr>
        <w:pStyle w:val="ListDash1"/>
        <w:rPr>
          <w:noProof/>
        </w:rPr>
      </w:pPr>
      <w:r>
        <w:rPr>
          <w:noProof/>
        </w:rPr>
        <w:t>azt követően: rendes ütem</w:t>
      </w:r>
    </w:p>
    <w:p>
      <w:pPr>
        <w:pStyle w:val="ManualHeading2"/>
        <w:rPr>
          <w:noProof/>
        </w:rPr>
      </w:pPr>
      <w:r>
        <w:t>1.7.</w:t>
      </w:r>
      <w:r>
        <w:tab/>
      </w:r>
      <w:r>
        <w:rPr>
          <w:noProof/>
        </w:rPr>
        <w:t>Tervezett irányítási módszer(ek)</w:t>
      </w:r>
      <w:r>
        <w:rPr>
          <w:rStyle w:val="FootnoteReference"/>
          <w:noProof/>
        </w:rPr>
        <w:footnoteReference w:id="16"/>
      </w:r>
    </w:p>
    <w:p>
      <w:pPr>
        <w:pStyle w:val="Text1"/>
        <w:rPr>
          <w:noProof/>
        </w:rPr>
      </w:pPr>
      <w:r>
        <w:rPr>
          <w:b/>
          <w:noProof/>
        </w:rPr>
        <w:t>X</w:t>
      </w:r>
      <w:r>
        <w:rPr>
          <w:noProof/>
        </w:rPr>
        <w:t xml:space="preserve"> Bizottság általi </w:t>
      </w:r>
      <w:r>
        <w:rPr>
          <w:b/>
          <w:noProof/>
        </w:rPr>
        <w:t>közvetlen irányítás</w:t>
      </w:r>
    </w:p>
    <w:p>
      <w:pPr>
        <w:pStyle w:val="ListDash2"/>
        <w:rPr>
          <w:rFonts w:cs="EUAlbertina"/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a Bizottság szervezeti egységein keresztül, ideértve az uniós küldöttségek személyzetét 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végrehajtó ügynökségen keresztül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>Megosztott irányítás</w:t>
      </w:r>
      <w:r>
        <w:rPr>
          <w:noProof/>
        </w:rPr>
        <w:t xml:space="preserve"> a tagállamokkal </w:t>
      </w:r>
    </w:p>
    <w:p>
      <w:pPr>
        <w:pStyle w:val="Text1"/>
        <w:rPr>
          <w:noProof/>
        </w:rPr>
      </w:pPr>
      <w:r>
        <w:rPr>
          <w:noProof/>
        </w:rPr>
        <w:sym w:font="Wingdings" w:char="F0A8"/>
      </w:r>
      <w:r>
        <w:rPr>
          <w:i/>
          <w:noProof/>
        </w:rPr>
        <w:t xml:space="preserve"> </w:t>
      </w:r>
      <w:r>
        <w:rPr>
          <w:b/>
          <w:noProof/>
        </w:rPr>
        <w:t>Közvetett irányítás</w:t>
      </w:r>
      <w:r>
        <w:rPr>
          <w:noProof/>
        </w:rPr>
        <w:t xml:space="preserve"> a költségvetés végrehajtásával kapcsolatos feladatoknak a következőkre történő átruházásával: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harmadik országok vagy az általuk kijelölt szervek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nemzetközi szervezetek és ügynökségeik (nevezze meg)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az EBB és az Európai Beruházási Alap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a költségvetési rendelet 208. és 209. cikkében említett szervek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közjogi szervek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magánjog alapján működő, közfeladatot ellátó szervek, amennyiben megfelelő pénzügyi garanciákat nyújtanak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valamely tagállam magánjoga alapján működő, köz- és magánszféra közötti partnerség végrehajtásával megbízott és megfelelő pénzügyi garanciákat nyújtó szervek</w:t>
      </w:r>
    </w:p>
    <w:p>
      <w:pPr>
        <w:pStyle w:val="ListDash2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 xml:space="preserve"> az EUSZ V. címének értelmében a KKBP terén konkrét fellépések végrehajtásával megbízott, és a vonatkozó alap-jogiaktusban meghatározott személyek.</w:t>
      </w:r>
    </w:p>
    <w:p>
      <w:pPr>
        <w:pStyle w:val="ListDash2"/>
        <w:rPr>
          <w:i/>
          <w:noProof/>
          <w:sz w:val="18"/>
          <w:u w:val="single"/>
        </w:rPr>
      </w:pPr>
      <w:r>
        <w:rPr>
          <w:i/>
          <w:noProof/>
          <w:sz w:val="18"/>
        </w:rPr>
        <w:t>Egynél több irányítási módszer feltüntetése esetén kérjük, adjon részletes felvilágosítást a „Megjegyzések” rovatban.</w:t>
      </w:r>
    </w:p>
    <w:p>
      <w:pPr>
        <w:rPr>
          <w:noProof/>
        </w:rPr>
      </w:pPr>
      <w:r>
        <w:rPr>
          <w:noProof/>
        </w:rPr>
        <w:t xml:space="preserve">Megjegyzések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1"/>
        <w:rPr>
          <w:bCs/>
          <w:noProof/>
          <w:szCs w:val="24"/>
        </w:rPr>
      </w:pPr>
      <w:r>
        <w:t>2.</w:t>
      </w:r>
      <w:r>
        <w:tab/>
      </w:r>
      <w:r>
        <w:rPr>
          <w:noProof/>
        </w:rPr>
        <w:t xml:space="preserve">IRÁNYÍTÁSI INTÉZKEDÉSEK </w:t>
      </w:r>
    </w:p>
    <w:p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 xml:space="preserve">A nyomon követésre és a jelentéstételre vonatkozó rendelkezések </w:t>
      </w:r>
    </w:p>
    <w:p>
      <w:pPr>
        <w:pStyle w:val="Text1"/>
        <w:rPr>
          <w:i/>
          <w:noProof/>
          <w:sz w:val="20"/>
          <w:u w:val="single"/>
        </w:rPr>
      </w:pPr>
      <w:r>
        <w:rPr>
          <w:i/>
          <w:noProof/>
          <w:sz w:val="20"/>
        </w:rPr>
        <w:t>Gyakoriság és feltételek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Az e határozat alapján finanszírozandó fellépéseket a Bizottság a központ közvetlen irányítása mellett, az uniós küldöttségek támogatásával hajtja végre.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E támogatás makrogazdasági jellegű és összeegyeztethető az IMF által támogatott programmal. A fellépésnek a Bizottság szolgálatai által a részletek számával összhangban álló gyakorisággal végzett nyomon követése az IMF-megállapodás végrehajtásában elért haladás, valamint a partnerek hatóságaival megkötendő egyetértési megállapodásban egyeztetett konkrét reformintézkedések végrehajtása alapján történik (lásd még az 1.4.4. pontot). </w:t>
      </w:r>
    </w:p>
    <w:p>
      <w:pPr>
        <w:pStyle w:val="ManualHeading2"/>
        <w:rPr>
          <w:bCs/>
          <w:noProof/>
          <w:szCs w:val="24"/>
        </w:rPr>
      </w:pPr>
      <w:r>
        <w:t>2.2.</w:t>
      </w:r>
      <w:r>
        <w:tab/>
      </w:r>
      <w:r>
        <w:rPr>
          <w:noProof/>
        </w:rPr>
        <w:t xml:space="preserve">Irányítási és kontrollrendszer </w:t>
      </w:r>
    </w:p>
    <w:p>
      <w:pPr>
        <w:pStyle w:val="ManualHeading3"/>
        <w:rPr>
          <w:noProof/>
        </w:rPr>
      </w:pPr>
      <w:r>
        <w:t>2.2.1.</w:t>
      </w:r>
      <w:r>
        <w:tab/>
      </w:r>
      <w:r>
        <w:rPr>
          <w:noProof/>
        </w:rPr>
        <w:t xml:space="preserve">Felismert kockázat(ok)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javasolt makroszintű pénzügyi támogatási műveletekhez támogatáskezelési, szakpolitikai és politikai kockázatok kapcsolódnak.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Fennáll annak a kockázata, hogy a makroszintű pénzügyi támogatást csalárd módon használják fel. Mivel a makroszintű pénzügyi támogatás nem konkrét kiadásokra irányul (ellentétben például a projektfinanszírozással), ez a kockázat olyan tényezőkhöz kapcsolódik, mint a partner központi bankja és pénzügyminisztériuma irányítási rendszereinek általános minősége, az igazgatási eljárások, az ellenőrzési és felügyeleti funkciók, az informatikai rendszerek biztonsága, valamint a belső és külső pénzügyi ellenőrzési képességek megfelelősége.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második kockázat annak lehetőségéből fakad, hogy a partner nem tud eleget tenni a javasolt makroszintű pénzügyi támogatás keretében folyósított hitelek alapján az EU felé fennálló pénzügyi kötelezettségeinek (nemteljesítési kockázat vagy hitelkockázat), amit például a partner fizetésimérleg-helyzetének és költségvetési helyzetének további jelentős romlása okozhat.</w:t>
      </w:r>
    </w:p>
    <w:p>
      <w:pPr>
        <w:pStyle w:val="ManualHeading3"/>
        <w:rPr>
          <w:bCs/>
          <w:noProof/>
          <w:szCs w:val="24"/>
        </w:rPr>
      </w:pPr>
      <w:r>
        <w:t>2.2.2.</w:t>
      </w:r>
      <w:r>
        <w:tab/>
      </w:r>
      <w:r>
        <w:rPr>
          <w:noProof/>
        </w:rPr>
        <w:t>A működő belső kontrollrendszerrel kapcsolatos információk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makroszintű pénzügyi támogatás a Bizottság – beleértve az Európai Csalás Elleni Hivatalt (OLAF) – és az Európai Számvevőszék felelősségi körébe tartozó vizsgálati, ellenőrzési és pénzügyi ellenőrzési eljárások hatálya alá tartozik, mint arról a költségvetési rendelet 129. cikke is rendelkezik.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Előzetes: A partnerek irányítási és kontrollrendszereinek Bizottság általi értékelése. Az egyes partnerek esetében a Bizottság szükség esetén elvégzi a pénzügyi folyamatok és az ellenőrzési környezet előzetes működési értékelését, melyhez a tanácsadók technikai támogatást is nyújtanak. A hatékony és eredményes pénzgazdálkodásra vonatkozó észszerű megbízhatósági szint biztosítása érdekében sor kerül a számviteli eljárások, a feladatok szétválasztása és a központi bank és a pénzügyminisztérium belső/külső ellenőrzésének elemzésére. Amennyiben hiányosságokat tárnak fel, azokat olyan feltételekké alakítják át, amelyeket a támogatás folyósítása előtt végre kell hajtani. Emellett szükség esetén a kifizetésekre külön (például elkülönített számlákra vonatkozó) intézkedések bevezetésére kerül sor.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A végrehajtás során: A Bizottság ellenőrzi a partnerek időszakos nyilatkozatait. A kifizetés (1) a Gazdasági és Pénzügyi Főigazgatóság személyzetének ellenőrzése alá tartozik, amely ellenőrzés – az uniós küldöttségekkel és a külső érdekelt felekkel, például az IMF-fel szoros együttműködésben – az egyeztetett feltételek végrehajtására vonatkozik, valamint (2) a Gazdasági és Pénzügyi Főigazgatóságon alkalmazott pénzügyi folyamatok (2. modell) által előírt szokásos ellenőrzési eljárás alá tartozik, beleértve a támogatás folyósításához kapcsolódó feltételek teljesítésének pénzügyi egység általi ellenőrzését. Az MFA-műveletekhez kapcsolódó kifizetések esetében a főigazgatóság utólagos ellenőrzést végző csoportjának tisztviselői további független utólagos (dokumentum- és/vagy helyszíni) ellenőrzéseket végezhetnek. Az ilyen ellenőrzéseket a közvetve megbízott, engedélyezésre jogosult, felelős tisztviselő kérésére is el lehet végezni. Szükség esetén megszakításokra és a kifizetések felfüggesztésére, a (Bizottság által végrehajtott) pénzügyi korrekciókra és beszedésekre kerülhet sor (eddig nem volt ezekre példa). Ezek az intézkedések a partnerekkel kötött finanszírozási megállapodásokban ezek kifejezetten szerepelnek.</w:t>
      </w:r>
    </w:p>
    <w:p>
      <w:pPr>
        <w:pStyle w:val="ManualHeading3"/>
        <w:rPr>
          <w:noProof/>
        </w:rPr>
      </w:pPr>
      <w:r>
        <w:t>2.2.3.</w:t>
      </w:r>
      <w:r>
        <w:tab/>
      </w:r>
      <w:r>
        <w:rPr>
          <w:noProof/>
        </w:rPr>
        <w:t xml:space="preserve">Az ellenőrzések költsége és haszna, a várt hibaarány értékelése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Az érvényes ellenőrzési rendszerek – mint például az előzetes működési értékelések vagy az utólagos értékelések – 0 %-os tényleges hibaarányt biztosítottak a makroszintű pénzügyi támogatás kifizetéseihez. Nincsenek a csalásnak, korrupciónak vagy illegális tevékenységeknek ismert esetei. Az MFA-műveletek beavatkozási logikája egyértelmű, amely lehetővé teszi a Bizottság számára hatásuk értékelését. Az ellenőrzések lehetővé teszik a megbízhatóság megerősítését és a szakpolitikai célkitűzések és prioritások megvalósítását. </w:t>
      </w:r>
    </w:p>
    <w:p>
      <w:pPr>
        <w:pStyle w:val="ManualHeading2"/>
        <w:rPr>
          <w:noProof/>
        </w:rPr>
      </w:pPr>
      <w:r>
        <w:t>2.3.</w:t>
      </w:r>
      <w:r>
        <w:tab/>
      </w:r>
      <w:r>
        <w:rPr>
          <w:noProof/>
        </w:rPr>
        <w:t>A csalások és a szabálytalanságok megelőzésére vonatkozó intézkedések</w:t>
      </w:r>
    </w:p>
    <w:p>
      <w:pPr>
        <w:pStyle w:val="Text1"/>
        <w:rPr>
          <w:i/>
          <w:noProof/>
          <w:sz w:val="20"/>
        </w:rPr>
      </w:pPr>
      <w:r>
        <w:rPr>
          <w:i/>
          <w:noProof/>
          <w:sz w:val="20"/>
        </w:rPr>
        <w:t>Tüntesse fel a meglévő vagy tervezett megelőző és védintézkedéseket.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csalárd felhasználás kockázatának csökkentését számos intézkedés szolgálta és szolgálja a jövőben: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 xml:space="preserve">A hitelmegállapodás először is tartalmazni fog az ellenőrzésre, a csalás megelőzésére, a pénzügyi ellenőrzésre és csalás vagy korrupció esetén a források visszafizettetésére vonatkozó rendelkezéseket. A tervek szerint a támogatás hatékonyságának, átláthatóságának és elszámoltathatóságának növelése érdekében számos konkrét szakpolitikai feltétel kapcsolódik majd a támogatáshoz, ideértve az államháztartási gazdálkodás területét is. A támogatást az Unió a partnerek központi bankjainál erre a célra létrehozott számlára folyósítja. 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Ezen túlmenően a költségvetési rendelet előírásai szerint a Bizottság szolgálatai szükség esetén el fogják végezni a partnerekre vonatkozóan a pénzügyi folyamatok és igazgatási eljárások működési értékelését, hogy megbizonyosodjanak arról, hogy a programhoz kapcsolódó segítségnyújtás – ezen belül a makroszintű pénzügyi támogatás – igazgatására szolgáló eljárások megfelelő garanciákat biztosítanak. Az értékelés olyan területekre terjed ki, mint a költségvetés előkészítése és végrehajtása, az államháztartás belső ellenőrzése, a belső és külső ellenőrzés, a közbeszerzés, a készpénz és az államadósság kezelése, valamint a központi bank függetlensége. Az EU megfelelő küldöttsége szorosan figyelemmel fogja kísérni az e területen bekövetkező fejleményeket. A Bizottság emellett költségvetési támogatást is igénybe vesz annak érdekében, hogy segítse az egyes partnereket államháztartási gazdálkodási rendszereik javításában, és ezen erőfeszítéseket más támogatók is határozottan támogatják.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Végezetül a támogatás a Bizottság – beleértve az Európai Csalás Elleni Hivatalt (OLAF) – és az Európai Számvevőszék felelősségi körébe tartozó vizsgálati, ellenőrzési és pénzügyi ellenőrzési eljárások hatálya alá tartozik, a költségvetési rendelet 129. cikkében előírtaknak megfelelően.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1"/>
        <w:rPr>
          <w:bCs/>
          <w:noProof/>
          <w:szCs w:val="24"/>
        </w:rPr>
      </w:pPr>
      <w:r>
        <w:t>3.</w:t>
      </w:r>
      <w:r>
        <w:tab/>
      </w:r>
      <w:r>
        <w:rPr>
          <w:noProof/>
        </w:rPr>
        <w:t xml:space="preserve">A JAVASLAT/KEZDEMÉNYEZÉS BECSÜLT PÉNZÜGYI HATÁSA </w:t>
      </w:r>
    </w:p>
    <w:p>
      <w:pPr>
        <w:pStyle w:val="ManualHeading2"/>
        <w:rPr>
          <w:noProof/>
        </w:rPr>
      </w:pPr>
      <w:r>
        <w:t>3.1.</w:t>
      </w:r>
      <w:r>
        <w:tab/>
      </w:r>
      <w:r>
        <w:rPr>
          <w:noProof/>
        </w:rPr>
        <w:t xml:space="preserve">A többéves pénzügyi keret érintett fejezete/fejezetei és a költségvetés érintett kiadási sora/sorai </w:t>
      </w:r>
    </w:p>
    <w:p>
      <w:pPr>
        <w:pStyle w:val="ListBullet1"/>
        <w:tabs>
          <w:tab w:val="clear" w:pos="1134"/>
          <w:tab w:val="num" w:pos="425"/>
        </w:tabs>
        <w:ind w:left="425"/>
        <w:rPr>
          <w:noProof/>
        </w:rPr>
      </w:pPr>
      <w:r>
        <w:rPr>
          <w:noProof/>
        </w:rPr>
        <w:t xml:space="preserve">Jelenlegi költségvetési sorok </w:t>
      </w:r>
    </w:p>
    <w:p>
      <w:pPr>
        <w:pStyle w:val="Text1"/>
        <w:rPr>
          <w:noProof/>
        </w:rPr>
      </w:pPr>
      <w:r>
        <w:rPr>
          <w:noProof/>
        </w:rPr>
        <w:t xml:space="preserve">A többéves pénzügyi keret fejezetei, azon belül pedig a költségvetési sorok </w:t>
      </w:r>
      <w:r>
        <w:rPr>
          <w:noProof/>
          <w:u w:val="single"/>
        </w:rPr>
        <w:t>sorrendjében</w:t>
      </w:r>
      <w:r>
        <w:rPr>
          <w:noProof/>
        </w:rPr>
        <w:t>.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1080"/>
        <w:gridCol w:w="956"/>
        <w:gridCol w:w="1080"/>
        <w:gridCol w:w="956"/>
        <w:gridCol w:w="1448"/>
      </w:tblGrid>
      <w:tr>
        <w:tc>
          <w:tcPr>
            <w:tcW w:w="1080" w:type="dxa"/>
            <w:vMerge w:val="restart"/>
            <w:vAlign w:val="center"/>
          </w:tcPr>
          <w:p>
            <w:pPr>
              <w:spacing w:before="60" w:after="6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 többéves pénzügyi keret fejezete</w:t>
            </w:r>
          </w:p>
          <w:p>
            <w:pPr>
              <w:spacing w:before="60" w:after="60"/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2014–2020</w:t>
            </w:r>
          </w:p>
        </w:tc>
        <w:tc>
          <w:tcPr>
            <w:tcW w:w="396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0"/>
              </w:rPr>
              <w:t>Költségvetési sor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0"/>
              </w:rPr>
              <w:t>Kiadás típusa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0"/>
              </w:rPr>
              <w:t xml:space="preserve">Hozzájárulás </w:t>
            </w:r>
          </w:p>
        </w:tc>
      </w:tr>
      <w:tr>
        <w:tc>
          <w:tcPr>
            <w:tcW w:w="1080" w:type="dxa"/>
            <w:vMerge/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noProof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18"/>
                <w:szCs w:val="18"/>
              </w:rPr>
              <w:t>diff./nem diff.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17"/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18"/>
                <w:szCs w:val="18"/>
              </w:rPr>
              <w:t>EFTA-országoktól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18"/>
            </w:r>
          </w:p>
          <w:p>
            <w:pPr>
              <w:spacing w:before="0" w:after="0"/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18"/>
                <w:szCs w:val="18"/>
              </w:rPr>
              <w:t>tagjelölt országoktól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19"/>
            </w:r>
          </w:p>
          <w:p>
            <w:pPr>
              <w:spacing w:before="0" w:after="0"/>
              <w:jc w:val="center"/>
              <w:rPr>
                <w:noProof/>
                <w:sz w:val="18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harmadik országoktól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16"/>
              </w:rPr>
              <w:t xml:space="preserve">a költségvetési rendelet 21. cikke (2) bekezdésének a) pontja értelmében </w:t>
            </w:r>
          </w:p>
        </w:tc>
      </w:tr>
      <w:tr>
        <w:tc>
          <w:tcPr>
            <w:tcW w:w="1080" w:type="dxa"/>
          </w:tcPr>
          <w:p>
            <w:pPr>
              <w:jc w:val="center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4</w:t>
            </w:r>
          </w:p>
        </w:tc>
        <w:tc>
          <w:tcPr>
            <w:tcW w:w="3960" w:type="dxa"/>
          </w:tcPr>
          <w:p>
            <w:pPr>
              <w:autoSpaceDE w:val="0"/>
              <w:autoSpaceDN w:val="0"/>
              <w:adjustRightInd w:val="0"/>
              <w:spacing w:before="0"/>
              <w:jc w:val="left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01 03 02</w:t>
            </w:r>
          </w:p>
          <w:p>
            <w:pPr>
              <w:spacing w:before="60"/>
              <w:rPr>
                <w:noProof/>
                <w:sz w:val="22"/>
              </w:rPr>
            </w:pPr>
            <w:r>
              <w:rPr>
                <w:noProof/>
                <w:sz w:val="23"/>
                <w:szCs w:val="23"/>
              </w:rPr>
              <w:t>Makroszintű pénzügyi támogatás</w:t>
            </w:r>
            <w:r>
              <w:rPr>
                <w:noProof/>
              </w:rPr>
              <w:t xml:space="preserve"> </w:t>
            </w:r>
          </w:p>
        </w:tc>
        <w:tc>
          <w:tcPr>
            <w:tcW w:w="1080" w:type="dxa"/>
          </w:tcPr>
          <w:p>
            <w:pPr>
              <w:jc w:val="center"/>
              <w:rPr>
                <w:noProof/>
                <w:color w:val="0000FF"/>
                <w:sz w:val="22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956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1080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956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1448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</w:tr>
      <w:tr>
        <w:tc>
          <w:tcPr>
            <w:tcW w:w="1080" w:type="dxa"/>
          </w:tcPr>
          <w:p>
            <w:pPr>
              <w:jc w:val="center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4</w:t>
            </w:r>
          </w:p>
        </w:tc>
        <w:tc>
          <w:tcPr>
            <w:tcW w:w="3960" w:type="dxa"/>
          </w:tcPr>
          <w:p>
            <w:pPr>
              <w:autoSpaceDE w:val="0"/>
              <w:autoSpaceDN w:val="0"/>
              <w:adjustRightInd w:val="0"/>
              <w:spacing w:before="0"/>
              <w:jc w:val="left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01 03 06</w:t>
            </w:r>
          </w:p>
          <w:p>
            <w:pPr>
              <w:autoSpaceDE w:val="0"/>
              <w:autoSpaceDN w:val="0"/>
              <w:adjustRightInd w:val="0"/>
              <w:spacing w:before="0"/>
              <w:jc w:val="left"/>
              <w:rPr>
                <w:noProof/>
              </w:rPr>
            </w:pPr>
            <w:r>
              <w:rPr>
                <w:noProof/>
                <w:sz w:val="23"/>
                <w:szCs w:val="23"/>
              </w:rPr>
              <w:t>A garanciaalap feltöltése</w:t>
            </w:r>
            <w:r>
              <w:rPr>
                <w:noProof/>
              </w:rPr>
              <w:t xml:space="preserve"> </w:t>
            </w:r>
          </w:p>
        </w:tc>
        <w:tc>
          <w:tcPr>
            <w:tcW w:w="1080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 diff.</w:t>
            </w:r>
          </w:p>
        </w:tc>
        <w:tc>
          <w:tcPr>
            <w:tcW w:w="956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1080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956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  <w:tc>
          <w:tcPr>
            <w:tcW w:w="1448" w:type="dxa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NEM</w:t>
            </w:r>
          </w:p>
        </w:tc>
      </w:tr>
    </w:tbl>
    <w:p>
      <w:pPr>
        <w:pStyle w:val="ListBullet1"/>
        <w:tabs>
          <w:tab w:val="clear" w:pos="1134"/>
          <w:tab w:val="num" w:pos="425"/>
        </w:tabs>
        <w:ind w:left="425"/>
        <w:rPr>
          <w:noProof/>
        </w:rPr>
      </w:pPr>
      <w:r>
        <w:rPr>
          <w:noProof/>
        </w:rPr>
        <w:t>01 03 06 – A Bizottság javaslata szerint a külső fellépésekre vonatkozó garanciaalap feltöltésére a garancialapról szóló 480/2009/EK, Euratom rendelet szerint, a 01 03 06. költségvetési soron (A garanciaalap feltöltése) rendelkezésre álló előirányzatokból kerül majd sor az összes fennálló tőkekötelezettség 9 %-ának megfelelő mértékben. Az n. év kezdetén a feltöltés összegét a célösszeg és az alap n-1. év végén meglévő nettó eszközállományának különbségeként számítják. A feltöltés összege az n. évben kerül be az n+1. év előzetes költségvetésébe, és azt ténylegesen az n+1. év elején fizetik ki egy ügylettel „A garanciaalap feltöltése” költségvetési sorból (01 03 06. költségvetési sor). Ennek eredményeként az n-1. év végén az alap feltöltésének számításakor a ténylegesen folyósított összeg 9 %-át veszik figyelembe a célösszegben.</w:t>
      </w:r>
    </w:p>
    <w:p>
      <w:pPr>
        <w:pStyle w:val="ListBullet1"/>
        <w:tabs>
          <w:tab w:val="clear" w:pos="1134"/>
          <w:tab w:val="num" w:pos="425"/>
        </w:tabs>
        <w:ind w:left="425"/>
        <w:rPr>
          <w:noProof/>
        </w:rPr>
      </w:pPr>
      <w:r>
        <w:rPr>
          <w:noProof/>
        </w:rPr>
        <w:t>N.B. A 2021–2027. évi többéves pénzügyi keretben új költségvetési nómenklatúra kerül majd elfogadásra. A költségvetési hatás így az ennek megfelelő költségvetési sorra fog irányulni.</w:t>
      </w:r>
    </w:p>
    <w:p>
      <w:pPr>
        <w:rPr>
          <w:noProof/>
        </w:rPr>
        <w:sectPr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2"/>
        <w:rPr>
          <w:bCs/>
          <w:noProof/>
          <w:szCs w:val="24"/>
        </w:rPr>
      </w:pPr>
      <w:r>
        <w:t>3.2.</w:t>
      </w:r>
      <w:r>
        <w:tab/>
      </w:r>
      <w:r>
        <w:rPr>
          <w:noProof/>
        </w:rPr>
        <w:t xml:space="preserve">A kiadásokra gyakorolt becsült hatás </w:t>
      </w:r>
    </w:p>
    <w:p>
      <w:pPr>
        <w:pStyle w:val="ManualHeading3"/>
        <w:rPr>
          <w:noProof/>
          <w:u w:val="single"/>
        </w:rPr>
      </w:pPr>
      <w:r>
        <w:t>3.2.1.</w:t>
      </w:r>
      <w:r>
        <w:tab/>
      </w:r>
      <w:r>
        <w:rPr>
          <w:noProof/>
        </w:rPr>
        <w:t xml:space="preserve">A kiadásokra gyakorolt becsült hatás összefoglalása </w:t>
      </w:r>
    </w:p>
    <w:p>
      <w:pPr>
        <w:jc w:val="right"/>
        <w:rPr>
          <w:noProof/>
          <w:sz w:val="20"/>
        </w:rPr>
      </w:pPr>
      <w:r>
        <w:rPr>
          <w:noProof/>
          <w:sz w:val="20"/>
        </w:rPr>
        <w:t>millió EUR (három tizedesjegyig)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>
        <w:trPr>
          <w:jc w:val="center"/>
        </w:trPr>
        <w:tc>
          <w:tcPr>
            <w:tcW w:w="4744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A többéves pénzügyi keret fejezete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</w:p>
        </w:tc>
        <w:tc>
          <w:tcPr>
            <w:tcW w:w="7817" w:type="dxa"/>
            <w:vAlign w:val="center"/>
          </w:tcPr>
          <w:p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</w:rPr>
              <w:t>Az EU mint globális partner</w:t>
            </w:r>
          </w:p>
        </w:tc>
      </w:tr>
    </w:tbl>
    <w:p>
      <w:pPr>
        <w:rPr>
          <w:noProof/>
          <w:sz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440"/>
        <w:gridCol w:w="120"/>
        <w:gridCol w:w="534"/>
        <w:gridCol w:w="868"/>
        <w:gridCol w:w="868"/>
        <w:gridCol w:w="868"/>
        <w:gridCol w:w="868"/>
        <w:gridCol w:w="1777"/>
      </w:tblGrid>
      <w:tr>
        <w:tc>
          <w:tcPr>
            <w:tcW w:w="396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Főigazgatóság: Gazdasági és Pénzügyi Főigazgatóság (ECFIN)</w:t>
            </w:r>
          </w:p>
        </w:tc>
        <w:tc>
          <w:tcPr>
            <w:tcW w:w="1560" w:type="dxa"/>
            <w:gridSpan w:val="2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34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2020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2022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2023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ÖSSZESEN</w:t>
            </w:r>
          </w:p>
        </w:tc>
      </w:tr>
      <w:tr>
        <w:trPr>
          <w:trHeight w:val="213"/>
        </w:trPr>
        <w:tc>
          <w:tcPr>
            <w:tcW w:w="6054" w:type="dxa"/>
            <w:gridSpan w:val="4"/>
            <w:vAlign w:val="center"/>
          </w:tcPr>
          <w:p>
            <w:pPr>
              <w:spacing w:before="20" w:after="20"/>
              <w:rPr>
                <w:b/>
                <w:noProof/>
                <w:sz w:val="21"/>
              </w:rPr>
            </w:pPr>
            <w:r>
              <w:rPr>
                <w:b/>
                <w:noProof/>
                <w:sz w:val="21"/>
              </w:rPr>
              <w:sym w:font="Wingdings" w:char="F09F"/>
            </w:r>
            <w:r>
              <w:rPr>
                <w:b/>
                <w:noProof/>
                <w:sz w:val="21"/>
              </w:rPr>
              <w:t xml:space="preserve"> Operatív előirányzatok </w:t>
            </w: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</w:tr>
      <w:tr>
        <w:trPr>
          <w:trHeight w:val="277"/>
        </w:trPr>
        <w:tc>
          <w:tcPr>
            <w:tcW w:w="3960" w:type="dxa"/>
            <w:vMerge w:val="restart"/>
            <w:vAlign w:val="center"/>
          </w:tcPr>
          <w:p>
            <w:pPr>
              <w:rPr>
                <w:noProof/>
                <w:sz w:val="22"/>
              </w:rPr>
            </w:pPr>
            <w:r>
              <w:rPr>
                <w:noProof/>
                <w:sz w:val="20"/>
                <w:szCs w:val="20"/>
              </w:rPr>
              <w:t>01 03 06. költségvetési sor – A garanciaalap feltöltése</w:t>
            </w:r>
          </w:p>
        </w:tc>
        <w:tc>
          <w:tcPr>
            <w:tcW w:w="1440" w:type="dxa"/>
            <w:vAlign w:val="center"/>
          </w:tcPr>
          <w:p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Kötelezettségvállalási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(1)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270,0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270,0</w:t>
            </w:r>
          </w:p>
        </w:tc>
      </w:tr>
      <w:tr>
        <w:tc>
          <w:tcPr>
            <w:tcW w:w="3960" w:type="dxa"/>
            <w:vMerge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Kifizetési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(2)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270,0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270,0</w:t>
            </w:r>
          </w:p>
        </w:tc>
      </w:tr>
      <w:tr>
        <w:tc>
          <w:tcPr>
            <w:tcW w:w="3960" w:type="dxa"/>
            <w:vMerge w:val="restart"/>
            <w:vAlign w:val="center"/>
          </w:tcPr>
          <w:p>
            <w:pPr>
              <w:rPr>
                <w:noProof/>
                <w:sz w:val="22"/>
              </w:rPr>
            </w:pPr>
            <w:r>
              <w:rPr>
                <w:noProof/>
              </w:rPr>
              <w:t>01 03 02 költségvetési sor – Makroszintű pénzügyi támogatás (működési értékelés és utólagos értékelés)</w:t>
            </w:r>
          </w:p>
        </w:tc>
        <w:tc>
          <w:tcPr>
            <w:tcW w:w="1440" w:type="dxa"/>
            <w:vAlign w:val="center"/>
          </w:tcPr>
          <w:p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Kötelezettségvállalási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(3a)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0,350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0,450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0,800</w:t>
            </w:r>
          </w:p>
        </w:tc>
      </w:tr>
      <w:tr>
        <w:tc>
          <w:tcPr>
            <w:tcW w:w="3960" w:type="dxa"/>
            <w:vMerge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20" w:after="2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Kifizetési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spacing w:before="20" w:after="20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(4a)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0,350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0,450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0,800</w:t>
            </w:r>
          </w:p>
        </w:tc>
      </w:tr>
      <w:tr>
        <w:trPr>
          <w:trHeight w:val="231"/>
        </w:trPr>
        <w:tc>
          <w:tcPr>
            <w:tcW w:w="6054" w:type="dxa"/>
            <w:gridSpan w:val="4"/>
            <w:vAlign w:val="center"/>
          </w:tcPr>
          <w:p>
            <w:pPr>
              <w:spacing w:before="20" w:after="20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1"/>
                <w:szCs w:val="21"/>
              </w:rPr>
              <w:t>Bizonyos egyedi programok keretéből finanszírozott igazgatási jellegű előirányzatok</w:t>
            </w:r>
            <w:r>
              <w:rPr>
                <w:rStyle w:val="FootnoteReference"/>
                <w:b/>
                <w:bCs/>
                <w:noProof/>
                <w:sz w:val="21"/>
                <w:szCs w:val="21"/>
              </w:rPr>
              <w:footnoteReference w:id="20"/>
            </w:r>
            <w:r>
              <w:rPr>
                <w:b/>
                <w:bCs/>
                <w:noProof/>
                <w:sz w:val="21"/>
                <w:szCs w:val="21"/>
              </w:rPr>
              <w:t xml:space="preserve"> </w:t>
            </w:r>
          </w:p>
          <w:p>
            <w:pPr>
              <w:spacing w:before="0" w:after="0"/>
              <w:rPr>
                <w:noProof/>
                <w:sz w:val="22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rPr>
                <w:b/>
                <w:noProof/>
                <w:sz w:val="20"/>
              </w:rPr>
            </w:pPr>
          </w:p>
        </w:tc>
      </w:tr>
      <w:tr>
        <w:tc>
          <w:tcPr>
            <w:tcW w:w="39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ÖSSZES előirányzat</w:t>
            </w:r>
            <w:r>
              <w:rPr>
                <w:noProof/>
              </w:rPr>
              <w:br/>
            </w:r>
            <w:r>
              <w:rPr>
                <w:noProof/>
                <w:sz w:val="22"/>
              </w:rPr>
              <w:t>a többéves pénzügyi keret</w:t>
            </w:r>
            <w:r>
              <w:rPr>
                <w:noProof/>
              </w:rPr>
              <w:br/>
            </w:r>
            <w:r>
              <w:rPr>
                <w:b/>
                <w:bCs/>
                <w:noProof/>
                <w:sz w:val="22"/>
              </w:rPr>
              <w:t>4. FEJEZETÉBEN</w:t>
            </w:r>
          </w:p>
        </w:tc>
        <w:tc>
          <w:tcPr>
            <w:tcW w:w="1440" w:type="dxa"/>
            <w:vAlign w:val="center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Kötelezettségvállalási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=1+3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0,350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270,0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0,450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270,8</w:t>
            </w:r>
          </w:p>
        </w:tc>
      </w:tr>
      <w:tr>
        <w:tc>
          <w:tcPr>
            <w:tcW w:w="3960" w:type="dxa"/>
            <w:vMerge/>
            <w:shd w:val="thinDiagStripe" w:color="C0C0C0" w:fill="auto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Kifizetési előirányzatok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=2+4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0,350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270,0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0,450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270,8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>
        <w:trPr>
          <w:jc w:val="center"/>
        </w:trPr>
        <w:tc>
          <w:tcPr>
            <w:tcW w:w="4744" w:type="dxa"/>
            <w:shd w:val="thinDiagStripe" w:color="C0C0C0" w:fill="auto"/>
            <w:vAlign w:val="center"/>
          </w:tcPr>
          <w:p>
            <w:pPr>
              <w:spacing w:before="60" w:after="60"/>
              <w:jc w:val="center"/>
              <w:rPr>
                <w:b/>
                <w:noProof/>
                <w:sz w:val="22"/>
              </w:rPr>
            </w:pPr>
            <w:r>
              <w:rPr>
                <w:noProof/>
              </w:rPr>
              <w:br w:type="page"/>
            </w:r>
            <w:r>
              <w:rPr>
                <w:b/>
                <w:noProof/>
                <w:sz w:val="22"/>
              </w:rPr>
              <w:t xml:space="preserve">A többéves pénzügyi keret fejezete </w:t>
            </w:r>
          </w:p>
        </w:tc>
        <w:tc>
          <w:tcPr>
            <w:tcW w:w="1080" w:type="dxa"/>
            <w:shd w:val="thinDiagStripe" w:color="C0C0C0" w:fill="auto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b/>
                <w:noProof/>
                <w:sz w:val="22"/>
              </w:rPr>
              <w:t>5</w:t>
            </w:r>
          </w:p>
        </w:tc>
        <w:tc>
          <w:tcPr>
            <w:tcW w:w="7817" w:type="dxa"/>
            <w:vAlign w:val="center"/>
          </w:tcPr>
          <w:p>
            <w:pPr>
              <w:spacing w:before="60" w:after="6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„Igazgatási kiadások”</w:t>
            </w:r>
          </w:p>
        </w:tc>
      </w:tr>
    </w:tbl>
    <w:p>
      <w:pPr>
        <w:jc w:val="right"/>
        <w:rPr>
          <w:noProof/>
          <w:sz w:val="20"/>
        </w:rPr>
      </w:pPr>
      <w:r>
        <w:rPr>
          <w:noProof/>
          <w:sz w:val="20"/>
        </w:rPr>
        <w:t>millió EUR (három tizedesjegyig)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560"/>
        <w:gridCol w:w="534"/>
        <w:gridCol w:w="868"/>
        <w:gridCol w:w="868"/>
        <w:gridCol w:w="868"/>
        <w:gridCol w:w="868"/>
        <w:gridCol w:w="1777"/>
      </w:tblGrid>
      <w:tr>
        <w:tc>
          <w:tcPr>
            <w:tcW w:w="39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2020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2022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2023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ÖSSZESEN</w:t>
            </w:r>
          </w:p>
        </w:tc>
      </w:tr>
      <w:tr>
        <w:trPr>
          <w:gridAfter w:val="7"/>
          <w:wAfter w:w="7343" w:type="dxa"/>
        </w:trPr>
        <w:tc>
          <w:tcPr>
            <w:tcW w:w="396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Főigazgatóság: Gazdasági és Pénzügyi Főigazgatóság (ECFIN)</w:t>
            </w:r>
          </w:p>
        </w:tc>
      </w:tr>
      <w:tr>
        <w:trPr>
          <w:trHeight w:val="313"/>
        </w:trPr>
        <w:tc>
          <w:tcPr>
            <w:tcW w:w="6054" w:type="dxa"/>
            <w:gridSpan w:val="3"/>
            <w:vAlign w:val="center"/>
          </w:tcPr>
          <w:p>
            <w:pPr>
              <w:spacing w:before="20" w:after="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sym w:font="Wingdings" w:char="F09F"/>
            </w:r>
            <w:r>
              <w:rPr>
                <w:noProof/>
                <w:sz w:val="22"/>
              </w:rPr>
              <w:t xml:space="preserve"> Humánerőforrás 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1,614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0,007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0,009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1,630</w:t>
            </w:r>
          </w:p>
        </w:tc>
      </w:tr>
      <w:tr>
        <w:trPr>
          <w:trHeight w:val="351"/>
        </w:trPr>
        <w:tc>
          <w:tcPr>
            <w:tcW w:w="6054" w:type="dxa"/>
            <w:gridSpan w:val="3"/>
            <w:vAlign w:val="center"/>
          </w:tcPr>
          <w:p>
            <w:pPr>
              <w:spacing w:before="20" w:after="20"/>
              <w:rPr>
                <w:noProof/>
                <w:sz w:val="22"/>
              </w:rPr>
            </w:pPr>
            <w:r>
              <w:rPr>
                <w:noProof/>
                <w:sz w:val="22"/>
              </w:rPr>
              <w:sym w:font="Wingdings" w:char="F09F"/>
            </w:r>
            <w:r>
              <w:rPr>
                <w:noProof/>
                <w:sz w:val="22"/>
              </w:rPr>
              <w:t xml:space="preserve"> Egyéb igazgatási kiadások 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0,240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0,240</w:t>
            </w:r>
          </w:p>
        </w:tc>
      </w:tr>
      <w:tr>
        <w:tc>
          <w:tcPr>
            <w:tcW w:w="3960" w:type="dxa"/>
            <w:vAlign w:val="center"/>
          </w:tcPr>
          <w:p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ECFIN Főigazgatóság ÖSSZESEN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 xml:space="preserve">Előirányzatok </w:t>
            </w:r>
          </w:p>
        </w:tc>
        <w:tc>
          <w:tcPr>
            <w:tcW w:w="868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1,854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0,007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0,009</w:t>
            </w: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1,870</w:t>
            </w:r>
          </w:p>
        </w:tc>
      </w:tr>
    </w:tbl>
    <w:p>
      <w:pPr>
        <w:rPr>
          <w:noProof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094"/>
        <w:gridCol w:w="868"/>
        <w:gridCol w:w="868"/>
        <w:gridCol w:w="868"/>
        <w:gridCol w:w="868"/>
        <w:gridCol w:w="1777"/>
      </w:tblGrid>
      <w:tr>
        <w:tc>
          <w:tcPr>
            <w:tcW w:w="3960" w:type="dxa"/>
            <w:shd w:val="thinDiagStripe" w:color="C0C0C0" w:fill="auto"/>
            <w:vAlign w:val="center"/>
          </w:tcPr>
          <w:p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ÖSSZES előirányzat </w:t>
            </w:r>
            <w:r>
              <w:rPr>
                <w:noProof/>
                <w:sz w:val="22"/>
              </w:rPr>
              <w:t>a többéves pénzügyi keret</w:t>
            </w:r>
            <w:r>
              <w:rPr>
                <w:b/>
                <w:noProof/>
                <w:sz w:val="22"/>
              </w:rPr>
              <w:t xml:space="preserve"> 5. FEJEZETÉBEN </w:t>
            </w:r>
          </w:p>
        </w:tc>
        <w:tc>
          <w:tcPr>
            <w:tcW w:w="2094" w:type="dxa"/>
            <w:vAlign w:val="center"/>
          </w:tcPr>
          <w:p>
            <w:pPr>
              <w:spacing w:before="40" w:after="40"/>
              <w:rPr>
                <w:noProof/>
                <w:sz w:val="22"/>
              </w:rPr>
            </w:pPr>
            <w:r>
              <w:rPr>
                <w:noProof/>
                <w:sz w:val="18"/>
              </w:rPr>
              <w:t>(Összes kötelezettségvállalási előirányzat = Összes kifizetési előirányzat)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</w:tr>
    </w:tbl>
    <w:p>
      <w:pPr>
        <w:jc w:val="right"/>
        <w:rPr>
          <w:noProof/>
          <w:sz w:val="20"/>
        </w:rPr>
      </w:pPr>
      <w:r>
        <w:rPr>
          <w:noProof/>
          <w:sz w:val="20"/>
        </w:rPr>
        <w:t>millió EUR (három tizedesjegyig)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452"/>
        <w:gridCol w:w="890"/>
        <w:gridCol w:w="851"/>
        <w:gridCol w:w="850"/>
        <w:gridCol w:w="851"/>
        <w:gridCol w:w="850"/>
        <w:gridCol w:w="1843"/>
      </w:tblGrid>
      <w:tr>
        <w:trPr>
          <w:trHeight w:val="458"/>
        </w:trPr>
        <w:tc>
          <w:tcPr>
            <w:tcW w:w="368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>
            <w:pPr>
              <w:rPr>
                <w:noProof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</w:tcBorders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ÖSSZESEN</w:t>
            </w:r>
          </w:p>
        </w:tc>
      </w:tr>
      <w:tr>
        <w:trPr>
          <w:trHeight w:val="406"/>
        </w:trPr>
        <w:tc>
          <w:tcPr>
            <w:tcW w:w="3688" w:type="dxa"/>
            <w:vMerge w:val="restart"/>
            <w:shd w:val="clear" w:color="auto" w:fill="C0C0C0"/>
            <w:vAlign w:val="center"/>
          </w:tcPr>
          <w:p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ÖSSZES előirányzat </w:t>
            </w:r>
            <w:r>
              <w:rPr>
                <w:noProof/>
                <w:sz w:val="22"/>
              </w:rPr>
              <w:t>a többéves pénzügyi keret</w:t>
            </w:r>
            <w:r>
              <w:rPr>
                <w:b/>
                <w:noProof/>
                <w:sz w:val="22"/>
              </w:rPr>
              <w:t xml:space="preserve"> 1–5. FEJEZETÉBEN 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Kötelezettségvállalási előirányzatok</w:t>
            </w: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2,204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270,007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0,459</w:t>
            </w:r>
          </w:p>
        </w:tc>
        <w:tc>
          <w:tcPr>
            <w:tcW w:w="1843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272,670</w:t>
            </w:r>
          </w:p>
        </w:tc>
      </w:tr>
      <w:tr>
        <w:trPr>
          <w:trHeight w:val="512"/>
        </w:trPr>
        <w:tc>
          <w:tcPr>
            <w:tcW w:w="3688" w:type="dxa"/>
            <w:vMerge/>
            <w:shd w:val="clear" w:color="auto" w:fill="C0C0C0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noProof/>
                <w:sz w:val="14"/>
              </w:rPr>
            </w:pPr>
            <w:r>
              <w:rPr>
                <w:noProof/>
                <w:sz w:val="18"/>
              </w:rPr>
              <w:t>Kifizetési előirányzatok</w:t>
            </w: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2,204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270,007</w:t>
            </w:r>
          </w:p>
        </w:tc>
        <w:tc>
          <w:tcPr>
            <w:tcW w:w="850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0,459</w:t>
            </w:r>
          </w:p>
        </w:tc>
        <w:tc>
          <w:tcPr>
            <w:tcW w:w="1843" w:type="dxa"/>
            <w:vAlign w:val="center"/>
          </w:tcPr>
          <w:p>
            <w:pPr>
              <w:spacing w:before="60" w:after="60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272,670</w:t>
            </w:r>
          </w:p>
        </w:tc>
      </w:tr>
    </w:tbl>
    <w:p>
      <w:pPr>
        <w:rPr>
          <w:noProof/>
        </w:rPr>
        <w:sectPr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3"/>
        <w:rPr>
          <w:bCs/>
          <w:noProof/>
          <w:szCs w:val="24"/>
        </w:rPr>
      </w:pPr>
      <w:r>
        <w:t>3.2.2.</w:t>
      </w:r>
      <w:r>
        <w:tab/>
      </w:r>
      <w:r>
        <w:rPr>
          <w:noProof/>
        </w:rPr>
        <w:t xml:space="preserve">Az operatív előirányzatokra gyakorolt becsült hatás 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javaslat/kezdeményezés nem vonja maga után operatív előirányzatok felhasználását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ab/>
        <w:t>A javaslat/kezdeményezés az alábbi operatív előirányzatok felhasználását vonja maga után:</w:t>
      </w:r>
    </w:p>
    <w:p>
      <w:pPr>
        <w:jc w:val="right"/>
        <w:rPr>
          <w:noProof/>
          <w:sz w:val="20"/>
        </w:rPr>
      </w:pPr>
      <w:r>
        <w:rPr>
          <w:noProof/>
          <w:sz w:val="20"/>
        </w:rPr>
        <w:t>Kötelezettségvállalási előirányzatok, millió EUR (három tizedesjegyig)</w:t>
      </w:r>
    </w:p>
    <w:tbl>
      <w:tblPr>
        <w:tblW w:w="12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011"/>
        <w:gridCol w:w="339"/>
        <w:gridCol w:w="484"/>
        <w:gridCol w:w="685"/>
        <w:gridCol w:w="518"/>
        <w:gridCol w:w="685"/>
        <w:gridCol w:w="685"/>
        <w:gridCol w:w="685"/>
        <w:gridCol w:w="852"/>
        <w:gridCol w:w="685"/>
        <w:gridCol w:w="518"/>
        <w:gridCol w:w="174"/>
        <w:gridCol w:w="444"/>
        <w:gridCol w:w="418"/>
        <w:gridCol w:w="685"/>
        <w:gridCol w:w="518"/>
        <w:gridCol w:w="685"/>
        <w:gridCol w:w="685"/>
        <w:gridCol w:w="236"/>
        <w:gridCol w:w="616"/>
      </w:tblGrid>
      <w:tr>
        <w:trPr>
          <w:gridAfter w:val="6"/>
          <w:wAfter w:w="2936" w:type="dxa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w:t xml:space="preserve">Tüntesse fel a célkitűzéseket és a kimeneteket </w:t>
            </w:r>
          </w:p>
          <w:p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</w:p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sym w:font="Wingdings" w:char="F0F2"/>
            </w:r>
          </w:p>
        </w:tc>
        <w:tc>
          <w:tcPr>
            <w:tcW w:w="1073" w:type="dxa"/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nil"/>
            </w:tcBorders>
            <w:vAlign w:val="center"/>
          </w:tcPr>
          <w:p>
            <w:pPr>
              <w:ind w:right="-29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2020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right="-29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2021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-29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2022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right="-29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2023</w:t>
            </w:r>
          </w:p>
        </w:tc>
        <w:tc>
          <w:tcPr>
            <w:tcW w:w="1620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w:t>ÖSSZESEN</w:t>
            </w:r>
          </w:p>
        </w:tc>
      </w:tr>
      <w:tr>
        <w:trPr>
          <w:jc w:val="center"/>
        </w:trPr>
        <w:tc>
          <w:tcPr>
            <w:tcW w:w="1423" w:type="dxa"/>
            <w:vMerge/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1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w:t>KIMENETEK</w:t>
            </w:r>
          </w:p>
        </w:tc>
      </w:tr>
      <w:tr>
        <w:trPr>
          <w:gridAfter w:val="6"/>
          <w:wAfter w:w="2936" w:type="dxa"/>
          <w:cantSplit/>
          <w:trHeight w:val="2122"/>
          <w:jc w:val="center"/>
        </w:trPr>
        <w:tc>
          <w:tcPr>
            <w:tcW w:w="1423" w:type="dxa"/>
            <w:vMerge/>
            <w:vAlign w:val="center"/>
          </w:tcPr>
          <w:p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Típus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21"/>
            </w:r>
          </w:p>
          <w:p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Átlagos költség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Szám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Költség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Szám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Költség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Szám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Költség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Szám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Költség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Összesített szám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Összköltség</w:t>
            </w:r>
          </w:p>
        </w:tc>
      </w:tr>
      <w:tr>
        <w:trPr>
          <w:gridAfter w:val="1"/>
          <w:wAfter w:w="664" w:type="dxa"/>
          <w:jc w:val="center"/>
        </w:trPr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 KONKRÉT CÉLKITŰZÉS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22"/>
            </w:r>
            <w:r>
              <w:rPr>
                <w:noProof/>
                <w:sz w:val="18"/>
                <w:szCs w:val="18"/>
              </w:rPr>
              <w:t>…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>
        <w:trPr>
          <w:gridAfter w:val="6"/>
          <w:wAfter w:w="2936" w:type="dxa"/>
          <w:trHeight w:hRule="exact" w:val="479"/>
          <w:jc w:val="center"/>
        </w:trPr>
        <w:tc>
          <w:tcPr>
            <w:tcW w:w="1423" w:type="dxa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- Kimenet</w:t>
            </w:r>
          </w:p>
        </w:tc>
        <w:tc>
          <w:tcPr>
            <w:tcW w:w="1073" w:type="dxa"/>
          </w:tcPr>
          <w:p>
            <w:pPr>
              <w:ind w:right="-29"/>
              <w:jc w:val="center"/>
              <w:rPr>
                <w:b/>
                <w:bCs/>
                <w:noProof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w:t>Működési értékelés</w:t>
            </w:r>
          </w:p>
        </w:tc>
        <w:tc>
          <w:tcPr>
            <w:tcW w:w="348" w:type="dxa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0,350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>
        <w:trPr>
          <w:gridAfter w:val="6"/>
          <w:wAfter w:w="2936" w:type="dxa"/>
          <w:trHeight w:hRule="exact" w:val="701"/>
          <w:jc w:val="center"/>
        </w:trPr>
        <w:tc>
          <w:tcPr>
            <w:tcW w:w="1423" w:type="dxa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- Kimenet</w:t>
            </w:r>
          </w:p>
        </w:tc>
        <w:tc>
          <w:tcPr>
            <w:tcW w:w="1073" w:type="dxa"/>
          </w:tcPr>
          <w:p>
            <w:pPr>
              <w:ind w:right="-29"/>
              <w:jc w:val="center"/>
              <w:rPr>
                <w:b/>
                <w:bCs/>
                <w:noProof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w:t>A garanciaalap feltöltése</w:t>
            </w:r>
          </w:p>
          <w:p>
            <w:pPr>
              <w:ind w:right="-29"/>
              <w:jc w:val="center"/>
              <w:rPr>
                <w:b/>
                <w:noProof/>
                <w:sz w:val="14"/>
                <w:szCs w:val="18"/>
              </w:rPr>
            </w:pPr>
          </w:p>
        </w:tc>
        <w:tc>
          <w:tcPr>
            <w:tcW w:w="348" w:type="dxa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270,0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>
        <w:trPr>
          <w:gridAfter w:val="6"/>
          <w:wAfter w:w="2936" w:type="dxa"/>
          <w:trHeight w:hRule="exact" w:val="559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- Kimenet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b/>
                <w:bCs/>
                <w:noProof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w:t xml:space="preserve">Utólagos értékelés 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0,450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>
        <w:trPr>
          <w:gridAfter w:val="6"/>
          <w:wAfter w:w="2936" w:type="dxa"/>
          <w:jc w:val="center"/>
        </w:trPr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</w:rPr>
              <w:t>1. konkrét célkitűzés részösszege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>
        <w:trPr>
          <w:gridAfter w:val="6"/>
          <w:wAfter w:w="2936" w:type="dxa"/>
          <w:jc w:val="center"/>
        </w:trPr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w:t>ÖSSZES KÖLTSÉG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0,350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270,0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0,450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180" w:after="180"/>
              <w:ind w:right="-29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270,8</w:t>
            </w:r>
          </w:p>
        </w:tc>
      </w:tr>
    </w:tbl>
    <w:p>
      <w:pPr>
        <w:rPr>
          <w:noProof/>
        </w:rPr>
        <w:sectPr>
          <w:pgSz w:w="16840" w:h="11907" w:orient="landscape" w:code="9"/>
          <w:pgMar w:top="1134" w:right="1418" w:bottom="567" w:left="1418" w:header="709" w:footer="709" w:gutter="0"/>
          <w:cols w:space="708"/>
          <w:docGrid w:linePitch="360"/>
        </w:sectPr>
      </w:pPr>
    </w:p>
    <w:p>
      <w:pPr>
        <w:pStyle w:val="ManualHeading3"/>
        <w:rPr>
          <w:bCs/>
          <w:noProof/>
          <w:szCs w:val="24"/>
        </w:rPr>
      </w:pPr>
      <w:r>
        <w:t>3.2.3.</w:t>
      </w:r>
      <w:r>
        <w:tab/>
      </w:r>
      <w:r>
        <w:rPr>
          <w:noProof/>
        </w:rPr>
        <w:t>Az igazgatási előirányzatokra gyakorolt becsült hatás</w:t>
      </w:r>
    </w:p>
    <w:p>
      <w:pPr>
        <w:pStyle w:val="ManualHeading4"/>
        <w:rPr>
          <w:noProof/>
        </w:rPr>
      </w:pPr>
      <w:r>
        <w:t>3.2.3.1.</w:t>
      </w:r>
      <w:r>
        <w:tab/>
      </w:r>
      <w:r>
        <w:rPr>
          <w:noProof/>
        </w:rPr>
        <w:t xml:space="preserve">Összefoglaló 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javaslat/kezdeményezés nem vonja maga után igazgatási jellegű előirányzatok felhasználását.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ab/>
        <w:t>A javaslat/kezdeményezés az alábbi igazgatási előirányzatok felhasználását vonja maga után:</w:t>
      </w:r>
    </w:p>
    <w:p>
      <w:pPr>
        <w:rPr>
          <w:noProof/>
          <w:sz w:val="20"/>
        </w:rPr>
      </w:pPr>
      <w:r>
        <w:rPr>
          <w:noProof/>
          <w:sz w:val="20"/>
        </w:rPr>
        <w:t>millió EUR (három tizedesjegyig)</w:t>
      </w:r>
    </w:p>
    <w:tbl>
      <w:tblPr>
        <w:tblW w:w="738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2021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2022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2023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ÖSSZESEN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738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A többéves pénzügyi keret</w:t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  <w:sz w:val="16"/>
              </w:rPr>
              <w:t>5. FEJEZETE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Humánerőforrás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1,614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0,007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0,009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1,630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Egyéb igazgatási kiadások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0,240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0,240</w:t>
            </w: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A többéves pénzügyi keret 5. FEJEZETÉNEK részösszege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1,854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0,007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0,009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1,870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738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A többéves pénzügyi keret 5. FEJEZETÉBE bele nem tartozó előirányzatok</w:t>
            </w:r>
            <w:r>
              <w:rPr>
                <w:rStyle w:val="FootnoteReference"/>
                <w:b/>
                <w:bCs/>
                <w:noProof/>
                <w:sz w:val="16"/>
                <w:szCs w:val="16"/>
              </w:rPr>
              <w:footnoteReference w:id="23"/>
            </w:r>
          </w:p>
          <w:p>
            <w:pPr>
              <w:spacing w:before="0" w:after="0" w:line="200" w:lineRule="exact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Humánerőforrás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Egyéb igazgatási jellegű kiadások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 xml:space="preserve">A többéves pénzügyi keret 5. FEJEZETÉBE bele nem tartozó előirányzatok részösszege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73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</w:tbl>
    <w:p>
      <w:pPr>
        <w:rPr>
          <w:noProof/>
          <w:sz w:val="18"/>
        </w:rPr>
        <w:sectPr>
          <w:headerReference w:type="default" r:id="rId21"/>
          <w:footerReference w:type="default" r:id="rId22"/>
          <w:headerReference w:type="first" r:id="rId23"/>
          <w:footerReference w:type="first" r:id="rId24"/>
          <w:pgSz w:w="11907" w:h="16840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  <w:sz w:val="18"/>
        </w:rPr>
        <w:t>A humánerőforrással és más igazgatási jellegű kiadásokkal kapcsolatos előirányzat-igényeket az adott főigazgatóság rendelkezésére álló, az intézkedés irányításához rendelt előirányzatokkal és/vagy az adott főigazgatóságon belüli átcsoportosítással kell teljesíteni. A források adott esetben a költségvetési korlátok betartása mellett kiegészíthetők az éves elosztási eljárás keretében az irányító főigazgatósághoz rendelt további allokációkkal.</w:t>
      </w:r>
    </w:p>
    <w:p>
      <w:pPr>
        <w:pStyle w:val="ManualHeading4"/>
        <w:rPr>
          <w:bCs/>
          <w:noProof/>
          <w:szCs w:val="24"/>
        </w:rPr>
      </w:pPr>
      <w:r>
        <w:t>3.2.3.2.</w:t>
      </w:r>
      <w:r>
        <w:tab/>
      </w:r>
      <w:r>
        <w:rPr>
          <w:noProof/>
        </w:rPr>
        <w:t>Becsült humánerőforrás-szükségletek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javaslat/kezdeményezés nem igényel humánerőforrást.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 xml:space="preserve"> A javaslat/kezdeményezés az alábbi humánerőforrás-igénnyel jár:</w:t>
      </w:r>
    </w:p>
    <w:p>
      <w:pPr>
        <w:spacing w:after="60"/>
        <w:jc w:val="right"/>
        <w:rPr>
          <w:i/>
          <w:noProof/>
          <w:sz w:val="20"/>
        </w:rPr>
      </w:pPr>
      <w:r>
        <w:rPr>
          <w:i/>
          <w:noProof/>
          <w:sz w:val="20"/>
        </w:rPr>
        <w:t>A becsléseket teljes munkaidős egyenértékben kell kifejezni</w:t>
      </w:r>
    </w:p>
    <w:tbl>
      <w:tblPr>
        <w:tblW w:w="558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220"/>
        <w:gridCol w:w="2224"/>
        <w:gridCol w:w="1398"/>
        <w:gridCol w:w="1291"/>
        <w:gridCol w:w="1614"/>
        <w:gridCol w:w="1612"/>
      </w:tblGrid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</w:tcPr>
          <w:p>
            <w:pPr>
              <w:pStyle w:val="Text1"/>
              <w:spacing w:before="40" w:after="40"/>
              <w:ind w:left="0"/>
              <w:jc w:val="center"/>
              <w:rPr>
                <w:i/>
                <w:noProof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2020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2021</w:t>
            </w: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2022</w:t>
            </w: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2023</w:t>
            </w: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4216" w:type="pct"/>
            <w:gridSpan w:val="5"/>
            <w:shd w:val="clear" w:color="auto" w:fill="auto"/>
          </w:tcPr>
          <w:p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noProof/>
                <w:sz w:val="16"/>
              </w:rPr>
              <w:t xml:space="preserve"> A létszámtervben szereplő álláshelyek (tisztviselők és ideiglenes alkalmazottak)</w:t>
            </w: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XX 01 01 01 (a központban és a bizottsági képviseleteken)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7,5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0,03</w:t>
            </w: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0,04</w:t>
            </w: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XX 01 01 02 (a küldöttségeknél)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XX 01 05 01 (közvetett kutatás)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10 01 05 01 (közvetlen kutatás)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After w:val="1"/>
          <w:wAfter w:w="777" w:type="pct"/>
          <w:trHeight w:val="251"/>
          <w:jc w:val="center"/>
        </w:trPr>
        <w:tc>
          <w:tcPr>
            <w:tcW w:w="4223" w:type="pct"/>
            <w:gridSpan w:val="6"/>
            <w:shd w:val="clear" w:color="auto" w:fill="auto"/>
            <w:vAlign w:val="center"/>
          </w:tcPr>
          <w:p>
            <w:pPr>
              <w:pStyle w:val="Text1"/>
              <w:spacing w:before="60" w:after="60"/>
              <w:ind w:left="0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bCs/>
                <w:noProof/>
                <w:sz w:val="16"/>
                <w:szCs w:val="16"/>
              </w:rPr>
              <w:t>Külső munkatársak teljes munkaidős egyenértékben (FTE) kifejezve</w:t>
            </w:r>
            <w:r>
              <w:rPr>
                <w:rStyle w:val="FootnoteReference"/>
                <w:b/>
                <w:bCs/>
                <w:noProof/>
                <w:sz w:val="16"/>
                <w:szCs w:val="16"/>
              </w:rPr>
              <w:footnoteReference w:id="24"/>
            </w:r>
          </w:p>
          <w:p>
            <w:pPr>
              <w:pStyle w:val="Text1"/>
              <w:spacing w:before="0" w:after="0"/>
              <w:ind w:left="0"/>
              <w:jc w:val="left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XX 01 02 01 (AC, END, INT a teljes keretből)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5,75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0,03</w:t>
            </w: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0,03</w:t>
            </w: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XX 01 02 02 (AC, AL, END, INT és JED a küldöttségeknél)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1070" w:type="pct"/>
            <w:vMerge w:val="restar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XX</w:t>
            </w:r>
            <w:r>
              <w:rPr>
                <w:noProof/>
                <w:sz w:val="16"/>
                <w:szCs w:val="16"/>
              </w:rPr>
              <w:t xml:space="preserve"> 01 04 </w:t>
            </w:r>
            <w:r>
              <w:rPr>
                <w:b/>
                <w:bCs/>
                <w:noProof/>
                <w:sz w:val="16"/>
                <w:szCs w:val="16"/>
              </w:rPr>
              <w:t>yy</w:t>
            </w:r>
            <w:r>
              <w:rPr>
                <w:b/>
                <w:bCs/>
                <w:i/>
                <w:iCs/>
                <w:noProof/>
                <w:sz w:val="16"/>
                <w:szCs w:val="16"/>
              </w:rPr>
              <w:t xml:space="preserve"> </w:t>
            </w:r>
            <w:r>
              <w:rPr>
                <w:rStyle w:val="FootnoteReference"/>
                <w:b/>
                <w:bCs/>
                <w:i/>
                <w:iCs/>
                <w:noProof/>
                <w:sz w:val="16"/>
                <w:szCs w:val="16"/>
              </w:rPr>
              <w:footnoteReference w:id="25"/>
            </w:r>
          </w:p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- a központban</w:t>
            </w:r>
          </w:p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0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1070" w:type="pct"/>
            <w:vMerge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- a küldöttségeknél 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0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XX</w:t>
            </w:r>
            <w:r>
              <w:rPr>
                <w:noProof/>
                <w:sz w:val="16"/>
                <w:szCs w:val="16"/>
              </w:rPr>
              <w:t> 01 05 02 (AC, END, INT közvetett kutatásban)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10 01 05 02 (AC, END, INT – közvetlen kutatásban)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Egyéb költségvetési sor (kérjük megnevezni)</w:t>
            </w:r>
          </w:p>
        </w:tc>
        <w:tc>
          <w:tcPr>
            <w:tcW w:w="67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7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gridBefore w:val="1"/>
          <w:wBefore w:w="7" w:type="pct"/>
          <w:trHeight w:val="292"/>
          <w:jc w:val="center"/>
        </w:trPr>
        <w:tc>
          <w:tcPr>
            <w:tcW w:w="2142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pStyle w:val="Text1"/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ÖSSZESEN</w:t>
            </w: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13,25</w:t>
            </w:r>
          </w:p>
        </w:tc>
        <w:tc>
          <w:tcPr>
            <w:tcW w:w="62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0,06</w:t>
            </w:r>
          </w:p>
        </w:tc>
        <w:tc>
          <w:tcPr>
            <w:tcW w:w="77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0,07</w:t>
            </w:r>
          </w:p>
        </w:tc>
      </w:tr>
    </w:tbl>
    <w:p>
      <w:pPr>
        <w:pStyle w:val="Text1"/>
        <w:spacing w:before="60" w:after="60"/>
        <w:ind w:left="851"/>
        <w:rPr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XX </w:t>
      </w:r>
      <w:r>
        <w:rPr>
          <w:noProof/>
          <w:sz w:val="18"/>
          <w:szCs w:val="18"/>
        </w:rPr>
        <w:t>az érintett szakpolitikai terület vagy költségvetési cím.</w:t>
      </w:r>
    </w:p>
    <w:p>
      <w:pPr>
        <w:pStyle w:val="Text1"/>
        <w:rPr>
          <w:noProof/>
          <w:sz w:val="18"/>
          <w:szCs w:val="18"/>
        </w:rPr>
      </w:pPr>
      <w:r>
        <w:rPr>
          <w:noProof/>
          <w:sz w:val="18"/>
        </w:rPr>
        <w:t>A humánerőforrás-igényeknek az adott főigazgatóság rendelkezésére álló, az intézkedés irányításához rendelt és/vagy az adott főigazgatóságon belül átcsoportosított személyzettel kell eleget tenni. A források adott esetben a meglévő költségvetési korlátok betartása mellett kiegészíthetők az éves elosztási eljárás keretében az irányító főigazgatósághoz rendelt további allokációkkal.</w:t>
      </w:r>
    </w:p>
    <w:p>
      <w:pPr>
        <w:rPr>
          <w:noProof/>
          <w:sz w:val="20"/>
        </w:rPr>
      </w:pPr>
      <w:r>
        <w:rPr>
          <w:noProof/>
          <w:sz w:val="20"/>
        </w:rPr>
        <w:t>Az elvégzendő feladatok leírása:</w:t>
      </w:r>
    </w:p>
    <w:tbl>
      <w:tblPr>
        <w:tblW w:w="1044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0"/>
      </w:tblGrid>
      <w:tr>
        <w:tc>
          <w:tcPr>
            <w:tcW w:w="3240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Tisztviselők és ideiglenes alkalmazottak</w:t>
            </w:r>
          </w:p>
        </w:tc>
        <w:tc>
          <w:tcPr>
            <w:tcW w:w="7200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Az ECFIN D. Igazgatóság igazgatója: A művelet felügyelete és irányítása; kapcsolattartás a Tanáccsal és a Parlamenttel a határozat elfogadása és az egyetértési megállapodás jóváhagyása kapcsán; tárgyalások folytatása a kedvezményezett hatóságaival az egyetértési megállapodásról, jelentések áttekintése; kiküldetések vezetése és a feltételeknek való megfelelés terén elért eredmények értékelése.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Az ECFIN D. Igazgatóság illetékes egységvezetője/egységvezető-helyettese: Az igazgató segítése az alábbiak tekintetében: a művelet irányítása, kapcsolattartás a Tanáccsal és a Parlamenttel a határozat elfogadása és az egyetértési megállapodás jóváhagyása kapcsán, tárgyalások a kedvezményezett hatóságaival az egyetértési megállapodásról és a hitelmegállapodásról (az L. Igazgatósággal együttműködésben), jelentések áttekintése és a feltételeknek való megfelelés terén elért eredmények értékelése. </w:t>
            </w:r>
          </w:p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Referens közgazdászok, Makroszintű Pénzügyi Támogatás szektor (ECFIN D. Igazgatóság): A határozat és az egyetértési megállapodás kidolgozása, kapcsolattartás a hatóságokkal és nemzetközi pénzügyi szervezetekkel, ellenőrző kiküldetések vezetése, bizottsági szolgálati jelentések készítése és a támogatás irányításával kapcsolatos bizottsági munkafolyamatok elvégzése, kapcsolattartás külső szakértőkkel a működési értékeléssel és az utólagos értékeléssel összefüggésben. </w:t>
            </w:r>
          </w:p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BUDG E. Igazgatóság (E1., E2. és E3. csoportok az igazgató felügyelete alatt): A hitelmegállapodás kidolgozása és annak megtárgyalása a kedvezményezett hatóságaival, valamint az illetékes bizottsági szolgálatok jóváhagyásának megszerzése és a felek általi aláírásának biztosítása. A hitelmegállapodás hatálybalépésének nyomon követése. A hitelfelvételi műveletekkel kapcsolatos bizottsági határozatok kidolgozása, forráslehívások benyújtásának nyomon követése, bankok kiválasztása, a finanszírozási műveletek előkészítése és végrehajtása, valamint a forrásoknak a kedvezményezett részére történő folyósítása. A hiteltörlesztés nyomon követésével kapcsolatos back office tevékenységek ellátása. Az említett tevékenységekkel kapcsolatos jelentések elkészítése.</w:t>
            </w:r>
          </w:p>
        </w:tc>
      </w:tr>
      <w:tr>
        <w:tc>
          <w:tcPr>
            <w:tcW w:w="3240" w:type="dxa"/>
          </w:tcPr>
          <w:p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Külső munkatársak</w:t>
            </w:r>
          </w:p>
        </w:tc>
        <w:tc>
          <w:tcPr>
            <w:tcW w:w="7200" w:type="dxa"/>
          </w:tcPr>
          <w:p>
            <w:pPr>
              <w:rPr>
                <w:noProof/>
                <w:sz w:val="20"/>
              </w:rPr>
            </w:pPr>
          </w:p>
        </w:tc>
      </w:tr>
    </w:tbl>
    <w:p>
      <w:pPr>
        <w:rPr>
          <w:noProof/>
        </w:rPr>
        <w:sectPr>
          <w:pgSz w:w="11907" w:h="16840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pStyle w:val="ManualHeading3"/>
        <w:rPr>
          <w:bCs/>
          <w:noProof/>
          <w:szCs w:val="24"/>
        </w:rPr>
      </w:pPr>
      <w:r>
        <w:t>3.2.4.</w:t>
      </w:r>
      <w:r>
        <w:tab/>
      </w:r>
      <w:r>
        <w:rPr>
          <w:noProof/>
        </w:rPr>
        <w:t xml:space="preserve">A jelenlegi többéves pénzügyi kerettel való összeegyeztethetőség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ab/>
        <w:t>A javaslat/kezdeményezés összeegyeztethető a jelenlegi többéves pénzügyi kerettel.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A javaslat/kezdeményezés miatt szükséges a többéves pénzügyi keret vonatkozó fejezetének átprogramozása.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</w:rPr>
      </w:pPr>
      <w:r>
        <w:rPr>
          <w:noProof/>
          <w:sz w:val="20"/>
        </w:rPr>
        <w:t>Fejtse ki, miként kell átprogramozni a pénzügyi keretet: tüntesse fel az érintett költségvetési sorokat és a megfelelő összegeket.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A javaslat/kezdeményezés miatt szükség van a rugalmassági eszköz alkalmazására vagy a többéves pénzügyi keret felülvizsgálatára.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</w:rPr>
      </w:pPr>
      <w:r>
        <w:rPr>
          <w:noProof/>
          <w:sz w:val="20"/>
        </w:rPr>
        <w:t>Fejtse ki a szükségleteket: tüntesse fel az érintett fejezeteket és költségvetési sorokat és a megfelelő összegeket.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pStyle w:val="ManualHeading3"/>
        <w:rPr>
          <w:bCs/>
          <w:noProof/>
          <w:szCs w:val="24"/>
        </w:rPr>
      </w:pPr>
      <w:r>
        <w:t>3.2.5.</w:t>
      </w:r>
      <w:r>
        <w:tab/>
      </w:r>
      <w:r>
        <w:rPr>
          <w:noProof/>
        </w:rPr>
        <w:t xml:space="preserve">Harmadik felek részvétele a finanszírozásban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 xml:space="preserve"> A javaslat/kezdeményezés nem irányoz elő harmadik felek általi társfinanszírozást. </w:t>
      </w:r>
    </w:p>
    <w:p>
      <w:pPr>
        <w:pStyle w:val="ListDash1"/>
        <w:rPr>
          <w:noProof/>
        </w:rPr>
      </w:pPr>
      <w:r>
        <w:rPr>
          <w:noProof/>
        </w:rPr>
        <w:t>A javaslat/kezdeményezés előirányoz társfinanszírozást az alábbi becslések szerint:</w:t>
      </w:r>
    </w:p>
    <w:p>
      <w:pPr>
        <w:jc w:val="right"/>
        <w:rPr>
          <w:noProof/>
          <w:sz w:val="20"/>
        </w:rPr>
      </w:pPr>
      <w:r>
        <w:rPr>
          <w:noProof/>
          <w:sz w:val="20"/>
        </w:rPr>
        <w:t>Előirányzatok, millió EUR (három tizedesjegyig)</w:t>
      </w:r>
    </w:p>
    <w:tbl>
      <w:tblPr>
        <w:tblW w:w="10246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964"/>
        <w:gridCol w:w="964"/>
        <w:gridCol w:w="964"/>
        <w:gridCol w:w="964"/>
        <w:gridCol w:w="964"/>
        <w:gridCol w:w="964"/>
        <w:gridCol w:w="964"/>
        <w:gridCol w:w="1158"/>
      </w:tblGrid>
      <w:tr>
        <w:trPr>
          <w:cantSplit/>
        </w:trPr>
        <w:tc>
          <w:tcPr>
            <w:tcW w:w="2340" w:type="dxa"/>
          </w:tcPr>
          <w:p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20"/>
              </w:rPr>
              <w:t>N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20"/>
              </w:rPr>
              <w:t>N+1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20"/>
              </w:rPr>
              <w:t>N+2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20"/>
              </w:rPr>
              <w:t>N+3</w:t>
            </w:r>
          </w:p>
        </w:tc>
        <w:tc>
          <w:tcPr>
            <w:tcW w:w="2892" w:type="dxa"/>
            <w:gridSpan w:val="3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</w:rPr>
              <w:t>A táblázat a hatás időtartamának megfelelően (vö. 1.6. pont) további évekkel bővíthető.</w:t>
            </w:r>
          </w:p>
        </w:tc>
        <w:tc>
          <w:tcPr>
            <w:tcW w:w="1158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Összesen</w:t>
            </w:r>
          </w:p>
        </w:tc>
      </w:tr>
      <w:tr>
        <w:trPr>
          <w:cantSplit/>
        </w:trPr>
        <w:tc>
          <w:tcPr>
            <w:tcW w:w="2340" w:type="dxa"/>
          </w:tcPr>
          <w:p>
            <w:pPr>
              <w:rPr>
                <w:noProof/>
                <w:sz w:val="22"/>
              </w:rPr>
            </w:pPr>
            <w:r>
              <w:rPr>
                <w:noProof/>
                <w:sz w:val="20"/>
              </w:rPr>
              <w:t>Tüntesse fel a társfinanszírozó szervet</w:t>
            </w:r>
            <w:r>
              <w:rPr>
                <w:i/>
                <w:noProof/>
                <w:sz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>
        <w:trPr>
          <w:cantSplit/>
        </w:trPr>
        <w:tc>
          <w:tcPr>
            <w:tcW w:w="2340" w:type="dxa"/>
          </w:tcPr>
          <w:p>
            <w:pPr>
              <w:spacing w:before="60" w:after="60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Társfinanszírozott előirányzatok ÖSSZESEN </w:t>
            </w: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br/>
      </w:r>
    </w:p>
    <w:p>
      <w:pPr>
        <w:pStyle w:val="ManualHeading2"/>
        <w:rPr>
          <w:bCs/>
          <w:noProof/>
          <w:szCs w:val="24"/>
        </w:rPr>
      </w:pPr>
      <w:r>
        <w:rPr>
          <w:noProof/>
        </w:rPr>
        <w:br w:type="page"/>
      </w:r>
      <w:r>
        <w:t>3.3.</w:t>
      </w:r>
      <w:r>
        <w:tab/>
      </w:r>
      <w:r>
        <w:rPr>
          <w:noProof/>
        </w:rPr>
        <w:t xml:space="preserve">A bevételre gyakorolt becsült hatás </w:t>
      </w:r>
    </w:p>
    <w:p>
      <w:pPr>
        <w:pStyle w:val="ListDash1"/>
        <w:rPr>
          <w:noProof/>
        </w:rPr>
      </w:pPr>
      <w:r>
        <w:rPr>
          <w:b/>
          <w:noProof/>
        </w:rPr>
        <w:t>X</w:t>
      </w:r>
      <w:r>
        <w:rPr>
          <w:noProof/>
        </w:rPr>
        <w:tab/>
        <w:t>A javaslatnak/kezdeményezésnek nincs pénzügyi hatása a bevételre.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A javaslatnak/kezdeményezésnek van pénzügyi hatása – a bevételre gyakorolt hatása a következő: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 a saját forrásokra gyakorol hatást </w:t>
      </w:r>
    </w:p>
    <w:p>
      <w:pPr>
        <w:pStyle w:val="ListDash1"/>
        <w:rPr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a javaslat az egyéb bevételekre gyakorol hatást </w:t>
      </w:r>
    </w:p>
    <w:p>
      <w:pPr>
        <w:jc w:val="right"/>
        <w:rPr>
          <w:i/>
          <w:noProof/>
          <w:sz w:val="20"/>
        </w:rPr>
      </w:pPr>
      <w:r>
        <w:rPr>
          <w:noProof/>
        </w:rPr>
        <w:t>millió EUR (három tizedesjegyig)</w:t>
      </w: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276"/>
        <w:gridCol w:w="1080"/>
        <w:gridCol w:w="900"/>
        <w:gridCol w:w="900"/>
        <w:gridCol w:w="1080"/>
        <w:gridCol w:w="1080"/>
        <w:gridCol w:w="1080"/>
        <w:gridCol w:w="1080"/>
      </w:tblGrid>
      <w:tr>
        <w:trPr>
          <w:trHeight w:val="388"/>
        </w:trPr>
        <w:tc>
          <w:tcPr>
            <w:tcW w:w="2144" w:type="dxa"/>
            <w:vMerge w:val="restart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Bevételi költségvetési sor: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Az aktuális költségvetési évben rendelkezésre álló előirányzatok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 javaslat/kezdeményezés hatása</w:t>
            </w:r>
            <w:r>
              <w:rPr>
                <w:rStyle w:val="FootnoteReference"/>
                <w:noProof/>
                <w:sz w:val="18"/>
                <w:szCs w:val="18"/>
              </w:rPr>
              <w:footnoteReference w:id="26"/>
            </w:r>
          </w:p>
        </w:tc>
      </w:tr>
      <w:tr>
        <w:trPr>
          <w:trHeight w:val="388"/>
        </w:trPr>
        <w:tc>
          <w:tcPr>
            <w:tcW w:w="2144" w:type="dxa"/>
            <w:vMerge/>
          </w:tcPr>
          <w:p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>
            <w:pPr>
              <w:spacing w:beforeLines="40" w:before="96" w:afterLines="40" w:after="96"/>
              <w:rPr>
                <w:i/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8"/>
              </w:rPr>
              <w:t>N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8"/>
              </w:rPr>
              <w:t>N+1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8"/>
              </w:rPr>
              <w:t>N+2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Év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>
              <w:rPr>
                <w:b/>
                <w:noProof/>
                <w:sz w:val="18"/>
              </w:rPr>
              <w:t>N+3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A táblázat a hatás időtartamának megfelelően (vö. 1.6. pont) további évekkel bővíthető.</w:t>
            </w:r>
          </w:p>
        </w:tc>
      </w:tr>
      <w:tr>
        <w:trPr>
          <w:trHeight w:val="388"/>
        </w:trPr>
        <w:tc>
          <w:tcPr>
            <w:tcW w:w="2144" w:type="dxa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… jogcímcsoport</w:t>
            </w:r>
          </w:p>
        </w:tc>
        <w:tc>
          <w:tcPr>
            <w:tcW w:w="1276" w:type="dxa"/>
          </w:tcPr>
          <w:p>
            <w:pPr>
              <w:spacing w:beforeLines="40" w:before="96" w:afterLines="40" w:after="96"/>
              <w:jc w:val="center"/>
              <w:rPr>
                <w:i/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>
      <w:pPr>
        <w:pStyle w:val="Text1"/>
        <w:rPr>
          <w:noProof/>
          <w:sz w:val="20"/>
        </w:rPr>
      </w:pPr>
      <w:r>
        <w:rPr>
          <w:noProof/>
          <w:sz w:val="20"/>
        </w:rPr>
        <w:t>Az egyéb címzett bevételek esetében tüntesse fel az érintett kiadáshoz tartozó költségvetési tétel(eke)t.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>
      <w:pPr>
        <w:pStyle w:val="Text1"/>
        <w:rPr>
          <w:noProof/>
          <w:sz w:val="20"/>
        </w:rPr>
      </w:pPr>
      <w:r>
        <w:rPr>
          <w:noProof/>
          <w:sz w:val="20"/>
        </w:rPr>
        <w:t>Ismertesse a bevételre gyakorolt hatás számításának módszerét.</w:t>
      </w:r>
    </w:p>
    <w:p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tab/>
        <w:t>Ez a megnevezés nem érinti a jogállással kapcsolatos álláspontokat, továbbá összhangban van az 1244 (1999) sz. ENSZ BT-határozattal és a Nemzetközi Bíróságnak a koszovói függetlenségi nyilatkozatról szóló véleményével.</w:t>
      </w:r>
    </w:p>
  </w:footnote>
  <w:footnote w:id="3">
    <w:p>
      <w:pPr>
        <w:pStyle w:val="FootnoteText"/>
        <w:keepLines/>
      </w:pPr>
      <w:r>
        <w:rPr>
          <w:rStyle w:val="FootnoteReference"/>
        </w:rPr>
        <w:footnoteRef/>
      </w:r>
      <w:r>
        <w:tab/>
        <w:t>Jordánia tekintetében a Bizottság ezt a csoportos MFA-határozatot – annak gyors elfogadása esetén – a 2020 januárjában elfogadott 500 millió EUR összegű makroszintű pénzügyi támogatással együtt kívánja végrehajtani. Ez azt jelentené, hogy Jordániával egyetlen egyetértési megállapodást kellene kötni, amelynek keretében az első és a második folyósítás mind a két határozat hitelét, a harmadik folyósítás viszont csak a 2020. januári határozat hitelét venné igénybe. A két határozat rendelkezésreállási idejét egyaránt be kellene tartani.</w:t>
      </w:r>
    </w:p>
  </w:footnote>
  <w:footnote w:id="4">
    <w:p>
      <w:pPr>
        <w:pStyle w:val="FootnoteText"/>
        <w:keepLines/>
      </w:pPr>
      <w:r>
        <w:rPr>
          <w:rStyle w:val="FootnoteReference"/>
        </w:rPr>
        <w:footnoteRef/>
      </w:r>
      <w:r>
        <w:tab/>
        <w:t xml:space="preserve">A Tanács 2009/480/EK, Euratom rendelete (2009. május 25.) a külső fellépésekre vonatkozó garanciaalap létrehozásáról (HL L 145., 2009.6.10., 10. o.). </w:t>
      </w:r>
    </w:p>
  </w:footnote>
  <w:footnote w:id="5">
    <w:p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tab/>
        <w:t>Ez a megnevezés nem érinti a jogállással kapcsolatos álláspontokat, továbbá összhangban van az 1244 (1999) sz. ENSZ BT-határozattal és a Nemzetközi Bíróságnak a koszovói függetlenségi nyilatkozatról szóló véleményével.</w:t>
      </w:r>
    </w:p>
  </w:footnote>
  <w:footnote w:id="6">
    <w:p>
      <w:pPr>
        <w:pStyle w:val="FootnoteText"/>
        <w:keepLines/>
        <w:ind w:left="709" w:hanging="709"/>
      </w:pPr>
      <w:r>
        <w:rPr>
          <w:rStyle w:val="FootnoteReference"/>
        </w:rPr>
        <w:footnoteRef/>
      </w:r>
      <w:r>
        <w:tab/>
        <w:t>Az Európai Parlament és a Tanács 182/2011/EU rendelete (2011. február 16.) a Bizottság végrehajtási hatásköreinek gyakorlására vonatkozó tagállami ellenőrzési mechanizmusok szabályainak és általános elveinek megállapításáról (HL L 55., 2011.2.28., 13. o.).</w:t>
      </w:r>
    </w:p>
  </w:footnote>
  <w:footnote w:id="7">
    <w:p>
      <w:pPr>
        <w:pStyle w:val="FootnoteText"/>
        <w:keepLines/>
        <w:ind w:left="709" w:hanging="709"/>
      </w:pPr>
      <w:r>
        <w:rPr>
          <w:rStyle w:val="FootnoteReference"/>
        </w:rPr>
        <w:footnoteRef/>
      </w:r>
      <w:r>
        <w:tab/>
        <w:t>A Tanács 2010/427/EU határozata (2010. július 26.) az Európai Külügyi Szolgálat szervezetének és működésének a megállapításáról (HL L 201., 2010.8.3., 30. o.).</w:t>
      </w:r>
    </w:p>
  </w:footnote>
  <w:footnote w:id="8">
    <w:p>
      <w:pPr>
        <w:pStyle w:val="FootnoteText"/>
        <w:keepLines/>
        <w:ind w:left="709" w:hanging="709"/>
      </w:pPr>
      <w:r>
        <w:rPr>
          <w:rStyle w:val="FootnoteReference"/>
        </w:rPr>
        <w:footnoteRef/>
      </w:r>
      <w:r>
        <w:tab/>
        <w:t>A Tanács 2009/480/EK, Euratom rendelete (2009. május 25.) a külső fellépésekre vonatkozó garanciaalap létrehozásáról (HL L 145., 2009.6.10., 10. o.).</w:t>
      </w:r>
    </w:p>
  </w:footnote>
  <w:footnote w:id="9">
    <w:p>
      <w:pPr>
        <w:pStyle w:val="FootnoteText"/>
        <w:keepLines/>
        <w:spacing w:after="120"/>
      </w:pPr>
      <w:r>
        <w:rPr>
          <w:rStyle w:val="FootnoteReference"/>
        </w:rPr>
        <w:footnoteRef/>
      </w:r>
      <w:r>
        <w:tab/>
        <w:t>Az Európai Parlament és a Tanács (EU, Euratom) 2018/1046 rendelete (2018. július 18.) az Unió általános költségvetésére alkalmazandó pénzügyi szabályokról és a 966/2012/EU, Euratom rendelet hatályon kívül helyezéséről (HL L 193., 2018.7.30., 1. o.).</w:t>
      </w:r>
    </w:p>
  </w:footnote>
  <w:footnote w:id="10">
    <w:p>
      <w:pPr>
        <w:pStyle w:val="FootnoteText"/>
        <w:keepLines/>
        <w:spacing w:after="120"/>
      </w:pPr>
      <w:r>
        <w:rPr>
          <w:rStyle w:val="FootnoteReference"/>
        </w:rPr>
        <w:footnoteRef/>
      </w:r>
      <w:r>
        <w:tab/>
        <w:t>A Tanács 2988/95/EK, Euratom rendelete (1995. december 18.) az Európai Közösségek pénzügyi érdekeinek védelméről (HL L 312., 1995.12.23., 1. o.).</w:t>
      </w:r>
    </w:p>
  </w:footnote>
  <w:footnote w:id="11">
    <w:p>
      <w:pPr>
        <w:pStyle w:val="FootnoteText"/>
        <w:keepLines/>
        <w:spacing w:after="120"/>
      </w:pPr>
      <w:r>
        <w:rPr>
          <w:rStyle w:val="FootnoteReference"/>
        </w:rPr>
        <w:footnoteRef/>
      </w:r>
      <w:r>
        <w:tab/>
        <w:t>A Tanács 2185/96/Euratom, EK rendelete (1996. november 11.) az Európai Közösségek pénzügyi érdekeinek csalással és egyéb szabálytalanságokkal szembeni védelmében a Bizottság által végzett helyszíni ellenőrzésekről és vizsgálatokról (HL L 292., 1996.11.15., 2. o.).</w:t>
      </w:r>
    </w:p>
  </w:footnote>
  <w:footnote w:id="12">
    <w:p>
      <w:pPr>
        <w:pStyle w:val="FootnoteText"/>
        <w:keepLines/>
        <w:spacing w:after="120"/>
      </w:pPr>
      <w:r>
        <w:rPr>
          <w:rStyle w:val="FootnoteReference"/>
        </w:rPr>
        <w:footnoteRef/>
      </w:r>
      <w:r>
        <w:tab/>
      </w:r>
      <w:r>
        <w:rPr>
          <w:color w:val="000000"/>
        </w:rPr>
        <w:t>Az Európai Parlament és a Tanács 883/2013/EU, Euratom rendelete</w:t>
      </w:r>
      <w:r>
        <w:t xml:space="preserve"> (2013. szeptember 11.) az Európai Csalás Elleni Hivatal (OLAF) által lefolytatott vizsgálatokról, valamint az 1073/1999/EK európai parlamenti és tanácsi rendelet és az 1074/1999/Euratom tanácsi rendelet hatályon kívül helyezéséről (HL L 248., 2013.9.18., 1. o.).</w:t>
      </w:r>
    </w:p>
  </w:footnote>
  <w:footnote w:id="13">
    <w:p>
      <w:pPr>
        <w:pStyle w:val="FootnoteText"/>
        <w:keepLines/>
      </w:pPr>
      <w:r>
        <w:rPr>
          <w:rStyle w:val="FootnoteReference"/>
        </w:rPr>
        <w:footnoteRef/>
      </w:r>
      <w:r>
        <w:tab/>
        <w:t>A Tanács (EU) 2017/1939 rendelete (2017. október 12.) az Európai Ügyészség létrehozására vonatkozó megerősített együttműködés bevezetéséről (HL L 283., 2017.10.31., 1. o.).</w:t>
      </w:r>
    </w:p>
  </w:footnote>
  <w:footnote w:id="14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ABM (Activity Based Management): tevékenységalapú irányítás, ABB (Activity Based Management): tevékenységalapú költségvetés-tervezés.</w:t>
      </w:r>
    </w:p>
  </w:footnote>
  <w:footnote w:id="15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 költségvetési rendelet 54. cikke (2) bekezdésének a) vagy b) pontja szerint.</w:t>
      </w:r>
    </w:p>
  </w:footnote>
  <w:footnote w:id="16">
    <w:p>
      <w:pPr>
        <w:pStyle w:val="FootnoteText"/>
        <w:keepLines/>
      </w:pPr>
      <w:r>
        <w:rPr>
          <w:rStyle w:val="FootnoteReference"/>
        </w:rPr>
        <w:footnoteRef/>
      </w:r>
      <w:r>
        <w:tab/>
        <w:t xml:space="preserve">Az egyes irányítási módszerek ismertetése, valamint a költségvetési rendeletre való megfelelő hivatkozások megtalálhatók a BudgWeb oldalon: </w:t>
      </w:r>
      <w:hyperlink r:id="rId1" w:history="1">
        <w:r>
          <w:rPr>
            <w:rStyle w:val="Hyperlink"/>
          </w:rPr>
          <w:t>http://www.cc.cec/budg/man/budgmanag/budgmanag_hu.html</w:t>
        </w:r>
      </w:hyperlink>
    </w:p>
  </w:footnote>
  <w:footnote w:id="17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Diff. = Differenciált előirányzatok / Nem diff. = Nem differenciált előirányzatok.</w:t>
      </w:r>
    </w:p>
  </w:footnote>
  <w:footnote w:id="18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EFTA: Európai Szabadkereskedelmi Társulás.</w:t>
      </w:r>
    </w:p>
  </w:footnote>
  <w:footnote w:id="19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Tagjelölt országok és adott esetben a nyugat-balkáni potenciális tagjelöltek.</w:t>
      </w:r>
    </w:p>
  </w:footnote>
  <w:footnote w:id="20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Technikai és/vagy igazgatási segítségnyújtás, valamint uniós programok és/vagy intézkedések végrehajtásához biztosított támogatási kiadások (korábban: BA-tételek), közvetett kutatás, közvetlen kutatás.</w:t>
      </w:r>
    </w:p>
  </w:footnote>
  <w:footnote w:id="21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 kimenetek a nyújtandó termékek és szolgáltatások (pl. finanszírozott diákcserék száma, épített utak hossza kilométerben stb.).</w:t>
      </w:r>
    </w:p>
  </w:footnote>
  <w:footnote w:id="22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Az 1.4.2. szakasznak („Konkrét célkitűzés”) megfelelően.</w:t>
      </w:r>
    </w:p>
  </w:footnote>
  <w:footnote w:id="23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Technikai és/vagy igazgatási segítségnyújtás, valamint uniós programok és/vagy intézkedések végrehajtásához biztosított támogatási kiadások (korábban: BA-tételek), közvetett kutatás, közvetlen kutatás.</w:t>
      </w:r>
    </w:p>
  </w:footnote>
  <w:footnote w:id="24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AC = szerződéses alkalmazott; AL = helyi alkalmazott; END = kirendelt nemzeti szakértő; INT = kölcsönmunkaerő (átmeneti alkalmazott); JED = küldöttségi pályakezdő szakértő.</w:t>
      </w:r>
    </w:p>
  </w:footnote>
  <w:footnote w:id="25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Az operatív előirányzatokból finanszírozott külső munkatársakra vonatkozó részleges felső határérték (korábban: BA-tételek).</w:t>
      </w:r>
    </w:p>
  </w:footnote>
  <w:footnote w:id="26">
    <w:p>
      <w:pPr>
        <w:pStyle w:val="FootnoteText"/>
        <w:keepLines/>
        <w:rPr>
          <w:szCs w:val="24"/>
        </w:rPr>
      </w:pPr>
      <w:r>
        <w:rPr>
          <w:rStyle w:val="FootnoteReference"/>
        </w:rPr>
        <w:footnoteRef/>
      </w:r>
      <w:r>
        <w:tab/>
        <w:t>A tradicionális saját források (vámok, cukorilletékek) tekintetében nettó összeget kell megadni, amely a 25 %-kal (beszedési költségek) csökkentett bruttó összegeknek felel meg.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8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3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4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5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6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3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5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8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5"/>
  </w:num>
  <w:num w:numId="5">
    <w:abstractNumId w:val="14"/>
  </w:num>
  <w:num w:numId="6">
    <w:abstractNumId w:val="25"/>
  </w:num>
  <w:num w:numId="7">
    <w:abstractNumId w:val="22"/>
  </w:num>
  <w:num w:numId="8">
    <w:abstractNumId w:val="26"/>
  </w:num>
  <w:num w:numId="9">
    <w:abstractNumId w:val="27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 w:numId="14">
    <w:abstractNumId w:val="8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3"/>
    <w:lvlOverride w:ilvl="0">
      <w:startOverride w:val="1"/>
      <w:lvl w:ilvl="0">
        <w:start w:val="1"/>
        <w:numFmt w:val="decimal"/>
        <w:lvlRestart w:val="0"/>
        <w:pStyle w:val="Point0number"/>
        <w:lvlText w:val="(%1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oint0letter"/>
        <w:lvlText w:val="(%2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oint1number"/>
        <w:lvlText w:val="(%3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Point1letter"/>
        <w:lvlText w:val="(%4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Point2number"/>
        <w:lvlText w:val="(%5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Point2letter"/>
        <w:lvlText w:val="(%6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Point3number"/>
        <w:lvlText w:val="(%7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Point3letter"/>
        <w:lvlText w:val="(%8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Letter"/>
        <w:pStyle w:val="Point4letter"/>
        <w:lvlText w:val="(%9)"/>
        <w:lvlJc w:val="left"/>
        <w:pPr>
          <w:tabs>
            <w:tab w:val="num" w:pos="3118"/>
          </w:tabs>
          <w:ind w:left="3118" w:hanging="567"/>
        </w:pPr>
        <w:rPr>
          <w:rFonts w:hint="default"/>
        </w:rPr>
      </w:lvl>
    </w:lvlOverride>
  </w:num>
  <w:num w:numId="20">
    <w:abstractNumId w:val="3"/>
    <w:lvlOverride w:ilvl="0">
      <w:startOverride w:val="1"/>
      <w:lvl w:ilvl="0">
        <w:start w:val="1"/>
        <w:numFmt w:val="decimal"/>
        <w:lvlRestart w:val="0"/>
        <w:pStyle w:val="Point0number"/>
        <w:lvlText w:val="(%1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oint0letter"/>
        <w:lvlText w:val="(%2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oint1number"/>
        <w:lvlText w:val="(%3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Point1letter"/>
        <w:lvlText w:val="(%4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Point2number"/>
        <w:lvlText w:val="(%5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Point2letter"/>
        <w:lvlText w:val="(%6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Point3number"/>
        <w:lvlText w:val="(%7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Point3letter"/>
        <w:lvlText w:val="(%8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Letter"/>
        <w:pStyle w:val="Point4letter"/>
        <w:lvlText w:val="(%9)"/>
        <w:lvlJc w:val="left"/>
        <w:pPr>
          <w:tabs>
            <w:tab w:val="num" w:pos="3118"/>
          </w:tabs>
          <w:ind w:left="3118" w:hanging="567"/>
        </w:pPr>
        <w:rPr>
          <w:rFonts w:hint="default"/>
        </w:rPr>
      </w:lvl>
    </w:lvlOverride>
  </w:num>
  <w:num w:numId="21">
    <w:abstractNumId w:val="3"/>
    <w:lvlOverride w:ilvl="0">
      <w:startOverride w:val="1"/>
      <w:lvl w:ilvl="0">
        <w:start w:val="1"/>
        <w:numFmt w:val="decimal"/>
        <w:lvlRestart w:val="0"/>
        <w:pStyle w:val="Point0number"/>
        <w:lvlText w:val="(%1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oint0letter"/>
        <w:lvlText w:val="(%2)"/>
        <w:lvlJc w:val="left"/>
        <w:pPr>
          <w:tabs>
            <w:tab w:val="num" w:pos="850"/>
          </w:tabs>
          <w:ind w:left="850" w:hanging="85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oint1number"/>
        <w:lvlText w:val="(%3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Point1letter"/>
        <w:lvlText w:val="(%4)"/>
        <w:lvlJc w:val="left"/>
        <w:pPr>
          <w:tabs>
            <w:tab w:val="num" w:pos="1417"/>
          </w:tabs>
          <w:ind w:left="1417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Point2number"/>
        <w:lvlText w:val="(%5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Point2letter"/>
        <w:lvlText w:val="(%6)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Point3number"/>
        <w:lvlText w:val="(%7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Point3letter"/>
        <w:lvlText w:val="(%8)"/>
        <w:lvlJc w:val="left"/>
        <w:pPr>
          <w:tabs>
            <w:tab w:val="num" w:pos="2551"/>
          </w:tabs>
          <w:ind w:left="2551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Letter"/>
        <w:pStyle w:val="Point4letter"/>
        <w:lvlText w:val="(%9)"/>
        <w:lvlJc w:val="left"/>
        <w:pPr>
          <w:tabs>
            <w:tab w:val="num" w:pos="3118"/>
          </w:tabs>
          <w:ind w:left="3118" w:hanging="567"/>
        </w:pPr>
        <w:rPr>
          <w:rFonts w:hint="default"/>
        </w:rPr>
      </w:lvl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4"/>
  </w:num>
  <w:num w:numId="29">
    <w:abstractNumId w:val="6"/>
  </w:num>
  <w:num w:numId="30">
    <w:abstractNumId w:val="12"/>
  </w:num>
  <w:num w:numId="31">
    <w:abstractNumId w:val="4"/>
  </w:num>
  <w:num w:numId="32">
    <w:abstractNumId w:val="23"/>
  </w:num>
  <w:num w:numId="33">
    <w:abstractNumId w:val="3"/>
  </w:num>
  <w:num w:numId="34">
    <w:abstractNumId w:val="13"/>
  </w:num>
  <w:num w:numId="35">
    <w:abstractNumId w:val="19"/>
  </w:num>
  <w:num w:numId="36">
    <w:abstractNumId w:val="20"/>
  </w:num>
  <w:num w:numId="37">
    <w:abstractNumId w:val="5"/>
  </w:num>
  <w:num w:numId="38">
    <w:abstractNumId w:val="17"/>
  </w:num>
  <w:num w:numId="39">
    <w:abstractNumId w:val="28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4-27 17:25:4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2"/>
    <w:docVar w:name="DQCResult_LinkedStyles" w:val="0;0"/>
    <w:docVar w:name="DQCResult_ModifiedMargins" w:val="0;6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C0E7D0FA-F47A-4741-89E5-AA29EE53258E"/>
    <w:docVar w:name="LW_COVERPAGE_TYPE" w:val="1"/>
    <w:docVar w:name="LW_CROSSREFERENCE" w:val="{SWD(2020) 63 final}"/>
    <w:docVar w:name="LW_DocType" w:val="COM"/>
    <w:docVar w:name="LW_EMISSION" w:val="2020.4.22."/>
    <w:docVar w:name="LW_EMISSION_ISODATE" w:val="2020-04-22"/>
    <w:docVar w:name="LW_EMISSION_LOCATION" w:val="BRX"/>
    <w:docVar w:name="LW_EMISSION_PREFIX" w:val="Brüsszel, "/>
    <w:docVar w:name="LW_EMISSION_SUFFIX" w:val=" "/>
    <w:docVar w:name="LW_ID_DOCMODEL" w:val="SJ-025"/>
    <w:docVar w:name="LW_ID_DOCSIGNATURE" w:val="SJ-025"/>
    <w:docVar w:name="LW_ID_DOCSTRUCTURE" w:val="COM/PL/ORG"/>
    <w:docVar w:name="LW_ID_DOCTYPE" w:val="SJ-025"/>
    <w:docVar w:name="LW_ID_EXP.MOTIFS.NEW" w:val="EM_PL_"/>
    <w:docVar w:name="LW_ID_STATUT" w:val="SJ-025"/>
    <w:docVar w:name="LW_INTERETEEE.CP" w:val="&lt;UNUSED&gt;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65"/>
    <w:docVar w:name="LW_REF.II.NEW.CP_YEAR" w:val="2020"/>
    <w:docVar w:name="LW_REF.INST.NEW" w:val="COM"/>
    <w:docVar w:name="LW_REF.INST.NEW_ADOPTED" w:val="final"/>
    <w:docVar w:name="LW_REF.INST.NEW_TEXT" w:val="(2020) 16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Javaslat"/>
    <w:docVar w:name="LW_SUPERTITRE" w:val="&lt;UNUSED&gt;"/>
    <w:docVar w:name="LW_TITRE.OBJ.CP" w:val="a Covid19-világjárvány okozta válsággal összefüggésben a b\u337?vítési és a szomszédságpolitikai partnerek számára makroszint\u369? pénzügyi támogatás nyújtásáról _x000b_"/>
    <w:docVar w:name="LW_TYPE.DOC.CP" w:val="AZ EURÓPAI PARLAMENT ÉS A TANÁCS HATÁROZAT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u-HU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pPr>
      <w:numPr>
        <w:numId w:val="2"/>
      </w:numPr>
    </w:pPr>
    <w:rPr>
      <w:rFonts w:eastAsia="Times New Roman"/>
      <w:lang w:eastAsia="de-DE"/>
    </w:rPr>
  </w:style>
  <w:style w:type="paragraph" w:styleId="ListNumber">
    <w:name w:val="List Number"/>
    <w:basedOn w:val="Normal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hu-HU" w:eastAsia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eastAsia="Times New Roman" w:hAnsi="Times New Roman" w:cs="Times New Roman"/>
      <w:b/>
      <w:bCs/>
      <w:sz w:val="20"/>
      <w:szCs w:val="20"/>
      <w:lang w:val="hu-HU" w:eastAsia="en-GB"/>
    </w:rPr>
  </w:style>
  <w:style w:type="paragraph" w:styleId="BalloonText">
    <w:name w:val="Balloon Text"/>
    <w:basedOn w:val="Normal"/>
    <w:link w:val="BalloonTextChar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val="hu-HU" w:eastAsia="en-GB"/>
    </w:rPr>
  </w:style>
  <w:style w:type="paragraph" w:styleId="Caption">
    <w:name w:val="caption"/>
    <w:basedOn w:val="Normal"/>
    <w:next w:val="Normal"/>
    <w:qFormat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Pr>
      <w:rFonts w:eastAsia="Times New Roman"/>
      <w:lang w:eastAsia="en-GB"/>
    </w:rPr>
  </w:style>
  <w:style w:type="character" w:styleId="PageNumber">
    <w:name w:val="page number"/>
  </w:style>
  <w:style w:type="character" w:customStyle="1" w:styleId="tw4winMark">
    <w:name w:val="tw4winMark"/>
    <w:rPr>
      <w:vanish/>
      <w:color w:val="800080"/>
      <w:vertAlign w:val="sub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character" w:styleId="Emphasis">
    <w:name w:val="Emphasis"/>
    <w:uiPriority w:val="20"/>
    <w:qFormat/>
    <w:rPr>
      <w:i/>
    </w:rPr>
  </w:style>
  <w:style w:type="paragraph" w:customStyle="1" w:styleId="Normal12Hanging">
    <w:name w:val="Normal12Hanging"/>
    <w:basedOn w:val="Normal"/>
    <w:pPr>
      <w:widowControl w:val="0"/>
      <w:spacing w:before="0" w:after="240"/>
      <w:ind w:left="357" w:hanging="357"/>
      <w:jc w:val="left"/>
    </w:pPr>
    <w:rPr>
      <w:rFonts w:eastAsia="Times New Roman"/>
      <w:szCs w:val="20"/>
      <w:lang w:eastAsia="en-GB"/>
    </w:rPr>
  </w:style>
  <w:style w:type="paragraph" w:customStyle="1" w:styleId="Normal6">
    <w:name w:val="Normal6"/>
    <w:basedOn w:val="Normal"/>
    <w:pPr>
      <w:widowControl w:val="0"/>
      <w:spacing w:before="0"/>
      <w:jc w:val="left"/>
    </w:pPr>
    <w:rPr>
      <w:rFonts w:eastAsia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u-HU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pPr>
      <w:numPr>
        <w:numId w:val="2"/>
      </w:numPr>
    </w:pPr>
    <w:rPr>
      <w:rFonts w:eastAsia="Times New Roman"/>
      <w:lang w:eastAsia="de-DE"/>
    </w:rPr>
  </w:style>
  <w:style w:type="paragraph" w:styleId="ListNumber">
    <w:name w:val="List Number"/>
    <w:basedOn w:val="Normal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hu-HU" w:eastAsia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eastAsia="Times New Roman" w:hAnsi="Times New Roman" w:cs="Times New Roman"/>
      <w:b/>
      <w:bCs/>
      <w:sz w:val="20"/>
      <w:szCs w:val="20"/>
      <w:lang w:val="hu-HU" w:eastAsia="en-GB"/>
    </w:rPr>
  </w:style>
  <w:style w:type="paragraph" w:styleId="BalloonText">
    <w:name w:val="Balloon Text"/>
    <w:basedOn w:val="Normal"/>
    <w:link w:val="BalloonTextChar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val="hu-HU" w:eastAsia="en-GB"/>
    </w:rPr>
  </w:style>
  <w:style w:type="paragraph" w:styleId="Caption">
    <w:name w:val="caption"/>
    <w:basedOn w:val="Normal"/>
    <w:next w:val="Normal"/>
    <w:qFormat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Pr>
      <w:rFonts w:eastAsia="Times New Roman"/>
      <w:lang w:eastAsia="en-GB"/>
    </w:rPr>
  </w:style>
  <w:style w:type="character" w:styleId="PageNumber">
    <w:name w:val="page number"/>
  </w:style>
  <w:style w:type="character" w:customStyle="1" w:styleId="tw4winMark">
    <w:name w:val="tw4winMark"/>
    <w:rPr>
      <w:vanish/>
      <w:color w:val="800080"/>
      <w:vertAlign w:val="sub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character" w:styleId="Emphasis">
    <w:name w:val="Emphasis"/>
    <w:uiPriority w:val="20"/>
    <w:qFormat/>
    <w:rPr>
      <w:i/>
    </w:rPr>
  </w:style>
  <w:style w:type="paragraph" w:customStyle="1" w:styleId="Normal12Hanging">
    <w:name w:val="Normal12Hanging"/>
    <w:basedOn w:val="Normal"/>
    <w:pPr>
      <w:widowControl w:val="0"/>
      <w:spacing w:before="0" w:after="240"/>
      <w:ind w:left="357" w:hanging="357"/>
      <w:jc w:val="left"/>
    </w:pPr>
    <w:rPr>
      <w:rFonts w:eastAsia="Times New Roman"/>
      <w:szCs w:val="20"/>
      <w:lang w:eastAsia="en-GB"/>
    </w:rPr>
  </w:style>
  <w:style w:type="paragraph" w:customStyle="1" w:styleId="Normal6">
    <w:name w:val="Normal6"/>
    <w:basedOn w:val="Normal"/>
    <w:pPr>
      <w:widowControl w:val="0"/>
      <w:spacing w:before="0"/>
      <w:jc w:val="left"/>
    </w:pPr>
    <w:rPr>
      <w:rFonts w:eastAsia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info/evaluation-reports-economic-and-financial-affairs-policies-and-spending-activities_en" TargetMode="Externa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.cec/budg/man/budgmanag/budgmanag_hu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TRANSFERRED_BY xmlns="b41e250c-6265-4c57-a190-cee75543d3d9" xsi:nil="true"/>
    <EC_ARES_DATE_TRANSFERRED xmlns="b41e250c-6265-4c57-a190-cee75543d3d9" xsi:nil="true"/>
    <EC_Collab_DocumentLanguage xmlns="b41e250c-6265-4c57-a190-cee75543d3d9">EN</EC_Collab_DocumentLanguage>
    <EC_Collab_Reference xmlns="b41e250c-6265-4c57-a190-cee75543d3d9" xsi:nil="true"/>
    <EC_Collab_Status xmlns="b41e250c-6265-4c57-a190-cee75543d3d9">Not Started</EC_Collab_Status>
    <EC_ARES_NUMBER xmlns="b41e250c-6265-4c57-a190-cee75543d3d9">
      <Url xsi:nil="true"/>
      <Description xsi:nil="true"/>
    </EC_ARES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FAB51066B5F28A46A4A4A8C4D1F4A061" ma:contentTypeVersion="4" ma:contentTypeDescription="Create a new document in this library." ma:contentTypeScope="" ma:versionID="74079fdd1a6e7fb88bd8d56612fdcbf1">
  <xsd:schema xmlns:xsd="http://www.w3.org/2001/XMLSchema" xmlns:xs="http://www.w3.org/2001/XMLSchema" xmlns:p="http://schemas.microsoft.com/office/2006/metadata/properties" xmlns:ns3="b41e250c-6265-4c57-a190-cee75543d3d9" targetNamespace="http://schemas.microsoft.com/office/2006/metadata/properties" ma:root="true" ma:fieldsID="abfff5b2bfd4cf8421c7df67fd5afd37" ns3:_="">
    <xsd:import namespace="b41e250c-6265-4c57-a190-cee75543d3d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  <xsd:element ref="ns3:EC_ARES_NUMBER" minOccurs="0"/>
                <xsd:element ref="ns3:EC_ARES_DATE_TRANSFERRED" minOccurs="0"/>
                <xsd:element ref="ns3:EC_ARES_TRANSFERRED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e250c-6265-4c57-a190-cee75543d3d9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EC_ARES_NUMBER" ma:index="15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16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17" nillable="true" ma:displayName="Transferred By" ma:hidden="true" ma:internalName="EC_ARES_TRANSFERRED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9CAA-3E58-478F-80A4-52BDF5C17BCC}">
  <ds:schemaRefs>
    <ds:schemaRef ds:uri="http://schemas.microsoft.com/office/2006/metadata/properties"/>
    <ds:schemaRef ds:uri="http://schemas.microsoft.com/office/infopath/2007/PartnerControls"/>
    <ds:schemaRef ds:uri="b41e250c-6265-4c57-a190-cee75543d3d9"/>
  </ds:schemaRefs>
</ds:datastoreItem>
</file>

<file path=customXml/itemProps2.xml><?xml version="1.0" encoding="utf-8"?>
<ds:datastoreItem xmlns:ds="http://schemas.openxmlformats.org/officeDocument/2006/customXml" ds:itemID="{D1C314F7-C3E8-4DFD-A155-242A1F1C4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798BC-6995-4EEA-946C-C0A27738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e250c-6265-4c57-a190-cee75543d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DE94D-3A5D-466C-8ED3-19C920AE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42</Pages>
  <Words>10907</Words>
  <Characters>78208</Characters>
  <Application>Microsoft Office Word</Application>
  <DocSecurity>0</DocSecurity>
  <Lines>1777</Lines>
  <Paragraphs>660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DIGIT/C6</cp:lastModifiedBy>
  <cp:revision>20</cp:revision>
  <dcterms:created xsi:type="dcterms:W3CDTF">2020-04-27T09:05:00Z</dcterms:created>
  <dcterms:modified xsi:type="dcterms:W3CDTF">2020-04-27T15:25:00Z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Created using">
    <vt:lpwstr>LW 7.0.1, Build 20190916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Level of sensitivity">
    <vt:lpwstr>Standard treatment</vt:lpwstr>
  </property>
  <property fmtid="{D5CDD505-2E9C-101B-9397-08002B2CF9AE}" pid="8" name="LWTemplateID">
    <vt:lpwstr>SJ-025</vt:lpwstr>
  </property>
  <property fmtid="{D5CDD505-2E9C-101B-9397-08002B2CF9AE}" pid="9" name="ContentTypeId">
    <vt:lpwstr>0x010100258AA79CEB83498886A3A0868112325000FAB51066B5F28A46A4A4A8C4D1F4A061</vt:lpwstr>
  </property>
  <property fmtid="{D5CDD505-2E9C-101B-9397-08002B2CF9AE}" pid="10" name="Last edited using">
    <vt:lpwstr>LW 7.0, Build 20190717</vt:lpwstr>
  </property>
  <property fmtid="{D5CDD505-2E9C-101B-9397-08002B2CF9AE}" pid="11" name="DQCStatus">
    <vt:lpwstr>Green (DQC version 03)</vt:lpwstr>
  </property>
</Properties>
</file>