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48A68BF7-7455-438E-8641-D5B1FCB3C3CF" style="width:450.75pt;height:366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EXPOSIÇÃO DE MOTIVOS</w:t>
      </w:r>
    </w:p>
    <w:p>
      <w:pPr>
        <w:pStyle w:val="ManualHeading1"/>
        <w:rPr>
          <w:rFonts w:eastAsia="Arial Unicode MS"/>
          <w:noProof/>
        </w:rPr>
      </w:pPr>
      <w:r>
        <w:t>1.</w:t>
      </w:r>
      <w:r>
        <w:tab/>
      </w:r>
      <w:r>
        <w:rPr>
          <w:noProof/>
        </w:rPr>
        <w:t>Objeto da proposta</w:t>
      </w:r>
    </w:p>
    <w:p>
      <w:pPr>
        <w:rPr>
          <w:rFonts w:eastAsia="Arial Unicode MS"/>
          <w:noProof/>
        </w:rPr>
      </w:pPr>
      <w:r>
        <w:rPr>
          <w:noProof/>
        </w:rPr>
        <w:t>A presente proposta diz respeito à posição a tomar, em nome da União, no contexto da adoção prevista de uma alteração da Convenção para a Proteção do Meio Marinho do Atlântico Nordeste (a seguir designada por «Convenção OSPAR»).</w:t>
      </w:r>
    </w:p>
    <w:p>
      <w:pPr>
        <w:pStyle w:val="ManualHeading1"/>
        <w:rPr>
          <w:noProof/>
        </w:rPr>
      </w:pPr>
      <w:r>
        <w:t>2.</w:t>
      </w:r>
      <w:r>
        <w:tab/>
      </w:r>
      <w:r>
        <w:rPr>
          <w:noProof/>
        </w:rPr>
        <w:t>Contexto da proposta</w:t>
      </w:r>
    </w:p>
    <w:p>
      <w:pPr>
        <w:pStyle w:val="ManualHeading2"/>
        <w:rPr>
          <w:noProof/>
        </w:rPr>
      </w:pPr>
      <w:r>
        <w:t>2.1.</w:t>
      </w:r>
      <w:r>
        <w:tab/>
      </w:r>
      <w:r>
        <w:rPr>
          <w:noProof/>
        </w:rPr>
        <w:t>Convenção OSPAR</w:t>
      </w:r>
    </w:p>
    <w:p>
      <w:pPr>
        <w:rPr>
          <w:rFonts w:eastAsia="Arial Unicode MS"/>
          <w:noProof/>
        </w:rPr>
      </w:pPr>
      <w:r>
        <w:rPr>
          <w:noProof/>
        </w:rPr>
        <w:t>A Convenção OSPAR tem por objetivo proteger a zona marítima do Atlântico Nordeste contra os efeitos prejudiciais das atividades humanas, de modo a proteger a saúde humana, preservar os ecossistemas marinhos e, quando tal for possível, recuperar as zonas marinhas que sofreram tais efeitos. Tem 16 partes contratantes: a Alemanha, a Bélgica, a Dinamarca, a Espanha, a Finlândia, a França, a Irlanda, a Islândia, o Luxemburgo, a Noruega, os Países Baixos, Portugal, o Reino Unido, a Suécia, a Suíça e a UE</w:t>
      </w:r>
      <w:r>
        <w:rPr>
          <w:rStyle w:val="FootnoteReference"/>
          <w:noProof/>
        </w:rPr>
        <w:footnoteReference w:id="1"/>
      </w:r>
      <w:r>
        <w:rPr>
          <w:noProof/>
        </w:rPr>
        <w:t>. A convenção foi aberta para assinatura na reunião ministerial da Comissão de Oslo e da Comissão de Paris, realizada em Paris, em 22 de setembro de 1992, e entrou em vigor em 25 de março de 1998.</w:t>
      </w:r>
    </w:p>
    <w:p>
      <w:pPr>
        <w:pStyle w:val="ManualHeading2"/>
        <w:rPr>
          <w:noProof/>
        </w:rPr>
      </w:pPr>
      <w:r>
        <w:t>2.2.</w:t>
      </w:r>
      <w:r>
        <w:tab/>
      </w:r>
      <w:r>
        <w:rPr>
          <w:noProof/>
        </w:rPr>
        <w:t>Comissão OSPAR</w:t>
      </w:r>
    </w:p>
    <w:p>
      <w:pPr>
        <w:rPr>
          <w:noProof/>
        </w:rPr>
      </w:pPr>
      <w:r>
        <w:rPr>
          <w:noProof/>
        </w:rPr>
        <w:t>A Comissão OSPAR (criada nos termos do artigo 10.º da convenção) é constituída por representantes de cada uma das partes contratantes e reúne a intervalos regulares e sempre que, devido a circunstâncias particulares, assim for decidido. Tem por missão, entre outros, fiscalizar a aplicação da convenção e examinar o estado da zona marítima, a eficácia das medidas adotadas, as prioridades e a necessidade de qualquer medida adicional ou diferente.</w:t>
      </w:r>
    </w:p>
    <w:p>
      <w:pPr>
        <w:rPr>
          <w:noProof/>
        </w:rPr>
      </w:pPr>
      <w:r>
        <w:rPr>
          <w:noProof/>
        </w:rPr>
        <w:t xml:space="preserve">Nos termos do artigo 20.º da convenção, cada parte contratante dispõe de um voto na Comissão. A UE tem direito a um número de votos igual ao número dos seus Estados-Membros que são partes contratantes na convenção, não exercendo o seu direito de voto nos casos em que os seus Estados-Membros exerçam o deles e vice-versa. </w:t>
      </w:r>
    </w:p>
    <w:p>
      <w:pPr>
        <w:rPr>
          <w:noProof/>
        </w:rPr>
      </w:pPr>
      <w:r>
        <w:rPr>
          <w:noProof/>
        </w:rPr>
        <w:t>Nos termos do artigo 15.º, n.º 3, da convenção, a Comissão adota por unanimidade as alterações da convenção.</w:t>
      </w:r>
    </w:p>
    <w:p>
      <w:pPr>
        <w:pStyle w:val="ManualHeading2"/>
        <w:rPr>
          <w:noProof/>
        </w:rPr>
      </w:pPr>
      <w:r>
        <w:t>2.3.</w:t>
      </w:r>
      <w:r>
        <w:tab/>
      </w:r>
      <w:r>
        <w:rPr>
          <w:noProof/>
        </w:rPr>
        <w:t>Ato previsto da Comissão OSPAR</w:t>
      </w:r>
    </w:p>
    <w:p>
      <w:pPr>
        <w:rPr>
          <w:rFonts w:eastAsia="Arial Unicode MS"/>
          <w:noProof/>
        </w:rPr>
      </w:pPr>
      <w:r>
        <w:rPr>
          <w:noProof/>
        </w:rPr>
        <w:t>Durante a vertente ministerial de uma reunião anual, a Comissão OSPAR deverá adotar uma alteração do artigo 1.º, alínea a), da convenção, que adapta os limites da zona marítima da OSPAR a fim de incluir as águas sob jurisdição portuguesa e espanhola e as águas internacionais que as separam (a seguir designado por «ato previsto»).</w:t>
      </w:r>
    </w:p>
    <w:p>
      <w:pPr>
        <w:rPr>
          <w:noProof/>
        </w:rPr>
      </w:pPr>
      <w:r>
        <w:rPr>
          <w:noProof/>
        </w:rPr>
        <w:t>O objetivo do ato previsto é adicionar as águas em torno da Macaronésia (Madeira e Canárias) à zona marítima da OSPAR, de modo a assegurar uma maior coerência entre a OSPAR e a Diretiva-Quadro Estratégia Marinha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da UE e, por conseguinte, melhorar a coordenação com vista à proteção e conservação da rica biodiversidade e dos ecossistemas vulneráveis presentes na zona da Macaronésia.</w:t>
      </w:r>
    </w:p>
    <w:p>
      <w:pPr>
        <w:rPr>
          <w:rFonts w:eastAsia="Arial Unicode MS"/>
          <w:noProof/>
        </w:rPr>
      </w:pPr>
      <w:r>
        <w:rPr>
          <w:noProof/>
        </w:rPr>
        <w:lastRenderedPageBreak/>
        <w:t xml:space="preserve">A alteração da Convenção OSPAR entrará em vigor, para as partes contratantes que a ratificarem, aceitarem ou aprovarem, no </w:t>
      </w:r>
      <w:r>
        <w:rPr>
          <w:noProof/>
          <w:u w:val="single"/>
        </w:rPr>
        <w:t>trigésimo dia</w:t>
      </w:r>
      <w:r>
        <w:rPr>
          <w:noProof/>
        </w:rPr>
        <w:t xml:space="preserve"> após receção, pelo Governo depositário, das notificações de, pelo menos, </w:t>
      </w:r>
      <w:r>
        <w:rPr>
          <w:noProof/>
          <w:u w:val="single"/>
        </w:rPr>
        <w:t>sete partes contratantes</w:t>
      </w:r>
      <w:r>
        <w:rPr>
          <w:noProof/>
        </w:rPr>
        <w:t>, em conformidade com o disposto no artigo 15.º daquela convenção. Posteriormente, a alteração entrará em vigor relativamente a qualquer outra parte contratante no trigésimo dia após esta ter depositado o seu instrumento de ratificação, aceitação ou aprovação da alteração.</w:t>
      </w:r>
    </w:p>
    <w:p>
      <w:pPr>
        <w:rPr>
          <w:rFonts w:eastAsia="Arial Unicode MS"/>
          <w:noProof/>
        </w:rPr>
      </w:pPr>
      <w:r>
        <w:rPr>
          <w:noProof/>
        </w:rPr>
        <w:t>Até à entrada em vigor da referida alteração, Portugal e Espanha, bem como qualquer outra parte contratante, podem aplicá-la provisoriamente em conformidade com as disposições pertinentes da Convenção de Viena sobre o Direito dos Tratados de 23 de maio de 1969, nomeadamente o artigo 25.º sobre a «aplicação provisória».</w:t>
      </w:r>
    </w:p>
    <w:p>
      <w:pPr>
        <w:pStyle w:val="ManualHeading1"/>
        <w:rPr>
          <w:rFonts w:eastAsia="Arial Unicode MS"/>
          <w:noProof/>
        </w:rPr>
      </w:pPr>
      <w:r>
        <w:t>3.</w:t>
      </w:r>
      <w:r>
        <w:tab/>
      </w:r>
      <w:r>
        <w:rPr>
          <w:noProof/>
        </w:rPr>
        <w:t>Posição a tomar em nome da União</w:t>
      </w:r>
    </w:p>
    <w:p>
      <w:pPr>
        <w:rPr>
          <w:noProof/>
        </w:rPr>
      </w:pPr>
      <w:r>
        <w:rPr>
          <w:noProof/>
        </w:rPr>
        <w:t xml:space="preserve">A sub-região da Macaronésia faz parte da região do Atlântico Nordeste, em conformidade com o artigo 4.º da Diretiva-Quadro Estratégia Marinha, e é a maior sub-região marinha dos mares europeus. Acolhe uma grande diversidade de </w:t>
      </w:r>
      <w:r>
        <w:rPr>
          <w:i/>
          <w:noProof/>
        </w:rPr>
        <w:t>habitats</w:t>
      </w:r>
      <w:r>
        <w:rPr>
          <w:noProof/>
        </w:rPr>
        <w:t xml:space="preserve"> e espécies, alguns dos quais estão também incluídos na lista OSPAR das espécies e </w:t>
      </w:r>
      <w:r>
        <w:rPr>
          <w:i/>
          <w:noProof/>
        </w:rPr>
        <w:t>habitats</w:t>
      </w:r>
      <w:r>
        <w:rPr>
          <w:noProof/>
        </w:rPr>
        <w:t xml:space="preserve"> ameaçados e/ou em declínio. Atualmente, a zona marítima da OSPAR abrange apenas parcialmente as águas da sub-região da Macaronésia, conforme delimitada e acordada ao nível da UE.</w:t>
      </w:r>
    </w:p>
    <w:p>
      <w:pPr>
        <w:rPr>
          <w:noProof/>
        </w:rPr>
      </w:pPr>
      <w:r>
        <w:rPr>
          <w:noProof/>
        </w:rPr>
        <w:t xml:space="preserve">Portugal e Espanha, os únicos países da UE e da OSPAR que têm águas territoriais na Macaronésia, apresentaram uma proposta conjunta de alteração da Convenção OSPAR que visa alinhar a zona marítima da OSPAR com a Diretiva-Quadro Estratégia Marinha. Tal alinhamento facilitará a aplicação desta diretiva pelos dois países graças a uma maior colaboração ao nível da OSPAR e reforçará, mediante o envolvimento da OSPAR, a proteção das espécies e dos </w:t>
      </w:r>
      <w:r>
        <w:rPr>
          <w:i/>
          <w:noProof/>
        </w:rPr>
        <w:t>habitats</w:t>
      </w:r>
      <w:r>
        <w:rPr>
          <w:noProof/>
        </w:rPr>
        <w:t xml:space="preserve"> vulneráveis desta região e da sua biodiversidade marinha e costeira única.</w:t>
      </w:r>
    </w:p>
    <w:p>
      <w:pPr>
        <w:rPr>
          <w:noProof/>
        </w:rPr>
      </w:pPr>
      <w:r>
        <w:rPr>
          <w:noProof/>
        </w:rPr>
        <w:t>É necessário definir a posição da União porque, para concretizar o referido alinhamento, haverá que alterar um texto juridicamente vinculativo, a saber, a Convenção OSPAR em que a UE é parte. Na medida em que a alteração do artigo 1.º, alínea a), da Convenção OSPAR facilitará a aplicação da legislação da UE e melhorará a proteção do ambiente, propõe-se que a posição da União seja a de a apoiar.</w:t>
      </w:r>
    </w:p>
    <w:p>
      <w:pPr>
        <w:pStyle w:val="ManualHeading1"/>
        <w:rPr>
          <w:noProof/>
        </w:rPr>
      </w:pPr>
      <w:r>
        <w:t>4.</w:t>
      </w:r>
      <w:r>
        <w:tab/>
      </w:r>
      <w:r>
        <w:rPr>
          <w:noProof/>
        </w:rPr>
        <w:t>Base jurídica</w:t>
      </w:r>
    </w:p>
    <w:p>
      <w:pPr>
        <w:pStyle w:val="ManualHeading2"/>
        <w:rPr>
          <w:noProof/>
        </w:rPr>
      </w:pPr>
      <w:r>
        <w:t>4.1.</w:t>
      </w:r>
      <w:r>
        <w:tab/>
      </w:r>
      <w:r>
        <w:rPr>
          <w:noProof/>
        </w:rPr>
        <w:t>Base jurídica processual</w:t>
      </w:r>
    </w:p>
    <w:p>
      <w:pPr>
        <w:pStyle w:val="ManualHeading3"/>
        <w:rPr>
          <w:noProof/>
        </w:rPr>
      </w:pPr>
      <w:r>
        <w:t>4.1.1.</w:t>
      </w:r>
      <w:r>
        <w:tab/>
      </w:r>
      <w:r>
        <w:rPr>
          <w:noProof/>
        </w:rPr>
        <w:t>Princípios</w:t>
      </w:r>
    </w:p>
    <w:p>
      <w:pPr>
        <w:rPr>
          <w:noProof/>
        </w:rPr>
      </w:pPr>
      <w:r>
        <w:rPr>
          <w:noProof/>
        </w:rPr>
        <w:t>O artigo 218.º, n.º 9, do Tratado sobre o Funcionamento da União Europeia (TFUE) prevê a adoção de decisões que definam «</w:t>
      </w:r>
      <w:r>
        <w:rPr>
          <w:i/>
          <w:noProof/>
        </w:rPr>
        <w:t>as posições a tomar em nome da União numa instância criada por um acordo, quando essa instância for chamada a adotar atos que produzam efeitos jurídicos, com exceção dos atos que completem ou alterem o quadro institucional do acordo</w:t>
      </w:r>
      <w:r>
        <w:rPr>
          <w:noProof/>
        </w:rPr>
        <w:t>».</w:t>
      </w:r>
    </w:p>
    <w:p>
      <w:pPr>
        <w:rPr>
          <w:noProof/>
        </w:rPr>
      </w:pPr>
      <w:r>
        <w:rPr>
          <w:noProof/>
        </w:rPr>
        <w:t>A noção de «</w:t>
      </w:r>
      <w:r>
        <w:rPr>
          <w:i/>
          <w:noProof/>
        </w:rPr>
        <w:t>atos que produzam efeitos jurídicos</w:t>
      </w:r>
      <w:r>
        <w:rPr>
          <w:noProof/>
        </w:rPr>
        <w:t xml:space="preserve">» engloba os atos que produzem efeitos jurídicos por força das normas do direito internacional que regem a instância em questão e os instrumentos que não têm um efeito vinculativo por força do direito internacional, mas que </w:t>
      </w:r>
      <w:r>
        <w:rPr>
          <w:noProof/>
        </w:rPr>
        <w:lastRenderedPageBreak/>
        <w:t>«</w:t>
      </w:r>
      <w:r>
        <w:rPr>
          <w:i/>
          <w:noProof/>
        </w:rPr>
        <w:t>tendem a influenciar de forma determinante o conteúdo da regulamentação adotada pelo legislador da União</w:t>
      </w:r>
      <w:r>
        <w:rPr>
          <w:noProof/>
        </w:rPr>
        <w:t>»</w:t>
      </w:r>
      <w:r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>
      <w:pPr>
        <w:pStyle w:val="ManualHeading3"/>
        <w:rPr>
          <w:noProof/>
        </w:rPr>
      </w:pPr>
      <w:r>
        <w:t>4.1.2.</w:t>
      </w:r>
      <w:r>
        <w:tab/>
      </w:r>
      <w:r>
        <w:rPr>
          <w:noProof/>
        </w:rPr>
        <w:t>Aplicação ao caso vertente</w:t>
      </w:r>
    </w:p>
    <w:p>
      <w:pPr>
        <w:rPr>
          <w:noProof/>
        </w:rPr>
      </w:pPr>
      <w:r>
        <w:rPr>
          <w:noProof/>
        </w:rPr>
        <w:t>A Comissão OSPAR é um órgão instituído por um acordo, nomeadamente a Convenção OSPAR.</w:t>
      </w:r>
    </w:p>
    <w:p>
      <w:pPr>
        <w:rPr>
          <w:noProof/>
        </w:rPr>
      </w:pPr>
      <w:r>
        <w:rPr>
          <w:noProof/>
        </w:rPr>
        <w:t>O ato que a Comissão OSPAR é chamada a adotar produz efeitos jurídicos, uma vez que altera um ato existente com efeitos jurídicos, a saber, a Convenção OSPAR.</w:t>
      </w:r>
    </w:p>
    <w:p>
      <w:pPr>
        <w:rPr>
          <w:noProof/>
        </w:rPr>
      </w:pPr>
      <w:r>
        <w:rPr>
          <w:noProof/>
        </w:rPr>
        <w:t>O ato previsto não completa nem altera o quadro institucional da Convenção OSPAR.</w:t>
      </w:r>
    </w:p>
    <w:p>
      <w:pPr>
        <w:rPr>
          <w:noProof/>
        </w:rPr>
      </w:pPr>
      <w:r>
        <w:rPr>
          <w:noProof/>
        </w:rPr>
        <w:t>Por conseguinte, a base jurídica processual da decisão proposta é o artigo 218.º, n.º 9, do TFUE.</w:t>
      </w:r>
    </w:p>
    <w:p>
      <w:pPr>
        <w:pStyle w:val="ManualHeading2"/>
        <w:rPr>
          <w:noProof/>
        </w:rPr>
      </w:pPr>
      <w:r>
        <w:t>4.2.</w:t>
      </w:r>
      <w:r>
        <w:tab/>
      </w:r>
      <w:r>
        <w:rPr>
          <w:noProof/>
        </w:rPr>
        <w:t>Base jurídica material</w:t>
      </w:r>
    </w:p>
    <w:p>
      <w:pPr>
        <w:pStyle w:val="ManualHeading3"/>
        <w:rPr>
          <w:noProof/>
        </w:rPr>
      </w:pPr>
      <w:r>
        <w:t>4.2.1.</w:t>
      </w:r>
      <w:r>
        <w:tab/>
      </w:r>
      <w:r>
        <w:rPr>
          <w:noProof/>
        </w:rPr>
        <w:t>Princípios</w:t>
      </w:r>
    </w:p>
    <w:p>
      <w:pPr>
        <w:rPr>
          <w:noProof/>
        </w:rPr>
      </w:pPr>
      <w:r>
        <w:rPr>
          <w:noProof/>
        </w:rPr>
        <w:t xml:space="preserve">A base jurídica material para a adoção de uma decisão com fundamento no artigo 218.º, n.º 9, do TFUE depende essencialmente do objetivo e do conteúdo do ato previsto em relação ao qual é tomada uma posição em nome da União. Se o ato previsto tiver duas finalidades ou duas componentes, e se for possível identificar uma dessas finalidades ou componentes como principal e a outra como acessória, a decisão a adotar com fundamento no artigo 218.º, n.º 9, do TFUE tem de assentar numa única base jurídica material, ou seja, a que for exigida pela finalidade ou componente principal ou preponderante. </w:t>
      </w:r>
    </w:p>
    <w:p>
      <w:pPr>
        <w:pStyle w:val="ManualHeading3"/>
        <w:rPr>
          <w:noProof/>
        </w:rPr>
      </w:pPr>
      <w:r>
        <w:t>4.2.2.</w:t>
      </w:r>
      <w:r>
        <w:tab/>
      </w:r>
      <w:r>
        <w:rPr>
          <w:noProof/>
        </w:rPr>
        <w:t>Aplicação ao caso vertente</w:t>
      </w:r>
    </w:p>
    <w:p>
      <w:pPr>
        <w:rPr>
          <w:noProof/>
        </w:rPr>
      </w:pPr>
      <w:r>
        <w:rPr>
          <w:noProof/>
        </w:rPr>
        <w:t>A finalidade principal e o conteúdo do ato previsto estão relacionados com a proteção do ambiente.</w:t>
      </w:r>
    </w:p>
    <w:p>
      <w:pPr>
        <w:rPr>
          <w:i/>
          <w:noProof/>
        </w:rPr>
      </w:pPr>
      <w:r>
        <w:rPr>
          <w:noProof/>
        </w:rPr>
        <w:t>Por conseguinte, a base jurídica material da decisão proposta é o artigo 192.º, n.º 1, do TFUE.</w:t>
      </w:r>
    </w:p>
    <w:p>
      <w:pPr>
        <w:pStyle w:val="ManualHeading2"/>
        <w:rPr>
          <w:noProof/>
        </w:rPr>
      </w:pPr>
      <w:r>
        <w:t>4.3.</w:t>
      </w:r>
      <w:r>
        <w:tab/>
      </w:r>
      <w:r>
        <w:rPr>
          <w:noProof/>
        </w:rPr>
        <w:t>Conclusão</w:t>
      </w:r>
    </w:p>
    <w:p>
      <w:pPr>
        <w:rPr>
          <w:noProof/>
        </w:rPr>
      </w:pPr>
      <w:r>
        <w:rPr>
          <w:noProof/>
        </w:rPr>
        <w:t>A base jurídica da decisão proposta é o artigo 192.º, n.º 1, em conjugação com o artigo 218.º, n.º 9, do TFUE.</w:t>
      </w:r>
    </w:p>
    <w:p>
      <w:pPr>
        <w:pStyle w:val="ManualHeading1"/>
        <w:rPr>
          <w:noProof/>
        </w:rPr>
      </w:pPr>
      <w:r>
        <w:t>5.</w:t>
      </w:r>
      <w:r>
        <w:tab/>
      </w:r>
      <w:r>
        <w:rPr>
          <w:noProof/>
        </w:rPr>
        <w:t>Publicação do ato previsto</w:t>
      </w:r>
    </w:p>
    <w:p>
      <w:pPr>
        <w:rPr>
          <w:noProof/>
        </w:rPr>
      </w:pPr>
      <w:r>
        <w:rPr>
          <w:noProof/>
        </w:rPr>
        <w:t xml:space="preserve">Uma vez que o ato da Comissão OSPAR alterará a Convenção OSPAR, em que a União é parte, é adequado publicá-lo no </w:t>
      </w:r>
      <w:r>
        <w:rPr>
          <w:i/>
          <w:noProof/>
        </w:rPr>
        <w:t>Jornal Oficial da União Europeia</w:t>
      </w:r>
      <w:r>
        <w:rPr>
          <w:noProof/>
        </w:rPr>
        <w:t xml:space="preserve"> após a sua adoção.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2020/0072 (NLE)</w:t>
      </w:r>
    </w:p>
    <w:p>
      <w:pPr>
        <w:pStyle w:val="Statut"/>
        <w:rPr>
          <w:noProof/>
        </w:rPr>
      </w:pPr>
      <w:r>
        <w:rPr>
          <w:noProof/>
        </w:rPr>
        <w:t>Proposta de</w:t>
      </w:r>
    </w:p>
    <w:p>
      <w:pPr>
        <w:pStyle w:val="Typedudocument"/>
        <w:rPr>
          <w:noProof/>
        </w:rPr>
      </w:pPr>
      <w:r>
        <w:rPr>
          <w:noProof/>
        </w:rPr>
        <w:t>DECISÃO DO CONSELHO</w:t>
      </w:r>
    </w:p>
    <w:p>
      <w:pPr>
        <w:pStyle w:val="Titreobjet"/>
        <w:rPr>
          <w:noProof/>
        </w:rPr>
      </w:pPr>
      <w:r>
        <w:rPr>
          <w:noProof/>
        </w:rPr>
        <w:t>relativa à posição a tomar em nome da União Europeia na Convenção para a Proteção do Meio Marinho do Atlântico Nordeste respeitante à integração da Macaronésia na zona marítima da OSPAR</w:t>
      </w:r>
    </w:p>
    <w:p>
      <w:pPr>
        <w:pStyle w:val="Institutionquiagit"/>
        <w:rPr>
          <w:b/>
          <w:noProof/>
        </w:rPr>
      </w:pPr>
      <w:r>
        <w:rPr>
          <w:b/>
          <w:noProof/>
        </w:rPr>
        <w:t>O CONSELHO DA UNIÃO EUROPEIA,</w:t>
      </w:r>
    </w:p>
    <w:p>
      <w:pPr>
        <w:rPr>
          <w:noProof/>
        </w:rPr>
      </w:pPr>
      <w:r>
        <w:rPr>
          <w:noProof/>
        </w:rPr>
        <w:t>Tendo em conta o Tratado sobre o Funcionamento da União Europeia, nomeadamente o artigo 192.º, n.º 1, em conjugação com o artigo 218.º, n.º 9,</w:t>
      </w:r>
    </w:p>
    <w:p>
      <w:pPr>
        <w:rPr>
          <w:noProof/>
        </w:rPr>
      </w:pPr>
      <w:r>
        <w:rPr>
          <w:noProof/>
        </w:rPr>
        <w:t>Tendo em conta a proposta da Comissão Europeia,</w:t>
      </w:r>
    </w:p>
    <w:p>
      <w:pPr>
        <w:rPr>
          <w:noProof/>
        </w:rPr>
      </w:pPr>
      <w:r>
        <w:rPr>
          <w:noProof/>
        </w:rPr>
        <w:t>Considerando o seguinte: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A Convenção OSPAR (a seguir designada por «acordo») foi celebrada pela União através da Decisão 98/249/CE do Conselho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de 7 de outubro de 1997 e entrou em vigor em 25 de março de 1998.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Nos termos do artigo 15.º, n.º 3, do acordo, a Comissão OSPAR pode adotar alterações da Convenção por unanimidade de votos das partes contratantes.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A Comissão OSPAR deverá adotar uma alteração do artigo 1.º, alínea a), da Convenção OSPAR relativa à integração da Macaronésia na zona marítima da OSPAR.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É conveniente estabelecer a posição a tomar em nome da União no âmbito da Comissão OSPAR, uma vez que a alteração da Convenção OSPAR é vinculativa para a União,</w:t>
      </w:r>
    </w:p>
    <w:p>
      <w:pPr>
        <w:pStyle w:val="Formuledadoption"/>
        <w:rPr>
          <w:noProof/>
        </w:rPr>
      </w:pPr>
      <w:r>
        <w:rPr>
          <w:noProof/>
        </w:rPr>
        <w:t>ADOTOU A PRESENTE DECISÃO:</w:t>
      </w:r>
    </w:p>
    <w:p>
      <w:pPr>
        <w:pStyle w:val="Titrearticle"/>
        <w:rPr>
          <w:noProof/>
        </w:rPr>
      </w:pPr>
      <w:r>
        <w:rPr>
          <w:noProof/>
        </w:rPr>
        <w:t>Artigo 1.º</w:t>
      </w:r>
    </w:p>
    <w:p>
      <w:pPr>
        <w:rPr>
          <w:i/>
          <w:noProof/>
        </w:rPr>
      </w:pPr>
      <w:r>
        <w:rPr>
          <w:noProof/>
        </w:rPr>
        <w:t xml:space="preserve">A posição a tomar, em nome da União, na reunião da Comissão OSPAR é de apoiar a alteração do artigo 1.º, alínea a), da Convenção OSPAR relativa à integração da Macaronésia na zona marítima da OSPAR. </w:t>
      </w:r>
    </w:p>
    <w:p>
      <w:pPr>
        <w:pStyle w:val="Titrearticle"/>
        <w:rPr>
          <w:noProof/>
        </w:rPr>
      </w:pPr>
      <w:r>
        <w:rPr>
          <w:noProof/>
        </w:rPr>
        <w:t>Artigo 2.º</w:t>
      </w:r>
    </w:p>
    <w:p>
      <w:pPr>
        <w:rPr>
          <w:noProof/>
        </w:rPr>
      </w:pPr>
      <w:r>
        <w:rPr>
          <w:noProof/>
        </w:rPr>
        <w:t>A destinatária da presente decisão é a Comissão.</w:t>
      </w:r>
    </w:p>
    <w:p>
      <w:pPr>
        <w:pStyle w:val="Fait"/>
        <w:rPr>
          <w:noProof/>
        </w:rPr>
      </w:pPr>
      <w:r>
        <w:t>Feito em Bruxelas, em</w:t>
      </w:r>
    </w:p>
    <w:p>
      <w:pPr>
        <w:pStyle w:val="Institutionquisigne"/>
        <w:rPr>
          <w:noProof/>
        </w:rPr>
      </w:pPr>
      <w:r>
        <w:rPr>
          <w:noProof/>
        </w:rPr>
        <w:tab/>
        <w:t>Pelo Conselho</w:t>
      </w:r>
    </w:p>
    <w:p>
      <w:pPr>
        <w:pStyle w:val="Personnequisigne"/>
        <w:rPr>
          <w:noProof/>
        </w:rPr>
      </w:pPr>
      <w:r>
        <w:rPr>
          <w:noProof/>
        </w:rPr>
        <w:tab/>
        <w:t>O Presidente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Decisão 98/249/CE do Conselho, de 7 de outubro de 1997, relativa à celebração da Convenção para a Proteção do Meio Marinho do Atlântico Nordeste (JO L 104 de 3.4.1998, p. 1).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 xml:space="preserve">Diretiva 2008/56/CE do Parlamento Europeu e do Conselho, de 17 de junho de 2008, que estabelece um quadro de ação comunitária no domínio da política para o meio marinho (Diretiva-Quadro Estratégia Marinha) (JO L 164 de 25.6.2008, p. 19). 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Acórdão do Tribunal de Justiça, de 7 de outubro de 2014, Alemanha/Conselho, C-399/12 (ECLI:EU:C:2014:2258, n.</w:t>
      </w:r>
      <w:r>
        <w:rPr>
          <w:vertAlign w:val="superscript"/>
        </w:rPr>
        <w:t>os</w:t>
      </w:r>
      <w:r>
        <w:t xml:space="preserve"> 61 a 64). 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Decisão 98/249/CE do Conselho, de 7 de outubro de 1997, relativa à celebração da Convenção para a Proteção do Meio Marinho do Atlântico Nordeste (JO L 104 de 3.4.1998, p. 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26B8B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9F492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41884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EC08A0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F44CB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A02AF5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D57EBA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2A2E9D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21"/>
    <w:lvlOverride w:ilvl="0">
      <w:startOverride w:val="1"/>
    </w:lvlOverride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0-05-07 11:05:3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48A68BF7-7455-438E-8641-D5B1FCB3C3CF"/>
    <w:docVar w:name="LW_COVERPAGE_TYPE" w:val="1"/>
    <w:docVar w:name="LW_CROSSREFERENCE" w:val="&lt;UNUSED&gt;"/>
    <w:docVar w:name="LW_DocType" w:val="COM"/>
    <w:docVar w:name="LW_EMISSION" w:val="7.5.2020"/>
    <w:docVar w:name="LW_EMISSION_ISODATE" w:val="2020-05-07"/>
    <w:docVar w:name="LW_EMISSION_LOCATION" w:val="BRX"/>
    <w:docVar w:name="LW_EMISSION_PREFIX" w:val="Bruxelas, "/>
    <w:docVar w:name="LW_EMISSION_SUFFIX" w:val=" "/>
    <w:docVar w:name="LW_ID_DOCMODEL" w:val="SJ-043"/>
    <w:docVar w:name="LW_ID_DOCSIGNATURE" w:val="SJ-019"/>
    <w:docVar w:name="LW_ID_DOCSTRUCTURE" w:val="COM/PL/ORG"/>
    <w:docVar w:name="LW_ID_DOCTYPE" w:val="SJ-043"/>
    <w:docVar w:name="LW_ID_EXP.MOTIFS.NEW" w:val="EM_PL2_"/>
    <w:docVar w:name="LW_ID_STATUT" w:val="SJ-019"/>
    <w:docVar w:name="LW_INTERETEEE.CP" w:val="&lt;UNUSED&gt;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072"/>
    <w:docVar w:name="LW_REF.II.NEW.CP_YEAR" w:val="2020"/>
    <w:docVar w:name="LW_REF.INST.NEW" w:val="COM"/>
    <w:docVar w:name="LW_REF.INST.NEW_ADOPTED" w:val="final"/>
    <w:docVar w:name="LW_REF.INST.NEW_TEXT" w:val="(2020) 18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de"/>
    <w:docVar w:name="LW_SUPERTITRE" w:val="&lt;UNUSED&gt;"/>
    <w:docVar w:name="LW_TITRE.OBJ.CP" w:val="relativa à posição a tomar em nome da União Europeia na Convenção para a Proteção do Meio Marinho do Atlântico Nordeste respeitante à integração da Macaronésia na zona marítima da OSPAR"/>
    <w:docVar w:name="LW_TYPE.DOC.CP" w:val="DECISÃO DO CONSELHO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t-P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t-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t-P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t-P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t-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5339-7ED5-4359-AC68-2A3A7634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5</Pages>
  <Words>1469</Words>
  <Characters>7452</Characters>
  <Application>Microsoft Office Word</Application>
  <DocSecurity>0</DocSecurity>
  <Lines>143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DIGIT/C6</cp:lastModifiedBy>
  <cp:revision>19</cp:revision>
  <dcterms:created xsi:type="dcterms:W3CDTF">2020-04-02T12:16:00Z</dcterms:created>
  <dcterms:modified xsi:type="dcterms:W3CDTF">2020-05-07T09:05:00Z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7.0.8.0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SJ-043</vt:lpwstr>
  </property>
  <property fmtid="{D5CDD505-2E9C-101B-9397-08002B2CF9AE}" pid="10" name="DQCStatus">
    <vt:lpwstr>Green (DQC version 03)</vt:lpwstr>
  </property>
</Properties>
</file>