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480B078-3125-40FC-9534-E0008571EEA9" style="width:450.45pt;height:406.65pt">
            <v:imagedata r:id="rId9" o:title=""/>
          </v:shape>
        </w:pict>
      </w:r>
    </w:p>
    <w:p>
      <w:pPr>
        <w:rPr>
          <w:noProof/>
          <w:szCs w:val="24"/>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INDOKOLÁS</w:t>
      </w:r>
    </w:p>
    <w:p>
      <w:pPr>
        <w:pStyle w:val="ManualHeading1"/>
        <w:rPr>
          <w:noProof/>
        </w:rPr>
      </w:pPr>
      <w:r>
        <w:rPr>
          <w:noProof/>
        </w:rPr>
        <w:t>1.</w:t>
      </w:r>
      <w:r>
        <w:rPr>
          <w:noProof/>
        </w:rPr>
        <w:tab/>
        <w:t>A javaslat tárgya</w:t>
      </w:r>
    </w:p>
    <w:p>
      <w:pPr>
        <w:rPr>
          <w:rFonts w:eastAsia="Times New Roman"/>
          <w:noProof/>
          <w:szCs w:val="24"/>
        </w:rPr>
      </w:pPr>
      <w:r>
        <w:rPr>
          <w:noProof/>
        </w:rPr>
        <w:t xml:space="preserve">E javaslat tárgya az Unió által a Vámigazgatások Világszervezetének (WCO) ülésein a magyarázatok, a besorolási vélemények, a Harmonizált Rendszer értelmezésére vonatkozó egyéb tanácsok és a Harmonizált Rendszernek a Harmonizált Áruleíró és Kódrendszerről szóló nemzetközi egyezmény (HR-egyezmény) szerinti egységes értelmezését és alkalmazását biztosító ajánlások elkészítésével és elfogadásával kapcsolatban képviselendő álláspont meghatározásáról szóló kerethatározat. </w:t>
      </w:r>
    </w:p>
    <w:p>
      <w:pPr>
        <w:pStyle w:val="ManualHeading1"/>
        <w:rPr>
          <w:b w:val="0"/>
          <w:smallCaps w:val="0"/>
          <w:noProof/>
          <w:szCs w:val="24"/>
        </w:rPr>
      </w:pPr>
      <w:r>
        <w:rPr>
          <w:noProof/>
        </w:rPr>
        <w:t>2.</w:t>
      </w:r>
      <w:r>
        <w:rPr>
          <w:noProof/>
        </w:rPr>
        <w:tab/>
        <w:t>A javaslat háttere</w:t>
      </w:r>
    </w:p>
    <w:p>
      <w:pPr>
        <w:pStyle w:val="ManualHeading2"/>
        <w:rPr>
          <w:noProof/>
        </w:rPr>
      </w:pPr>
      <w:r>
        <w:rPr>
          <w:noProof/>
        </w:rPr>
        <w:t>2.1.</w:t>
      </w:r>
      <w:r>
        <w:rPr>
          <w:noProof/>
        </w:rPr>
        <w:tab/>
        <w:t>Nemzetközi egyezmény a Harmonizált Áruleíró és Kódrendszerről</w:t>
      </w:r>
    </w:p>
    <w:p>
      <w:pPr>
        <w:rPr>
          <w:rFonts w:eastAsia="Arial Unicode MS"/>
          <w:noProof/>
          <w:szCs w:val="24"/>
        </w:rPr>
      </w:pPr>
      <w:r>
        <w:rPr>
          <w:noProof/>
        </w:rPr>
        <w:t>A Harmonizált Áruleíró és Kódrendszerről szóló nemzetközi egyezmény (a továbbiakban: HR-egyezmény) célja a nemzetközi kereskedelmi eljárások egyszerűsítése, valamint elsősorban a nemzetközi kereskedelemre vonatkozó statisztikák gyűjtése, összehasonlítása és elemzése. A HR-egyezmény mellékletként magában foglalja a Harmonizált Rendszer szerinti nómenklatúrát (a továbbiakban: HR-nómenklatúra), amely nemzetközi szinten harmonizált rendszerként lehetővé teszi a részt vevő országok számára, hogy vámügyi célokból közös alapokon osztályozzák a kereskedelemben részt vevő árukat. A HR-nómenklatúra tartalmazza az áruk megnevezését vámtarifaszámok és vámtarifaalszámok szerint, valamint az ezekhez tartozó, hatjegyű kódokból álló rendszeren alapuló számkódot. A HR-nómenklatúrát ötévenként felülvizsgálják</w:t>
      </w:r>
      <w:r>
        <w:rPr>
          <w:rStyle w:val="FootnoteReference"/>
          <w:noProof/>
          <w:szCs w:val="24"/>
        </w:rPr>
        <w:footnoteReference w:id="1"/>
      </w:r>
      <w:r>
        <w:rPr>
          <w:noProof/>
        </w:rPr>
        <w:t xml:space="preserve">. Világszerte több mint 190 közigazgatás alkalmazza; következésképpen a világon kereskedelmi forgalomban lévő áruk több mint 98 %-át eszerint sorolják be. </w:t>
      </w:r>
    </w:p>
    <w:p>
      <w:pPr>
        <w:rPr>
          <w:rFonts w:eastAsia="Arial Unicode MS"/>
          <w:noProof/>
          <w:szCs w:val="24"/>
        </w:rPr>
      </w:pPr>
      <w:r>
        <w:rPr>
          <w:noProof/>
        </w:rPr>
        <w:t>Az HR-egyezmény 1988. január 1-jén lépett hatályba.</w:t>
      </w:r>
    </w:p>
    <w:p>
      <w:pPr>
        <w:rPr>
          <w:rFonts w:eastAsia="Arial Unicode MS"/>
          <w:noProof/>
          <w:szCs w:val="24"/>
        </w:rPr>
      </w:pPr>
      <w:r>
        <w:rPr>
          <w:noProof/>
        </w:rPr>
        <w:t>Az Európai Unió és valamennyi tagállama részes fele a HR-egyezménynek</w:t>
      </w:r>
      <w:r>
        <w:rPr>
          <w:rStyle w:val="FootnoteReference"/>
          <w:noProof/>
          <w:szCs w:val="24"/>
        </w:rPr>
        <w:footnoteReference w:id="2"/>
      </w:r>
      <w:r>
        <w:rPr>
          <w:noProof/>
        </w:rPr>
        <w:t>.</w:t>
      </w:r>
    </w:p>
    <w:p>
      <w:pPr>
        <w:pStyle w:val="ManualHeading2"/>
        <w:rPr>
          <w:b w:val="0"/>
          <w:noProof/>
          <w:szCs w:val="24"/>
        </w:rPr>
      </w:pPr>
      <w:r>
        <w:rPr>
          <w:noProof/>
        </w:rPr>
        <w:t>2.2.</w:t>
      </w:r>
      <w:r>
        <w:rPr>
          <w:noProof/>
        </w:rPr>
        <w:tab/>
        <w:t>A Vámigazgatások Világszervezete</w:t>
      </w:r>
    </w:p>
    <w:p>
      <w:pPr>
        <w:rPr>
          <w:rFonts w:eastAsia="Arial Unicode MS"/>
          <w:noProof/>
          <w:szCs w:val="24"/>
        </w:rPr>
      </w:pPr>
      <w:r>
        <w:rPr>
          <w:noProof/>
        </w:rPr>
        <w:t>A Vámigazgatások Világszervezete (a továbbiakban: WCO) 1952-ben alakult meg Vámegyüttműködési Tanács néven. E független kormányközi szerv célja a vámigazgatási szervek hatékonyságának és eredményességének javítása. A szervezet jelenleg 183 vámigazgatást képvisel a világ minden részéről. A WCO irányító szerve a tanács. A tanács minden egyes tagja egy szavazattal rendelkezik. A tanács a határozatait a jelen lévő és szavazásra jogosult tagok kétharmados többségével hozza meg. Az Unió a Vámegyüttműködési Tanács létrehozásáról szóló egyezmény módosításának hatálybalépéséig ideiglenesen hasonló jogokkal és kötelezettségekkel rendelkezik a WCO-ban, mint amelyek a WCO-tagsághoz kapcsolódnak.</w:t>
      </w:r>
    </w:p>
    <w:p>
      <w:pPr>
        <w:rPr>
          <w:rFonts w:eastAsiaTheme="majorEastAsia"/>
          <w:bCs/>
          <w:noProof/>
          <w:szCs w:val="24"/>
        </w:rPr>
      </w:pPr>
      <w:r>
        <w:rPr>
          <w:noProof/>
        </w:rPr>
        <w:t>A Harmonizált Rendszer Bizottság (a továbbiakban: HR Bizottság) a HR-egyezményhez kapcsolódó előkészítő munkálatokért felelős technikai bizottság. A HR Bizottság legfontosabb feladatai a következők:</w:t>
      </w:r>
    </w:p>
    <w:p>
      <w:pPr>
        <w:pStyle w:val="Bullet0"/>
        <w:numPr>
          <w:ilvl w:val="0"/>
          <w:numId w:val="9"/>
        </w:numPr>
        <w:rPr>
          <w:noProof/>
          <w:szCs w:val="24"/>
        </w:rPr>
      </w:pPr>
      <w:r>
        <w:rPr>
          <w:noProof/>
        </w:rPr>
        <w:t xml:space="preserve">magyarázatok, besorolási vélemények vagy egyéb tanácsok kidolgozása iránymutatásként a Harmonizált Rendszer értelmezéséhez, valamint a Harmonizált </w:t>
      </w:r>
      <w:r>
        <w:rPr>
          <w:noProof/>
        </w:rPr>
        <w:lastRenderedPageBreak/>
        <w:t>Rendszerrel kapcsolatos olyan egyéb hatáskörök és funkciók gyakorlása, amelyeket a WCO tanácsa vagy a szerződő felek szükségesnek ítélnek. Emellett előkészítő szerveket, például albizottságokat vagy munkacsoportokat hozhat létre,</w:t>
      </w:r>
    </w:p>
    <w:p>
      <w:pPr>
        <w:pStyle w:val="Bullet0"/>
        <w:numPr>
          <w:ilvl w:val="0"/>
          <w:numId w:val="9"/>
        </w:numPr>
        <w:rPr>
          <w:noProof/>
          <w:szCs w:val="24"/>
        </w:rPr>
      </w:pPr>
      <w:r>
        <w:rPr>
          <w:noProof/>
        </w:rPr>
        <w:t xml:space="preserve">ajánlások készítése a Harmonizált Rendszer jogi szövegei egységes értelmezésének és alkalmazásának biztosítása érdekében, ideértve a szerződő felek között a besorolással kapcsolatban felmerült viták rendezését is, ezzel is egyszerűsítve a kereskedelmi eljárásokat, </w:t>
      </w:r>
    </w:p>
    <w:p>
      <w:pPr>
        <w:pStyle w:val="Bullet0"/>
        <w:rPr>
          <w:noProof/>
          <w:szCs w:val="24"/>
        </w:rPr>
      </w:pPr>
      <w:r>
        <w:rPr>
          <w:noProof/>
        </w:rPr>
        <w:t xml:space="preserve">javaslattétel a Harmonizált Rendszer módosítására és frissítésére annak érdekében, hogy az figyelembe vegye a technológiai fejlődést és a kereskedelem szerkezetében bekövetkezett változásokat, valamint a Harmonizált Rendszer felhasználóinak egyéb igényeit, </w:t>
      </w:r>
    </w:p>
    <w:p>
      <w:pPr>
        <w:pStyle w:val="Bullet0"/>
        <w:rPr>
          <w:noProof/>
          <w:szCs w:val="24"/>
        </w:rPr>
      </w:pPr>
      <w:r>
        <w:rPr>
          <w:noProof/>
        </w:rPr>
        <w:t>a Harmonizált Rendszer széles körű alkalmazásának ösztönzése, valamint a Harmonizált Rendszerrel kapcsolatos általános és szakpolitikai kérdések vizsgálata.</w:t>
      </w:r>
    </w:p>
    <w:p>
      <w:pPr>
        <w:rPr>
          <w:noProof/>
        </w:rPr>
      </w:pPr>
      <w:r>
        <w:rPr>
          <w:noProof/>
        </w:rPr>
        <w:t>Az Unió és a tagállamok együttesen egyetlen szavazattal rendelkeznek a HR Bizottságban. A HR Bizottság az e kerethatározat hatálya alá tartozó ügyekre vonatkozó határozatait egyszerű többséggel hozza meg.</w:t>
      </w:r>
    </w:p>
    <w:p>
      <w:pPr>
        <w:rPr>
          <w:noProof/>
        </w:rPr>
      </w:pPr>
      <w:r>
        <w:rPr>
          <w:noProof/>
        </w:rPr>
        <w:t xml:space="preserve">A HR-egyezmény 8. cikkének (2) bekezdése értelmében azokat a magyarázatokat és besorolási véleményeket, a Harmonizált Rendszer értelmezésére vonatkozó azon egyéb tanácsokat, valamint azokat, a Harmonizált Rendszer egységes értelmezését és alkalmazását biztosító ajánlásokat, amelyeket a HR Bizottság ülésén fogalmaztak meg, a WCO tanácsa által jóváhagyottnak kell tekinteni, kivéve, ha az azokat elfogadó ülés berekesztésének hónapjától számított két hónapon belül a HR-egyezmény valamely szerződő fele a WCO főtitkárát arról értesíti, hogy kéri a kérdésnek a WCO tanácsa elé terjesztését. </w:t>
      </w:r>
    </w:p>
    <w:p>
      <w:pPr>
        <w:rPr>
          <w:noProof/>
        </w:rPr>
      </w:pPr>
      <w:r>
        <w:rPr>
          <w:noProof/>
        </w:rPr>
        <w:t xml:space="preserve">A HR-egyezmény 8. cikkének (3) bekezdése értelmében, ha egy kérdést e cikk (2) bekezdése rendelkezéseinek megfelelően a tanács elé terjesztenek, akkor a tanács az említett magyarázatokat, besorolási véleményeket és egyéb tanácsokat és ajánlásokat jóváhagyja, feltéve, hogy a tanács olyan tagja, amely ezen egyezmény szerződő fele, nem kéri azt részben vagy egészében újabb megvizsgálás céljából a HR Bizottság elé visszautalni. </w:t>
      </w:r>
    </w:p>
    <w:p>
      <w:pPr>
        <w:rPr>
          <w:noProof/>
          <w:szCs w:val="24"/>
        </w:rPr>
      </w:pPr>
    </w:p>
    <w:p>
      <w:pPr>
        <w:pStyle w:val="ManualHeading2"/>
        <w:rPr>
          <w:b w:val="0"/>
          <w:noProof/>
          <w:szCs w:val="24"/>
        </w:rPr>
      </w:pPr>
      <w:r>
        <w:rPr>
          <w:noProof/>
        </w:rPr>
        <w:t>2.3.</w:t>
      </w:r>
      <w:r>
        <w:rPr>
          <w:noProof/>
        </w:rPr>
        <w:tab/>
        <w:t xml:space="preserve">A tervezett jogi aktusok </w:t>
      </w:r>
    </w:p>
    <w:p>
      <w:pPr>
        <w:rPr>
          <w:noProof/>
          <w:szCs w:val="24"/>
        </w:rPr>
      </w:pPr>
      <w:r>
        <w:rPr>
          <w:noProof/>
        </w:rPr>
        <w:t xml:space="preserve">A HR-egyezmény 6. cikkének (2) bekezdésével összhangban a HR Bizottság rendszerint évente kétszer ülésezik. A gyakorlatban a HR Bizottság üléseire márciusban és szeptemberben kerül sor. </w:t>
      </w:r>
    </w:p>
    <w:p>
      <w:pPr>
        <w:rPr>
          <w:noProof/>
          <w:szCs w:val="24"/>
        </w:rPr>
      </w:pPr>
      <w:r>
        <w:rPr>
          <w:noProof/>
        </w:rPr>
        <w:t>A javasolt kerethatározat a következő – a WCO tanácsának hallgatólagos beleegyezési eljárással történő jóváhagyásától függő –, a HR Bizottság által megvizsgált és ideiglenesen elfogadott jogi aktusokra vonatkozik:</w:t>
      </w:r>
    </w:p>
    <w:p>
      <w:pPr>
        <w:pStyle w:val="Point0"/>
        <w:rPr>
          <w:noProof/>
        </w:rPr>
      </w:pPr>
      <w:r>
        <w:rPr>
          <w:noProof/>
        </w:rPr>
        <w:t>a)</w:t>
      </w:r>
      <w:r>
        <w:rPr>
          <w:noProof/>
        </w:rPr>
        <w:tab/>
        <w:t>a HR-nómenklatúra megjegyzéseinek, vámtarifaszámainak és alszámainak értelmezését pontosító magyarázat;</w:t>
      </w:r>
    </w:p>
    <w:p>
      <w:pPr>
        <w:pStyle w:val="Point0"/>
        <w:rPr>
          <w:noProof/>
        </w:rPr>
      </w:pPr>
      <w:r>
        <w:rPr>
          <w:noProof/>
        </w:rPr>
        <w:t>b)</w:t>
      </w:r>
      <w:r>
        <w:rPr>
          <w:noProof/>
        </w:rPr>
        <w:tab/>
        <w:t>a HR Bizottság által az egyes termékek besorolásával kapcsolatban hozott határozatokat tükröző besorolási vélemények;</w:t>
      </w:r>
    </w:p>
    <w:p>
      <w:pPr>
        <w:pStyle w:val="Point0"/>
        <w:rPr>
          <w:noProof/>
        </w:rPr>
      </w:pPr>
      <w:r>
        <w:rPr>
          <w:noProof/>
        </w:rPr>
        <w:t>c)</w:t>
      </w:r>
      <w:r>
        <w:rPr>
          <w:noProof/>
        </w:rPr>
        <w:tab/>
        <w:t>az áruk HR-nómenklatúrába történő besorolására vonatkozó egyéb tanácsok és ajánlások, például a HR Bizottság által elfogadott besorolási határozatok vagy egyéb iránymutatások.</w:t>
      </w:r>
    </w:p>
    <w:p>
      <w:pPr>
        <w:rPr>
          <w:noProof/>
          <w:szCs w:val="24"/>
        </w:rPr>
      </w:pPr>
      <w:r>
        <w:rPr>
          <w:noProof/>
        </w:rPr>
        <w:lastRenderedPageBreak/>
        <w:t>Az Uniós Vámkódex létrehozásáról szóló, 2013. október 9-i 952/2013/EU európai parlamenti és tanácsi rendelet</w:t>
      </w:r>
      <w:r>
        <w:rPr>
          <w:rStyle w:val="FootnoteReference"/>
          <w:noProof/>
          <w:szCs w:val="24"/>
        </w:rPr>
        <w:footnoteReference w:id="3"/>
      </w:r>
      <w:r>
        <w:rPr>
          <w:noProof/>
        </w:rPr>
        <w:t xml:space="preserve"> 34. cikke (7) bekezdése a) pontjának iii. alpontjával összhangban a tagállamok vámhatóságainak vissza kell vonniuk KTF-határozataikat, ha azok egy besorolási határozatból vagy véleményből, vagy a HR-nómenklatúra magyarázatának módosításaiból eredően már nem egyeztethetők össze a HR-nómenklatúra értelmezésével, a Bizottság közleményének az </w:t>
      </w:r>
      <w:r>
        <w:rPr>
          <w:rStyle w:val="italic"/>
          <w:noProof/>
        </w:rPr>
        <w:t>Európai Unió Hivatalos Lapja</w:t>
      </w:r>
      <w:r>
        <w:rPr>
          <w:noProof/>
        </w:rPr>
        <w:t xml:space="preserve"> „C” sorozatában való közzétételének időpontjától kezdődő hatállyal.</w:t>
      </w:r>
    </w:p>
    <w:p>
      <w:pPr>
        <w:pStyle w:val="ManualHeading1"/>
        <w:rPr>
          <w:b w:val="0"/>
          <w:smallCaps w:val="0"/>
          <w:noProof/>
          <w:szCs w:val="24"/>
        </w:rPr>
      </w:pPr>
      <w:r>
        <w:rPr>
          <w:noProof/>
        </w:rPr>
        <w:t>3.</w:t>
      </w:r>
      <w:r>
        <w:rPr>
          <w:noProof/>
        </w:rPr>
        <w:tab/>
        <w:t xml:space="preserve">Az Unió által képviselendő álláspont </w:t>
      </w:r>
    </w:p>
    <w:p>
      <w:pPr>
        <w:pStyle w:val="ManualHeading2"/>
        <w:rPr>
          <w:b w:val="0"/>
          <w:noProof/>
          <w:szCs w:val="24"/>
        </w:rPr>
      </w:pPr>
      <w:r>
        <w:rPr>
          <w:noProof/>
        </w:rPr>
        <w:t xml:space="preserve">3.1. </w:t>
      </w:r>
      <w:r>
        <w:rPr>
          <w:noProof/>
        </w:rPr>
        <w:tab/>
        <w:t xml:space="preserve">Az uniós álláspontok kidolgozásának és elfogadásának gyakorlati korlátai </w:t>
      </w:r>
    </w:p>
    <w:p>
      <w:pPr>
        <w:rPr>
          <w:noProof/>
          <w:szCs w:val="24"/>
        </w:rPr>
      </w:pPr>
      <w:r>
        <w:rPr>
          <w:noProof/>
        </w:rPr>
        <w:t>A HR Bizottság mindkét éves ülésén jelentős számú, erősen technikai jellegű kérdéssel foglalkozik. Az 1. táblázat az elmúlt három évben a HR Bizottság által hozott határozatok számát mutatja határozattípusok szerinti bontásban.</w:t>
      </w:r>
    </w:p>
    <w:p>
      <w:pPr>
        <w:spacing w:before="0" w:after="200" w:line="276" w:lineRule="auto"/>
        <w:jc w:val="center"/>
        <w:rPr>
          <w:b/>
          <w:noProof/>
          <w:szCs w:val="24"/>
        </w:rPr>
      </w:pPr>
      <w:r>
        <w:rPr>
          <w:b/>
          <w:noProof/>
          <w:szCs w:val="24"/>
        </w:rPr>
        <w:t xml:space="preserve">1. táblázat – A HR Bizottság határozatai típusonként </w:t>
      </w:r>
    </w:p>
    <w:tbl>
      <w:tblPr>
        <w:tblStyle w:val="TableGrid2"/>
        <w:tblW w:w="9325" w:type="dxa"/>
        <w:jc w:val="center"/>
        <w:tblLook w:val="04A0" w:firstRow="1" w:lastRow="0" w:firstColumn="1" w:lastColumn="0" w:noHBand="0" w:noVBand="1"/>
      </w:tblPr>
      <w:tblGrid>
        <w:gridCol w:w="1485"/>
        <w:gridCol w:w="1285"/>
        <w:gridCol w:w="1479"/>
        <w:gridCol w:w="1224"/>
        <w:gridCol w:w="1309"/>
        <w:gridCol w:w="1234"/>
        <w:gridCol w:w="1309"/>
      </w:tblGrid>
      <w:tr>
        <w:trPr>
          <w:jc w:val="center"/>
        </w:trPr>
        <w:tc>
          <w:tcPr>
            <w:tcW w:w="1488" w:type="dxa"/>
          </w:tcPr>
          <w:p>
            <w:pPr>
              <w:spacing w:before="0" w:after="0"/>
              <w:jc w:val="center"/>
              <w:rPr>
                <w:b/>
                <w:noProof/>
                <w:szCs w:val="24"/>
              </w:rPr>
            </w:pPr>
          </w:p>
          <w:p>
            <w:pPr>
              <w:spacing w:before="0" w:after="0"/>
              <w:jc w:val="center"/>
              <w:rPr>
                <w:b/>
                <w:noProof/>
                <w:szCs w:val="24"/>
              </w:rPr>
            </w:pPr>
            <w:r>
              <w:rPr>
                <w:b/>
                <w:noProof/>
                <w:szCs w:val="24"/>
              </w:rPr>
              <w:t>Ülés</w:t>
            </w:r>
          </w:p>
          <w:p>
            <w:pPr>
              <w:spacing w:before="0" w:after="0"/>
              <w:jc w:val="center"/>
              <w:rPr>
                <w:b/>
                <w:noProof/>
                <w:szCs w:val="24"/>
              </w:rPr>
            </w:pPr>
          </w:p>
        </w:tc>
        <w:tc>
          <w:tcPr>
            <w:tcW w:w="1322" w:type="dxa"/>
          </w:tcPr>
          <w:p>
            <w:pPr>
              <w:spacing w:before="0" w:after="0"/>
              <w:jc w:val="center"/>
              <w:rPr>
                <w:b/>
                <w:noProof/>
                <w:szCs w:val="24"/>
              </w:rPr>
            </w:pPr>
          </w:p>
          <w:p>
            <w:pPr>
              <w:spacing w:before="0" w:after="0"/>
              <w:jc w:val="center"/>
              <w:rPr>
                <w:b/>
                <w:noProof/>
                <w:szCs w:val="24"/>
              </w:rPr>
            </w:pPr>
            <w:r>
              <w:rPr>
                <w:b/>
                <w:noProof/>
                <w:szCs w:val="24"/>
              </w:rPr>
              <w:t>HSC/59</w:t>
            </w:r>
          </w:p>
        </w:tc>
        <w:tc>
          <w:tcPr>
            <w:tcW w:w="1503" w:type="dxa"/>
          </w:tcPr>
          <w:p>
            <w:pPr>
              <w:spacing w:before="0" w:after="0"/>
              <w:jc w:val="center"/>
              <w:rPr>
                <w:b/>
                <w:noProof/>
                <w:szCs w:val="24"/>
              </w:rPr>
            </w:pPr>
          </w:p>
          <w:p>
            <w:pPr>
              <w:spacing w:before="0" w:after="0"/>
              <w:jc w:val="center"/>
              <w:rPr>
                <w:b/>
                <w:noProof/>
                <w:szCs w:val="24"/>
              </w:rPr>
            </w:pPr>
            <w:r>
              <w:rPr>
                <w:b/>
                <w:noProof/>
                <w:szCs w:val="24"/>
              </w:rPr>
              <w:t>HSC/60</w:t>
            </w:r>
          </w:p>
        </w:tc>
        <w:tc>
          <w:tcPr>
            <w:tcW w:w="1253" w:type="dxa"/>
          </w:tcPr>
          <w:p>
            <w:pPr>
              <w:spacing w:before="0" w:after="0"/>
              <w:jc w:val="center"/>
              <w:rPr>
                <w:b/>
                <w:noProof/>
                <w:szCs w:val="24"/>
              </w:rPr>
            </w:pPr>
          </w:p>
          <w:p>
            <w:pPr>
              <w:spacing w:before="0" w:after="0"/>
              <w:jc w:val="center"/>
              <w:rPr>
                <w:b/>
                <w:noProof/>
                <w:szCs w:val="24"/>
              </w:rPr>
            </w:pPr>
            <w:r>
              <w:rPr>
                <w:b/>
                <w:noProof/>
                <w:szCs w:val="24"/>
              </w:rPr>
              <w:t>HSC/61</w:t>
            </w:r>
          </w:p>
        </w:tc>
        <w:tc>
          <w:tcPr>
            <w:tcW w:w="1253" w:type="dxa"/>
          </w:tcPr>
          <w:p>
            <w:pPr>
              <w:spacing w:before="0" w:after="0"/>
              <w:jc w:val="center"/>
              <w:rPr>
                <w:b/>
                <w:noProof/>
                <w:szCs w:val="24"/>
              </w:rPr>
            </w:pPr>
          </w:p>
          <w:p>
            <w:pPr>
              <w:spacing w:before="0" w:after="0"/>
              <w:jc w:val="center"/>
              <w:rPr>
                <w:b/>
                <w:noProof/>
                <w:szCs w:val="24"/>
              </w:rPr>
            </w:pPr>
            <w:r>
              <w:rPr>
                <w:b/>
                <w:noProof/>
                <w:szCs w:val="24"/>
              </w:rPr>
              <w:t>HSC/62</w:t>
            </w:r>
          </w:p>
        </w:tc>
        <w:tc>
          <w:tcPr>
            <w:tcW w:w="1253" w:type="dxa"/>
          </w:tcPr>
          <w:p>
            <w:pPr>
              <w:spacing w:before="0" w:after="0"/>
              <w:jc w:val="center"/>
              <w:rPr>
                <w:b/>
                <w:noProof/>
                <w:szCs w:val="24"/>
              </w:rPr>
            </w:pPr>
          </w:p>
          <w:p>
            <w:pPr>
              <w:spacing w:before="0" w:after="0"/>
              <w:jc w:val="center"/>
              <w:rPr>
                <w:b/>
                <w:noProof/>
                <w:szCs w:val="24"/>
              </w:rPr>
            </w:pPr>
            <w:r>
              <w:rPr>
                <w:b/>
                <w:noProof/>
                <w:szCs w:val="24"/>
              </w:rPr>
              <w:t>HSC/63</w:t>
            </w:r>
            <w:r>
              <w:rPr>
                <w:rStyle w:val="FootnoteReference"/>
                <w:noProof/>
              </w:rPr>
              <w:footnoteReference w:id="4"/>
            </w:r>
          </w:p>
        </w:tc>
        <w:tc>
          <w:tcPr>
            <w:tcW w:w="1253" w:type="dxa"/>
          </w:tcPr>
          <w:p>
            <w:pPr>
              <w:spacing w:before="0" w:after="0"/>
              <w:jc w:val="center"/>
              <w:rPr>
                <w:b/>
                <w:noProof/>
                <w:szCs w:val="24"/>
              </w:rPr>
            </w:pPr>
          </w:p>
          <w:p>
            <w:pPr>
              <w:spacing w:before="0" w:after="0"/>
              <w:jc w:val="center"/>
              <w:rPr>
                <w:b/>
                <w:noProof/>
                <w:szCs w:val="24"/>
              </w:rPr>
            </w:pPr>
            <w:r>
              <w:rPr>
                <w:b/>
                <w:noProof/>
                <w:szCs w:val="24"/>
              </w:rPr>
              <w:t>HSC/64</w:t>
            </w:r>
          </w:p>
        </w:tc>
      </w:tr>
      <w:tr>
        <w:trPr>
          <w:jc w:val="center"/>
        </w:trPr>
        <w:tc>
          <w:tcPr>
            <w:tcW w:w="1488" w:type="dxa"/>
          </w:tcPr>
          <w:p>
            <w:pPr>
              <w:spacing w:before="0" w:after="0"/>
              <w:jc w:val="center"/>
              <w:rPr>
                <w:b/>
                <w:noProof/>
                <w:szCs w:val="24"/>
              </w:rPr>
            </w:pPr>
            <w:r>
              <w:rPr>
                <w:b/>
                <w:noProof/>
                <w:szCs w:val="24"/>
              </w:rPr>
              <w:t>Dátum</w:t>
            </w:r>
            <w:r>
              <w:rPr>
                <w:rStyle w:val="FootnoteReference"/>
                <w:b/>
                <w:noProof/>
                <w:szCs w:val="24"/>
              </w:rPr>
              <w:footnoteReference w:id="5"/>
            </w:r>
          </w:p>
        </w:tc>
        <w:tc>
          <w:tcPr>
            <w:tcW w:w="1322" w:type="dxa"/>
          </w:tcPr>
          <w:p>
            <w:pPr>
              <w:spacing w:before="0" w:after="0"/>
              <w:jc w:val="center"/>
              <w:rPr>
                <w:noProof/>
                <w:szCs w:val="24"/>
              </w:rPr>
            </w:pPr>
            <w:r>
              <w:rPr>
                <w:noProof/>
              </w:rPr>
              <w:t>2017. március 13–24.</w:t>
            </w:r>
          </w:p>
        </w:tc>
        <w:tc>
          <w:tcPr>
            <w:tcW w:w="1503" w:type="dxa"/>
          </w:tcPr>
          <w:p>
            <w:pPr>
              <w:spacing w:before="0" w:after="0"/>
              <w:jc w:val="center"/>
              <w:rPr>
                <w:noProof/>
                <w:szCs w:val="24"/>
              </w:rPr>
            </w:pPr>
            <w:r>
              <w:rPr>
                <w:noProof/>
              </w:rPr>
              <w:t>2017. szeptember 9–október 6.</w:t>
            </w:r>
          </w:p>
        </w:tc>
        <w:tc>
          <w:tcPr>
            <w:tcW w:w="1253" w:type="dxa"/>
          </w:tcPr>
          <w:p>
            <w:pPr>
              <w:spacing w:before="0" w:after="0"/>
              <w:jc w:val="center"/>
              <w:rPr>
                <w:noProof/>
                <w:szCs w:val="24"/>
              </w:rPr>
            </w:pPr>
            <w:r>
              <w:rPr>
                <w:noProof/>
              </w:rPr>
              <w:t>2018. március 1–16.</w:t>
            </w:r>
          </w:p>
        </w:tc>
        <w:tc>
          <w:tcPr>
            <w:tcW w:w="1253" w:type="dxa"/>
          </w:tcPr>
          <w:p>
            <w:pPr>
              <w:spacing w:before="0" w:after="0"/>
              <w:jc w:val="center"/>
              <w:rPr>
                <w:noProof/>
                <w:szCs w:val="24"/>
              </w:rPr>
            </w:pPr>
            <w:r>
              <w:rPr>
                <w:noProof/>
              </w:rPr>
              <w:t>2018. szeptember 13–28.</w:t>
            </w:r>
          </w:p>
        </w:tc>
        <w:tc>
          <w:tcPr>
            <w:tcW w:w="1253" w:type="dxa"/>
          </w:tcPr>
          <w:p>
            <w:pPr>
              <w:spacing w:before="0" w:after="0"/>
              <w:jc w:val="center"/>
              <w:rPr>
                <w:noProof/>
                <w:szCs w:val="24"/>
              </w:rPr>
            </w:pPr>
            <w:r>
              <w:rPr>
                <w:noProof/>
              </w:rPr>
              <w:t>2019. március 14–29.</w:t>
            </w:r>
          </w:p>
        </w:tc>
        <w:tc>
          <w:tcPr>
            <w:tcW w:w="1253" w:type="dxa"/>
          </w:tcPr>
          <w:p>
            <w:pPr>
              <w:spacing w:before="0" w:after="0"/>
              <w:jc w:val="center"/>
              <w:rPr>
                <w:noProof/>
                <w:szCs w:val="24"/>
              </w:rPr>
            </w:pPr>
            <w:r>
              <w:rPr>
                <w:noProof/>
              </w:rPr>
              <w:t>2019. szeptember 16–27.</w:t>
            </w:r>
          </w:p>
        </w:tc>
      </w:tr>
      <w:tr>
        <w:trPr>
          <w:jc w:val="center"/>
        </w:trPr>
        <w:tc>
          <w:tcPr>
            <w:tcW w:w="1488" w:type="dxa"/>
          </w:tcPr>
          <w:p>
            <w:pPr>
              <w:spacing w:before="0" w:after="0"/>
              <w:jc w:val="center"/>
              <w:rPr>
                <w:b/>
                <w:noProof/>
                <w:szCs w:val="24"/>
              </w:rPr>
            </w:pPr>
            <w:r>
              <w:rPr>
                <w:b/>
                <w:noProof/>
                <w:szCs w:val="24"/>
              </w:rPr>
              <w:t>HR-módosítás</w:t>
            </w:r>
            <w:r>
              <w:rPr>
                <w:rStyle w:val="FootnoteReference"/>
                <w:b/>
                <w:noProof/>
                <w:szCs w:val="24"/>
              </w:rPr>
              <w:footnoteReference w:id="6"/>
            </w:r>
          </w:p>
        </w:tc>
        <w:tc>
          <w:tcPr>
            <w:tcW w:w="1322" w:type="dxa"/>
          </w:tcPr>
          <w:p>
            <w:pPr>
              <w:spacing w:before="0" w:after="0"/>
              <w:jc w:val="center"/>
              <w:rPr>
                <w:noProof/>
                <w:szCs w:val="24"/>
              </w:rPr>
            </w:pPr>
            <w:r>
              <w:rPr>
                <w:noProof/>
              </w:rPr>
              <w:t>13</w:t>
            </w:r>
          </w:p>
        </w:tc>
        <w:tc>
          <w:tcPr>
            <w:tcW w:w="150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44</w:t>
            </w:r>
          </w:p>
        </w:tc>
        <w:tc>
          <w:tcPr>
            <w:tcW w:w="1253" w:type="dxa"/>
          </w:tcPr>
          <w:p>
            <w:pPr>
              <w:spacing w:before="0" w:after="0"/>
              <w:jc w:val="center"/>
              <w:rPr>
                <w:noProof/>
                <w:szCs w:val="24"/>
              </w:rPr>
            </w:pPr>
            <w:r>
              <w:rPr>
                <w:noProof/>
              </w:rPr>
              <w:t>2</w:t>
            </w:r>
          </w:p>
        </w:tc>
      </w:tr>
      <w:tr>
        <w:trPr>
          <w:jc w:val="center"/>
        </w:trPr>
        <w:tc>
          <w:tcPr>
            <w:tcW w:w="1488" w:type="dxa"/>
          </w:tcPr>
          <w:p>
            <w:pPr>
              <w:spacing w:before="0" w:after="0"/>
              <w:jc w:val="center"/>
              <w:rPr>
                <w:b/>
                <w:noProof/>
                <w:szCs w:val="24"/>
              </w:rPr>
            </w:pPr>
          </w:p>
        </w:tc>
        <w:tc>
          <w:tcPr>
            <w:tcW w:w="1322" w:type="dxa"/>
          </w:tcPr>
          <w:p>
            <w:pPr>
              <w:spacing w:before="0" w:after="0"/>
              <w:jc w:val="center"/>
              <w:rPr>
                <w:noProof/>
                <w:szCs w:val="24"/>
              </w:rPr>
            </w:pPr>
          </w:p>
        </w:tc>
        <w:tc>
          <w:tcPr>
            <w:tcW w:w="150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r>
      <w:tr>
        <w:trPr>
          <w:jc w:val="center"/>
        </w:trPr>
        <w:tc>
          <w:tcPr>
            <w:tcW w:w="1488" w:type="dxa"/>
          </w:tcPr>
          <w:p>
            <w:pPr>
              <w:spacing w:before="0" w:after="0"/>
              <w:jc w:val="center"/>
              <w:rPr>
                <w:b/>
                <w:noProof/>
                <w:szCs w:val="24"/>
              </w:rPr>
            </w:pPr>
            <w:r>
              <w:rPr>
                <w:b/>
                <w:noProof/>
                <w:szCs w:val="24"/>
              </w:rPr>
              <w:t>Magyarázat</w:t>
            </w:r>
          </w:p>
        </w:tc>
        <w:tc>
          <w:tcPr>
            <w:tcW w:w="1322" w:type="dxa"/>
          </w:tcPr>
          <w:p>
            <w:pPr>
              <w:spacing w:before="0" w:after="0"/>
              <w:jc w:val="center"/>
              <w:rPr>
                <w:noProof/>
                <w:szCs w:val="24"/>
              </w:rPr>
            </w:pPr>
            <w:r>
              <w:rPr>
                <w:noProof/>
              </w:rPr>
              <w:t>10</w:t>
            </w:r>
          </w:p>
        </w:tc>
        <w:tc>
          <w:tcPr>
            <w:tcW w:w="150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c>
          <w:tcPr>
            <w:tcW w:w="1253" w:type="dxa"/>
          </w:tcPr>
          <w:p>
            <w:pPr>
              <w:spacing w:before="0" w:after="0"/>
              <w:jc w:val="center"/>
              <w:rPr>
                <w:noProof/>
                <w:szCs w:val="24"/>
              </w:rPr>
            </w:pPr>
            <w:r>
              <w:rPr>
                <w:noProof/>
              </w:rPr>
              <w:t>14</w:t>
            </w:r>
          </w:p>
        </w:tc>
        <w:tc>
          <w:tcPr>
            <w:tcW w:w="1253" w:type="dxa"/>
          </w:tcPr>
          <w:p>
            <w:pPr>
              <w:spacing w:before="0" w:after="0"/>
              <w:jc w:val="center"/>
              <w:rPr>
                <w:noProof/>
                <w:szCs w:val="24"/>
              </w:rPr>
            </w:pPr>
            <w:r>
              <w:rPr>
                <w:noProof/>
              </w:rPr>
              <w:t>16</w:t>
            </w:r>
          </w:p>
        </w:tc>
        <w:tc>
          <w:tcPr>
            <w:tcW w:w="1253" w:type="dxa"/>
          </w:tcPr>
          <w:p>
            <w:pPr>
              <w:spacing w:before="0" w:after="0"/>
              <w:jc w:val="center"/>
              <w:rPr>
                <w:noProof/>
                <w:szCs w:val="24"/>
              </w:rPr>
            </w:pPr>
            <w:r>
              <w:rPr>
                <w:noProof/>
              </w:rPr>
              <w:t>8</w:t>
            </w:r>
          </w:p>
        </w:tc>
      </w:tr>
      <w:tr>
        <w:trPr>
          <w:jc w:val="center"/>
        </w:trPr>
        <w:tc>
          <w:tcPr>
            <w:tcW w:w="1488" w:type="dxa"/>
          </w:tcPr>
          <w:p>
            <w:pPr>
              <w:spacing w:before="0" w:after="0"/>
              <w:jc w:val="center"/>
              <w:rPr>
                <w:b/>
                <w:noProof/>
                <w:szCs w:val="24"/>
              </w:rPr>
            </w:pPr>
            <w:r>
              <w:rPr>
                <w:b/>
                <w:noProof/>
                <w:szCs w:val="24"/>
              </w:rPr>
              <w:t>Besorolási vélemény</w:t>
            </w:r>
          </w:p>
        </w:tc>
        <w:tc>
          <w:tcPr>
            <w:tcW w:w="1322" w:type="dxa"/>
          </w:tcPr>
          <w:p>
            <w:pPr>
              <w:spacing w:before="0" w:after="0"/>
              <w:jc w:val="center"/>
              <w:rPr>
                <w:noProof/>
                <w:szCs w:val="24"/>
              </w:rPr>
            </w:pPr>
            <w:r>
              <w:rPr>
                <w:noProof/>
              </w:rPr>
              <w:t>22</w:t>
            </w:r>
          </w:p>
        </w:tc>
        <w:tc>
          <w:tcPr>
            <w:tcW w:w="1503" w:type="dxa"/>
          </w:tcPr>
          <w:p>
            <w:pPr>
              <w:spacing w:before="0" w:after="0"/>
              <w:jc w:val="center"/>
              <w:rPr>
                <w:noProof/>
                <w:szCs w:val="24"/>
              </w:rPr>
            </w:pPr>
            <w:r>
              <w:rPr>
                <w:noProof/>
              </w:rPr>
              <w:t>19</w:t>
            </w:r>
          </w:p>
        </w:tc>
        <w:tc>
          <w:tcPr>
            <w:tcW w:w="1253" w:type="dxa"/>
          </w:tcPr>
          <w:p>
            <w:pPr>
              <w:spacing w:before="0" w:after="0"/>
              <w:jc w:val="center"/>
              <w:rPr>
                <w:noProof/>
                <w:szCs w:val="24"/>
              </w:rPr>
            </w:pPr>
            <w:r>
              <w:rPr>
                <w:noProof/>
              </w:rPr>
              <w:t>26</w:t>
            </w:r>
          </w:p>
        </w:tc>
        <w:tc>
          <w:tcPr>
            <w:tcW w:w="1253" w:type="dxa"/>
          </w:tcPr>
          <w:p>
            <w:pPr>
              <w:spacing w:before="0" w:after="0"/>
              <w:jc w:val="center"/>
              <w:rPr>
                <w:noProof/>
                <w:szCs w:val="24"/>
              </w:rPr>
            </w:pPr>
            <w:r>
              <w:rPr>
                <w:noProof/>
              </w:rPr>
              <w:t>13</w:t>
            </w:r>
          </w:p>
        </w:tc>
        <w:tc>
          <w:tcPr>
            <w:tcW w:w="125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r>
      <w:tr>
        <w:trPr>
          <w:jc w:val="center"/>
        </w:trPr>
        <w:tc>
          <w:tcPr>
            <w:tcW w:w="1488" w:type="dxa"/>
          </w:tcPr>
          <w:p>
            <w:pPr>
              <w:spacing w:before="0" w:after="0"/>
              <w:jc w:val="center"/>
              <w:rPr>
                <w:b/>
                <w:noProof/>
                <w:szCs w:val="24"/>
              </w:rPr>
            </w:pPr>
            <w:r>
              <w:rPr>
                <w:b/>
                <w:noProof/>
                <w:szCs w:val="24"/>
              </w:rPr>
              <w:t>Besorolási határozat</w:t>
            </w:r>
          </w:p>
        </w:tc>
        <w:tc>
          <w:tcPr>
            <w:tcW w:w="1322" w:type="dxa"/>
          </w:tcPr>
          <w:p>
            <w:pPr>
              <w:spacing w:before="0" w:after="0"/>
              <w:jc w:val="center"/>
              <w:rPr>
                <w:noProof/>
                <w:szCs w:val="24"/>
              </w:rPr>
            </w:pPr>
            <w:r>
              <w:rPr>
                <w:noProof/>
              </w:rPr>
              <w:t>48</w:t>
            </w:r>
          </w:p>
        </w:tc>
        <w:tc>
          <w:tcPr>
            <w:tcW w:w="1503" w:type="dxa"/>
          </w:tcPr>
          <w:p>
            <w:pPr>
              <w:spacing w:before="0" w:after="0"/>
              <w:jc w:val="center"/>
              <w:rPr>
                <w:noProof/>
                <w:szCs w:val="24"/>
              </w:rPr>
            </w:pPr>
            <w:r>
              <w:rPr>
                <w:noProof/>
              </w:rPr>
              <w:t>35</w:t>
            </w:r>
          </w:p>
        </w:tc>
        <w:tc>
          <w:tcPr>
            <w:tcW w:w="1253" w:type="dxa"/>
          </w:tcPr>
          <w:p>
            <w:pPr>
              <w:spacing w:before="0" w:after="0"/>
              <w:jc w:val="center"/>
              <w:rPr>
                <w:noProof/>
                <w:szCs w:val="24"/>
              </w:rPr>
            </w:pPr>
            <w:r>
              <w:rPr>
                <w:noProof/>
              </w:rPr>
              <w:t>38</w:t>
            </w:r>
          </w:p>
        </w:tc>
        <w:tc>
          <w:tcPr>
            <w:tcW w:w="1253" w:type="dxa"/>
          </w:tcPr>
          <w:p>
            <w:pPr>
              <w:spacing w:before="0" w:after="0"/>
              <w:jc w:val="center"/>
              <w:rPr>
                <w:noProof/>
                <w:szCs w:val="24"/>
              </w:rPr>
            </w:pPr>
            <w:r>
              <w:rPr>
                <w:noProof/>
              </w:rPr>
              <w:t>37</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39</w:t>
            </w:r>
          </w:p>
        </w:tc>
      </w:tr>
      <w:tr>
        <w:trPr>
          <w:jc w:val="center"/>
        </w:trPr>
        <w:tc>
          <w:tcPr>
            <w:tcW w:w="1488" w:type="dxa"/>
          </w:tcPr>
          <w:p>
            <w:pPr>
              <w:spacing w:before="0" w:after="0"/>
              <w:jc w:val="center"/>
              <w:rPr>
                <w:b/>
                <w:noProof/>
                <w:szCs w:val="24"/>
              </w:rPr>
            </w:pPr>
            <w:r>
              <w:rPr>
                <w:b/>
                <w:noProof/>
                <w:szCs w:val="24"/>
              </w:rPr>
              <w:t>Részösszeg</w:t>
            </w:r>
          </w:p>
        </w:tc>
        <w:tc>
          <w:tcPr>
            <w:tcW w:w="1322" w:type="dxa"/>
          </w:tcPr>
          <w:p>
            <w:pPr>
              <w:spacing w:before="0" w:after="0"/>
              <w:jc w:val="center"/>
              <w:rPr>
                <w:b/>
                <w:noProof/>
                <w:szCs w:val="24"/>
              </w:rPr>
            </w:pPr>
            <w:r>
              <w:rPr>
                <w:b/>
                <w:noProof/>
                <w:szCs w:val="24"/>
              </w:rPr>
              <w:t>80</w:t>
            </w:r>
          </w:p>
        </w:tc>
        <w:tc>
          <w:tcPr>
            <w:tcW w:w="1503" w:type="dxa"/>
          </w:tcPr>
          <w:p>
            <w:pPr>
              <w:spacing w:before="0" w:after="0"/>
              <w:jc w:val="center"/>
              <w:rPr>
                <w:b/>
                <w:noProof/>
                <w:szCs w:val="24"/>
              </w:rPr>
            </w:pPr>
            <w:r>
              <w:rPr>
                <w:b/>
                <w:noProof/>
                <w:szCs w:val="24"/>
              </w:rPr>
              <w:t>75</w:t>
            </w:r>
          </w:p>
        </w:tc>
        <w:tc>
          <w:tcPr>
            <w:tcW w:w="1253" w:type="dxa"/>
          </w:tcPr>
          <w:p>
            <w:pPr>
              <w:spacing w:before="0" w:after="0"/>
              <w:jc w:val="center"/>
              <w:rPr>
                <w:b/>
                <w:noProof/>
                <w:szCs w:val="24"/>
              </w:rPr>
            </w:pPr>
            <w:r>
              <w:rPr>
                <w:b/>
                <w:noProof/>
                <w:szCs w:val="24"/>
              </w:rPr>
              <w:t>71</w:t>
            </w:r>
          </w:p>
        </w:tc>
        <w:tc>
          <w:tcPr>
            <w:tcW w:w="1253" w:type="dxa"/>
          </w:tcPr>
          <w:p>
            <w:pPr>
              <w:spacing w:before="0" w:after="0"/>
              <w:jc w:val="center"/>
              <w:rPr>
                <w:b/>
                <w:noProof/>
                <w:szCs w:val="24"/>
              </w:rPr>
            </w:pPr>
            <w:r>
              <w:rPr>
                <w:b/>
                <w:noProof/>
                <w:szCs w:val="24"/>
              </w:rPr>
              <w:t>64</w:t>
            </w:r>
          </w:p>
        </w:tc>
        <w:tc>
          <w:tcPr>
            <w:tcW w:w="1253" w:type="dxa"/>
          </w:tcPr>
          <w:p>
            <w:pPr>
              <w:spacing w:before="0" w:after="0"/>
              <w:jc w:val="center"/>
              <w:rPr>
                <w:b/>
                <w:noProof/>
                <w:szCs w:val="24"/>
              </w:rPr>
            </w:pPr>
            <w:r>
              <w:rPr>
                <w:b/>
                <w:noProof/>
                <w:szCs w:val="24"/>
              </w:rPr>
              <w:t>66</w:t>
            </w:r>
          </w:p>
        </w:tc>
        <w:tc>
          <w:tcPr>
            <w:tcW w:w="1253" w:type="dxa"/>
          </w:tcPr>
          <w:p>
            <w:pPr>
              <w:spacing w:before="0" w:after="0"/>
              <w:jc w:val="center"/>
              <w:rPr>
                <w:b/>
                <w:noProof/>
                <w:szCs w:val="24"/>
              </w:rPr>
            </w:pPr>
            <w:r>
              <w:rPr>
                <w:b/>
                <w:noProof/>
                <w:szCs w:val="24"/>
              </w:rPr>
              <w:t>54</w:t>
            </w:r>
          </w:p>
        </w:tc>
      </w:tr>
      <w:tr>
        <w:trPr>
          <w:jc w:val="center"/>
        </w:trPr>
        <w:tc>
          <w:tcPr>
            <w:tcW w:w="1488" w:type="dxa"/>
          </w:tcPr>
          <w:p>
            <w:pPr>
              <w:spacing w:before="0" w:after="0"/>
              <w:jc w:val="center"/>
              <w:rPr>
                <w:b/>
                <w:noProof/>
                <w:szCs w:val="24"/>
              </w:rPr>
            </w:pPr>
            <w:r>
              <w:rPr>
                <w:b/>
                <w:noProof/>
                <w:szCs w:val="24"/>
              </w:rPr>
              <w:t>Összesen</w:t>
            </w:r>
          </w:p>
        </w:tc>
        <w:tc>
          <w:tcPr>
            <w:tcW w:w="1322" w:type="dxa"/>
          </w:tcPr>
          <w:p>
            <w:pPr>
              <w:spacing w:before="0" w:after="0"/>
              <w:jc w:val="center"/>
              <w:rPr>
                <w:b/>
                <w:noProof/>
                <w:szCs w:val="24"/>
              </w:rPr>
            </w:pPr>
            <w:r>
              <w:rPr>
                <w:b/>
                <w:noProof/>
                <w:szCs w:val="24"/>
              </w:rPr>
              <w:t>93</w:t>
            </w:r>
          </w:p>
        </w:tc>
        <w:tc>
          <w:tcPr>
            <w:tcW w:w="1503" w:type="dxa"/>
          </w:tcPr>
          <w:p>
            <w:pPr>
              <w:spacing w:before="0" w:after="0"/>
              <w:jc w:val="center"/>
              <w:rPr>
                <w:b/>
                <w:noProof/>
                <w:szCs w:val="24"/>
              </w:rPr>
            </w:pPr>
            <w:r>
              <w:rPr>
                <w:b/>
                <w:noProof/>
                <w:szCs w:val="24"/>
              </w:rPr>
              <w:t>84</w:t>
            </w:r>
          </w:p>
        </w:tc>
        <w:tc>
          <w:tcPr>
            <w:tcW w:w="1253" w:type="dxa"/>
          </w:tcPr>
          <w:p>
            <w:pPr>
              <w:spacing w:before="0" w:after="0"/>
              <w:jc w:val="center"/>
              <w:rPr>
                <w:b/>
                <w:noProof/>
                <w:szCs w:val="24"/>
              </w:rPr>
            </w:pPr>
            <w:r>
              <w:rPr>
                <w:b/>
                <w:noProof/>
                <w:szCs w:val="24"/>
              </w:rPr>
              <w:t>80</w:t>
            </w:r>
          </w:p>
        </w:tc>
        <w:tc>
          <w:tcPr>
            <w:tcW w:w="1253" w:type="dxa"/>
          </w:tcPr>
          <w:p>
            <w:pPr>
              <w:spacing w:before="0" w:after="0"/>
              <w:jc w:val="center"/>
              <w:rPr>
                <w:b/>
                <w:noProof/>
                <w:szCs w:val="24"/>
              </w:rPr>
            </w:pPr>
            <w:r>
              <w:rPr>
                <w:b/>
                <w:noProof/>
                <w:szCs w:val="24"/>
              </w:rPr>
              <w:t>93</w:t>
            </w:r>
          </w:p>
        </w:tc>
        <w:tc>
          <w:tcPr>
            <w:tcW w:w="1253" w:type="dxa"/>
          </w:tcPr>
          <w:p>
            <w:pPr>
              <w:spacing w:before="0" w:after="0"/>
              <w:jc w:val="center"/>
              <w:rPr>
                <w:b/>
                <w:noProof/>
                <w:szCs w:val="24"/>
              </w:rPr>
            </w:pPr>
            <w:r>
              <w:rPr>
                <w:b/>
                <w:noProof/>
                <w:szCs w:val="24"/>
              </w:rPr>
              <w:t>110</w:t>
            </w:r>
          </w:p>
        </w:tc>
        <w:tc>
          <w:tcPr>
            <w:tcW w:w="1253" w:type="dxa"/>
          </w:tcPr>
          <w:p>
            <w:pPr>
              <w:spacing w:before="0" w:after="0"/>
              <w:jc w:val="center"/>
              <w:rPr>
                <w:b/>
                <w:noProof/>
                <w:szCs w:val="24"/>
              </w:rPr>
            </w:pPr>
            <w:r>
              <w:rPr>
                <w:b/>
                <w:noProof/>
                <w:szCs w:val="24"/>
              </w:rPr>
              <w:t>56</w:t>
            </w:r>
          </w:p>
        </w:tc>
      </w:tr>
    </w:tbl>
    <w:p>
      <w:pPr>
        <w:spacing w:before="0" w:after="200" w:line="276" w:lineRule="auto"/>
        <w:rPr>
          <w:noProof/>
          <w:szCs w:val="24"/>
        </w:rPr>
      </w:pPr>
    </w:p>
    <w:p>
      <w:pPr>
        <w:rPr>
          <w:noProof/>
          <w:szCs w:val="24"/>
        </w:rPr>
      </w:pPr>
      <w:r>
        <w:rPr>
          <w:noProof/>
        </w:rPr>
        <w:t xml:space="preserve">Az Unió a HR Bizottság munkájának egyik fő résztvevője, mivel számos olyan javaslatot és témát (pl. besorolási kérdéseket vagy besorolással kapcsolatos, harmadik országokkal folytatott vitákat és a HR Magyarázat módosítására irányuló javaslatokat) terjeszt elő, amelyek rendszeresen felkerülnek a HR Bizottság napirendjére. </w:t>
      </w:r>
    </w:p>
    <w:p>
      <w:pPr>
        <w:spacing w:before="0" w:after="200" w:line="276" w:lineRule="auto"/>
        <w:rPr>
          <w:noProof/>
          <w:szCs w:val="24"/>
        </w:rPr>
      </w:pPr>
      <w:r>
        <w:rPr>
          <w:noProof/>
        </w:rPr>
        <w:t xml:space="preserve">A Bizottság eddig rugalmas és pragmatikus megközelítést alkalmazott annak érdekében, hogy biztosítsa a WCO-ban képviselendő uniós álláspontok optimális előkészítését, bemutatását és hatékony védelmét. Első lépésként a Bizottság árubesorolási szakértői szisztematikusan elemzik a kérdéseket, áttekintik a tagállamok árubesorolási gyakorlatát, és állásponttervezeteket készítenek. Ezeket ezután megvitatják a tagállamok szakértőivel a </w:t>
      </w:r>
      <w:r>
        <w:rPr>
          <w:noProof/>
        </w:rPr>
        <w:lastRenderedPageBreak/>
        <w:t>Vámszakértői Csoportban, és szükség esetén módosítják egy összehangolt álláspont kialakítása céljából (a HR Bizottság előkészítő munkacsoportjának ülése előtt). Ezt szükség esetén (európai szakmai szövetségekkel vagy más érdekelt felekkel folytatott) külső konzultációk és/vagy helyszíni koordináció egészíti ki.</w:t>
      </w:r>
    </w:p>
    <w:p>
      <w:pPr>
        <w:rPr>
          <w:noProof/>
          <w:szCs w:val="24"/>
        </w:rPr>
      </w:pPr>
      <w:r>
        <w:rPr>
          <w:noProof/>
        </w:rPr>
        <w:t xml:space="preserve">A HR Bizottságban való hatékony uniós részvétel az uniós intézmények részéről fokozott és hatékony együttműködést igényel. Ez különösen igaz a HR Bizottság által tárgyalt kérdések nagy száma és erősen technikai jellege miatt. Ezenfelül a dokumentumok rendelkezésre bocsátása és a HR Bizottság ülésein folytatott tényleges vita közötti idő rendkívül rövid. </w:t>
      </w:r>
    </w:p>
    <w:p>
      <w:pPr>
        <w:rPr>
          <w:noProof/>
          <w:szCs w:val="24"/>
        </w:rPr>
      </w:pPr>
      <w:r>
        <w:rPr>
          <w:noProof/>
        </w:rPr>
        <w:t xml:space="preserve">A HR Bizottság eljárási szabályzata (10. szabály) kimondja, hogy a tagok által előterjesztett napirendi pontokat a titkárságnak legalább nyolc héttel az ülés kezdete előtt meg kell kapnia. Ellenkező esetben a pontok egy kiegészítő listára kerülnek, és a HR Bizottság dönt arról, hogy felveszi-e azokat a napirendre. Ezt a szabályt a tagok tiszteletben tartják. Ugyanakkor a WCO titkársága által elkészített munkadokumentumok rendelkezésre állása érdekében az említett szabály azt is kimondja, hogy alapesetben az adott ülés megnyitásának időpontja előtt legalább 30 nappal meg kell küldeni minden alapvető munkadokumentumot a HR Bizottság valamennyi tagjának. A gyakorlat azonban azt mutatja, hogy a WCO titkársága ezt a szabályt nagyon gyakran többszörös felkérés ellenére sem tartja tiszteletben. Továbbá, ha a titkárság az alapvető dokumentumokat a fent említett határidőn belül rendelkezésre is bocsátja, későbbi időpontokban kiegészítő dokumentumok rendelkezésre bocsátására is sor kerülhet. Az ilyen új, a szerződő felek vagy más érdekelt felek – például nemzetközi szervezetek – által saját kezdeményezésre vagy a Vámigazgatások Világszervezete titkárságának felkérésére benyújtott dokumentumok fontos további technikai információkkal, jogi értelmezéssel vagy állásfoglalással szolgálhatnak. </w:t>
      </w:r>
    </w:p>
    <w:p>
      <w:pPr>
        <w:rPr>
          <w:noProof/>
          <w:szCs w:val="24"/>
        </w:rPr>
      </w:pPr>
      <w:r>
        <w:rPr>
          <w:noProof/>
        </w:rPr>
        <w:t>A 2. táblázat azt mutatja be, hogy a munkadokumentumok a jelenlegi adatok szerint mikor álltak rendelkezésre a HR Bizottság számára az elmúlt három évben.</w:t>
      </w:r>
    </w:p>
    <w:p>
      <w:pPr>
        <w:jc w:val="center"/>
        <w:rPr>
          <w:b/>
          <w:noProof/>
          <w:szCs w:val="24"/>
        </w:rPr>
      </w:pPr>
      <w:r>
        <w:rPr>
          <w:b/>
          <w:noProof/>
          <w:szCs w:val="24"/>
        </w:rPr>
        <w:t xml:space="preserve">2. táblázat: A munkadokumentumok rendelkezésre állása </w:t>
      </w:r>
    </w:p>
    <w:p>
      <w:pPr>
        <w:jc w:val="center"/>
        <w:rPr>
          <w:b/>
          <w:noProof/>
          <w:szCs w:val="24"/>
        </w:rPr>
      </w:pPr>
      <w:r>
        <w:rPr>
          <w:b/>
          <w:noProof/>
          <w:szCs w:val="24"/>
        </w:rPr>
        <w:t>HR Bizottság (2 ülés/év)</w:t>
      </w:r>
    </w:p>
    <w:tbl>
      <w:tblPr>
        <w:tblStyle w:val="TableGrid"/>
        <w:tblW w:w="9129" w:type="dxa"/>
        <w:jc w:val="center"/>
        <w:tblLook w:val="04A0" w:firstRow="1" w:lastRow="0" w:firstColumn="1" w:lastColumn="0" w:noHBand="0" w:noVBand="1"/>
      </w:tblPr>
      <w:tblGrid>
        <w:gridCol w:w="1136"/>
        <w:gridCol w:w="1405"/>
        <w:gridCol w:w="2229"/>
        <w:gridCol w:w="999"/>
        <w:gridCol w:w="456"/>
        <w:gridCol w:w="988"/>
        <w:gridCol w:w="462"/>
        <w:gridCol w:w="984"/>
        <w:gridCol w:w="470"/>
      </w:tblGrid>
      <w:tr>
        <w:trPr>
          <w:jc w:val="center"/>
        </w:trPr>
        <w:tc>
          <w:tcPr>
            <w:tcW w:w="1020" w:type="dxa"/>
          </w:tcPr>
          <w:p>
            <w:pPr>
              <w:spacing w:before="0" w:after="0"/>
              <w:jc w:val="center"/>
              <w:rPr>
                <w:b/>
                <w:noProof/>
                <w:szCs w:val="24"/>
              </w:rPr>
            </w:pPr>
          </w:p>
          <w:p>
            <w:pPr>
              <w:spacing w:before="0" w:after="0"/>
              <w:jc w:val="center"/>
              <w:rPr>
                <w:b/>
                <w:noProof/>
                <w:szCs w:val="24"/>
              </w:rPr>
            </w:pPr>
            <w:r>
              <w:rPr>
                <w:b/>
                <w:noProof/>
                <w:szCs w:val="24"/>
              </w:rPr>
              <w:t>Ülés</w:t>
            </w:r>
          </w:p>
        </w:tc>
        <w:tc>
          <w:tcPr>
            <w:tcW w:w="1680" w:type="dxa"/>
          </w:tcPr>
          <w:p>
            <w:pPr>
              <w:spacing w:before="0" w:after="0"/>
              <w:jc w:val="center"/>
              <w:rPr>
                <w:b/>
                <w:noProof/>
                <w:szCs w:val="24"/>
              </w:rPr>
            </w:pPr>
          </w:p>
          <w:p>
            <w:pPr>
              <w:spacing w:before="0" w:after="0"/>
              <w:jc w:val="center"/>
              <w:rPr>
                <w:b/>
                <w:noProof/>
                <w:szCs w:val="24"/>
              </w:rPr>
            </w:pPr>
            <w:r>
              <w:rPr>
                <w:b/>
                <w:noProof/>
                <w:szCs w:val="24"/>
              </w:rPr>
              <w:t>Dátum</w:t>
            </w:r>
            <w:r>
              <w:rPr>
                <w:rStyle w:val="FootnoteReference"/>
                <w:b/>
                <w:noProof/>
                <w:szCs w:val="24"/>
              </w:rPr>
              <w:footnoteReference w:id="7"/>
            </w:r>
          </w:p>
        </w:tc>
        <w:tc>
          <w:tcPr>
            <w:tcW w:w="974" w:type="dxa"/>
          </w:tcPr>
          <w:p>
            <w:pPr>
              <w:spacing w:before="0" w:after="0"/>
              <w:jc w:val="center"/>
              <w:rPr>
                <w:b/>
                <w:noProof/>
                <w:szCs w:val="24"/>
              </w:rPr>
            </w:pPr>
            <w:r>
              <w:rPr>
                <w:b/>
                <w:noProof/>
                <w:szCs w:val="24"/>
              </w:rPr>
              <w:t>Határozathozatalra szánt napirendi pontok</w:t>
            </w:r>
          </w:p>
        </w:tc>
        <w:tc>
          <w:tcPr>
            <w:tcW w:w="5455" w:type="dxa"/>
            <w:gridSpan w:val="6"/>
          </w:tcPr>
          <w:p>
            <w:pPr>
              <w:spacing w:before="0" w:after="0"/>
              <w:jc w:val="center"/>
              <w:rPr>
                <w:b/>
                <w:noProof/>
                <w:szCs w:val="24"/>
              </w:rPr>
            </w:pPr>
          </w:p>
          <w:p>
            <w:pPr>
              <w:spacing w:before="0" w:after="0"/>
              <w:jc w:val="center"/>
              <w:rPr>
                <w:b/>
                <w:noProof/>
                <w:szCs w:val="24"/>
              </w:rPr>
            </w:pPr>
            <w:r>
              <w:rPr>
                <w:b/>
                <w:noProof/>
                <w:szCs w:val="24"/>
              </w:rPr>
              <w:t>A dokumentumok rendelkezésre állása</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823" w:type="dxa"/>
            <w:gridSpan w:val="2"/>
          </w:tcPr>
          <w:p>
            <w:pPr>
              <w:spacing w:before="0" w:after="0"/>
              <w:jc w:val="center"/>
              <w:rPr>
                <w:b/>
                <w:noProof/>
                <w:szCs w:val="24"/>
              </w:rPr>
            </w:pPr>
            <w:r>
              <w:rPr>
                <w:b/>
                <w:noProof/>
                <w:szCs w:val="24"/>
              </w:rPr>
              <w:t>&gt;30 nappal az ülés előtt</w:t>
            </w:r>
          </w:p>
        </w:tc>
        <w:tc>
          <w:tcPr>
            <w:tcW w:w="1809" w:type="dxa"/>
            <w:gridSpan w:val="2"/>
          </w:tcPr>
          <w:p>
            <w:pPr>
              <w:spacing w:before="0" w:after="0"/>
              <w:jc w:val="center"/>
              <w:rPr>
                <w:b/>
                <w:noProof/>
                <w:szCs w:val="24"/>
              </w:rPr>
            </w:pPr>
            <w:r>
              <w:rPr>
                <w:b/>
                <w:noProof/>
                <w:szCs w:val="24"/>
              </w:rPr>
              <w:t>15–30 nappal az ülés előtt</w:t>
            </w:r>
          </w:p>
        </w:tc>
        <w:tc>
          <w:tcPr>
            <w:tcW w:w="1823" w:type="dxa"/>
            <w:gridSpan w:val="2"/>
          </w:tcPr>
          <w:p>
            <w:pPr>
              <w:spacing w:before="0" w:after="0"/>
              <w:jc w:val="center"/>
              <w:rPr>
                <w:b/>
                <w:noProof/>
                <w:szCs w:val="24"/>
              </w:rPr>
            </w:pPr>
            <w:r>
              <w:rPr>
                <w:b/>
                <w:noProof/>
                <w:szCs w:val="24"/>
              </w:rPr>
              <w:t>&lt;15 nappal az ülés előtt</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369" w:type="dxa"/>
          </w:tcPr>
          <w:p>
            <w:pPr>
              <w:spacing w:before="0" w:after="0"/>
              <w:jc w:val="center"/>
              <w:rPr>
                <w:b/>
                <w:noProof/>
                <w:szCs w:val="24"/>
              </w:rPr>
            </w:pPr>
            <w:r>
              <w:rPr>
                <w:b/>
                <w:noProof/>
                <w:szCs w:val="24"/>
              </w:rPr>
              <w:t>Darab</w:t>
            </w:r>
          </w:p>
        </w:tc>
        <w:tc>
          <w:tcPr>
            <w:tcW w:w="454" w:type="dxa"/>
          </w:tcPr>
          <w:p>
            <w:pPr>
              <w:spacing w:before="0" w:after="0"/>
              <w:jc w:val="center"/>
              <w:rPr>
                <w:b/>
                <w:i/>
                <w:noProof/>
                <w:szCs w:val="24"/>
              </w:rPr>
            </w:pPr>
            <w:r>
              <w:rPr>
                <w:b/>
                <w:i/>
                <w:noProof/>
                <w:szCs w:val="24"/>
              </w:rPr>
              <w:t>%</w:t>
            </w:r>
          </w:p>
        </w:tc>
        <w:tc>
          <w:tcPr>
            <w:tcW w:w="1329" w:type="dxa"/>
          </w:tcPr>
          <w:p>
            <w:pPr>
              <w:spacing w:before="0" w:after="0"/>
              <w:jc w:val="center"/>
              <w:rPr>
                <w:b/>
                <w:noProof/>
                <w:szCs w:val="24"/>
              </w:rPr>
            </w:pPr>
            <w:r>
              <w:rPr>
                <w:b/>
                <w:noProof/>
                <w:szCs w:val="24"/>
              </w:rPr>
              <w:t>Darab</w:t>
            </w:r>
          </w:p>
        </w:tc>
        <w:tc>
          <w:tcPr>
            <w:tcW w:w="480" w:type="dxa"/>
          </w:tcPr>
          <w:p>
            <w:pPr>
              <w:spacing w:before="0" w:after="0"/>
              <w:jc w:val="center"/>
              <w:rPr>
                <w:b/>
                <w:i/>
                <w:noProof/>
                <w:szCs w:val="24"/>
              </w:rPr>
            </w:pPr>
            <w:r>
              <w:rPr>
                <w:b/>
                <w:i/>
                <w:noProof/>
                <w:szCs w:val="24"/>
              </w:rPr>
              <w:t>%</w:t>
            </w:r>
          </w:p>
        </w:tc>
        <w:tc>
          <w:tcPr>
            <w:tcW w:w="1314" w:type="dxa"/>
          </w:tcPr>
          <w:p>
            <w:pPr>
              <w:spacing w:before="0" w:after="0"/>
              <w:jc w:val="center"/>
              <w:rPr>
                <w:b/>
                <w:noProof/>
                <w:szCs w:val="24"/>
              </w:rPr>
            </w:pPr>
            <w:r>
              <w:rPr>
                <w:b/>
                <w:noProof/>
                <w:szCs w:val="24"/>
              </w:rPr>
              <w:t>Darab</w:t>
            </w:r>
          </w:p>
        </w:tc>
        <w:tc>
          <w:tcPr>
            <w:tcW w:w="509" w:type="dxa"/>
          </w:tcPr>
          <w:p>
            <w:pPr>
              <w:spacing w:before="0" w:after="0"/>
              <w:jc w:val="center"/>
              <w:rPr>
                <w:b/>
                <w:noProof/>
                <w:szCs w:val="24"/>
              </w:rPr>
            </w:pPr>
            <w:r>
              <w:rPr>
                <w:b/>
                <w:noProof/>
                <w:szCs w:val="24"/>
              </w:rPr>
              <w:t>%</w:t>
            </w:r>
          </w:p>
        </w:tc>
      </w:tr>
      <w:tr>
        <w:trPr>
          <w:jc w:val="center"/>
        </w:trPr>
        <w:tc>
          <w:tcPr>
            <w:tcW w:w="1020" w:type="dxa"/>
          </w:tcPr>
          <w:p>
            <w:pPr>
              <w:spacing w:before="0" w:after="0"/>
              <w:jc w:val="center"/>
              <w:rPr>
                <w:b/>
                <w:noProof/>
                <w:szCs w:val="24"/>
              </w:rPr>
            </w:pPr>
            <w:r>
              <w:rPr>
                <w:b/>
                <w:noProof/>
                <w:szCs w:val="24"/>
              </w:rPr>
              <w:t>HSC/59</w:t>
            </w:r>
          </w:p>
        </w:tc>
        <w:tc>
          <w:tcPr>
            <w:tcW w:w="1680" w:type="dxa"/>
          </w:tcPr>
          <w:p>
            <w:pPr>
              <w:spacing w:before="0" w:after="0"/>
              <w:jc w:val="center"/>
              <w:rPr>
                <w:noProof/>
                <w:szCs w:val="24"/>
              </w:rPr>
            </w:pPr>
            <w:r>
              <w:rPr>
                <w:noProof/>
              </w:rPr>
              <w:t>2017. március 13–24.</w:t>
            </w:r>
          </w:p>
        </w:tc>
        <w:tc>
          <w:tcPr>
            <w:tcW w:w="974" w:type="dxa"/>
          </w:tcPr>
          <w:p>
            <w:pPr>
              <w:spacing w:before="0" w:after="0"/>
              <w:jc w:val="center"/>
              <w:rPr>
                <w:noProof/>
                <w:szCs w:val="24"/>
              </w:rPr>
            </w:pPr>
            <w:r>
              <w:rPr>
                <w:noProof/>
              </w:rPr>
              <w:t>74</w:t>
            </w:r>
          </w:p>
        </w:tc>
        <w:tc>
          <w:tcPr>
            <w:tcW w:w="1369" w:type="dxa"/>
          </w:tcPr>
          <w:p>
            <w:pPr>
              <w:spacing w:before="0" w:after="0"/>
              <w:jc w:val="center"/>
              <w:rPr>
                <w:noProof/>
                <w:szCs w:val="24"/>
              </w:rPr>
            </w:pPr>
            <w:r>
              <w:rPr>
                <w:noProof/>
              </w:rPr>
              <w:t>22</w:t>
            </w:r>
          </w:p>
        </w:tc>
        <w:tc>
          <w:tcPr>
            <w:tcW w:w="454" w:type="dxa"/>
          </w:tcPr>
          <w:p>
            <w:pPr>
              <w:spacing w:before="0" w:after="0"/>
              <w:jc w:val="center"/>
              <w:rPr>
                <w:noProof/>
                <w:szCs w:val="24"/>
              </w:rPr>
            </w:pPr>
            <w:r>
              <w:rPr>
                <w:noProof/>
              </w:rPr>
              <w:t>30</w:t>
            </w:r>
          </w:p>
        </w:tc>
        <w:tc>
          <w:tcPr>
            <w:tcW w:w="1329" w:type="dxa"/>
          </w:tcPr>
          <w:p>
            <w:pPr>
              <w:spacing w:before="0" w:after="0"/>
              <w:jc w:val="center"/>
              <w:rPr>
                <w:noProof/>
                <w:szCs w:val="24"/>
              </w:rPr>
            </w:pPr>
            <w:r>
              <w:rPr>
                <w:noProof/>
              </w:rPr>
              <w:t>46</w:t>
            </w:r>
          </w:p>
        </w:tc>
        <w:tc>
          <w:tcPr>
            <w:tcW w:w="480" w:type="dxa"/>
          </w:tcPr>
          <w:p>
            <w:pPr>
              <w:spacing w:before="0" w:after="0"/>
              <w:jc w:val="center"/>
              <w:rPr>
                <w:b/>
                <w:i/>
                <w:noProof/>
                <w:szCs w:val="24"/>
              </w:rPr>
            </w:pPr>
            <w:r>
              <w:rPr>
                <w:b/>
                <w:i/>
                <w:noProof/>
                <w:szCs w:val="24"/>
              </w:rPr>
              <w:t>62</w:t>
            </w:r>
          </w:p>
        </w:tc>
        <w:tc>
          <w:tcPr>
            <w:tcW w:w="1314" w:type="dxa"/>
          </w:tcPr>
          <w:p>
            <w:pPr>
              <w:spacing w:before="0" w:after="0"/>
              <w:jc w:val="center"/>
              <w:rPr>
                <w:noProof/>
                <w:szCs w:val="24"/>
              </w:rPr>
            </w:pPr>
            <w:r>
              <w:rPr>
                <w:noProof/>
              </w:rPr>
              <w:t>6</w:t>
            </w:r>
          </w:p>
        </w:tc>
        <w:tc>
          <w:tcPr>
            <w:tcW w:w="509" w:type="dxa"/>
          </w:tcPr>
          <w:p>
            <w:pPr>
              <w:spacing w:before="0" w:after="0"/>
              <w:jc w:val="center"/>
              <w:rPr>
                <w:i/>
                <w:noProof/>
                <w:szCs w:val="24"/>
              </w:rPr>
            </w:pPr>
            <w:r>
              <w:rPr>
                <w:i/>
                <w:noProof/>
                <w:szCs w:val="24"/>
              </w:rPr>
              <w:t>8</w:t>
            </w:r>
          </w:p>
        </w:tc>
      </w:tr>
      <w:tr>
        <w:trPr>
          <w:jc w:val="center"/>
        </w:trPr>
        <w:tc>
          <w:tcPr>
            <w:tcW w:w="1020" w:type="dxa"/>
          </w:tcPr>
          <w:p>
            <w:pPr>
              <w:spacing w:before="0" w:after="0"/>
              <w:jc w:val="center"/>
              <w:rPr>
                <w:b/>
                <w:noProof/>
                <w:szCs w:val="24"/>
              </w:rPr>
            </w:pPr>
            <w:r>
              <w:rPr>
                <w:b/>
                <w:noProof/>
                <w:szCs w:val="24"/>
              </w:rPr>
              <w:t>HSC/60</w:t>
            </w:r>
          </w:p>
        </w:tc>
        <w:tc>
          <w:tcPr>
            <w:tcW w:w="1680" w:type="dxa"/>
          </w:tcPr>
          <w:p>
            <w:pPr>
              <w:spacing w:before="0" w:after="0"/>
              <w:jc w:val="center"/>
              <w:rPr>
                <w:noProof/>
                <w:szCs w:val="24"/>
              </w:rPr>
            </w:pPr>
            <w:r>
              <w:rPr>
                <w:noProof/>
              </w:rPr>
              <w:t>2017. szeptember 9–október 6.</w:t>
            </w:r>
          </w:p>
        </w:tc>
        <w:tc>
          <w:tcPr>
            <w:tcW w:w="974" w:type="dxa"/>
          </w:tcPr>
          <w:p>
            <w:pPr>
              <w:spacing w:before="0" w:after="0"/>
              <w:jc w:val="center"/>
              <w:rPr>
                <w:noProof/>
                <w:szCs w:val="24"/>
              </w:rPr>
            </w:pPr>
            <w:r>
              <w:rPr>
                <w:noProof/>
              </w:rPr>
              <w:t>78</w:t>
            </w:r>
          </w:p>
        </w:tc>
        <w:tc>
          <w:tcPr>
            <w:tcW w:w="1369" w:type="dxa"/>
          </w:tcPr>
          <w:p>
            <w:pPr>
              <w:spacing w:before="0" w:after="0"/>
              <w:jc w:val="center"/>
              <w:rPr>
                <w:noProof/>
                <w:szCs w:val="24"/>
              </w:rPr>
            </w:pPr>
            <w:r>
              <w:rPr>
                <w:noProof/>
              </w:rPr>
              <w:t>63</w:t>
            </w:r>
          </w:p>
        </w:tc>
        <w:tc>
          <w:tcPr>
            <w:tcW w:w="454" w:type="dxa"/>
          </w:tcPr>
          <w:p>
            <w:pPr>
              <w:spacing w:before="0" w:after="0"/>
              <w:jc w:val="center"/>
              <w:rPr>
                <w:noProof/>
                <w:szCs w:val="24"/>
              </w:rPr>
            </w:pPr>
            <w:r>
              <w:rPr>
                <w:noProof/>
              </w:rPr>
              <w:t>81</w:t>
            </w:r>
          </w:p>
        </w:tc>
        <w:tc>
          <w:tcPr>
            <w:tcW w:w="1329" w:type="dxa"/>
          </w:tcPr>
          <w:p>
            <w:pPr>
              <w:spacing w:before="0" w:after="0"/>
              <w:jc w:val="center"/>
              <w:rPr>
                <w:noProof/>
                <w:szCs w:val="24"/>
              </w:rPr>
            </w:pPr>
            <w:r>
              <w:rPr>
                <w:noProof/>
              </w:rPr>
              <w:t>14</w:t>
            </w:r>
          </w:p>
        </w:tc>
        <w:tc>
          <w:tcPr>
            <w:tcW w:w="480" w:type="dxa"/>
          </w:tcPr>
          <w:p>
            <w:pPr>
              <w:spacing w:before="0" w:after="0"/>
              <w:jc w:val="center"/>
              <w:rPr>
                <w:b/>
                <w:i/>
                <w:noProof/>
                <w:szCs w:val="24"/>
              </w:rPr>
            </w:pPr>
            <w:r>
              <w:rPr>
                <w:b/>
                <w:i/>
                <w:noProof/>
                <w:szCs w:val="24"/>
              </w:rPr>
              <w:t>18</w:t>
            </w:r>
          </w:p>
        </w:tc>
        <w:tc>
          <w:tcPr>
            <w:tcW w:w="1314" w:type="dxa"/>
          </w:tcPr>
          <w:p>
            <w:pPr>
              <w:spacing w:before="0" w:after="0"/>
              <w:jc w:val="center"/>
              <w:rPr>
                <w:noProof/>
                <w:szCs w:val="24"/>
              </w:rPr>
            </w:pPr>
            <w:r>
              <w:rPr>
                <w:noProof/>
              </w:rPr>
              <w:t>1</w:t>
            </w:r>
          </w:p>
        </w:tc>
        <w:tc>
          <w:tcPr>
            <w:tcW w:w="509" w:type="dxa"/>
          </w:tcPr>
          <w:p>
            <w:pPr>
              <w:spacing w:before="0" w:after="0"/>
              <w:jc w:val="center"/>
              <w:rPr>
                <w:i/>
                <w:noProof/>
                <w:szCs w:val="24"/>
              </w:rPr>
            </w:pPr>
            <w:r>
              <w:rPr>
                <w:i/>
                <w:noProof/>
                <w:szCs w:val="24"/>
              </w:rPr>
              <w:t>1</w:t>
            </w:r>
          </w:p>
        </w:tc>
      </w:tr>
      <w:tr>
        <w:trPr>
          <w:jc w:val="center"/>
        </w:trPr>
        <w:tc>
          <w:tcPr>
            <w:tcW w:w="1020" w:type="dxa"/>
          </w:tcPr>
          <w:p>
            <w:pPr>
              <w:spacing w:before="0" w:after="0"/>
              <w:jc w:val="center"/>
              <w:rPr>
                <w:b/>
                <w:noProof/>
                <w:szCs w:val="24"/>
              </w:rPr>
            </w:pPr>
            <w:r>
              <w:rPr>
                <w:b/>
                <w:noProof/>
                <w:szCs w:val="24"/>
              </w:rPr>
              <w:t>HSC/61</w:t>
            </w:r>
          </w:p>
        </w:tc>
        <w:tc>
          <w:tcPr>
            <w:tcW w:w="1680" w:type="dxa"/>
          </w:tcPr>
          <w:p>
            <w:pPr>
              <w:spacing w:before="0" w:after="0"/>
              <w:jc w:val="center"/>
              <w:rPr>
                <w:noProof/>
                <w:szCs w:val="24"/>
              </w:rPr>
            </w:pPr>
            <w:r>
              <w:rPr>
                <w:noProof/>
              </w:rPr>
              <w:t>2018. március 1–16.</w:t>
            </w:r>
          </w:p>
        </w:tc>
        <w:tc>
          <w:tcPr>
            <w:tcW w:w="974" w:type="dxa"/>
          </w:tcPr>
          <w:p>
            <w:pPr>
              <w:spacing w:before="0" w:after="0"/>
              <w:jc w:val="center"/>
              <w:rPr>
                <w:noProof/>
                <w:szCs w:val="24"/>
              </w:rPr>
            </w:pPr>
            <w:r>
              <w:rPr>
                <w:noProof/>
              </w:rPr>
              <w:t>69</w:t>
            </w:r>
          </w:p>
        </w:tc>
        <w:tc>
          <w:tcPr>
            <w:tcW w:w="1369" w:type="dxa"/>
          </w:tcPr>
          <w:p>
            <w:pPr>
              <w:spacing w:before="0" w:after="0"/>
              <w:jc w:val="center"/>
              <w:rPr>
                <w:noProof/>
                <w:szCs w:val="24"/>
              </w:rPr>
            </w:pPr>
            <w:r>
              <w:rPr>
                <w:noProof/>
              </w:rPr>
              <w:t>3</w:t>
            </w:r>
          </w:p>
        </w:tc>
        <w:tc>
          <w:tcPr>
            <w:tcW w:w="454" w:type="dxa"/>
          </w:tcPr>
          <w:p>
            <w:pPr>
              <w:spacing w:before="0" w:after="0"/>
              <w:jc w:val="center"/>
              <w:rPr>
                <w:noProof/>
                <w:szCs w:val="24"/>
              </w:rPr>
            </w:pPr>
            <w:r>
              <w:rPr>
                <w:noProof/>
              </w:rPr>
              <w:t>4</w:t>
            </w:r>
          </w:p>
        </w:tc>
        <w:tc>
          <w:tcPr>
            <w:tcW w:w="1329" w:type="dxa"/>
          </w:tcPr>
          <w:p>
            <w:pPr>
              <w:spacing w:before="0" w:after="0"/>
              <w:jc w:val="center"/>
              <w:rPr>
                <w:noProof/>
                <w:szCs w:val="24"/>
              </w:rPr>
            </w:pPr>
            <w:r>
              <w:rPr>
                <w:noProof/>
              </w:rPr>
              <w:t>61</w:t>
            </w:r>
          </w:p>
        </w:tc>
        <w:tc>
          <w:tcPr>
            <w:tcW w:w="480" w:type="dxa"/>
          </w:tcPr>
          <w:p>
            <w:pPr>
              <w:spacing w:before="0" w:after="0"/>
              <w:jc w:val="center"/>
              <w:rPr>
                <w:b/>
                <w:i/>
                <w:noProof/>
                <w:szCs w:val="24"/>
              </w:rPr>
            </w:pPr>
            <w:r>
              <w:rPr>
                <w:b/>
                <w:i/>
                <w:noProof/>
                <w:szCs w:val="24"/>
              </w:rPr>
              <w:t>89</w:t>
            </w:r>
          </w:p>
        </w:tc>
        <w:tc>
          <w:tcPr>
            <w:tcW w:w="1314" w:type="dxa"/>
          </w:tcPr>
          <w:p>
            <w:pPr>
              <w:spacing w:before="0" w:after="0"/>
              <w:jc w:val="center"/>
              <w:rPr>
                <w:noProof/>
                <w:szCs w:val="24"/>
              </w:rPr>
            </w:pPr>
            <w:r>
              <w:rPr>
                <w:noProof/>
              </w:rPr>
              <w:t>5</w:t>
            </w:r>
          </w:p>
        </w:tc>
        <w:tc>
          <w:tcPr>
            <w:tcW w:w="509" w:type="dxa"/>
          </w:tcPr>
          <w:p>
            <w:pPr>
              <w:spacing w:before="0" w:after="0"/>
              <w:jc w:val="center"/>
              <w:rPr>
                <w:i/>
                <w:noProof/>
                <w:szCs w:val="24"/>
              </w:rPr>
            </w:pPr>
            <w:r>
              <w:rPr>
                <w:i/>
                <w:noProof/>
                <w:szCs w:val="24"/>
              </w:rPr>
              <w:t>7</w:t>
            </w:r>
          </w:p>
        </w:tc>
      </w:tr>
      <w:tr>
        <w:trPr>
          <w:jc w:val="center"/>
        </w:trPr>
        <w:tc>
          <w:tcPr>
            <w:tcW w:w="1020" w:type="dxa"/>
          </w:tcPr>
          <w:p>
            <w:pPr>
              <w:spacing w:before="0" w:after="0"/>
              <w:jc w:val="center"/>
              <w:rPr>
                <w:b/>
                <w:noProof/>
                <w:szCs w:val="24"/>
              </w:rPr>
            </w:pPr>
            <w:r>
              <w:rPr>
                <w:b/>
                <w:noProof/>
                <w:szCs w:val="24"/>
              </w:rPr>
              <w:t>HSC/62</w:t>
            </w:r>
          </w:p>
        </w:tc>
        <w:tc>
          <w:tcPr>
            <w:tcW w:w="1680" w:type="dxa"/>
          </w:tcPr>
          <w:p>
            <w:pPr>
              <w:spacing w:before="0" w:after="0"/>
              <w:jc w:val="center"/>
              <w:rPr>
                <w:noProof/>
                <w:szCs w:val="24"/>
              </w:rPr>
            </w:pPr>
            <w:r>
              <w:rPr>
                <w:noProof/>
              </w:rPr>
              <w:t xml:space="preserve">2018. </w:t>
            </w:r>
            <w:r>
              <w:rPr>
                <w:noProof/>
              </w:rPr>
              <w:lastRenderedPageBreak/>
              <w:t>szeptember 13–28.</w:t>
            </w:r>
          </w:p>
        </w:tc>
        <w:tc>
          <w:tcPr>
            <w:tcW w:w="974" w:type="dxa"/>
          </w:tcPr>
          <w:p>
            <w:pPr>
              <w:spacing w:before="0" w:after="0"/>
              <w:jc w:val="center"/>
              <w:rPr>
                <w:noProof/>
                <w:szCs w:val="24"/>
              </w:rPr>
            </w:pPr>
            <w:r>
              <w:rPr>
                <w:noProof/>
              </w:rPr>
              <w:lastRenderedPageBreak/>
              <w:t>70</w:t>
            </w:r>
          </w:p>
        </w:tc>
        <w:tc>
          <w:tcPr>
            <w:tcW w:w="1369" w:type="dxa"/>
          </w:tcPr>
          <w:p>
            <w:pPr>
              <w:spacing w:before="0" w:after="0"/>
              <w:jc w:val="center"/>
              <w:rPr>
                <w:noProof/>
                <w:szCs w:val="24"/>
              </w:rPr>
            </w:pPr>
            <w:r>
              <w:rPr>
                <w:noProof/>
              </w:rPr>
              <w:t>50</w:t>
            </w:r>
          </w:p>
        </w:tc>
        <w:tc>
          <w:tcPr>
            <w:tcW w:w="454" w:type="dxa"/>
          </w:tcPr>
          <w:p>
            <w:pPr>
              <w:spacing w:before="0" w:after="0"/>
              <w:jc w:val="center"/>
              <w:rPr>
                <w:noProof/>
                <w:szCs w:val="24"/>
              </w:rPr>
            </w:pPr>
            <w:r>
              <w:rPr>
                <w:noProof/>
              </w:rPr>
              <w:t>71</w:t>
            </w:r>
          </w:p>
        </w:tc>
        <w:tc>
          <w:tcPr>
            <w:tcW w:w="1329" w:type="dxa"/>
          </w:tcPr>
          <w:p>
            <w:pPr>
              <w:spacing w:before="0" w:after="0"/>
              <w:jc w:val="center"/>
              <w:rPr>
                <w:noProof/>
                <w:szCs w:val="24"/>
              </w:rPr>
            </w:pPr>
            <w:r>
              <w:rPr>
                <w:noProof/>
              </w:rPr>
              <w:t>16</w:t>
            </w:r>
          </w:p>
        </w:tc>
        <w:tc>
          <w:tcPr>
            <w:tcW w:w="480" w:type="dxa"/>
          </w:tcPr>
          <w:p>
            <w:pPr>
              <w:spacing w:before="0" w:after="0"/>
              <w:jc w:val="center"/>
              <w:rPr>
                <w:b/>
                <w:i/>
                <w:noProof/>
                <w:szCs w:val="24"/>
              </w:rPr>
            </w:pPr>
            <w:r>
              <w:rPr>
                <w:b/>
                <w:i/>
                <w:noProof/>
                <w:szCs w:val="24"/>
              </w:rPr>
              <w:t>23</w:t>
            </w:r>
          </w:p>
        </w:tc>
        <w:tc>
          <w:tcPr>
            <w:tcW w:w="1314" w:type="dxa"/>
          </w:tcPr>
          <w:p>
            <w:pPr>
              <w:spacing w:before="0" w:after="0"/>
              <w:jc w:val="center"/>
              <w:rPr>
                <w:noProof/>
                <w:szCs w:val="24"/>
              </w:rPr>
            </w:pPr>
            <w:r>
              <w:rPr>
                <w:noProof/>
              </w:rPr>
              <w:t>4</w:t>
            </w:r>
          </w:p>
        </w:tc>
        <w:tc>
          <w:tcPr>
            <w:tcW w:w="509" w:type="dxa"/>
          </w:tcPr>
          <w:p>
            <w:pPr>
              <w:spacing w:before="0" w:after="0"/>
              <w:jc w:val="center"/>
              <w:rPr>
                <w:i/>
                <w:noProof/>
                <w:szCs w:val="24"/>
              </w:rPr>
            </w:pPr>
            <w:r>
              <w:rPr>
                <w:i/>
                <w:noProof/>
                <w:szCs w:val="24"/>
              </w:rPr>
              <w:t>6</w:t>
            </w:r>
          </w:p>
        </w:tc>
      </w:tr>
      <w:tr>
        <w:trPr>
          <w:jc w:val="center"/>
        </w:trPr>
        <w:tc>
          <w:tcPr>
            <w:tcW w:w="1020" w:type="dxa"/>
          </w:tcPr>
          <w:p>
            <w:pPr>
              <w:spacing w:before="0" w:after="0"/>
              <w:jc w:val="center"/>
              <w:rPr>
                <w:b/>
                <w:noProof/>
                <w:szCs w:val="24"/>
              </w:rPr>
            </w:pPr>
            <w:r>
              <w:rPr>
                <w:b/>
                <w:noProof/>
                <w:szCs w:val="24"/>
              </w:rPr>
              <w:lastRenderedPageBreak/>
              <w:t>HSC/63</w:t>
            </w:r>
          </w:p>
        </w:tc>
        <w:tc>
          <w:tcPr>
            <w:tcW w:w="1680" w:type="dxa"/>
          </w:tcPr>
          <w:p>
            <w:pPr>
              <w:spacing w:before="0" w:after="0"/>
              <w:jc w:val="center"/>
              <w:rPr>
                <w:noProof/>
                <w:szCs w:val="24"/>
              </w:rPr>
            </w:pPr>
            <w:r>
              <w:rPr>
                <w:noProof/>
              </w:rPr>
              <w:t>2019. március 14–29.</w:t>
            </w:r>
          </w:p>
        </w:tc>
        <w:tc>
          <w:tcPr>
            <w:tcW w:w="974" w:type="dxa"/>
          </w:tcPr>
          <w:p>
            <w:pPr>
              <w:spacing w:before="0" w:after="0"/>
              <w:jc w:val="center"/>
              <w:rPr>
                <w:noProof/>
                <w:szCs w:val="24"/>
              </w:rPr>
            </w:pPr>
            <w:r>
              <w:rPr>
                <w:noProof/>
              </w:rPr>
              <w:t>64</w:t>
            </w:r>
          </w:p>
        </w:tc>
        <w:tc>
          <w:tcPr>
            <w:tcW w:w="1369" w:type="dxa"/>
          </w:tcPr>
          <w:p>
            <w:pPr>
              <w:spacing w:before="0" w:after="0"/>
              <w:jc w:val="center"/>
              <w:rPr>
                <w:noProof/>
                <w:szCs w:val="24"/>
              </w:rPr>
            </w:pPr>
            <w:r>
              <w:rPr>
                <w:noProof/>
              </w:rPr>
              <w:t>34</w:t>
            </w:r>
          </w:p>
        </w:tc>
        <w:tc>
          <w:tcPr>
            <w:tcW w:w="454" w:type="dxa"/>
          </w:tcPr>
          <w:p>
            <w:pPr>
              <w:spacing w:before="0" w:after="0"/>
              <w:jc w:val="center"/>
              <w:rPr>
                <w:i/>
                <w:noProof/>
                <w:szCs w:val="24"/>
              </w:rPr>
            </w:pPr>
            <w:r>
              <w:rPr>
                <w:i/>
                <w:noProof/>
                <w:szCs w:val="24"/>
              </w:rPr>
              <w:t>53</w:t>
            </w:r>
          </w:p>
        </w:tc>
        <w:tc>
          <w:tcPr>
            <w:tcW w:w="1329" w:type="dxa"/>
          </w:tcPr>
          <w:p>
            <w:pPr>
              <w:spacing w:before="0" w:after="0"/>
              <w:jc w:val="center"/>
              <w:rPr>
                <w:noProof/>
                <w:szCs w:val="24"/>
              </w:rPr>
            </w:pPr>
            <w:r>
              <w:rPr>
                <w:noProof/>
              </w:rPr>
              <w:t>28</w:t>
            </w:r>
          </w:p>
        </w:tc>
        <w:tc>
          <w:tcPr>
            <w:tcW w:w="480" w:type="dxa"/>
          </w:tcPr>
          <w:p>
            <w:pPr>
              <w:spacing w:before="0" w:after="0"/>
              <w:jc w:val="center"/>
              <w:rPr>
                <w:b/>
                <w:i/>
                <w:noProof/>
                <w:szCs w:val="24"/>
              </w:rPr>
            </w:pPr>
            <w:r>
              <w:rPr>
                <w:b/>
                <w:i/>
                <w:noProof/>
                <w:szCs w:val="24"/>
              </w:rPr>
              <w:t>44</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szCs w:val="24"/>
              </w:rPr>
              <w:t>3</w:t>
            </w:r>
          </w:p>
        </w:tc>
      </w:tr>
      <w:tr>
        <w:trPr>
          <w:jc w:val="center"/>
        </w:trPr>
        <w:tc>
          <w:tcPr>
            <w:tcW w:w="1020" w:type="dxa"/>
          </w:tcPr>
          <w:p>
            <w:pPr>
              <w:spacing w:before="0" w:after="0"/>
              <w:jc w:val="center"/>
              <w:rPr>
                <w:b/>
                <w:noProof/>
                <w:szCs w:val="24"/>
              </w:rPr>
            </w:pPr>
            <w:r>
              <w:rPr>
                <w:b/>
                <w:noProof/>
                <w:szCs w:val="24"/>
              </w:rPr>
              <w:t>HSC/64</w:t>
            </w:r>
          </w:p>
        </w:tc>
        <w:tc>
          <w:tcPr>
            <w:tcW w:w="1680" w:type="dxa"/>
          </w:tcPr>
          <w:p>
            <w:pPr>
              <w:spacing w:before="0" w:after="0"/>
              <w:jc w:val="center"/>
              <w:rPr>
                <w:noProof/>
                <w:szCs w:val="24"/>
              </w:rPr>
            </w:pPr>
            <w:r>
              <w:rPr>
                <w:noProof/>
              </w:rPr>
              <w:t>2019. szeptember 16–27.</w:t>
            </w:r>
          </w:p>
        </w:tc>
        <w:tc>
          <w:tcPr>
            <w:tcW w:w="974" w:type="dxa"/>
          </w:tcPr>
          <w:p>
            <w:pPr>
              <w:spacing w:before="0" w:after="0"/>
              <w:jc w:val="center"/>
              <w:rPr>
                <w:noProof/>
                <w:szCs w:val="24"/>
              </w:rPr>
            </w:pPr>
            <w:r>
              <w:rPr>
                <w:noProof/>
              </w:rPr>
              <w:t>56</w:t>
            </w:r>
          </w:p>
        </w:tc>
        <w:tc>
          <w:tcPr>
            <w:tcW w:w="1369" w:type="dxa"/>
          </w:tcPr>
          <w:p>
            <w:pPr>
              <w:spacing w:before="0" w:after="0"/>
              <w:jc w:val="center"/>
              <w:rPr>
                <w:noProof/>
                <w:szCs w:val="24"/>
              </w:rPr>
            </w:pPr>
            <w:r>
              <w:rPr>
                <w:noProof/>
              </w:rPr>
              <w:t>49</w:t>
            </w:r>
          </w:p>
        </w:tc>
        <w:tc>
          <w:tcPr>
            <w:tcW w:w="454" w:type="dxa"/>
          </w:tcPr>
          <w:p>
            <w:pPr>
              <w:spacing w:before="0" w:after="0"/>
              <w:jc w:val="center"/>
              <w:rPr>
                <w:i/>
                <w:noProof/>
                <w:szCs w:val="24"/>
              </w:rPr>
            </w:pPr>
            <w:r>
              <w:rPr>
                <w:i/>
                <w:noProof/>
                <w:szCs w:val="24"/>
              </w:rPr>
              <w:t>87</w:t>
            </w:r>
          </w:p>
        </w:tc>
        <w:tc>
          <w:tcPr>
            <w:tcW w:w="1329" w:type="dxa"/>
          </w:tcPr>
          <w:p>
            <w:pPr>
              <w:spacing w:before="0" w:after="0"/>
              <w:jc w:val="center"/>
              <w:rPr>
                <w:noProof/>
                <w:szCs w:val="24"/>
              </w:rPr>
            </w:pPr>
            <w:r>
              <w:rPr>
                <w:noProof/>
              </w:rPr>
              <w:t>5</w:t>
            </w:r>
          </w:p>
        </w:tc>
        <w:tc>
          <w:tcPr>
            <w:tcW w:w="480" w:type="dxa"/>
          </w:tcPr>
          <w:p>
            <w:pPr>
              <w:spacing w:before="0" w:after="0"/>
              <w:jc w:val="center"/>
              <w:rPr>
                <w:i/>
                <w:noProof/>
                <w:szCs w:val="24"/>
              </w:rPr>
            </w:pPr>
            <w:r>
              <w:rPr>
                <w:i/>
                <w:noProof/>
                <w:szCs w:val="24"/>
              </w:rPr>
              <w:t>9</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szCs w:val="24"/>
              </w:rPr>
              <w:t>4</w:t>
            </w:r>
          </w:p>
        </w:tc>
      </w:tr>
      <w:tr>
        <w:trPr>
          <w:jc w:val="center"/>
        </w:trPr>
        <w:tc>
          <w:tcPr>
            <w:tcW w:w="1020" w:type="dxa"/>
          </w:tcPr>
          <w:p>
            <w:pPr>
              <w:spacing w:before="0" w:after="0"/>
              <w:jc w:val="center"/>
              <w:rPr>
                <w:b/>
                <w:noProof/>
                <w:szCs w:val="24"/>
              </w:rPr>
            </w:pPr>
            <w:r>
              <w:rPr>
                <w:b/>
                <w:noProof/>
                <w:szCs w:val="24"/>
              </w:rPr>
              <w:t>Összesen</w:t>
            </w:r>
          </w:p>
        </w:tc>
        <w:tc>
          <w:tcPr>
            <w:tcW w:w="1680" w:type="dxa"/>
          </w:tcPr>
          <w:p>
            <w:pPr>
              <w:spacing w:before="0" w:after="0"/>
              <w:jc w:val="center"/>
              <w:rPr>
                <w:b/>
                <w:noProof/>
                <w:szCs w:val="24"/>
              </w:rPr>
            </w:pPr>
          </w:p>
        </w:tc>
        <w:tc>
          <w:tcPr>
            <w:tcW w:w="974" w:type="dxa"/>
          </w:tcPr>
          <w:p>
            <w:pPr>
              <w:spacing w:before="0" w:after="0"/>
              <w:jc w:val="center"/>
              <w:rPr>
                <w:b/>
                <w:noProof/>
                <w:szCs w:val="24"/>
              </w:rPr>
            </w:pPr>
            <w:r>
              <w:rPr>
                <w:b/>
                <w:noProof/>
                <w:szCs w:val="24"/>
              </w:rPr>
              <w:t>411</w:t>
            </w:r>
          </w:p>
        </w:tc>
        <w:tc>
          <w:tcPr>
            <w:tcW w:w="1369" w:type="dxa"/>
          </w:tcPr>
          <w:p>
            <w:pPr>
              <w:spacing w:before="0" w:after="0"/>
              <w:jc w:val="center"/>
              <w:rPr>
                <w:b/>
                <w:noProof/>
                <w:szCs w:val="24"/>
              </w:rPr>
            </w:pPr>
            <w:r>
              <w:rPr>
                <w:b/>
                <w:noProof/>
                <w:szCs w:val="24"/>
              </w:rPr>
              <w:t>221</w:t>
            </w:r>
          </w:p>
        </w:tc>
        <w:tc>
          <w:tcPr>
            <w:tcW w:w="454" w:type="dxa"/>
          </w:tcPr>
          <w:p>
            <w:pPr>
              <w:spacing w:before="0" w:after="0"/>
              <w:jc w:val="center"/>
              <w:rPr>
                <w:b/>
                <w:i/>
                <w:noProof/>
                <w:szCs w:val="24"/>
              </w:rPr>
            </w:pPr>
            <w:r>
              <w:rPr>
                <w:b/>
                <w:i/>
                <w:noProof/>
                <w:szCs w:val="24"/>
              </w:rPr>
              <w:t>54</w:t>
            </w:r>
          </w:p>
        </w:tc>
        <w:tc>
          <w:tcPr>
            <w:tcW w:w="1329" w:type="dxa"/>
          </w:tcPr>
          <w:p>
            <w:pPr>
              <w:spacing w:before="0" w:after="0"/>
              <w:jc w:val="center"/>
              <w:rPr>
                <w:b/>
                <w:noProof/>
                <w:szCs w:val="24"/>
              </w:rPr>
            </w:pPr>
            <w:r>
              <w:rPr>
                <w:b/>
                <w:noProof/>
                <w:szCs w:val="24"/>
              </w:rPr>
              <w:t>170</w:t>
            </w:r>
          </w:p>
        </w:tc>
        <w:tc>
          <w:tcPr>
            <w:tcW w:w="480" w:type="dxa"/>
          </w:tcPr>
          <w:p>
            <w:pPr>
              <w:spacing w:before="0" w:after="0"/>
              <w:jc w:val="center"/>
              <w:rPr>
                <w:b/>
                <w:i/>
                <w:noProof/>
                <w:szCs w:val="24"/>
              </w:rPr>
            </w:pPr>
            <w:r>
              <w:rPr>
                <w:b/>
                <w:i/>
                <w:noProof/>
                <w:szCs w:val="24"/>
              </w:rPr>
              <w:t>41</w:t>
            </w:r>
          </w:p>
        </w:tc>
        <w:tc>
          <w:tcPr>
            <w:tcW w:w="1314" w:type="dxa"/>
          </w:tcPr>
          <w:p>
            <w:pPr>
              <w:spacing w:before="0" w:after="0"/>
              <w:jc w:val="center"/>
              <w:rPr>
                <w:b/>
                <w:noProof/>
                <w:szCs w:val="24"/>
              </w:rPr>
            </w:pPr>
            <w:r>
              <w:rPr>
                <w:b/>
                <w:noProof/>
                <w:szCs w:val="24"/>
              </w:rPr>
              <w:t>20</w:t>
            </w:r>
          </w:p>
        </w:tc>
        <w:tc>
          <w:tcPr>
            <w:tcW w:w="509" w:type="dxa"/>
          </w:tcPr>
          <w:p>
            <w:pPr>
              <w:spacing w:before="0" w:after="0"/>
              <w:jc w:val="center"/>
              <w:rPr>
                <w:b/>
                <w:i/>
                <w:noProof/>
                <w:szCs w:val="24"/>
              </w:rPr>
            </w:pPr>
            <w:r>
              <w:rPr>
                <w:b/>
                <w:i/>
                <w:noProof/>
                <w:szCs w:val="24"/>
              </w:rPr>
              <w:t>5</w:t>
            </w:r>
          </w:p>
        </w:tc>
      </w:tr>
    </w:tbl>
    <w:p>
      <w:pPr>
        <w:spacing w:before="0" w:after="200" w:line="276" w:lineRule="auto"/>
        <w:rPr>
          <w:noProof/>
          <w:szCs w:val="24"/>
        </w:rPr>
      </w:pPr>
    </w:p>
    <w:p>
      <w:pPr>
        <w:spacing w:before="0" w:after="200" w:line="276" w:lineRule="auto"/>
        <w:rPr>
          <w:noProof/>
          <w:szCs w:val="24"/>
        </w:rPr>
      </w:pPr>
      <w:r>
        <w:rPr>
          <w:noProof/>
        </w:rPr>
        <w:t xml:space="preserve">A HR Bizottság üléseire mindig közvetlenül a HR előkészítő munkacsoportjának ülése után kerül sor (amely 2–3 napig tart). A HR Bizottság üléseihez kapcsolódó dokumentumok általában az ülés előtt 15–30 nappal állnak rendelkezésre. </w:t>
      </w:r>
    </w:p>
    <w:p>
      <w:pPr>
        <w:pStyle w:val="ManualHeading2"/>
        <w:rPr>
          <w:b w:val="0"/>
          <w:noProof/>
          <w:szCs w:val="24"/>
        </w:rPr>
      </w:pPr>
      <w:r>
        <w:rPr>
          <w:noProof/>
        </w:rPr>
        <w:t>3.2. A javaslat célja és tartalma</w:t>
      </w:r>
    </w:p>
    <w:p>
      <w:pPr>
        <w:rPr>
          <w:noProof/>
          <w:szCs w:val="24"/>
        </w:rPr>
      </w:pPr>
      <w:r>
        <w:rPr>
          <w:noProof/>
        </w:rPr>
        <w:t>A HR Bizottság által kidolgozott, szóban forgó határozatok meghatározó módon befolyásolják majd uniós szabályozás, nevezetesen a vám- és a statisztikai nómenklatúráról, valamint a Közös Vámtarifáról szóló 2658/87/EGK tanácsi rendelet és az ahhoz csatolt Kombinált Nómenklatúra (KN) tartalmát. A besorolási határozatokat és véleményeket, illetve a Kombinált Nómenklatúra magyarázatának módosításait az áruk KN szerinti besorolására vonatkozó bizottsági végrehajtási rendeletekben meghatározott besorolások alátámasztására, a Kombinált Nómenklatúra magyarázatában és a tagállami vámhatóságok által kibocsátott besorolási határozatokban használják. A tagállami vámhatóságok kötelesek visszavonni a besorolási határozataikat, amennyiben azok – az említett besorolási határozatokból és véleményekből, vagy a HR Magyarázat említett módosításaiból eredően – már nem egyeztethetők össze a HR-nómenklatúra értelmezésével.</w:t>
      </w:r>
    </w:p>
    <w:p>
      <w:pPr>
        <w:spacing w:before="0" w:after="200" w:line="276" w:lineRule="auto"/>
        <w:rPr>
          <w:noProof/>
          <w:szCs w:val="24"/>
        </w:rPr>
      </w:pPr>
      <w:r>
        <w:rPr>
          <w:noProof/>
        </w:rPr>
        <w:t>Tekintettel azon napirendi pontok számára, amelyekről a HR Bizottságnak minden egyes ülésén határozatot kell hoznia, azok erősen technikai jellegére, valamint a munkadokumentumok kései rendelkezésre bocsátása miatt az uniós álláspont kidolgozására rendelkezésre álló idő rövidségre, a Bizottság úgy ítéli meg, hogy az EUMSZ 218. cikkének (9) bekezdésében foglalt – az Uniónak a HR Bizottság határozatai tárgyát leggyakrabban képező napirendi pontokkal (pl. magyarázatokkal, besorolási véleményekkel, besorolási határozatokkal, a Harmonizált Rendszer értelmezésére vonatkozó iránymutatással vagy egyéb tanáccsal) kapcsolatos álláspontját az irányadó elvek és kritériumok alapján meghatározó – rendelkezéseknek megfelelő tanácsi kerethatározat elfogadása szükséges, mivel az EUMSZ 218. cikke (9) bekezdésének megfelelő egyedi határozatok elfogadása nem vezetne hatékony és időszerű működéshez ezen a szakpolitikai területen.</w:t>
      </w:r>
    </w:p>
    <w:p>
      <w:pPr>
        <w:spacing w:before="0" w:after="200" w:line="276" w:lineRule="auto"/>
        <w:rPr>
          <w:noProof/>
          <w:szCs w:val="24"/>
        </w:rPr>
      </w:pPr>
      <w:r>
        <w:rPr>
          <w:noProof/>
        </w:rPr>
        <w:t xml:space="preserve">Ezért helyénvaló, hogy az Unió által a WCO-ban képviselendő, az irányadó elveken és kritériumokon alapuló álláspontot, valamint az egyes üléseken képviselendő uniós álláspont kialakításához szükséges lépéseket az EUMSZ 218. cikke (9) bekezdésének megfelelően a Bizottság javaslata alapján elfogadott tanácsi határozat határozza meg. </w:t>
      </w:r>
    </w:p>
    <w:p>
      <w:pPr>
        <w:spacing w:before="0" w:after="200" w:line="276" w:lineRule="auto"/>
        <w:rPr>
          <w:noProof/>
          <w:szCs w:val="24"/>
        </w:rPr>
      </w:pPr>
      <w:r>
        <w:rPr>
          <w:noProof/>
        </w:rPr>
        <w:t xml:space="preserve">E célból a javaslat olyan keretet hoz létre, amelyben felsorolja az uniós álláspont kialakításának alapjául szolgáló elveket és kritériumokat. Ezek az elvek és kritériumok összhangban állnak az áruknak a behozatalkor objektív jellemzőik és tulajdonságaik alapján </w:t>
      </w:r>
      <w:r>
        <w:rPr>
          <w:noProof/>
        </w:rPr>
        <w:lastRenderedPageBreak/>
        <w:t xml:space="preserve">történő besorolása tekintetében kialakított vámügyi szakpolitikával és az Európai Unió Bíróságának vonatkozó esetjogával.  </w:t>
      </w:r>
    </w:p>
    <w:p>
      <w:pPr>
        <w:spacing w:before="0" w:after="200" w:line="276" w:lineRule="auto"/>
        <w:rPr>
          <w:noProof/>
          <w:szCs w:val="24"/>
        </w:rPr>
      </w:pPr>
      <w:r>
        <w:rPr>
          <w:noProof/>
        </w:rPr>
        <w:t xml:space="preserve">Az Unió által képviselendő álláspontoknak tiszteletben kell tartaniuk a vámbesorolás egyszerűsítésének és megkönnyítésének elvét, a jogbiztonság érdekében a HR általános értelmezési szabályaival való összhang biztosításának elvét, valamint az Unió által ezekre vonatkozóan kidolgozott bevált gyakorlatok előmozdításának elvét. </w:t>
      </w:r>
    </w:p>
    <w:p>
      <w:pPr>
        <w:spacing w:before="0" w:after="200" w:line="276" w:lineRule="auto"/>
        <w:rPr>
          <w:noProof/>
          <w:szCs w:val="24"/>
        </w:rPr>
      </w:pPr>
      <w:r>
        <w:rPr>
          <w:noProof/>
        </w:rPr>
        <w:t>Az ilyen álláspontok kialakítását a HR-egyezményben meghatározott általános szempontoknak (a HR értelmezésére vonatkozó általános szabályoknak) és az áruk objektív jellemzőinek és tulajdonságainak kell vezérelniük. Adott esetben egyedi kritériumokat is figyelembe kell venni, amelyek az Európai Unió Bíróságának az áruk besorolásával kapcsolatos ítélkezési gyakorlatából, valamint a WCO által (a HR-nómenklatúra és annak a HR Bizottság által elfogadott HR Magyarázatban, besorolási véleményekben és besorolási határozatokban meghatározott értelmezése keretében) vagy az Unió által (a Kombinált Nómenklatúra és annak a KN-magyarázatban meghatározott értelmezése, a Tanács vagy a Bizottság által elfogadott besorolási rendeletek vagy határozatok, illetve a Vámkódexbizottság vámtarifákkal és a statisztikai nómenklatúrával foglalkozó szekciójának következtetései keretében) kidolgozott, a vámbesorolással kapcsolatos iránymutatásokból erednek.</w:t>
      </w:r>
    </w:p>
    <w:p>
      <w:pPr>
        <w:spacing w:before="100" w:beforeAutospacing="1" w:after="100" w:afterAutospacing="1"/>
        <w:jc w:val="left"/>
        <w:rPr>
          <w:rFonts w:eastAsia="Times New Roman"/>
          <w:noProof/>
          <w:szCs w:val="24"/>
        </w:rPr>
      </w:pPr>
      <w:r>
        <w:rPr>
          <w:noProof/>
        </w:rPr>
        <w:t>A kerethatározatra irányuló javaslat ezenkívül a következőket írja elő:</w:t>
      </w:r>
    </w:p>
    <w:p>
      <w:pPr>
        <w:spacing w:before="100" w:beforeAutospacing="1" w:after="100" w:afterAutospacing="1"/>
        <w:rPr>
          <w:rFonts w:eastAsia="Times New Roman"/>
          <w:noProof/>
          <w:szCs w:val="24"/>
        </w:rPr>
      </w:pPr>
      <w:r>
        <w:rPr>
          <w:noProof/>
        </w:rPr>
        <w:t>– a Bizottság kellő időben tájékoztatja a Tanácsot (vagy annak előkészítő szerveit) a WCO releváns szerveinek minden olyan ülése előtt, amelyen a kerethatározat hatálya alá tartozó határozat születhet,</w:t>
      </w:r>
    </w:p>
    <w:p>
      <w:pPr>
        <w:spacing w:before="0" w:after="200" w:line="276" w:lineRule="auto"/>
        <w:rPr>
          <w:noProof/>
          <w:szCs w:val="24"/>
        </w:rPr>
      </w:pPr>
      <w:r>
        <w:rPr>
          <w:noProof/>
        </w:rPr>
        <w:t>– miután a Bizottság tájékoztatta a Tanácsot vagy annak előkészítő szerveit, a Tanács 5 munkanapon belül egyet nem értését fejezheti ki a Harmonizált Rendszerre vonatkozó egy vagy több egyedi határozattal kapcsolatban javasolt álláspont tekintetében,</w:t>
      </w:r>
    </w:p>
    <w:p>
      <w:pPr>
        <w:rPr>
          <w:noProof/>
          <w:szCs w:val="24"/>
        </w:rPr>
      </w:pPr>
      <w:r>
        <w:rPr>
          <w:noProof/>
        </w:rPr>
        <w:t xml:space="preserve">– az Unió jogainak védelme, továbbá annak elkerülése érdekében, hogy a WCO határozatot fogadjon el olyan ügyben, amellyel kapcsolatban a Tanács nem tud álláspontot kialakítani a HR-egyezmény 8. cikkének (2) bekezdésében előírt határidő lejárta előtt, a Bizottság az Unió nevében kezdeményezheti, hogy az ügyet terjesszék a WCO tanácsa elé, valamint újbóli vizsgálat céljából kérheti annak visszautalását a HR Bizottság elé, </w:t>
      </w:r>
    </w:p>
    <w:p>
      <w:pPr>
        <w:rPr>
          <w:noProof/>
          <w:szCs w:val="24"/>
        </w:rPr>
      </w:pPr>
      <w:r>
        <w:rPr>
          <w:noProof/>
        </w:rPr>
        <w:t xml:space="preserve">– azokban az esetekben, amikor az Unió álláspontja valamely kérdésben lényegesen eltér a HR Bizottság által elfogadott határozattól, a Bizottság a Tanács elé terjeszti az értékelését arra vonatkozóan, hogy a HR Bizottság szóban forgó határozata elfogadható-e, vagy hogy az ügyet a WCO tanácsa elé kell-e terjeszteni, és felülvizsgálat céljából a HR Bizottság elé vissza kell-e utalni a HR-egyezmény 8. cikkének (2) bekezdésében meghatározott határidő lejárta előtt. A Tanács egyet nem értését fejezheti ki a Harmonizált Rendszerre vonatkozó egy vagy több egyedi határozattal kapcsolatban javasolt álláspont tekintetében. </w:t>
      </w:r>
    </w:p>
    <w:p>
      <w:pPr>
        <w:spacing w:before="100" w:beforeAutospacing="1" w:after="100" w:afterAutospacing="1"/>
        <w:rPr>
          <w:rFonts w:eastAsia="Times New Roman"/>
          <w:noProof/>
          <w:szCs w:val="24"/>
        </w:rPr>
      </w:pPr>
      <w:r>
        <w:rPr>
          <w:noProof/>
        </w:rPr>
        <w:t>Az EUMSZ 218. cikke (10) bekezdésének megfelelően erről az Európai Parlamentet haladéktalanul és teljes körűen tájékoztatni kell.</w:t>
      </w:r>
    </w:p>
    <w:p>
      <w:pPr>
        <w:pStyle w:val="ManualHeading1"/>
        <w:rPr>
          <w:noProof/>
        </w:rPr>
      </w:pPr>
      <w:r>
        <w:rPr>
          <w:noProof/>
        </w:rPr>
        <w:lastRenderedPageBreak/>
        <w:t>4.</w:t>
      </w:r>
      <w:r>
        <w:rPr>
          <w:noProof/>
        </w:rPr>
        <w:tab/>
        <w:t>Jogalap</w:t>
      </w:r>
    </w:p>
    <w:p>
      <w:pPr>
        <w:pStyle w:val="ManualHeading2"/>
        <w:rPr>
          <w:i/>
          <w:noProof/>
          <w:szCs w:val="24"/>
        </w:rPr>
      </w:pPr>
      <w:r>
        <w:rPr>
          <w:i/>
          <w:noProof/>
          <w:szCs w:val="24"/>
        </w:rPr>
        <w:t>4.1.</w:t>
      </w:r>
      <w:r>
        <w:rPr>
          <w:noProof/>
        </w:rPr>
        <w:tab/>
        <w:t>Általános elvek</w:t>
      </w:r>
    </w:p>
    <w:p>
      <w:pPr>
        <w:rPr>
          <w:noProof/>
          <w:szCs w:val="24"/>
        </w:rPr>
      </w:pPr>
      <w:r>
        <w:rPr>
          <w:noProof/>
        </w:rPr>
        <w:t xml:space="preserve">Az Európai Unió működéséről szóló szerződés (EUMSZ) 218. cikkének (9) bekezdése határozatok elfogadásáról rendelkezik </w:t>
      </w:r>
      <w:r>
        <w:rPr>
          <w:i/>
          <w:noProof/>
          <w:szCs w:val="24"/>
        </w:rPr>
        <w:t>„a megállapodásokkal létrehozott szervekben az Unió által képviselendő álláspontok kialakítására vonatkozóan, amennyiben az ilyen szervnek joghatással bíró jogi aktust kell elfogadnia, kivéve a megállapodás intézményi kereteit kiegészítő vagy módosító jogi aktusokat.”</w:t>
      </w:r>
    </w:p>
    <w:p>
      <w:pPr>
        <w:rPr>
          <w:noProof/>
          <w:szCs w:val="24"/>
        </w:rPr>
      </w:pPr>
      <w:r>
        <w:rPr>
          <w:noProof/>
        </w:rPr>
        <w:t xml:space="preserve">A </w:t>
      </w:r>
      <w:r>
        <w:rPr>
          <w:i/>
          <w:noProof/>
          <w:szCs w:val="24"/>
        </w:rPr>
        <w:t>„joghatással bíró jogi aktus”</w:t>
      </w:r>
      <w:r>
        <w:rPr>
          <w:noProof/>
        </w:rPr>
        <w:t xml:space="preserve"> fogalmába beletartoznak a nemzetközi jognak a kérdéses szervre irányadó szabályai szerint joghatással bíró jogi aktusok. Ezenfelül a fogalom kiterjed azokra az eszközökre is, amelyek a nemzetközi jog értelmében nem bírnak kötelező erővel, de </w:t>
      </w:r>
      <w:r>
        <w:rPr>
          <w:i/>
          <w:noProof/>
          <w:szCs w:val="24"/>
        </w:rPr>
        <w:t>„meghatározó módon befolyásolják az uniós jogalkotó által [...] elfogadott szabályozás tartalmát”</w:t>
      </w:r>
      <w:r>
        <w:rPr>
          <w:rStyle w:val="FootnoteReference"/>
          <w:noProof/>
          <w:szCs w:val="24"/>
        </w:rPr>
        <w:footnoteReference w:id="8"/>
      </w:r>
      <w:r>
        <w:rPr>
          <w:noProof/>
        </w:rPr>
        <w:t>.</w:t>
      </w:r>
    </w:p>
    <w:p>
      <w:pPr>
        <w:rPr>
          <w:noProof/>
          <w:szCs w:val="24"/>
        </w:rPr>
      </w:pPr>
      <w:r>
        <w:rPr>
          <w:noProof/>
        </w:rPr>
        <w:t>Ezért az Unió által a WCO-ban a Harmonizált Rendszernek a HR-egyezmény szerinti értelmezéséhez iránymutatásként szolgáló magyarázatok, besorolási vélemények vagy egyéb tanácsok elfogadásával kapcsolatban képviselendő álláspont meghatározásáról szóló javasolt határozat eljárási jogalapja az EUMSZ 218. cikkének (9) bekezdése.</w:t>
      </w:r>
    </w:p>
    <w:p>
      <w:pPr>
        <w:pStyle w:val="ManualHeading2"/>
        <w:rPr>
          <w:i/>
          <w:noProof/>
          <w:szCs w:val="24"/>
        </w:rPr>
      </w:pPr>
      <w:r>
        <w:rPr>
          <w:i/>
          <w:noProof/>
          <w:szCs w:val="24"/>
        </w:rPr>
        <w:t>4.2.</w:t>
      </w:r>
      <w:r>
        <w:rPr>
          <w:noProof/>
        </w:rPr>
        <w:tab/>
        <w:t xml:space="preserve">A </w:t>
      </w:r>
      <w:r>
        <w:rPr>
          <w:i/>
          <w:noProof/>
          <w:szCs w:val="24"/>
        </w:rPr>
        <w:t>jelen esetre</w:t>
      </w:r>
      <w:r>
        <w:rPr>
          <w:noProof/>
        </w:rPr>
        <w:t xml:space="preserve"> történő alkalmazás</w:t>
      </w:r>
    </w:p>
    <w:p>
      <w:pPr>
        <w:rPr>
          <w:noProof/>
          <w:szCs w:val="24"/>
        </w:rPr>
      </w:pPr>
      <w:r>
        <w:rPr>
          <w:noProof/>
        </w:rPr>
        <w:t>A Harmonizált Rendszer Bizottságot és a WCO tanácsát megállapodás, nevezetesen a Harmonizált Áruleíró és Kódrendszerről szóló nemzetközi egyezmény hozta létre.</w:t>
      </w:r>
    </w:p>
    <w:p>
      <w:pPr>
        <w:rPr>
          <w:noProof/>
          <w:szCs w:val="24"/>
        </w:rPr>
      </w:pPr>
      <w:r>
        <w:rPr>
          <w:noProof/>
        </w:rPr>
        <w:t>A HR Bizottság által kidolgozandó jogi aktusok joghatással bíró jogi aktusok. Miután a Tanács a tervezett jogi aktust jóváhagyta, az meghatározó módon befolyásolja uniós szabályozás tartalmát, nevezetesen: a vám- és a statisztikai nómenklatúráról, valamint a Közös Vámtarifáról szóló 2658/87/EGK tanácsi rendelet 1. mellékletét. Ennek oka, hogy az Uniós Vámkódex</w:t>
      </w:r>
      <w:r>
        <w:rPr>
          <w:rStyle w:val="FootnoteReference"/>
          <w:noProof/>
          <w:szCs w:val="24"/>
        </w:rPr>
        <w:footnoteReference w:id="9"/>
      </w:r>
      <w:r>
        <w:rPr>
          <w:noProof/>
        </w:rPr>
        <w:t xml:space="preserve"> 34. cikke (7) bekezdése a) pontjának iii. alpontja kimondja, hogy </w:t>
      </w:r>
      <w:r>
        <w:rPr>
          <w:i/>
          <w:noProof/>
          <w:szCs w:val="24"/>
        </w:rPr>
        <w:t>„a vámhatóságoknak vissza kell vonniuk a KTF</w:t>
      </w:r>
      <w:r>
        <w:rPr>
          <w:rStyle w:val="FootnoteReference"/>
          <w:i/>
          <w:noProof/>
          <w:szCs w:val="24"/>
        </w:rPr>
        <w:footnoteReference w:id="10"/>
      </w:r>
      <w:r>
        <w:rPr>
          <w:i/>
          <w:noProof/>
          <w:szCs w:val="24"/>
        </w:rPr>
        <w:t>-határozataikat, ha azok már nem egyeztethetők össze az 56. cikk (2) bekezdésének a) és b) pontjában említett nómenklatúrák bármelyikének értelmezésével, az alábbiak közül bármelyik következtében: [...] iii. a Vámegyüttműködési Tanács létrehozásáról szóló, 1950. december 15-én, Brüsszelben kelt egyezmény által létrehozott szervezet keretében elfogadott, a Harmonizált Áruleíró és Kódrendszer Nómenklatúra Magyarázatának módosítása, vagy valamely besorolási határozat vagy vélemény [...];”</w:t>
      </w:r>
      <w:r>
        <w:rPr>
          <w:noProof/>
        </w:rPr>
        <w:t>. Továbbá a HR Bizottság által kidolgozott, említett határozatokat (a besorolási határozatokat és véleményeket, illetve a Kombinált Nómenklatúra magyarázatának módosításait) az áruk Kombinált Nómenklatúra (KN) szerinti besorolására vonatkozó bizottsági végrehajtási rendeletekben meghatározott besorolások alátámasztására, a KN magyarázatában és a tagállami vámhatóságok által kibocsátott besorolási határozatokban használják.A tervezett jogi aktus nem egészíti ki és nem módosítja a megállapodás intézményi keretét.</w:t>
      </w:r>
    </w:p>
    <w:p>
      <w:pPr>
        <w:rPr>
          <w:noProof/>
          <w:szCs w:val="24"/>
        </w:rPr>
      </w:pPr>
      <w:r>
        <w:rPr>
          <w:noProof/>
        </w:rPr>
        <w:t>Ezért a javasolt határozat eljárási jogalapja az EUMSZ 218. cikkének (9) bekezdése.</w:t>
      </w:r>
    </w:p>
    <w:p>
      <w:pPr>
        <w:rPr>
          <w:noProof/>
          <w:szCs w:val="24"/>
        </w:rPr>
      </w:pPr>
    </w:p>
    <w:p>
      <w:pPr>
        <w:pStyle w:val="ManualHeading2"/>
        <w:rPr>
          <w:b w:val="0"/>
          <w:noProof/>
          <w:szCs w:val="24"/>
        </w:rPr>
      </w:pPr>
      <w:r>
        <w:rPr>
          <w:noProof/>
        </w:rPr>
        <w:lastRenderedPageBreak/>
        <w:t>4.3.</w:t>
      </w:r>
      <w:r>
        <w:rPr>
          <w:noProof/>
        </w:rPr>
        <w:tab/>
        <w:t>Anyagi jogalap</w:t>
      </w:r>
    </w:p>
    <w:p>
      <w:pPr>
        <w:pStyle w:val="ManualHeading3"/>
        <w:rPr>
          <w:noProof/>
          <w:szCs w:val="24"/>
        </w:rPr>
      </w:pPr>
      <w:r>
        <w:rPr>
          <w:noProof/>
        </w:rPr>
        <w:t>4.3.1.</w:t>
      </w:r>
      <w:r>
        <w:rPr>
          <w:noProof/>
        </w:rPr>
        <w:tab/>
        <w:t>Általános elvek</w:t>
      </w:r>
    </w:p>
    <w:p>
      <w:pPr>
        <w:rPr>
          <w:noProof/>
          <w:szCs w:val="24"/>
        </w:rPr>
      </w:pPr>
      <w:r>
        <w:rPr>
          <w:noProof/>
        </w:rPr>
        <w:t>Az EUMSZ 218. cikkének (9) bekezdése szerinti határozat anyagi jogalapja elsősorban azon tervezett jogi aktus célkitűzésétől és tartalmától függ, amellyel kapcsolatban az Unió által képviselendő álláspont meghatározásra kerül. Amennyiben a tervezett jogi aktus kettős célkitűzést követ, vagy két összetevőből áll, és ezek egyike elsődlegesként vagy döntő jellegűként azonosítható, míg a másik pusztán járulékos jellegű, az EUMSZ 218. cikkének (9) bekezdése szerinti határozatot egyetlen jogalapra, azaz az elsődleges, illetve döntő jellegű célkitűzés vagy összetevő által megkövetelt jogalapra kell alapítani.</w:t>
      </w:r>
    </w:p>
    <w:p>
      <w:pPr>
        <w:pStyle w:val="ManualHeading3"/>
        <w:rPr>
          <w:i w:val="0"/>
          <w:noProof/>
          <w:szCs w:val="24"/>
        </w:rPr>
      </w:pPr>
      <w:r>
        <w:rPr>
          <w:noProof/>
        </w:rPr>
        <w:t>4.3.2.</w:t>
      </w:r>
      <w:r>
        <w:rPr>
          <w:noProof/>
        </w:rPr>
        <w:tab/>
        <w:t>A jelen esetre történő alkalmazás</w:t>
      </w:r>
    </w:p>
    <w:p>
      <w:pPr>
        <w:rPr>
          <w:noProof/>
          <w:szCs w:val="24"/>
        </w:rPr>
      </w:pPr>
      <w:r>
        <w:rPr>
          <w:noProof/>
        </w:rPr>
        <w:t>Mivel a tervezett jogi aktus fő célja és tartalma a vámtarifa értelmezéséhez és egy a közös kereskedelempolitikára vonatkozó nemzetközi megállapodás megkötéséhez, valamint a HR-nómenklatúra és az EU Kombinált Nómenklatúrájának végrehajtásához kapcsolódik, a javasolt határozat anyagi jogalapja az EUMSZ 31. cikke, 43. cikkének (2) bekezdése és 207. cikke (4) bekezdésének első albekezdése.</w:t>
      </w:r>
    </w:p>
    <w:p>
      <w:pPr>
        <w:pStyle w:val="ManualHeading2"/>
        <w:rPr>
          <w:b w:val="0"/>
          <w:noProof/>
          <w:szCs w:val="24"/>
        </w:rPr>
      </w:pPr>
      <w:r>
        <w:rPr>
          <w:noProof/>
        </w:rPr>
        <w:t>4.</w:t>
      </w:r>
      <w:r>
        <w:rPr>
          <w:b w:val="0"/>
          <w:noProof/>
          <w:szCs w:val="24"/>
        </w:rPr>
        <w:t>4</w:t>
      </w:r>
      <w:r>
        <w:rPr>
          <w:noProof/>
        </w:rPr>
        <w:t xml:space="preserve">. </w:t>
      </w:r>
      <w:r>
        <w:rPr>
          <w:noProof/>
        </w:rPr>
        <w:tab/>
        <w:t>Következtetés</w:t>
      </w:r>
    </w:p>
    <w:p>
      <w:pPr>
        <w:rPr>
          <w:noProof/>
          <w:szCs w:val="24"/>
        </w:rPr>
      </w:pPr>
      <w:r>
        <w:rPr>
          <w:noProof/>
        </w:rPr>
        <w:t>A javasolt határozat jogalapja ezért az EUMSZ 31. cikke, 43. cikkének (2) bekezdése és 207. cikke (4) bekezdésének első albekezdése, összefüggésben az EUMSZ 218. cikkének (9) bekezdésével.</w:t>
      </w:r>
    </w:p>
    <w:p>
      <w:pPr>
        <w:pStyle w:val="ManualHeading1"/>
        <w:rPr>
          <w:noProof/>
        </w:rPr>
      </w:pPr>
      <w:r>
        <w:rPr>
          <w:noProof/>
        </w:rPr>
        <w:t>5.</w:t>
      </w:r>
      <w:r>
        <w:rPr>
          <w:noProof/>
        </w:rPr>
        <w:tab/>
        <w:t xml:space="preserve">Költségvetési vonzatok </w:t>
      </w:r>
    </w:p>
    <w:p>
      <w:pPr>
        <w:rPr>
          <w:noProof/>
          <w:szCs w:val="24"/>
        </w:rPr>
      </w:pPr>
      <w:r>
        <w:rPr>
          <w:noProof/>
        </w:rPr>
        <w:t xml:space="preserve">A javaslat nincs hatással az uniós költségvetésre. </w:t>
      </w:r>
    </w:p>
    <w:p>
      <w:pPr>
        <w:pStyle w:val="ManualHeading1"/>
        <w:rPr>
          <w:b w:val="0"/>
          <w:smallCaps w:val="0"/>
          <w:noProof/>
          <w:szCs w:val="24"/>
        </w:rPr>
      </w:pPr>
      <w:r>
        <w:rPr>
          <w:noProof/>
        </w:rPr>
        <w:t>6.</w:t>
      </w:r>
      <w:r>
        <w:rPr>
          <w:noProof/>
        </w:rPr>
        <w:tab/>
        <w:t>A tervezett jogi aktus kihirdetése</w:t>
      </w:r>
    </w:p>
    <w:p>
      <w:pPr>
        <w:rPr>
          <w:noProof/>
          <w:szCs w:val="24"/>
        </w:rPr>
      </w:pPr>
      <w:r>
        <w:rPr>
          <w:noProof/>
        </w:rPr>
        <w:t>Igen</w:t>
      </w:r>
    </w:p>
    <w:p>
      <w:pPr>
        <w:rPr>
          <w:noProof/>
          <w:szCs w:val="24"/>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2020/0080 (NLE)</w:t>
      </w:r>
    </w:p>
    <w:p>
      <w:pPr>
        <w:pStyle w:val="Statut"/>
        <w:rPr>
          <w:noProof/>
        </w:rPr>
      </w:pPr>
      <w:r>
        <w:rPr>
          <w:noProof/>
        </w:rPr>
        <w:t>Javaslat</w:t>
      </w:r>
    </w:p>
    <w:p>
      <w:pPr>
        <w:pStyle w:val="Typedudocument"/>
        <w:rPr>
          <w:noProof/>
        </w:rPr>
      </w:pPr>
      <w:r>
        <w:rPr>
          <w:noProof/>
        </w:rPr>
        <w:t>A TANÁCS HATÁROZATA</w:t>
      </w:r>
    </w:p>
    <w:p>
      <w:pPr>
        <w:pStyle w:val="Titreobjet"/>
        <w:rPr>
          <w:noProof/>
        </w:rPr>
      </w:pPr>
      <w:r>
        <w:rPr>
          <w:noProof/>
        </w:rPr>
        <w:t>az Európai Unió által a Vámigazgatások Világszervezetének (WCO) ülésein a magyarázatok, a besorolási vélemények, vagy a Harmonizált Rendszer értelmezésére vonatkozó egyéb tanácsok, valamint a Harmonizált Rendszernek a Harmonizált Áruleíró és Kódrendszerről szóló nemzetközi egyezmény szerinti egységes értelmezését és alkalmazását biztosító ajánlások elfogadásával kapcsolatban képviselendő álláspont meghatározásáról</w:t>
      </w:r>
    </w:p>
    <w:p>
      <w:pPr>
        <w:pStyle w:val="Institutionquiagit"/>
        <w:rPr>
          <w:b/>
          <w:noProof/>
          <w:szCs w:val="24"/>
        </w:rPr>
      </w:pPr>
      <w:r>
        <w:rPr>
          <w:b/>
          <w:noProof/>
          <w:szCs w:val="24"/>
        </w:rPr>
        <w:t>AZ EURÓPAI UNIÓ TANÁCSA,</w:t>
      </w:r>
    </w:p>
    <w:p>
      <w:pPr>
        <w:rPr>
          <w:noProof/>
          <w:szCs w:val="24"/>
        </w:rPr>
      </w:pPr>
      <w:r>
        <w:rPr>
          <w:noProof/>
        </w:rPr>
        <w:t>tekintettel az Európai Unió működéséről szóló szerződésre és különösen annak 31. cikkére, 43. cikke (2) bekezdésére, valamint 207. cikke (4) bekezdésének első albekezdésére, összefüggésben a 218. cikke (9) bekezdésével,</w:t>
      </w:r>
    </w:p>
    <w:p>
      <w:pPr>
        <w:rPr>
          <w:noProof/>
          <w:szCs w:val="24"/>
        </w:rPr>
      </w:pPr>
      <w:r>
        <w:rPr>
          <w:noProof/>
        </w:rPr>
        <w:t>tekintettel az Európai Bizottság javaslatára,</w:t>
      </w:r>
    </w:p>
    <w:p>
      <w:pPr>
        <w:rPr>
          <w:noProof/>
          <w:szCs w:val="24"/>
        </w:rPr>
      </w:pPr>
      <w:r>
        <w:rPr>
          <w:noProof/>
        </w:rPr>
        <w:t>mivel:</w:t>
      </w:r>
    </w:p>
    <w:p>
      <w:pPr>
        <w:pStyle w:val="ManualConsidrant"/>
        <w:rPr>
          <w:noProof/>
          <w:szCs w:val="24"/>
        </w:rPr>
      </w:pPr>
      <w:r>
        <w:t>(1)</w:t>
      </w:r>
      <w:r>
        <w:tab/>
      </w:r>
      <w:r>
        <w:rPr>
          <w:noProof/>
        </w:rPr>
        <w:t>A 87/369/EGK tanácsi határozattal</w:t>
      </w:r>
      <w:r>
        <w:rPr>
          <w:rStyle w:val="FootnoteReference"/>
          <w:noProof/>
          <w:szCs w:val="24"/>
        </w:rPr>
        <w:footnoteReference w:id="11"/>
      </w:r>
      <w:r>
        <w:rPr>
          <w:noProof/>
        </w:rPr>
        <w:t xml:space="preserve"> az Unió jóváhagyta a Harmonizált Áruleíró és Kódrendszerről szóló nemzetközi egyezményt és annak módosító jegyzőkönyvét</w:t>
      </w:r>
      <w:r>
        <w:rPr>
          <w:rStyle w:val="FootnoteReference"/>
          <w:noProof/>
          <w:szCs w:val="24"/>
        </w:rPr>
        <w:footnoteReference w:id="12"/>
      </w:r>
      <w:r>
        <w:rPr>
          <w:noProof/>
        </w:rPr>
        <w:t xml:space="preserve"> (a továbbiakban: HR-egyezmény), amely létrehozta a Harmonizált Rendszer Bizottságát (a továbbiakban: HR Bizottság). </w:t>
      </w:r>
    </w:p>
    <w:p>
      <w:pPr>
        <w:pStyle w:val="ManualConsidrant"/>
        <w:rPr>
          <w:noProof/>
          <w:szCs w:val="24"/>
        </w:rPr>
      </w:pPr>
      <w:r>
        <w:t>(2)</w:t>
      </w:r>
      <w:r>
        <w:tab/>
      </w:r>
      <w:r>
        <w:rPr>
          <w:noProof/>
        </w:rPr>
        <w:t>A HR</w:t>
      </w:r>
      <w:r>
        <w:rPr>
          <w:rFonts w:ascii="Cambria Math" w:hAnsi="Cambria Math" w:cs="Cambria Math"/>
          <w:noProof/>
        </w:rPr>
        <w:t>‑</w:t>
      </w:r>
      <w:r>
        <w:rPr>
          <w:noProof/>
        </w:rPr>
        <w:t>egyezmény 7. cikkének (1) bekezdése értelmében a HR Bizottság feladata többek között a magyarázatok, a besorolási vélemények, a Harmonizált Rendszer értelmezésére vonatkozó egyéb tanácsok, valamint a Harmonizált Rendszer egységes értelmezését és alkalmazását biztosító ajánlások elkészítése.</w:t>
      </w:r>
    </w:p>
    <w:p>
      <w:pPr>
        <w:pStyle w:val="ManualConsidrant"/>
        <w:rPr>
          <w:noProof/>
          <w:szCs w:val="24"/>
        </w:rPr>
      </w:pPr>
      <w:r>
        <w:t>(3)</w:t>
      </w:r>
      <w:r>
        <w:tab/>
      </w:r>
      <w:r>
        <w:rPr>
          <w:noProof/>
        </w:rPr>
        <w:t>A HR-egyezmény 8. cikkének (2) bekezdése értelmében azokat a magyarázatokat és besorolási véleményeket, a Harmonizált Rendszer értelmezésére vonatkozó azon egyéb tanácsokat, valamint azokat, a Harmonizált Rendszer egységes értelmezését és alkalmazását biztosító ajánlásokat, amelyeket a HR Bizottság ülésén fogalmaztak meg (a továbbiakban: a HR Bizottság határozatai), a WCO tanácsa által jóváhagyottnak kell tekinteni, kivéve, ha az azokat elfogadó ülés berekesztésének hónapjától számított két hónapon belül a HR-egyezmény valamely szerződő fele a WCO főtitkárát arról értesíti, hogy kéri a kérdésnek a WCO tanácsa elé terjesztését.</w:t>
      </w:r>
    </w:p>
    <w:p>
      <w:pPr>
        <w:pStyle w:val="ManualConsidrant"/>
        <w:rPr>
          <w:noProof/>
          <w:szCs w:val="24"/>
        </w:rPr>
      </w:pPr>
      <w:r>
        <w:t>(4)</w:t>
      </w:r>
      <w:r>
        <w:tab/>
      </w:r>
      <w:r>
        <w:rPr>
          <w:noProof/>
        </w:rPr>
        <w:t xml:space="preserve">A HR-egyezmény 8. cikkének (3) bekezdése értelmében, ha egy kérdést e cikk (2) bekezdése rendelkezéseinek megfelelően a tanács elé terjesztenek, akkor az az említett magyarázatokat, besorolási véleményeket és egyéb tanácsokat és ajánlásokat jóváhagyja, feltéve, hogy a tanács olyan tagja, amely ezen egyezmény szerződő fele, </w:t>
      </w:r>
      <w:r>
        <w:rPr>
          <w:noProof/>
        </w:rPr>
        <w:lastRenderedPageBreak/>
        <w:t>nem kéri azt részben vagy egészében újabb megvizsgálás céljából a Bizottság elé visszautalni.</w:t>
      </w:r>
    </w:p>
    <w:p>
      <w:pPr>
        <w:pStyle w:val="ManualConsidrant"/>
        <w:rPr>
          <w:noProof/>
          <w:szCs w:val="24"/>
        </w:rPr>
      </w:pPr>
      <w:r>
        <w:t>(5)</w:t>
      </w:r>
      <w:r>
        <w:tab/>
      </w:r>
      <w:r>
        <w:rPr>
          <w:noProof/>
        </w:rPr>
        <w:t>Helyénvaló meghatározni az Unió által a WCO-ban a magyarázatok, besorolási vélemények vagy a Harmonizált Rendszer értelmezésére vonatkozó egyéb tanácsok, valamint a HR-egyezmény egységes értelmezését biztosító ajánlások elfogadásával kapcsolatban képviselendő álláspontot, mivel a HR Bizottság által kidolgozott, szóban forgó határozatok meghatározó módon befolyásolják majd uniós szabályozás, nevezetesen a 2658/87/EGK tanácsi rendelet tartalmát.</w:t>
      </w:r>
    </w:p>
    <w:p>
      <w:pPr>
        <w:pStyle w:val="ManualConsidrant"/>
        <w:rPr>
          <w:noProof/>
          <w:szCs w:val="24"/>
        </w:rPr>
      </w:pPr>
      <w:r>
        <w:t>(6)</w:t>
      </w:r>
      <w:r>
        <w:tab/>
      </w:r>
      <w:r>
        <w:rPr>
          <w:noProof/>
        </w:rPr>
        <w:t>Az Uniónak érdekében áll, hogy az Unió által a HR Bizottságban képviselt álláspontokat az áruk tarifális besorolását szabályozó elvek, kritériumok és iránymutatások alapján alakítsák ki. Az Uniónak érdekében áll továbbá, hogy ezeket az álláspontokat gyorsan alakítsák ki annak érdekében, hogy az Unió gyakorolhassa jogait a HR Bizottságban.</w:t>
      </w:r>
    </w:p>
    <w:p>
      <w:pPr>
        <w:pStyle w:val="ManualConsidrant"/>
        <w:rPr>
          <w:noProof/>
          <w:szCs w:val="24"/>
        </w:rPr>
      </w:pPr>
      <w:r>
        <w:t>(7)</w:t>
      </w:r>
      <w:r>
        <w:tab/>
      </w:r>
      <w:r>
        <w:rPr>
          <w:noProof/>
        </w:rPr>
        <w:t>Az Unió jogainak védelme érdekében a Bizottság számára azt is lehetővé kell tenni, hogy az Unió nevében kezdeményezhesse az ügyeknek a Vámigazgatások Világszervezetének tanácsa elé terjesztését, és a HR-egyezmény 8. cikke (3) bekezdésének megfelelően újabb vizsgálás céljából a HR Bizottság elé történő visszautalását annak elkerülése érdekében, hogy határozatot fogadjanak el olyan ügyben, amellyel kapcsolatban a Tanács vagy nem tud álláspontot kialakítani a HR-egyezmény 8. cikkének (2) bekezdésében előírt határidő lejárta előtt, vagy olyan álláspontot alakított ki, amely lényegesen eltér a HR Bizottság által elfogadott határozattól.</w:t>
      </w:r>
    </w:p>
    <w:p>
      <w:pPr>
        <w:pStyle w:val="ManualConsidrant"/>
        <w:rPr>
          <w:noProof/>
          <w:szCs w:val="24"/>
        </w:rPr>
      </w:pPr>
      <w:r>
        <w:t>(8)</w:t>
      </w:r>
      <w:r>
        <w:tab/>
      </w:r>
      <w:r>
        <w:rPr>
          <w:noProof/>
        </w:rPr>
        <w:t>Tekintettel az áruk HR-egyezmény szerinti besorolásának folyamatos változására és erősen technikai jellegére, a HR Bizottság évente kétszer összehívott ülésen megvitatott kérdések nagy számára, a WCO titkársága és/vagy a szerződő felek által a HR Bizottság üléseinek előkészítése során kiadott dokumentumok vizsgálatára rendelkezésre álló idő rövidségére, valamint arra, hogy ezzel összefüggésben az uniós álláspont kialakításánál az új fejleményeket – ideértve a HR Bizottság ülése előtt vagy alatt előterjesztett új technikai és egyéb releváns információkat – figyelembe kell venni, az uniós intézmények közötti lojális együttműködésnek az Európai Unióról szóló szerződés 13. cikkének (2) bekezdésében meghatározott elvével összhangban meg kell állapítani az Unió álláspontjának kialakításához szükséges lépéseket,</w:t>
      </w:r>
    </w:p>
    <w:p>
      <w:pPr>
        <w:pStyle w:val="Formuledadoption"/>
        <w:rPr>
          <w:noProof/>
          <w:szCs w:val="24"/>
        </w:rPr>
      </w:pPr>
      <w:r>
        <w:rPr>
          <w:noProof/>
        </w:rPr>
        <w:t>ELFOGADTA EZT A HATÁROZATOT:</w:t>
      </w:r>
    </w:p>
    <w:p>
      <w:pPr>
        <w:pStyle w:val="Titrearticle"/>
        <w:rPr>
          <w:noProof/>
          <w:szCs w:val="24"/>
        </w:rPr>
      </w:pPr>
      <w:r>
        <w:rPr>
          <w:noProof/>
        </w:rPr>
        <w:t>1. cikk</w:t>
      </w:r>
    </w:p>
    <w:p>
      <w:pPr>
        <w:rPr>
          <w:i/>
          <w:noProof/>
        </w:rPr>
      </w:pPr>
      <w:r>
        <w:rPr>
          <w:noProof/>
        </w:rPr>
        <w:t>Az Unió által a magyarázatok, besorolási vélemények, vagy a Harmonizált Rendszer értelmezésére vonatkozó egyéb tanácsok, valamint a Harmonizált Rendszernek a HR-egyezmény szerinti egységes értelmezését és alkalmazását biztosító ajánlások elfogadásával kapcsolatban, illetve az ilyen jogi aktusoknak a Vámigazgatások Világszervezetében történő kidolgozása során képviselendő álláspontot az I. melléklet tartalmazza.</w:t>
      </w:r>
    </w:p>
    <w:p>
      <w:pPr>
        <w:pStyle w:val="Titrearticle"/>
        <w:rPr>
          <w:noProof/>
          <w:szCs w:val="24"/>
        </w:rPr>
      </w:pPr>
      <w:r>
        <w:rPr>
          <w:noProof/>
        </w:rPr>
        <w:t>2. cikk</w:t>
      </w:r>
    </w:p>
    <w:p>
      <w:pPr>
        <w:rPr>
          <w:noProof/>
          <w:szCs w:val="24"/>
        </w:rPr>
      </w:pPr>
      <w:r>
        <w:rPr>
          <w:noProof/>
        </w:rPr>
        <w:t>Az 1. cikk értelmében képviselendő uniós álláspontot a II. mellékletnek megfelelően kell meghatározni.</w:t>
      </w:r>
    </w:p>
    <w:p>
      <w:pPr>
        <w:pStyle w:val="Titrearticle"/>
        <w:rPr>
          <w:noProof/>
          <w:szCs w:val="24"/>
        </w:rPr>
      </w:pPr>
      <w:r>
        <w:rPr>
          <w:noProof/>
        </w:rPr>
        <w:lastRenderedPageBreak/>
        <w:t>3. cikk</w:t>
      </w:r>
    </w:p>
    <w:p>
      <w:pPr>
        <w:rPr>
          <w:noProof/>
          <w:szCs w:val="24"/>
        </w:rPr>
      </w:pPr>
      <w:r>
        <w:rPr>
          <w:noProof/>
        </w:rPr>
        <w:t>Ennek a határozatnak a Bizottság a címzettje.</w:t>
      </w:r>
    </w:p>
    <w:p>
      <w:pPr>
        <w:pStyle w:val="Fait"/>
        <w:rPr>
          <w:noProof/>
        </w:rPr>
      </w:pPr>
      <w:r>
        <w:t>Kelt Brüsszelben, -án/-én.</w:t>
      </w:r>
    </w:p>
    <w:p>
      <w:pPr>
        <w:pStyle w:val="Institutionquisigne"/>
        <w:rPr>
          <w:noProof/>
          <w:szCs w:val="24"/>
        </w:rPr>
      </w:pPr>
      <w:r>
        <w:rPr>
          <w:noProof/>
        </w:rPr>
        <w:tab/>
        <w:t>a Tanács részéről</w:t>
      </w:r>
    </w:p>
    <w:p>
      <w:pPr>
        <w:pStyle w:val="Personnequisigne"/>
        <w:rPr>
          <w:noProof/>
          <w:szCs w:val="24"/>
        </w:rPr>
      </w:pPr>
      <w:r>
        <w:rPr>
          <w:noProof/>
        </w:rPr>
        <w:tab/>
        <w:t>az elnök</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1988. évi bevezetése óta a HR-nómenklatúrát öt alkalommal vizsgálták felül. A felülvizsgált változatok 1996-ban, 2002-ben, 2007-ben, 2012-ben és 2017-ben léptek hatályba. A hatodik felülvizsgált változat 2022-ben fog hatályba lépni.</w:t>
      </w:r>
    </w:p>
  </w:footnote>
  <w:footnote w:id="2">
    <w:p>
      <w:pPr>
        <w:pStyle w:val="FootnoteText"/>
      </w:pPr>
      <w:r>
        <w:rPr>
          <w:rStyle w:val="FootnoteReference"/>
        </w:rPr>
        <w:footnoteRef/>
      </w:r>
      <w:r>
        <w:tab/>
        <w:t>A Tanács 87/369/EGK határozata (1987. április 7.) az összehangolt áruleíró és kódrendszerről szóló nemzetközi egyezmény és az azt módosító jegyzőkönyv megkötéséről (HL L 198., 1987.7.20., 1. o.).</w:t>
      </w:r>
    </w:p>
  </w:footnote>
  <w:footnote w:id="3">
    <w:p>
      <w:pPr>
        <w:pStyle w:val="FootnoteText"/>
      </w:pPr>
      <w:r>
        <w:rPr>
          <w:rStyle w:val="FootnoteReference"/>
        </w:rPr>
        <w:footnoteRef/>
      </w:r>
      <w:r>
        <w:tab/>
        <w:t>HL L 269., 2013.10.10., 1. o..</w:t>
      </w:r>
    </w:p>
  </w:footnote>
  <w:footnote w:id="4">
    <w:p>
      <w:pPr>
        <w:pStyle w:val="FootnoteText"/>
      </w:pPr>
      <w:r>
        <w:rPr>
          <w:rStyle w:val="FootnoteReference"/>
        </w:rPr>
        <w:footnoteRef/>
      </w:r>
      <w:r>
        <w:tab/>
        <w:t>A HR 2022-es kiadására vonatkozó ajánlás ideiglenes elfogadása</w:t>
      </w:r>
    </w:p>
  </w:footnote>
  <w:footnote w:id="5">
    <w:p>
      <w:pPr>
        <w:pStyle w:val="FootnoteText"/>
      </w:pPr>
      <w:r>
        <w:rPr>
          <w:rStyle w:val="FootnoteReference"/>
        </w:rPr>
        <w:footnoteRef/>
      </w:r>
      <w:r>
        <w:tab/>
        <w:t>Beleértve a HR előkészítő munkacsoportját</w:t>
      </w:r>
    </w:p>
  </w:footnote>
  <w:footnote w:id="6">
    <w:p>
      <w:pPr>
        <w:pStyle w:val="FootnoteText"/>
        <w:ind w:left="142" w:hanging="142"/>
      </w:pPr>
      <w:r>
        <w:rPr>
          <w:rStyle w:val="FootnoteReference"/>
        </w:rPr>
        <w:footnoteRef/>
      </w:r>
      <w:r>
        <w:tab/>
        <w:t>A HR-nómenklatúra módosításai külön határozathozatali eljárást követnek, és nem tartoznak e javaslat hatálya alá.</w:t>
      </w:r>
    </w:p>
  </w:footnote>
  <w:footnote w:id="7">
    <w:p>
      <w:pPr>
        <w:pStyle w:val="FootnoteText"/>
      </w:pPr>
      <w:r>
        <w:rPr>
          <w:rStyle w:val="FootnoteReference"/>
        </w:rPr>
        <w:footnoteRef/>
      </w:r>
      <w:r>
        <w:tab/>
        <w:t>Beleértve a HR előkészítő munkacsoportjának ülését.</w:t>
      </w:r>
    </w:p>
  </w:footnote>
  <w:footnote w:id="8">
    <w:p>
      <w:pPr>
        <w:pStyle w:val="FootnoteText"/>
      </w:pPr>
      <w:r>
        <w:rPr>
          <w:rStyle w:val="FootnoteReference"/>
        </w:rPr>
        <w:footnoteRef/>
      </w:r>
      <w:r>
        <w:tab/>
        <w:t xml:space="preserve">A Bíróság 2014. október 7-i ítélete, Németország kontra Tanács, C-399/12, ECLI:EU:C:2014:2258, 61–64. pont. </w:t>
      </w:r>
    </w:p>
  </w:footnote>
  <w:footnote w:id="9">
    <w:p>
      <w:pPr>
        <w:pStyle w:val="FootnoteText"/>
      </w:pPr>
      <w:r>
        <w:rPr>
          <w:rStyle w:val="FootnoteReference"/>
        </w:rPr>
        <w:footnoteRef/>
      </w:r>
      <w:r>
        <w:tab/>
        <w:t>Az Európai Parlament és a Tanács 952/2013/EU rendelete (2013. október 9.) az Uniós Vámkódex létrehozásáról (HL L 269., 2013.10.10., 1. o.).</w:t>
      </w:r>
    </w:p>
  </w:footnote>
  <w:footnote w:id="10">
    <w:p>
      <w:pPr>
        <w:pStyle w:val="FootnoteText"/>
      </w:pPr>
      <w:r>
        <w:rPr>
          <w:rStyle w:val="FootnoteReference"/>
        </w:rPr>
        <w:footnoteRef/>
      </w:r>
      <w:r>
        <w:tab/>
        <w:t>Kötelező érvényű tarifális felvilágosítás: a gazdasági szereplők számára a vámigazgatási szervek által hozott előzetes besorolási határozatok, melyek célja, hogy jogbiztonságot biztosítsanak a behozatal vagy kivitel tárgyát képező árukra alkalmazandó besorolás és tarifális elbánás tekintetében.</w:t>
      </w:r>
      <w:r>
        <w:rPr>
          <w:i/>
        </w:rPr>
        <w:t xml:space="preserve"> </w:t>
      </w:r>
    </w:p>
  </w:footnote>
  <w:footnote w:id="11">
    <w:p>
      <w:pPr>
        <w:pStyle w:val="FootnoteText"/>
        <w:rPr>
          <w:rFonts w:eastAsia="Times New Roman"/>
        </w:rPr>
      </w:pPr>
      <w:r>
        <w:rPr>
          <w:rStyle w:val="FootnoteReference"/>
        </w:rPr>
        <w:footnoteRef/>
      </w:r>
      <w:r>
        <w:tab/>
        <w:t>A Tanács 87/369/EGK határozata (1987. április 7.) az összehangolt áruleíró és kódrendszerről szóló nemzetközi egyezmény és az azt módosító jegyzőkönyv megkötéséről (</w:t>
      </w:r>
      <w:hyperlink r:id="rId1" w:history="1">
        <w:r>
          <w:t>HL L 198., 1987.7.20., 1. o.</w:t>
        </w:r>
      </w:hyperlink>
      <w:r>
        <w:t>).</w:t>
      </w:r>
    </w:p>
    <w:p>
      <w:pPr>
        <w:pStyle w:val="FootnoteText"/>
      </w:pPr>
    </w:p>
  </w:footnote>
  <w:footnote w:id="12">
    <w:p>
      <w:pPr>
        <w:pStyle w:val="FootnoteText"/>
        <w:rPr>
          <w:rFonts w:eastAsia="Times New Roman"/>
        </w:rPr>
      </w:pPr>
      <w:r>
        <w:rPr>
          <w:rStyle w:val="FootnoteReference"/>
        </w:rPr>
        <w:footnoteRef/>
      </w:r>
      <w:r>
        <w:tab/>
        <w:t>HL L 198., 1987.07.20., 3. o.</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4"/>
    <w:lvlOverride w:ilvl="0">
      <w:startOverride w:val="1"/>
    </w:lvlOverride>
  </w:num>
  <w:num w:numId="10">
    <w:abstractNumId w:val="11"/>
  </w:num>
  <w:num w:numId="11">
    <w:abstractNumId w:val="22"/>
  </w:num>
  <w:num w:numId="12">
    <w:abstractNumId w:val="22"/>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0"/>
  </w:num>
  <w:num w:numId="18">
    <w:abstractNumId w:val="13"/>
  </w:num>
  <w:num w:numId="19">
    <w:abstractNumId w:val="8"/>
  </w:num>
  <w:num w:numId="20">
    <w:abstractNumId w:val="19"/>
  </w:num>
  <w:num w:numId="21">
    <w:abstractNumId w:val="7"/>
  </w:num>
  <w:num w:numId="22">
    <w:abstractNumId w:val="14"/>
  </w:num>
  <w:num w:numId="23">
    <w:abstractNumId w:val="16"/>
  </w:num>
  <w:num w:numId="24">
    <w:abstractNumId w:val="17"/>
  </w:num>
  <w:num w:numId="25">
    <w:abstractNumId w:val="9"/>
  </w:num>
  <w:num w:numId="26">
    <w:abstractNumId w:val="15"/>
  </w:num>
  <w:num w:numId="27">
    <w:abstractNumId w:val="22"/>
  </w:num>
  <w:num w:numId="28">
    <w:abstractNumId w:val="18"/>
  </w:num>
  <w:num w:numId="29">
    <w:abstractNumId w:val="12"/>
  </w:num>
  <w:num w:numId="30">
    <w:abstractNumId w:val="20"/>
  </w:num>
  <w:num w:numId="31">
    <w:abstractNumId w:val="10"/>
  </w:num>
  <w:num w:numId="32">
    <w:abstractNumId w:val="13"/>
  </w:num>
  <w:num w:numId="33">
    <w:abstractNumId w:val="8"/>
  </w:num>
  <w:num w:numId="34">
    <w:abstractNumId w:val="19"/>
  </w:num>
  <w:num w:numId="35">
    <w:abstractNumId w:val="7"/>
  </w:num>
  <w:num w:numId="36">
    <w:abstractNumId w:val="14"/>
  </w:num>
  <w:num w:numId="37">
    <w:abstractNumId w:val="16"/>
  </w:num>
  <w:num w:numId="38">
    <w:abstractNumId w:val="17"/>
  </w:num>
  <w:num w:numId="39">
    <w:abstractNumId w:val="9"/>
  </w:num>
  <w:num w:numId="40">
    <w:abstractNumId w:val="15"/>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1 13:09: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480B078-3125-40FC-9534-E0008571EEA9"/>
    <w:docVar w:name="LW_COVERPAGE_TYPE" w:val="1"/>
    <w:docVar w:name="LW_CROSSREFERENCE" w:val="&lt;UNUSED&gt;"/>
    <w:docVar w:name="LW_DocType" w:val="COM"/>
    <w:docVar w:name="LW_EMISSION" w:val="2020.5.15."/>
    <w:docVar w:name="LW_EMISSION_ISODATE" w:val="2020-05-15"/>
    <w:docVar w:name="LW_EMISSION_LOCATION" w:val="BRX"/>
    <w:docVar w:name="LW_EMISSION_PREFIX" w:val="Brüsszel,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080"/>
    <w:docVar w:name="LW_REF.II.NEW.CP_YEAR" w:val="2020"/>
    <w:docVar w:name="LW_REF.INST.NEW" w:val="COM"/>
    <w:docVar w:name="LW_REF.INST.NEW_ADOPTED" w:val="final"/>
    <w:docVar w:name="LW_REF.INST.NEW_TEXT" w:val="(2020)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urópai Unió által a Vámigazgatások Világszervezetének (WCO) ülésein a magyarázatok, a besorolási vélemények, vagy a Harmonizált Rendszer értelmezésére vonatkozó egyéb tanácsok, valamint a Harmonizált Rendszernek a Harmonizált Áruleíró és Kódrendszerr\u337?l szóló nemzetközi egyezmény szerinti egységes értelmezését és alkalmazását biztosító ajánlások elfogadásával kapcsolatban képviselend\u337? álláspont meghatározásáról"/>
    <w:docVar w:name="LW_TYPE.DOC.CP" w:val="A TANÁCS HATÁROZAT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hu-HU"/>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hu-HU"/>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843">
      <w:bodyDiv w:val="1"/>
      <w:marLeft w:val="0"/>
      <w:marRight w:val="0"/>
      <w:marTop w:val="0"/>
      <w:marBottom w:val="0"/>
      <w:divBdr>
        <w:top w:val="none" w:sz="0" w:space="0" w:color="auto"/>
        <w:left w:val="none" w:sz="0" w:space="0" w:color="auto"/>
        <w:bottom w:val="none" w:sz="0" w:space="0" w:color="auto"/>
        <w:right w:val="none" w:sz="0" w:space="0" w:color="auto"/>
      </w:divBdr>
    </w:div>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351344322">
      <w:bodyDiv w:val="1"/>
      <w:marLeft w:val="0"/>
      <w:marRight w:val="0"/>
      <w:marTop w:val="0"/>
      <w:marBottom w:val="0"/>
      <w:divBdr>
        <w:top w:val="none" w:sz="0" w:space="0" w:color="auto"/>
        <w:left w:val="none" w:sz="0" w:space="0" w:color="auto"/>
        <w:bottom w:val="none" w:sz="0" w:space="0" w:color="auto"/>
        <w:right w:val="none" w:sz="0" w:space="0" w:color="auto"/>
      </w:divBdr>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103258190">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369910112">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1810898029">
      <w:bodyDiv w:val="1"/>
      <w:marLeft w:val="0"/>
      <w:marRight w:val="0"/>
      <w:marTop w:val="0"/>
      <w:marBottom w:val="0"/>
      <w:divBdr>
        <w:top w:val="none" w:sz="0" w:space="0" w:color="auto"/>
        <w:left w:val="none" w:sz="0" w:space="0" w:color="auto"/>
        <w:bottom w:val="none" w:sz="0" w:space="0" w:color="auto"/>
        <w:right w:val="none" w:sz="0" w:space="0" w:color="auto"/>
      </w:divBdr>
    </w:div>
    <w:div w:id="1929732680">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 w:id="20812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19B9B1-ECDA-4EAA-B05B-40ADD42C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3327</Words>
  <Characters>22694</Characters>
  <Application>Microsoft Office Word</Application>
  <DocSecurity>0</DocSecurity>
  <Lines>553</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2019-11-21T14:25:00Z</cp:lastPrinted>
  <dcterms:created xsi:type="dcterms:W3CDTF">2020-05-08T16:50:00Z</dcterms:created>
  <dcterms:modified xsi:type="dcterms:W3CDTF">2020-05-11T11:09:00Z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