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118C452-6E38-47CB-9EE5-A2A06E021BC3" style="width:450.8pt;height:351.8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w:t>
      </w:r>
    </w:p>
    <w:p>
      <w:pPr>
        <w:pStyle w:val="ManualHeading2"/>
        <w:rPr>
          <w:rFonts w:eastAsia="Arial Unicode MS"/>
          <w:noProof/>
        </w:rPr>
      </w:pPr>
      <w:r>
        <w:rPr>
          <w:noProof/>
          <w:bdr w:val="nil"/>
        </w:rPr>
        <w:t>•</w:t>
      </w:r>
      <w:r>
        <w:rPr>
          <w:noProof/>
        </w:rPr>
        <w:tab/>
        <w:t>Temeiurile și obiectivele propunerii</w:t>
      </w:r>
    </w:p>
    <w:p>
      <w:pPr>
        <w:rPr>
          <w:noProof/>
        </w:rPr>
      </w:pPr>
      <w:r>
        <w:rPr>
          <w:noProof/>
        </w:rPr>
        <w:t>Pandemia de COVID-19 este o criză majoră și gravă în domeniul sănătății publice, care afectează grav cetățenii, societățile și economiile din întreaga lume. Anvergura crizei sanitare, dar și măsurile de răspuns adoptate la nivel de politici pentru a o controla sunt fără precedent. Prin urmare, impactul socioeconomic al crizei are o amploare de o incertitudine extraordinară. Încă de pe acum, este cert că aceasta prezintă provocări nemaiîntâlnite și puternice pentru sistemele financiare și economice ale statelor membre. Conform previziunilor economice din primăvară ale Comisiei</w:t>
      </w:r>
      <w:r>
        <w:rPr>
          <w:rStyle w:val="FootnoteReference"/>
          <w:noProof/>
        </w:rPr>
        <w:footnoteReference w:id="2"/>
      </w:r>
      <w:r>
        <w:rPr>
          <w:noProof/>
        </w:rPr>
        <w:t>, PIB-ul UE se va contracta cu aproximativ 7,5 % în acest an – cu mult mai mult decât în perioada crizei financiare mondiale din 2009 – și se va relansa cu doar 6 % în 2021, iar rata șomajului în UE va urca la 9 % în 2020, existând riscul ca sărăcia și inegalitatea să crească.</w:t>
      </w:r>
    </w:p>
    <w:p>
      <w:pPr>
        <w:rPr>
          <w:noProof/>
        </w:rPr>
      </w:pPr>
      <w:r>
        <w:rPr>
          <w:noProof/>
        </w:rPr>
        <w:t xml:space="preserve">Ca răspuns, statele membre au adoptat măsuri economice și financiare discreționare excepționale. Împreună cu efectul așa-numiților „stabilizatori automați”, adică al plăților prevăzute în cadrul sistemelor asigurărilor pentru șomaj și al sistemelor de securitate socială combinate cu pierderi de venituri fiscale, aceste măsuri au o influență considerabilă asupra finanțelor publice, deficitul public consolidat urcând brusc de la 0,6 % din PIB în 2019 la 8,5 % din PIB în acest an, atât în zona euro, cât și în UE. </w:t>
      </w:r>
    </w:p>
    <w:p>
      <w:pPr>
        <w:spacing w:line="276" w:lineRule="auto"/>
        <w:rPr>
          <w:noProof/>
        </w:rPr>
      </w:pPr>
      <w:r>
        <w:rPr>
          <w:noProof/>
        </w:rPr>
        <w:t xml:space="preserve">Șocul resimțit de economia UE este simetric în măsura în care pandemia a lovit toate statele membre; în schimb, impactul pandemiei diferă considerabil de la un stat membru la altul, la fel și capacitatea lor de a absorbi șocul economic și fiscal-bugetar și de a răspunde la acesta, în funcție de structurile economice specifice și de condițiile inițiale ale statelor membre. Prin urmare, există riscul ca această criză să adâncească disparitățile din interiorul Uniunii, amenințând reziliența economică și socială colectivă. </w:t>
      </w:r>
    </w:p>
    <w:p>
      <w:pPr>
        <w:rPr>
          <w:noProof/>
        </w:rPr>
      </w:pPr>
      <w:r>
        <w:rPr>
          <w:noProof/>
        </w:rPr>
        <w:t>Uniunea a acționat rapid pentru a asigura un răspuns colectiv coordonat și puternic la consecințele sociale și economice ale crizei, în limitele actualului cadru financiar multianual care expiră în 2020. Răspunsul oferit vine în completarea măsurilor economice și financiare discreționare adoptate de statele membre.</w:t>
      </w:r>
    </w:p>
    <w:p>
      <w:pPr>
        <w:rPr>
          <w:noProof/>
        </w:rPr>
      </w:pPr>
      <w:r>
        <w:rPr>
          <w:noProof/>
        </w:rPr>
        <w:t xml:space="preserve">Criza ar putea conduce la o deteriorare de durată a țesutului economic al Uniunii, dacă la nivel european nu se adoptă un răspuns proporțional în materie de politică pe termen scurt și mediu. </w:t>
      </w:r>
    </w:p>
    <w:p>
      <w:pPr>
        <w:spacing w:before="0"/>
        <w:rPr>
          <w:noProof/>
        </w:rPr>
      </w:pPr>
      <w:r>
        <w:rPr>
          <w:noProof/>
        </w:rPr>
        <w:t xml:space="preserve">Un plan cuprinzător de redresare europeană va avea nevoie de investiții publice și private masive la nivel european pentru a înscrie Uniunea în mod ferm pe calea unei redresări sustenabile și reziliente, care să creeze locuri de muncă de înaltă calitate și să repare daunele imediate cauzate de pandemia de COVID-19, sprijinind totodată prioritățile verzi și digitale ale Uniunii. În vederea asigurării finanțării pentru actul avut în vedere, Comisia propune o modificare a [DRP] prin care Uniunea ar fi autorizată să ia cu împrumut temporar și în mod excepțional 750 de miliarde EUR, la prețurile din 2018, pentru a majora plafonul resurselor proprii, astfel încât să suporte datoriile și datoriile contingente aferente împrumuturilor acordate statelor membre. Actul propus stabilește alocarea de fonduri pentru diferite programe ale Uniunii în concordanță cu strategia stabilită în Planul de redresare al Uniunii Europene. </w:t>
      </w:r>
    </w:p>
    <w:p>
      <w:pPr>
        <w:rPr>
          <w:noProof/>
        </w:rPr>
      </w:pPr>
      <w:r>
        <w:rPr>
          <w:noProof/>
        </w:rPr>
        <w:lastRenderedPageBreak/>
        <w:t xml:space="preserve">Se vor cheltui 500 de miliarde EUR, la prețurile din 2018, pentru sprijin nerambursabil, sprijin rambursabil prin intermediul instrumentelor financiare sau provizionarea pentru garanții bugetare și cheltuieli conexe. </w:t>
      </w:r>
    </w:p>
    <w:p>
      <w:pPr>
        <w:rPr>
          <w:noProof/>
        </w:rPr>
      </w:pPr>
      <w:r>
        <w:rPr>
          <w:noProof/>
        </w:rPr>
        <w:t xml:space="preserve">Se vor utiliza 250 de miliarde EUR, la prețurile din 2018, pentru a acorda împrumuturi statelor membre. Uniunea va suporta datoria contingentă sub formă de garanție pentru împrumuturile respective până când acestea vor fi rambursate. </w:t>
      </w:r>
    </w:p>
    <w:p>
      <w:pPr>
        <w:rPr>
          <w:noProof/>
        </w:rPr>
      </w:pPr>
      <w:r>
        <w:rPr>
          <w:noProof/>
        </w:rPr>
        <w:t>Articolul 3 stabilește cuantumul maxim care poate să fie finanțat cu ajutorul instrumentului. Scopurile în care pot fi acordate fondurile sunt, de asemenea, prevăzute în mod clar la articolul 3, ce descrie programele beneficiare, precum și natura sprijinului (granturi, împrumuturi și garanții). La articolele 2 și 4, prezentul regulament limitează totodată în mod strict domeniul de aplicare și termenul în care pot fi utilizate fondurile. Prin urmare, Instrumentul de redresare al Uniunii Europene nu poate fi utilizat în alt scop decât pentru abordarea consecințelor economice și sociale directe ale acestei crize.</w:t>
      </w:r>
    </w:p>
    <w:p>
      <w:pPr>
        <w:pStyle w:val="ManualHeading2"/>
        <w:rPr>
          <w:noProof/>
        </w:rPr>
      </w:pPr>
      <w:r>
        <w:rPr>
          <w:noProof/>
          <w:bdr w:val="nil"/>
        </w:rPr>
        <w:t>•</w:t>
      </w:r>
      <w:r>
        <w:rPr>
          <w:noProof/>
        </w:rPr>
        <w:tab/>
        <w:t>Coerența cu alte domenii de politică a Uniunii</w:t>
      </w:r>
    </w:p>
    <w:p>
      <w:pPr>
        <w:rPr>
          <w:noProof/>
        </w:rPr>
      </w:pPr>
      <w:r>
        <w:rPr>
          <w:noProof/>
        </w:rPr>
        <w:t xml:space="preserve">Instrumentul de redresare al Uniunii Europene oferă finanțare pentru măsurile și acțiunile care urmează să fie realizate, astfel cum sunt prezentate în Planul de redresare al Uniunii Europene. Resursele obținute în urma emisiunii vor fi utilizate pentru programele Uniunii din viitorul cadru financiar multianual, </w:t>
      </w:r>
      <w:r>
        <w:rPr>
          <w:rStyle w:val="Aucun"/>
          <w:noProof/>
        </w:rPr>
        <w:t>în următoarele domenii</w:t>
      </w:r>
      <w:r>
        <w:rPr>
          <w:noProof/>
        </w:rPr>
        <w:t>:</w:t>
      </w:r>
    </w:p>
    <w:p>
      <w:pPr>
        <w:pStyle w:val="ListBullet"/>
        <w:rPr>
          <w:noProof/>
        </w:rPr>
      </w:pPr>
      <w:r>
        <w:rPr>
          <w:noProof/>
        </w:rPr>
        <w:t>acordarea de sprijin sub formă de granturi și împrumuturi pentru punerea în aplicare a planurilor de redresare și de reziliență ale statelor membre în cadrul Mecanismului de redresare și reziliență;</w:t>
      </w:r>
    </w:p>
    <w:p>
      <w:pPr>
        <w:pStyle w:val="ListBullet"/>
        <w:rPr>
          <w:noProof/>
        </w:rPr>
      </w:pPr>
      <w:r>
        <w:rPr>
          <w:noProof/>
        </w:rPr>
        <w:t>furnizarea de sprijin pentru noi investiții în cadrul garanțiilor bugetare în derulare și propuse (FEIS/InvestEU), printre altele, (1) în favoarea întreprinderilor afectate de criză, dar viabile, pentru a le ajuta să o depășească, în special pentru a accelera dubla tranziție, verde și digitală; (2) sub forma unui sprijin specific acordat proiectelor de interes strategic european în favoarea lanțurilor de aprovizionare din cadrul pieței interne, pentru a dezvolta autonomia strategică a UE în sectoare și capacități-cheie;</w:t>
      </w:r>
    </w:p>
    <w:p>
      <w:pPr>
        <w:pStyle w:val="ListBullet"/>
        <w:rPr>
          <w:noProof/>
        </w:rPr>
      </w:pPr>
      <w:r>
        <w:rPr>
          <w:noProof/>
        </w:rPr>
        <w:t>acordarea unui sprijin sporit pentru regiunile și sectoarele afectate de criză prin măsuri consolidate ale politicii de coeziune;</w:t>
      </w:r>
    </w:p>
    <w:p>
      <w:pPr>
        <w:pStyle w:val="ListBullet"/>
        <w:rPr>
          <w:noProof/>
        </w:rPr>
      </w:pPr>
      <w:r>
        <w:rPr>
          <w:noProof/>
        </w:rPr>
        <w:t>sprijinirea cercetării și inovării ca răspuns la pandemia de COVID-19;</w:t>
      </w:r>
    </w:p>
    <w:p>
      <w:pPr>
        <w:pStyle w:val="ListBullet"/>
        <w:rPr>
          <w:noProof/>
        </w:rPr>
      </w:pPr>
      <w:r>
        <w:rPr>
          <w:noProof/>
        </w:rPr>
        <w:t xml:space="preserve">creșterea nivelului de pregătire pentru situații de criză și îmbunătățirea rezilienței strategice a sistemelor de sănătate din Uniune; </w:t>
      </w:r>
    </w:p>
    <w:p>
      <w:pPr>
        <w:pStyle w:val="ListBullet"/>
        <w:rPr>
          <w:noProof/>
        </w:rPr>
      </w:pPr>
      <w:r>
        <w:rPr>
          <w:noProof/>
        </w:rPr>
        <w:t>atenuarea impactului pe care pandemia de COVID-19 îl are în teritoriu asupra tranziției juste către o economie verde;</w:t>
      </w:r>
    </w:p>
    <w:p>
      <w:pPr>
        <w:pStyle w:val="ListBullet"/>
        <w:rPr>
          <w:noProof/>
        </w:rPr>
      </w:pPr>
      <w:r>
        <w:rPr>
          <w:noProof/>
        </w:rPr>
        <w:t>sprijinirea măsurilor menite să combată impactul pandemiei de COVID-19 asupra dezvoltării rurale;</w:t>
      </w:r>
    </w:p>
    <w:p>
      <w:pPr>
        <w:pStyle w:val="ListBullet"/>
        <w:rPr>
          <w:noProof/>
        </w:rPr>
      </w:pPr>
      <w:r>
        <w:rPr>
          <w:noProof/>
        </w:rPr>
        <w:t xml:space="preserve">sprijinirea țărilor partenere, în special a celor situate în Balcanii de Vest, în vecinătatea Uniunii și în Africa, în eforturile lor de combatere a impactului pandemiei și de redresare în urma acesteia, precum și în eforturile lor de a-și consolida reziliența. </w:t>
      </w:r>
    </w:p>
    <w:p>
      <w:pPr>
        <w:spacing w:before="240"/>
        <w:rPr>
          <w:noProof/>
        </w:rPr>
      </w:pPr>
      <w:r>
        <w:rPr>
          <w:noProof/>
        </w:rPr>
        <w:t>Acțiunile și măsurile întreprinse se vor desfășura în conformitate cu condițiile prevăzute în actele de bază de instituire a instrumentelor de politică. Prin urmare, Comisia prezintă în paralel propunerile legislative necesare în scopul de a se asigura că respectivele instrumente de politică pot primi veniturile alocate externe rezultate din punerea în aplicare a prezentului regulament.</w:t>
      </w:r>
      <w:r>
        <w:rPr>
          <w:noProof/>
        </w:rPr>
        <w:tab/>
      </w:r>
    </w:p>
    <w:p>
      <w:pPr>
        <w:pStyle w:val="ManualHeading1"/>
        <w:rPr>
          <w:noProof/>
        </w:rPr>
      </w:pPr>
      <w:r>
        <w:rPr>
          <w:noProof/>
        </w:rPr>
        <w:lastRenderedPageBreak/>
        <w:t>2.</w:t>
      </w:r>
      <w:r>
        <w:rPr>
          <w:noProof/>
        </w:rPr>
        <w:tab/>
        <w:t>TEMEI JURIDIC, SUBSIDIARITATE ȘI PROPORȚIONALITATE</w:t>
      </w:r>
    </w:p>
    <w:p>
      <w:pPr>
        <w:pStyle w:val="ManualHeading2"/>
        <w:rPr>
          <w:noProof/>
          <w:bdr w:val="nil"/>
        </w:rPr>
      </w:pPr>
      <w:r>
        <w:rPr>
          <w:noProof/>
          <w:bdr w:val="nil"/>
        </w:rPr>
        <w:t>•</w:t>
      </w:r>
      <w:r>
        <w:rPr>
          <w:noProof/>
        </w:rPr>
        <w:tab/>
      </w:r>
      <w:r>
        <w:rPr>
          <w:noProof/>
          <w:bdr w:val="nil"/>
        </w:rPr>
        <w:t>Temeiul juridic</w:t>
      </w:r>
    </w:p>
    <w:p>
      <w:pPr>
        <w:rPr>
          <w:noProof/>
        </w:rPr>
      </w:pPr>
      <w:r>
        <w:rPr>
          <w:noProof/>
        </w:rPr>
        <w:t xml:space="preserve">Articolul 122 din Tratatul privind funcționarea Uniunii Europene prevede posibilitatea adoptării unor măsuri, care să fie decise în spiritul solidarității dintre statele membre și care să corespundă situației economice. Situația actuală este una fără precedent, caracterizată de dificultăți grave, cauzate de evenimente excepționale situate în afara controlului statelor membre. Prin urmare, este oportun ca, în temeiul articolului 122 din TFUE, să se adopte măsuri temporare cu caracter excepțional care să sprijine redresarea și reziliența în întreaga Uniune. </w:t>
      </w:r>
    </w:p>
    <w:p>
      <w:pPr>
        <w:pStyle w:val="ManualHeading2"/>
        <w:rPr>
          <w:noProof/>
          <w:bdr w:val="nil"/>
        </w:rPr>
      </w:pPr>
      <w:r>
        <w:rPr>
          <w:noProof/>
          <w:bdr w:val="nil"/>
        </w:rPr>
        <w:t>•</w:t>
      </w:r>
      <w:r>
        <w:rPr>
          <w:noProof/>
        </w:rPr>
        <w:tab/>
      </w:r>
      <w:r>
        <w:rPr>
          <w:noProof/>
          <w:bdr w:val="nil"/>
        </w:rPr>
        <w:t xml:space="preserve">Subsidiaritatea (în cazul competențelor neexclusive) </w:t>
      </w:r>
    </w:p>
    <w:p>
      <w:pPr>
        <w:rPr>
          <w:noProof/>
        </w:rPr>
      </w:pPr>
      <w:r>
        <w:rPr>
          <w:noProof/>
        </w:rPr>
        <w:t xml:space="preserve">Obiectivele urmărite de acest instrument nu pot fi îndeplinite în mod satisfăcător de către statele membre în mod individual, din cauza amplorii măsurilor care trebuie luate. Instrumentul de redresare al Uniunii Europene permite UE să completeze măsurile economice și financiare luate de statele membre, în special sub forma unor „stabilizatori automați” și a unor măsuri economice și financiare discreționare, printr-o creștere semnificativă, rapidă și punctuală, a cheltuielilor discreționare. </w:t>
      </w:r>
    </w:p>
    <w:p>
      <w:pPr>
        <w:rPr>
          <w:noProof/>
        </w:rPr>
      </w:pPr>
      <w:r>
        <w:rPr>
          <w:noProof/>
        </w:rPr>
        <w:t>O astfel de mobilizare complementară de fonduri asigură faptul că piața internă nu este subminată de disparități în privința capacității statelor membre de a mobiliza fonduri și oferă, în spiritul solidarității, finanțarea necesară și în acele state membre în care marja de manevră bugetară pentru cheltuielile discreționare este limitată. În plus, se asigură faptul că respectivele cheltuieli se efectuează pe baza unei strategii economice coerente, coordonate între statele membre.</w:t>
      </w:r>
    </w:p>
    <w:p>
      <w:pPr>
        <w:rPr>
          <w:noProof/>
        </w:rPr>
      </w:pPr>
      <w:r>
        <w:rPr>
          <w:noProof/>
        </w:rPr>
        <w:t xml:space="preserve">Numai o astfel de acțiune concertată, motivată de spiritul solidarității dintre statele membre într-o perioadă de criză, poate asigura mobilizarea unor venituri care să reprezinte resurse suficiente pentru a genera intervenții eficace din partea Uniunii în zonele sau sectoarele cele mai afectate. </w:t>
      </w:r>
    </w:p>
    <w:p>
      <w:pPr>
        <w:pStyle w:val="ManualHeading2"/>
        <w:rPr>
          <w:noProof/>
          <w:bdr w:val="nil"/>
        </w:rPr>
      </w:pPr>
      <w:r>
        <w:rPr>
          <w:noProof/>
          <w:bdr w:val="nil"/>
        </w:rPr>
        <w:t>•</w:t>
      </w:r>
      <w:r>
        <w:rPr>
          <w:noProof/>
        </w:rPr>
        <w:tab/>
      </w:r>
      <w:r>
        <w:rPr>
          <w:noProof/>
          <w:bdr w:val="nil"/>
        </w:rPr>
        <w:t>Proporționalitatea</w:t>
      </w:r>
    </w:p>
    <w:p>
      <w:pPr>
        <w:pBdr>
          <w:top w:val="nil"/>
          <w:left w:val="nil"/>
          <w:bottom w:val="nil"/>
          <w:right w:val="nil"/>
          <w:between w:val="nil"/>
          <w:bar w:val="nil"/>
        </w:pBdr>
        <w:spacing w:before="0"/>
        <w:rPr>
          <w:noProof/>
        </w:rPr>
      </w:pPr>
      <w:r>
        <w:rPr>
          <w:noProof/>
        </w:rPr>
        <w:t xml:space="preserve">Volumele necesare de finanțare din Instrumentul de redresare al Uniunii Europene se datorează împrejurărilor fără precedent în care se află Uniunea. Instrumentul de redresare este clar delimitat în ceea ce privește durata și utilizarea. Se asigură astfel faptul că utilizarea instrumentului se limitează strict la combaterea impactului acestei crize, proporțional cu amploarea impactului înregistrat. Finanțarea va fi orientată către necesitatea de a oferi un sprijin imediat și ferm pentru redresarea economică. </w:t>
      </w:r>
    </w:p>
    <w:p>
      <w:pPr>
        <w:pStyle w:val="ManualHeading2"/>
        <w:rPr>
          <w:noProof/>
          <w:bdr w:val="nil"/>
        </w:rPr>
      </w:pPr>
      <w:r>
        <w:rPr>
          <w:noProof/>
          <w:bdr w:val="nil"/>
        </w:rPr>
        <w:t>•</w:t>
      </w:r>
      <w:r>
        <w:rPr>
          <w:noProof/>
        </w:rPr>
        <w:tab/>
      </w:r>
      <w:r>
        <w:rPr>
          <w:noProof/>
          <w:bdr w:val="nil"/>
        </w:rPr>
        <w:t>Alegerea instrumentului</w:t>
      </w:r>
    </w:p>
    <w:p>
      <w:pPr>
        <w:spacing w:before="0"/>
        <w:rPr>
          <w:noProof/>
        </w:rPr>
      </w:pPr>
      <w:r>
        <w:rPr>
          <w:noProof/>
        </w:rPr>
        <w:t xml:space="preserve">Comisia consideră că este adecvat să acționeze prin intermediul unui regulament, întrucât acesta are aplicabilitate directă și imediată și un domeniu de aplicare general. </w:t>
      </w:r>
    </w:p>
    <w:p>
      <w:pPr>
        <w:pStyle w:val="ManualHeading1"/>
        <w:rPr>
          <w:noProof/>
        </w:rPr>
      </w:pPr>
      <w:r>
        <w:rPr>
          <w:noProof/>
        </w:rPr>
        <w:t>3.</w:t>
      </w:r>
      <w:r>
        <w:rPr>
          <w:noProof/>
        </w:rPr>
        <w:tab/>
        <w:t xml:space="preserve">REZULTATE ALE EVALUĂRILOR </w:t>
      </w:r>
      <w:r>
        <w:rPr>
          <w:i/>
          <w:noProof/>
        </w:rPr>
        <w:t>EX POST</w:t>
      </w:r>
      <w:r>
        <w:rPr>
          <w:noProof/>
        </w:rPr>
        <w:t>, CONSULTĂRILOR PĂRȚILOR INTERESATE ȘI EVALUĂRII IMPACTULUI</w:t>
      </w:r>
    </w:p>
    <w:p>
      <w:pPr>
        <w:pStyle w:val="ManualHeading2"/>
        <w:rPr>
          <w:noProof/>
          <w:bdr w:val="nil"/>
        </w:rPr>
      </w:pPr>
      <w:r>
        <w:rPr>
          <w:noProof/>
          <w:bdr w:val="nil"/>
        </w:rPr>
        <w:t>•</w:t>
      </w:r>
      <w:r>
        <w:rPr>
          <w:noProof/>
        </w:rPr>
        <w:tab/>
      </w:r>
      <w:r>
        <w:rPr>
          <w:noProof/>
          <w:bdr w:val="nil"/>
        </w:rPr>
        <w:t>Consultările părților interesate</w:t>
      </w:r>
    </w:p>
    <w:p>
      <w:pPr>
        <w:pBdr>
          <w:top w:val="nil"/>
          <w:left w:val="nil"/>
          <w:bottom w:val="nil"/>
          <w:right w:val="nil"/>
          <w:between w:val="nil"/>
          <w:bar w:val="nil"/>
        </w:pBdr>
        <w:spacing w:before="0"/>
        <w:rPr>
          <w:noProof/>
        </w:rPr>
      </w:pPr>
      <w:r>
        <w:rPr>
          <w:noProof/>
        </w:rPr>
        <w:t>Având în vedere că propunerea trebuie elaborată urgent, astfel încât să poată fi adoptată rapid de către Consiliu, nu s-a putut efectua o consultare a părților interesate.</w:t>
      </w:r>
    </w:p>
    <w:p>
      <w:pPr>
        <w:pStyle w:val="ManualHeading2"/>
        <w:rPr>
          <w:noProof/>
          <w:bdr w:val="nil"/>
        </w:rPr>
      </w:pPr>
      <w:r>
        <w:rPr>
          <w:noProof/>
          <w:bdr w:val="nil"/>
        </w:rPr>
        <w:t>•</w:t>
      </w:r>
      <w:r>
        <w:rPr>
          <w:noProof/>
        </w:rPr>
        <w:tab/>
      </w:r>
      <w:r>
        <w:rPr>
          <w:noProof/>
          <w:bdr w:val="nil"/>
        </w:rPr>
        <w:t>Obținerea și utilizarea expertizei</w:t>
      </w:r>
    </w:p>
    <w:p>
      <w:pPr>
        <w:pBdr>
          <w:top w:val="nil"/>
          <w:left w:val="nil"/>
          <w:bottom w:val="nil"/>
          <w:right w:val="nil"/>
          <w:between w:val="nil"/>
          <w:bar w:val="nil"/>
        </w:pBdr>
        <w:spacing w:before="0"/>
        <w:rPr>
          <w:noProof/>
        </w:rPr>
      </w:pPr>
      <w:r>
        <w:rPr>
          <w:noProof/>
        </w:rPr>
        <w:t>Nu se aplică.</w:t>
      </w:r>
    </w:p>
    <w:p>
      <w:pPr>
        <w:pStyle w:val="ManualHeading2"/>
        <w:rPr>
          <w:noProof/>
          <w:bdr w:val="nil"/>
        </w:rPr>
      </w:pPr>
      <w:r>
        <w:rPr>
          <w:noProof/>
          <w:bdr w:val="nil"/>
        </w:rPr>
        <w:lastRenderedPageBreak/>
        <w:t>•</w:t>
      </w:r>
      <w:r>
        <w:rPr>
          <w:noProof/>
        </w:rPr>
        <w:tab/>
      </w:r>
      <w:r>
        <w:rPr>
          <w:noProof/>
          <w:bdr w:val="nil"/>
        </w:rPr>
        <w:t>Evaluarea impactului</w:t>
      </w:r>
    </w:p>
    <w:p>
      <w:pPr>
        <w:pBdr>
          <w:top w:val="nil"/>
          <w:left w:val="nil"/>
          <w:bottom w:val="nil"/>
          <w:right w:val="nil"/>
          <w:between w:val="nil"/>
          <w:bar w:val="nil"/>
        </w:pBdr>
        <w:spacing w:before="0"/>
        <w:rPr>
          <w:noProof/>
        </w:rPr>
      </w:pPr>
      <w:r>
        <w:rPr>
          <w:noProof/>
        </w:rPr>
        <w:t>Având în vedere caracterul urgent al propunerii, nu s-a efectuat o evaluare a impactului.</w:t>
      </w:r>
    </w:p>
    <w:p>
      <w:pPr>
        <w:pStyle w:val="ManualHeading2"/>
        <w:rPr>
          <w:noProof/>
          <w:bdr w:val="nil"/>
        </w:rPr>
      </w:pPr>
      <w:r>
        <w:rPr>
          <w:noProof/>
          <w:bdr w:val="nil"/>
        </w:rPr>
        <w:t>•</w:t>
      </w:r>
      <w:r>
        <w:rPr>
          <w:noProof/>
        </w:rPr>
        <w:tab/>
      </w:r>
      <w:r>
        <w:rPr>
          <w:noProof/>
          <w:bdr w:val="nil"/>
        </w:rPr>
        <w:t>Adecvarea reglementărilor și simplificarea</w:t>
      </w:r>
    </w:p>
    <w:p>
      <w:pPr>
        <w:pBdr>
          <w:top w:val="nil"/>
          <w:left w:val="nil"/>
          <w:bottom w:val="nil"/>
          <w:right w:val="nil"/>
          <w:between w:val="nil"/>
          <w:bar w:val="nil"/>
        </w:pBdr>
        <w:spacing w:before="0"/>
        <w:rPr>
          <w:noProof/>
        </w:rPr>
      </w:pPr>
      <w:r>
        <w:rPr>
          <w:noProof/>
        </w:rPr>
        <w:t>Nu se aplică.</w:t>
      </w:r>
    </w:p>
    <w:p>
      <w:pPr>
        <w:pStyle w:val="ManualHeading2"/>
        <w:rPr>
          <w:noProof/>
          <w:bdr w:val="nil"/>
        </w:rPr>
      </w:pPr>
      <w:r>
        <w:rPr>
          <w:noProof/>
          <w:bdr w:val="nil"/>
        </w:rPr>
        <w:t>•</w:t>
      </w:r>
      <w:r>
        <w:rPr>
          <w:noProof/>
        </w:rPr>
        <w:tab/>
      </w:r>
      <w:r>
        <w:rPr>
          <w:noProof/>
          <w:bdr w:val="nil"/>
        </w:rPr>
        <w:t>Drepturile fundamentale</w:t>
      </w:r>
    </w:p>
    <w:p>
      <w:pPr>
        <w:pBdr>
          <w:top w:val="nil"/>
          <w:left w:val="nil"/>
          <w:bottom w:val="nil"/>
          <w:right w:val="nil"/>
          <w:between w:val="nil"/>
          <w:bar w:val="nil"/>
        </w:pBdr>
        <w:spacing w:before="0"/>
        <w:rPr>
          <w:noProof/>
        </w:rPr>
      </w:pPr>
      <w:r>
        <w:rPr>
          <w:noProof/>
        </w:rPr>
        <w:t>Nu se aplică.</w:t>
      </w:r>
    </w:p>
    <w:p>
      <w:pPr>
        <w:pStyle w:val="ManualHeading1"/>
        <w:rPr>
          <w:noProof/>
        </w:rPr>
      </w:pPr>
      <w:r>
        <w:rPr>
          <w:noProof/>
        </w:rPr>
        <w:t>4.</w:t>
      </w:r>
      <w:r>
        <w:rPr>
          <w:noProof/>
        </w:rPr>
        <w:tab/>
        <w:t>IMPLICAȚII BUGETARE</w:t>
      </w:r>
    </w:p>
    <w:p>
      <w:pPr>
        <w:pBdr>
          <w:top w:val="nil"/>
          <w:left w:val="nil"/>
          <w:bottom w:val="nil"/>
          <w:right w:val="nil"/>
          <w:between w:val="nil"/>
          <w:bar w:val="nil"/>
        </w:pBdr>
        <w:spacing w:before="0"/>
        <w:rPr>
          <w:noProof/>
        </w:rPr>
      </w:pPr>
      <w:r>
        <w:rPr>
          <w:noProof/>
        </w:rPr>
        <w:t>Regulamentul propus va oferi sprijin financiar din veniturile alocate externe provenite din operațiunile de împrumut ale Uniunii autorizate în temeiul articolului 3b din [DRP] pentru sprijin nerambursabil, sprijin rambursabil prin intermediul instrumentelor financiare și provizionarea pentru garanții bugetare și cheltuieli conexe. În acest scop este necesar să fie prevăzute credite de angajament și de plată care să acopere plățile ce ajung la scadență aferente sumelor luate cu împrumut (reprezentând plățile cupoanelor și răscumpărările la scadență). Înainte de 2028 nu sunt avute în vedere rambursări din bugetul UE. Creditele necesare pentru a acoperi eventualele plăți de cupoane în perioada 2021-2027 sunt compatibile cu propunerea Comisiei privind cadrul financiar multianual, în special cu propunerea de la rubrica 2 „Coeziune și valori” (excluzând rubrica „Coeziune economică, socială și teritorială”). Viitoarele cadre financiare multianuale vor trebui să asigure creditele necesare pentru acoperirea plăților de cupoane și a răscumpărărilor la scadență.</w:t>
      </w:r>
    </w:p>
    <w:p>
      <w:pPr>
        <w:pBdr>
          <w:top w:val="nil"/>
          <w:left w:val="nil"/>
          <w:bottom w:val="nil"/>
          <w:right w:val="nil"/>
          <w:between w:val="nil"/>
          <w:bar w:val="nil"/>
        </w:pBdr>
        <w:spacing w:before="0"/>
        <w:rPr>
          <w:noProof/>
        </w:rPr>
      </w:pPr>
      <w:r>
        <w:rPr>
          <w:noProof/>
        </w:rPr>
        <w:t xml:space="preserve">Împrumuturile vor fi rambursate de statele membre beneficiare, iar Uniunea va suporta numai datoria contingentă compatibilă cu plafonul resurselor proprii specifice. </w:t>
      </w:r>
    </w:p>
    <w:p>
      <w:pPr>
        <w:pBdr>
          <w:top w:val="nil"/>
          <w:left w:val="nil"/>
          <w:bottom w:val="nil"/>
          <w:right w:val="nil"/>
          <w:between w:val="nil"/>
          <w:bar w:val="nil"/>
        </w:pBdr>
        <w:spacing w:before="0"/>
        <w:rPr>
          <w:noProof/>
        </w:rPr>
      </w:pPr>
      <w:r>
        <w:rPr>
          <w:noProof/>
        </w:rPr>
        <w:t>O planificare indicativă a veniturilor preconizate, precum și a cheltuielilor conexe figurează în fișa financiară legislativă.</w:t>
      </w:r>
    </w:p>
    <w:p>
      <w:pPr>
        <w:pStyle w:val="ManualHeading1"/>
        <w:rPr>
          <w:noProof/>
        </w:rPr>
      </w:pPr>
      <w:r>
        <w:rPr>
          <w:noProof/>
        </w:rPr>
        <w:t>5.</w:t>
      </w:r>
      <w:r>
        <w:rPr>
          <w:noProof/>
        </w:rPr>
        <w:tab/>
        <w:t>ELEMENTE DIVERSE</w:t>
      </w:r>
    </w:p>
    <w:p>
      <w:pPr>
        <w:pStyle w:val="ManualHeading2"/>
        <w:rPr>
          <w:noProof/>
          <w:bdr w:val="nil"/>
        </w:rPr>
      </w:pPr>
      <w:r>
        <w:rPr>
          <w:noProof/>
          <w:bdr w:val="nil"/>
        </w:rPr>
        <w:t>•</w:t>
      </w:r>
      <w:r>
        <w:rPr>
          <w:noProof/>
        </w:rPr>
        <w:tab/>
      </w:r>
      <w:r>
        <w:rPr>
          <w:noProof/>
          <w:bdr w:val="nil"/>
        </w:rPr>
        <w:t>Planurile de implementare și mecanismele de monitorizare, evaluare și raportare</w:t>
      </w:r>
    </w:p>
    <w:p>
      <w:pPr>
        <w:pBdr>
          <w:top w:val="nil"/>
          <w:left w:val="nil"/>
          <w:bottom w:val="nil"/>
          <w:right w:val="nil"/>
          <w:between w:val="nil"/>
          <w:bar w:val="nil"/>
        </w:pBdr>
        <w:spacing w:before="0"/>
        <w:rPr>
          <w:noProof/>
        </w:rPr>
      </w:pPr>
      <w:r>
        <w:rPr>
          <w:noProof/>
        </w:rPr>
        <w:t>Utilizarea resurselor financiare ale UE trebuie realizată cu maximum de transparență și trebuie să fie însoțită de o monitorizare adecvată. Se vor aplica obligațiile de raportare ale statelor membre și ale Comisiei.</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2020/0111 (NLE)</w:t>
      </w:r>
    </w:p>
    <w:p>
      <w:pPr>
        <w:pStyle w:val="Statut"/>
        <w:rPr>
          <w:noProof/>
        </w:rPr>
      </w:pPr>
      <w:r>
        <w:rPr>
          <w:noProof/>
        </w:rPr>
        <w:t>Propunere de</w:t>
      </w:r>
    </w:p>
    <w:p>
      <w:pPr>
        <w:pStyle w:val="Typedudocument"/>
        <w:rPr>
          <w:noProof/>
        </w:rPr>
      </w:pPr>
      <w:r>
        <w:rPr>
          <w:noProof/>
        </w:rPr>
        <w:t>REGULAMENT AL CONSILIULUI</w:t>
      </w:r>
    </w:p>
    <w:p>
      <w:pPr>
        <w:pStyle w:val="Titreobjet"/>
        <w:rPr>
          <w:noProof/>
        </w:rPr>
      </w:pPr>
      <w:r>
        <w:rPr>
          <w:noProof/>
        </w:rPr>
        <w:t>de instituire a Instrumentului de redresare al Uniunii Europene pentru a sprijini redresarea în urma pandemiei de COVID-19</w:t>
      </w:r>
    </w:p>
    <w:p>
      <w:pPr>
        <w:pStyle w:val="Institutionquiagit"/>
        <w:rPr>
          <w:noProof/>
        </w:rPr>
      </w:pPr>
      <w:r>
        <w:rPr>
          <w:noProof/>
        </w:rPr>
        <w:t>CONSILIUL UNIUNII EUROPENE,</w:t>
      </w:r>
    </w:p>
    <w:p>
      <w:pPr>
        <w:rPr>
          <w:noProof/>
        </w:rPr>
      </w:pPr>
      <w:r>
        <w:rPr>
          <w:noProof/>
        </w:rPr>
        <w:t>având în vedere Tratatul privind funcționarea Uniunii Europene, în special articolul 122,</w:t>
      </w:r>
    </w:p>
    <w:p>
      <w:pPr>
        <w:rPr>
          <w:noProof/>
        </w:rPr>
      </w:pPr>
      <w:r>
        <w:rPr>
          <w:noProof/>
        </w:rPr>
        <w:t>având în vedere propunerea Comisiei Europene,</w:t>
      </w:r>
    </w:p>
    <w:p>
      <w:pPr>
        <w:rPr>
          <w:noProof/>
        </w:rPr>
      </w:pPr>
      <w:r>
        <w:rPr>
          <w:noProof/>
        </w:rPr>
        <w:t xml:space="preserve">întrucât: </w:t>
      </w:r>
    </w:p>
    <w:p>
      <w:pPr>
        <w:pStyle w:val="ManualConsidrant"/>
        <w:rPr>
          <w:noProof/>
        </w:rPr>
      </w:pPr>
      <w:r>
        <w:rPr>
          <w:noProof/>
        </w:rPr>
        <w:t>(1)</w:t>
      </w:r>
      <w:r>
        <w:rPr>
          <w:noProof/>
        </w:rPr>
        <w:tab/>
        <w:t xml:space="preserve">Pentru a limita răspândirea bolii provocate de coronavirusul SARS-CoV-2 (denumită în continuare </w:t>
      </w:r>
      <w:r>
        <w:rPr>
          <w:rStyle w:val="Aucun"/>
          <w:noProof/>
        </w:rPr>
        <w:t>„</w:t>
      </w:r>
      <w:r>
        <w:rPr>
          <w:noProof/>
        </w:rPr>
        <w:t>COVID-19</w:t>
      </w:r>
      <w:r>
        <w:rPr>
          <w:rStyle w:val="Aucun"/>
          <w:noProof/>
        </w:rPr>
        <w:t>”</w:t>
      </w:r>
      <w:r>
        <w:rPr>
          <w:noProof/>
        </w:rPr>
        <w:t>), care, la 11 martie 2020, a fost declarată pandemie de către Organizația Mondială a Sănătății, statele membre au adoptat un set de măsuri fără precedent.</w:t>
      </w:r>
    </w:p>
    <w:p>
      <w:pPr>
        <w:pStyle w:val="ManualConsidrant"/>
        <w:rPr>
          <w:noProof/>
        </w:rPr>
      </w:pPr>
      <w:r>
        <w:rPr>
          <w:noProof/>
        </w:rPr>
        <w:t>(2)</w:t>
      </w:r>
      <w:r>
        <w:rPr>
          <w:noProof/>
        </w:rPr>
        <w:tab/>
        <w:t xml:space="preserve">Măsurile respective, adoptate ca răspuns la această situație excepțională, care se află în afara controlului statelor membre, au provocat perturbări semnificative ale activităților economice, ceea ce a condus la o scădere puternică a produsului intern brut și la un impact semnificativ asupra ocupării forței de muncă, condițiilor sociale, sărăciei și inegalităților. În special, măsurile luate au perturbat lanțurile de aprovizionare și producția și au provocat absențe de la locul de muncă. În plus, multe servicii au devenit imposibil sau foarte dificil de furnizat. În același timp, s-a înregistrat o scădere a cererii consumatorilor. Multe întreprinderi se confruntă cu deficite de lichidități, iar solvabilitatea lor este în pericol, în timp ce piețele financiare sunt foarte volatile. Sectoare esențiale, precum călătoriile și turismul, sunt deosebit de puternic afectate. În sens mai larg, aceste măsuri au condus deja sau vor conduce la o deteriorare gravă a situației financiare a multor întreprinderi din Uniune. </w:t>
      </w:r>
    </w:p>
    <w:p>
      <w:pPr>
        <w:pStyle w:val="ManualConsidrant"/>
        <w:rPr>
          <w:noProof/>
        </w:rPr>
      </w:pPr>
      <w:r>
        <w:rPr>
          <w:noProof/>
        </w:rPr>
        <w:t>(3)</w:t>
      </w:r>
      <w:r>
        <w:rPr>
          <w:noProof/>
        </w:rPr>
        <w:tab/>
        <w:t>Criza s-a răspândit rapid pe teritoriul Uniunii și în țări terțe. Pentru 2020 este prevăzută o încetinire pronunțată a creșterii în Uniune. Redresarea riscă să fie extrem de inegală la nivelul diferitelor state membre, sporind divergențele dintre economiile naționale. Capacitatea fiscal-bugetară diferită a statelor membre de a furniza sprijin financiar acolo unde este cea mai mare nevoie de el pentru redresare, precum și divergențele înregistrate la nivelul măsurilor naționale pun în pericol piața unică, precum și coeziunea socială și teritorială.</w:t>
      </w:r>
    </w:p>
    <w:p>
      <w:pPr>
        <w:pStyle w:val="ManualConsidrant"/>
        <w:rPr>
          <w:noProof/>
          <w:sz w:val="22"/>
        </w:rPr>
      </w:pPr>
      <w:r>
        <w:rPr>
          <w:noProof/>
        </w:rPr>
        <w:t>(4)</w:t>
      </w:r>
      <w:r>
        <w:rPr>
          <w:noProof/>
        </w:rPr>
        <w:tab/>
      </w:r>
      <w:r>
        <w:rPr>
          <w:noProof/>
          <w:bdr w:val="none" w:sz="0" w:space="0" w:color="auto" w:frame="1"/>
        </w:rPr>
        <w:t>Este necesar un set cuprinzător de măsuri de redresare economică, ce va avea nevoie de investiții publice și private masive pentru a</w:t>
      </w:r>
      <w:r>
        <w:rPr>
          <w:noProof/>
        </w:rPr>
        <w:t xml:space="preserve"> înscrie Uniunea în mod ferm pe calea unei redresări sustenabile și reziliente, prin care să se creeze </w:t>
      </w:r>
      <w:r>
        <w:rPr>
          <w:noProof/>
          <w:bdr w:val="none" w:sz="0" w:space="0" w:color="auto" w:frame="1"/>
        </w:rPr>
        <w:t>locuri de muncă de înaltă calitate,</w:t>
      </w:r>
      <w:r>
        <w:rPr>
          <w:noProof/>
        </w:rPr>
        <w:t xml:space="preserve"> să se sprijine incluziunea socială </w:t>
      </w:r>
      <w:r>
        <w:rPr>
          <w:noProof/>
          <w:bdr w:val="none" w:sz="0" w:space="0" w:color="auto" w:frame="1"/>
        </w:rPr>
        <w:t xml:space="preserve">și să se repare daunele imediate cauzate de pandemia de COVID-19, </w:t>
      </w:r>
      <w:r>
        <w:rPr>
          <w:noProof/>
        </w:rPr>
        <w:t>sprijinind totodată prioritățile în materie de ecologie și digitalizare ale Uniunii</w:t>
      </w:r>
      <w:r>
        <w:rPr>
          <w:noProof/>
          <w:bdr w:val="none" w:sz="0" w:space="0" w:color="auto" w:frame="1"/>
        </w:rPr>
        <w:t xml:space="preserve">. </w:t>
      </w:r>
    </w:p>
    <w:p>
      <w:pPr>
        <w:pStyle w:val="ManualConsidrant"/>
        <w:rPr>
          <w:noProof/>
        </w:rPr>
      </w:pPr>
      <w:r>
        <w:rPr>
          <w:noProof/>
        </w:rPr>
        <w:t>(5)</w:t>
      </w:r>
      <w:r>
        <w:rPr>
          <w:noProof/>
        </w:rPr>
        <w:tab/>
        <w:t xml:space="preserve">Această situație excepțională, care depășește controlul statelor membre, impune o abordare coerentă și unitară la nivelul Uniunii. Pentru a preveni o deteriorare și mai accentuată a economiei, a ocupării forței de muncă și a coeziunii sociale și pentru a </w:t>
      </w:r>
      <w:r>
        <w:rPr>
          <w:noProof/>
        </w:rPr>
        <w:lastRenderedPageBreak/>
        <w:t>favoriza o redresare sustenabilă și rezilientă a activității economice, ar trebui ca, în spiritul solidarității dintre statele membre, să fie instituit un program excepțional și coordonat de sprijin economic și social, în special pentru statele membre care au fost deosebit de afectate de această situație.</w:t>
      </w:r>
    </w:p>
    <w:p>
      <w:pPr>
        <w:pStyle w:val="ManualConsidrant"/>
        <w:rPr>
          <w:noProof/>
        </w:rPr>
      </w:pPr>
      <w:r>
        <w:rPr>
          <w:noProof/>
        </w:rPr>
        <w:t>(6)</w:t>
      </w:r>
      <w:r>
        <w:rPr>
          <w:noProof/>
        </w:rPr>
        <w:tab/>
        <w:t xml:space="preserve">Având în vedere că instrumentul este un răspuns excepțional la aceste circumstanțe temporare, dar extreme, sprijinul acordat în cadrul instrumentului ar trebui să fie pus la dispoziție numai pentru a combate consecințele pandemiei de COVID-19 sau pentru nevoile imediate de fonduri necesare în scopul de a evita reapariția acestei pandemii. </w:t>
      </w:r>
    </w:p>
    <w:p>
      <w:pPr>
        <w:pStyle w:val="ManualConsidrant"/>
        <w:rPr>
          <w:noProof/>
        </w:rPr>
      </w:pPr>
      <w:r>
        <w:rPr>
          <w:noProof/>
        </w:rPr>
        <w:t>(7)</w:t>
      </w:r>
      <w:r>
        <w:rPr>
          <w:noProof/>
        </w:rPr>
        <w:tab/>
        <w:t xml:space="preserve">Acest instrument ar trebui să se axeze în special pe măsuri de restabilire a piețelor forței de muncă, a sistemelor de protecție socială și de sănătate, pe măsuri care să dea un nou impuls potențialului de creștere durabilă și ocupării forței de muncă în vederea consolidării coeziunii dintre statele membre și a sprijinirii tranziției acestora către o economie verde și digitală, pe măsuri prin care să se acorde sprijin întreprinderilor afectate de impactul pandemiei de COVID-19, în special întreprinderilor mici și mijlocii și întreprinderilor viabile din punct de vedere economic care se confruntă cu constrângeri legate de solvabilitate, pe măsuri de consolidare a autonomiei strategice a Uniunii în cadrul lanțurilor de aprovizionare vitale, pe sprijinirea cercetării și a inovării ca răspuns la pandemia de COVID-19, pe consolidarea capacităților la nivelul Uniunii în vederea îmbunătățirii nivelului de pregătire pentru situații de criză viitoare, pe sprijinirea menținerii eforturilor pe care teritoriile le depun în vederea unei tranziții juste, precum și pe sprijinirea zonelor rurale pentru combaterea impactului pandemiei de COVID-19. Relațiile comerciale și economice cu țările învecinate și cu țările în curs de dezvoltare, în special cele din Balcanii de Vest, cele vizate de politica europeană de vecinătate și țările din Africa, au o relevanță deosebită pentru economia Uniunii. Din acest motiv și în concordanță cu rolul și responsabilitatea Uniunii pe plan mondial, resursele financiare ar trebui să fie utilizate și pentru a oferi sprijin și ajutor umanitar care să susțină eforturile țărilor respective de a combate impactul pandemiei de COVID-19 și de a se redresa în urma acestei pandemii, în vederea restabilirii și consolidării relațiilor lor comerciale și economice cu Uniunea. </w:t>
      </w:r>
    </w:p>
    <w:p>
      <w:pPr>
        <w:pStyle w:val="ManualConsidrant"/>
        <w:rPr>
          <w:noProof/>
        </w:rPr>
      </w:pPr>
      <w:r>
        <w:rPr>
          <w:noProof/>
        </w:rPr>
        <w:t>(8)</w:t>
      </w:r>
      <w:r>
        <w:rPr>
          <w:noProof/>
        </w:rPr>
        <w:tab/>
        <w:t>Pentru a asigura o redresare sustenabilă și rezilientă în întreaga Uniune și pentru a facilita punerea în aplicare a sprijinului economic, ar trebui utilizate mecanismele de cheltuieli stabilite, prin intermediul programelor Uniunii care sunt reglementate de cadrele financiare multianuale relevante. În cadrul acestor programe se acordă sprijin sub formă de sprijin nerambursabil, împrumuturi și provizionare pentru garanții bugetare. Alocarea resurselor financiare ar trebui să reflecte măsura în care aceste programe pot contribui la obiectivele instrumentului.</w:t>
      </w:r>
    </w:p>
    <w:p>
      <w:pPr>
        <w:pStyle w:val="ManualConsidrant"/>
        <w:rPr>
          <w:noProof/>
        </w:rPr>
      </w:pPr>
      <w:r>
        <w:rPr>
          <w:noProof/>
        </w:rPr>
        <w:t>(9)</w:t>
      </w:r>
      <w:r>
        <w:rPr>
          <w:noProof/>
        </w:rPr>
        <w:tab/>
        <w:t>Având în vedere natura măsurilor care urmează să fie finanțate, o parte din cuantumurile disponibile pentru acest instrument ar trebui să fie utilizată pentru acordarea de împrumuturi statelor membre, iar cealaltă parte a resurselor ar trebui să constituie venituri alocate externe, în sensul articolului 21 alineatul (5) din Regulamentul (UE, Euratom) 2018/1046</w:t>
      </w:r>
      <w:r>
        <w:rPr>
          <w:rStyle w:val="Aucun"/>
          <w:noProof/>
        </w:rPr>
        <w:t xml:space="preserve"> al Parlamentului European și al Consiliului</w:t>
      </w:r>
      <w:r>
        <w:rPr>
          <w:rStyle w:val="FootnoteReference"/>
          <w:noProof/>
        </w:rPr>
        <w:footnoteReference w:id="3"/>
      </w:r>
      <w:r>
        <w:rPr>
          <w:noProof/>
        </w:rPr>
        <w:t xml:space="preserve">, și ar trebui să fie utilizată pentru sprijin nerambursabil, instrumente financiare sau constituirea de către Uniune a unor provizioane pentru garanții bugetare și cheltuieli </w:t>
      </w:r>
      <w:r>
        <w:rPr>
          <w:noProof/>
        </w:rPr>
        <w:lastRenderedPageBreak/>
        <w:t>conexe. Deși în cazul creditelor de angajament și de plată puse la dispoziție în legătură cu veniturile alocate externe în temeiul prezentului regulament se aplică articolul 12 alineatul (4) litera (c) și articolul 14 alineatul (3) din Regulamentul (UE, Euratom) 2018/1046,</w:t>
      </w:r>
      <w:r>
        <w:rPr>
          <w:rStyle w:val="Aucun"/>
          <w:noProof/>
        </w:rPr>
        <w:t xml:space="preserve"> </w:t>
      </w:r>
      <w:r>
        <w:rPr>
          <w:noProof/>
        </w:rPr>
        <w:t>având în vedere termenele stabilite pentru diferitele tipuri de sprijin, creditele de angajament care rezultă din astfel de venituri alocate externe nu ar trebui reportate în mod automat după datele finale respective</w:t>
      </w:r>
      <w:r>
        <w:rPr>
          <w:i/>
          <w:noProof/>
        </w:rPr>
        <w:t>,</w:t>
      </w:r>
      <w:r>
        <w:rPr>
          <w:rStyle w:val="Aucun"/>
          <w:noProof/>
        </w:rPr>
        <w:t xml:space="preserve"> cu excepția creditelor de angajament necesare pentru asistența tehnică și administrativă în vederea punerii în aplicare a măsurilor adoptate în temeiul prezentului regulament.</w:t>
      </w:r>
      <w:r>
        <w:rPr>
          <w:noProof/>
        </w:rPr>
        <w:t xml:space="preserve"> </w:t>
      </w:r>
    </w:p>
    <w:p>
      <w:pPr>
        <w:pStyle w:val="ManualConsidrant"/>
        <w:rPr>
          <w:noProof/>
        </w:rPr>
      </w:pPr>
      <w:r>
        <w:rPr>
          <w:noProof/>
        </w:rPr>
        <w:t>(10)</w:t>
      </w:r>
      <w:r>
        <w:rPr>
          <w:noProof/>
        </w:rPr>
        <w:tab/>
        <w:t xml:space="preserve">Creditele de angajament pentru sprijinul nerambursabil ar trebui să fie puse în mod automat la dispoziție, în limita cuantumului autorizat. Lichiditățile ar trebui gestionate în mod eficace, astfel încât să se colecteze fonduri numai atunci când trebuie onorate angajamentele juridice, prin credite de plată corespunzătoare. </w:t>
      </w:r>
    </w:p>
    <w:p>
      <w:pPr>
        <w:pStyle w:val="ManualConsidrant"/>
        <w:rPr>
          <w:rStyle w:val="Aucun"/>
          <w:noProof/>
        </w:rPr>
      </w:pPr>
      <w:r>
        <w:rPr>
          <w:rStyle w:val="Aucun"/>
          <w:noProof/>
        </w:rPr>
        <w:t>(11)</w:t>
      </w:r>
      <w:r>
        <w:rPr>
          <w:noProof/>
        </w:rPr>
        <w:tab/>
        <w:t xml:space="preserve">Având în vedere importanța utilizării sumelor în primii ani ai instrumentului, este oportun să se evalueze progresele înregistrate în ceea ce privește punerea în aplicare. În acest sens, Comisia ar trebui să elaboreze un raport până la data de 31 martie 2023. </w:t>
      </w:r>
    </w:p>
    <w:p>
      <w:pPr>
        <w:pStyle w:val="ManualConsidrant"/>
        <w:rPr>
          <w:noProof/>
        </w:rPr>
      </w:pPr>
      <w:r>
        <w:rPr>
          <w:noProof/>
        </w:rPr>
        <w:t>(12)</w:t>
      </w:r>
      <w:r>
        <w:rPr>
          <w:noProof/>
        </w:rPr>
        <w:tab/>
        <w:t>Articolul 135 alineatul (2) din Acordul privind retragerea Regatului Unit al Marii Britanii și Irlandei de Nord din Uniunea Europeană și din Comunitatea Europeană a Energiei Atomice</w:t>
      </w:r>
      <w:r>
        <w:rPr>
          <w:rStyle w:val="FootnoteReference"/>
          <w:noProof/>
        </w:rPr>
        <w:footnoteReference w:id="4"/>
      </w:r>
      <w:r>
        <w:rPr>
          <w:noProof/>
        </w:rPr>
        <w:t xml:space="preserve"> prevede că modificările Deciziei 2014/335/UE, Euratom a Consiliului</w:t>
      </w:r>
      <w:r>
        <w:rPr>
          <w:rStyle w:val="FootnoteReference"/>
          <w:noProof/>
        </w:rPr>
        <w:footnoteReference w:id="5"/>
      </w:r>
      <w:r>
        <w:rPr>
          <w:noProof/>
        </w:rPr>
        <w:t xml:space="preserve"> care sunt adoptate la data intrării în vigoare a acordului respectiv sau ulterior nu se aplică Regatului Unit, în măsura în care modificările în cauză au un impact asupra obligațiilor financiare ale Regatului Unit. Sprijinul acordat în temeiul prezentului regulament și majorarea corespunzătoare a plafonului resurselor proprii ale Uniunii ar avea un impact asupra obligațiilor financiare ale Regatului Unit. Articolul 143 alineatul (1) din Acordul de retragere limitează obligațiile Regatului Unit cu privire la cota care îi revine din datoriile contingente ale Uniunii la datoriile contingente care rezultă din operațiunile financiare decise de Uniune înainte de data intrării în vigoare a Acordului de retragere. Orice datorie contingentă a Uniunii care decurge din prezentul regulament este ulterioară datei retragerii Regatului Unit din Uniune. Prin urmare, prezentul regulament nu ar trebui să se aplice Regatului Unit și pe teritoriul acestuia, </w:t>
      </w:r>
      <w:r>
        <w:rPr>
          <w:noProof/>
        </w:rPr>
        <w:tab/>
        <w:t xml:space="preserve"> </w:t>
      </w:r>
      <w:r>
        <w:rPr>
          <w:noProof/>
        </w:rPr>
        <w:br/>
      </w:r>
    </w:p>
    <w:p>
      <w:pPr>
        <w:pStyle w:val="Formuledadoption"/>
        <w:rPr>
          <w:noProof/>
        </w:rPr>
      </w:pPr>
      <w:r>
        <w:rPr>
          <w:noProof/>
        </w:rPr>
        <w:t>ADOPTĂ PREZENTUL REGULAMENT:</w:t>
      </w:r>
    </w:p>
    <w:p>
      <w:pPr>
        <w:pStyle w:val="Titrearticle"/>
        <w:rPr>
          <w:i w:val="0"/>
          <w:noProof/>
        </w:rPr>
      </w:pPr>
      <w:r>
        <w:rPr>
          <w:noProof/>
        </w:rPr>
        <w:t xml:space="preserve">Articolul 1 </w:t>
      </w:r>
      <w:r>
        <w:rPr>
          <w:noProof/>
        </w:rPr>
        <w:br/>
        <w:t>Instrumentul de redresare al Uniunii Europene</w:t>
      </w:r>
    </w:p>
    <w:p>
      <w:pPr>
        <w:rPr>
          <w:noProof/>
        </w:rPr>
      </w:pPr>
      <w:r>
        <w:rPr>
          <w:rStyle w:val="Aucun"/>
          <w:noProof/>
        </w:rPr>
        <w:t>Se instituie Instrumentul de redresare al Uniunii Europene (denumit în continuare „instrumentul”) pentru a sprijini redresarea</w:t>
      </w:r>
      <w:r>
        <w:rPr>
          <w:noProof/>
        </w:rPr>
        <w:t xml:space="preserve"> în urma pandemiei de COVID-19</w:t>
      </w:r>
      <w:r>
        <w:rPr>
          <w:rStyle w:val="Aucun"/>
          <w:noProof/>
        </w:rPr>
        <w:t xml:space="preserve">. </w:t>
      </w:r>
    </w:p>
    <w:p>
      <w:pPr>
        <w:pStyle w:val="Titrearticle"/>
        <w:rPr>
          <w:rStyle w:val="Aucun"/>
          <w:i w:val="0"/>
          <w:noProof/>
        </w:rPr>
      </w:pPr>
      <w:r>
        <w:rPr>
          <w:rStyle w:val="Aucun"/>
          <w:noProof/>
        </w:rPr>
        <w:t>Articolul</w:t>
      </w:r>
      <w:r>
        <w:rPr>
          <w:noProof/>
        </w:rPr>
        <w:t xml:space="preserve"> 2 </w:t>
      </w:r>
      <w:r>
        <w:rPr>
          <w:noProof/>
        </w:rPr>
        <w:br/>
      </w:r>
      <w:r>
        <w:rPr>
          <w:rStyle w:val="Aucun"/>
          <w:noProof/>
        </w:rPr>
        <w:t>Domeniul de aplicare al instrumentului</w:t>
      </w:r>
    </w:p>
    <w:p>
      <w:pPr>
        <w:pStyle w:val="Point0"/>
        <w:rPr>
          <w:rStyle w:val="Aucun"/>
          <w:noProof/>
        </w:rPr>
      </w:pPr>
      <w:bookmarkStart w:id="1" w:name="DQPStarAt1DQPStarAtC4DBE0F039134D20988D8"/>
      <w:r>
        <w:rPr>
          <w:rStyle w:val="Aucun"/>
          <w:noProof/>
        </w:rPr>
        <w:t>(1)</w:t>
      </w:r>
      <w:r>
        <w:rPr>
          <w:noProof/>
        </w:rPr>
        <w:tab/>
      </w:r>
      <w:r>
        <w:rPr>
          <w:rStyle w:val="Aucun"/>
          <w:noProof/>
        </w:rPr>
        <w:t>Instrumentul sprijină redresarea în interiorul Uniunii</w:t>
      </w:r>
      <w:r>
        <w:rPr>
          <w:noProof/>
        </w:rPr>
        <w:t xml:space="preserve"> în urma pandemiei de COVID­19 </w:t>
      </w:r>
      <w:r>
        <w:rPr>
          <w:rStyle w:val="Aucun"/>
          <w:noProof/>
        </w:rPr>
        <w:t xml:space="preserve">și finanțează, în special, următoarele măsuri menite să combată consecințele economice negative ale acestei pandemii: </w:t>
      </w:r>
    </w:p>
    <w:bookmarkEnd w:id="1"/>
    <w:p>
      <w:pPr>
        <w:pStyle w:val="Point1"/>
        <w:rPr>
          <w:noProof/>
        </w:rPr>
      </w:pPr>
      <w:r>
        <w:rPr>
          <w:noProof/>
        </w:rPr>
        <w:lastRenderedPageBreak/>
        <w:t>(a)</w:t>
      </w:r>
      <w:r>
        <w:rPr>
          <w:noProof/>
        </w:rPr>
        <w:tab/>
        <w:t>măsuri de restabilire a ocupării forței de muncă și a creării de locuri de muncă, precum și măsuri de restabilire a sistemelor de sănătate;</w:t>
      </w:r>
    </w:p>
    <w:p>
      <w:pPr>
        <w:pStyle w:val="Point1"/>
        <w:rPr>
          <w:noProof/>
        </w:rPr>
      </w:pPr>
      <w:r>
        <w:rPr>
          <w:noProof/>
        </w:rPr>
        <w:t>(b)</w:t>
      </w:r>
      <w:r>
        <w:rPr>
          <w:noProof/>
        </w:rPr>
        <w:tab/>
        <w:t>reforme și investiții pentru a da un nou impuls potențialul de creștere economică, pentru a consolida coeziunea dintre statele membre și pentru a spori reziliența acestora;</w:t>
      </w:r>
    </w:p>
    <w:p>
      <w:pPr>
        <w:pStyle w:val="Point1"/>
        <w:rPr>
          <w:noProof/>
        </w:rPr>
      </w:pPr>
      <w:r>
        <w:rPr>
          <w:noProof/>
        </w:rPr>
        <w:t>(c)</w:t>
      </w:r>
      <w:r>
        <w:rPr>
          <w:noProof/>
        </w:rPr>
        <w:tab/>
        <w:t>măsuri de sprijin pentru întreprinderile afectate de impactul economic al pandemiei, în special măsuri de care să beneficieze întreprinderile mici și mijlocii, inclusiv investiții financiare directe în aceste întreprinderi;</w:t>
      </w:r>
    </w:p>
    <w:p>
      <w:pPr>
        <w:pStyle w:val="Point1"/>
        <w:rPr>
          <w:noProof/>
        </w:rPr>
      </w:pPr>
      <w:r>
        <w:rPr>
          <w:noProof/>
        </w:rPr>
        <w:t>(d)</w:t>
      </w:r>
      <w:r>
        <w:rPr>
          <w:noProof/>
        </w:rPr>
        <w:tab/>
        <w:t>măsuri de sprijin pentru întreprinderile viabile din punct de vedere economic care au suferit constrângeri legate de solvabilitate din cauza impactului pandemiei de COVID-19, inclusiv investiții financiare directe în aceste întreprinderi;</w:t>
      </w:r>
    </w:p>
    <w:p>
      <w:pPr>
        <w:pStyle w:val="Point1"/>
        <w:rPr>
          <w:noProof/>
        </w:rPr>
      </w:pPr>
      <w:r>
        <w:rPr>
          <w:noProof/>
        </w:rPr>
        <w:t>(e)</w:t>
      </w:r>
      <w:r>
        <w:rPr>
          <w:noProof/>
        </w:rPr>
        <w:tab/>
        <w:t>măsuri de consolidare a autonomiei strategice a Uniunii în cadrul lanțurilor de aprovizionare vitale, inclusiv investiții financiare directe în întreprinderi;</w:t>
      </w:r>
    </w:p>
    <w:p>
      <w:pPr>
        <w:pStyle w:val="Point1"/>
        <w:rPr>
          <w:noProof/>
        </w:rPr>
      </w:pPr>
      <w:r>
        <w:rPr>
          <w:noProof/>
        </w:rPr>
        <w:t>(f)</w:t>
      </w:r>
      <w:r>
        <w:rPr>
          <w:noProof/>
        </w:rPr>
        <w:tab/>
        <w:t>măsuri de sprijin pentru cercetare și inovare, ca răspuns la pandemia de COVID-19;</w:t>
      </w:r>
    </w:p>
    <w:p>
      <w:pPr>
        <w:pStyle w:val="Point1"/>
        <w:rPr>
          <w:noProof/>
        </w:rPr>
      </w:pPr>
      <w:r>
        <w:rPr>
          <w:noProof/>
        </w:rPr>
        <w:t>(g)</w:t>
      </w:r>
      <w:r>
        <w:rPr>
          <w:noProof/>
        </w:rPr>
        <w:tab/>
        <w:t>măsuri de sprijin în vederea creșterii nivelului de pregătire al Uniunii pentru situații de criză, astfel încât să permită un răspuns rapid și eficace din partea Uniunii în cazul unor urgențe de importanță majoră; aceasta înseamnă și îmbunătățirea rezilienței strategice a sistemelor de sănătate din Uniune, pentru a permite un răspuns rapid și eficace la nivelul Uniunii în cazul unei noi crize sanitare transfrontaliere; printre aceste măsuri se numără constituirea unor rezerve de materiale și echipamente medicale esențiale și achiziționarea infrastructurilor necesare pentru menținerea unor niveluri adecvate de produse medicale și de medicamente relevante pentru situații de criză;</w:t>
      </w:r>
    </w:p>
    <w:p>
      <w:pPr>
        <w:pStyle w:val="Point1"/>
        <w:rPr>
          <w:noProof/>
        </w:rPr>
      </w:pPr>
      <w:r>
        <w:rPr>
          <w:noProof/>
        </w:rPr>
        <w:t>(h)</w:t>
      </w:r>
      <w:r>
        <w:rPr>
          <w:noProof/>
        </w:rPr>
        <w:tab/>
        <w:t>măsuri de sprijin pentru a se asigura că tranziția justă către o economie neutră din punctul de vedere al impactului asupra climei nu va fi subminată de pandemia de COVID-19;</w:t>
      </w:r>
    </w:p>
    <w:p>
      <w:pPr>
        <w:pStyle w:val="Point1"/>
        <w:rPr>
          <w:noProof/>
        </w:rPr>
      </w:pPr>
      <w:r>
        <w:rPr>
          <w:noProof/>
        </w:rPr>
        <w:t>(i)</w:t>
      </w:r>
      <w:r>
        <w:rPr>
          <w:noProof/>
        </w:rPr>
        <w:tab/>
        <w:t>măsuri de sprijin menite să combată impactul pandemiei de COVID-19 asupra agriculturii și dezvoltării rurale.</w:t>
      </w:r>
    </w:p>
    <w:p>
      <w:pPr>
        <w:pStyle w:val="Text1"/>
        <w:rPr>
          <w:noProof/>
        </w:rPr>
      </w:pPr>
      <w:r>
        <w:rPr>
          <w:rStyle w:val="Aucun"/>
          <w:noProof/>
        </w:rPr>
        <w:t>Instrumentul oferă, de asemenea,</w:t>
      </w:r>
      <w:r>
        <w:rPr>
          <w:noProof/>
        </w:rPr>
        <w:t xml:space="preserve"> sprijin în caz de criză țărilor partenere pentru restabilirea și consolidarea relațiilor lor comerciale și economice cu Uniunea și pentru consolidarea rezilienței acestora. </w:t>
      </w:r>
    </w:p>
    <w:p>
      <w:pPr>
        <w:pStyle w:val="Point0"/>
        <w:rPr>
          <w:rStyle w:val="Aucun"/>
          <w:noProof/>
        </w:rPr>
      </w:pPr>
      <w:r>
        <w:rPr>
          <w:rStyle w:val="Aucun"/>
          <w:noProof/>
        </w:rPr>
        <w:t>(2)</w:t>
      </w:r>
      <w:r>
        <w:rPr>
          <w:noProof/>
        </w:rPr>
        <w:tab/>
      </w:r>
      <w:r>
        <w:rPr>
          <w:rStyle w:val="Aucun"/>
          <w:noProof/>
        </w:rPr>
        <w:t>Măsurile menționate la alineatul (1) se derulează în cadrul unor programe specifice ale Uniunii și în conformitate cu actele relevante ale Uniunii care stabilesc normele aferente programelor respective. Măsurile în cauză includ asistența tehnică și administrativă pentru punerea lor în aplicare.</w:t>
      </w:r>
    </w:p>
    <w:p>
      <w:pPr>
        <w:pStyle w:val="Titrearticle"/>
        <w:spacing w:after="0"/>
        <w:rPr>
          <w:i w:val="0"/>
          <w:noProof/>
        </w:rPr>
      </w:pPr>
      <w:r>
        <w:rPr>
          <w:noProof/>
        </w:rPr>
        <w:t xml:space="preserve">Articolul 3 </w:t>
      </w:r>
      <w:r>
        <w:rPr>
          <w:noProof/>
        </w:rPr>
        <w:br/>
        <w:t>Finanțarea instrumentului și alocarea fondurilor</w:t>
      </w:r>
    </w:p>
    <w:p>
      <w:pPr>
        <w:pStyle w:val="Point0"/>
        <w:rPr>
          <w:rStyle w:val="Aucun"/>
          <w:noProof/>
        </w:rPr>
      </w:pPr>
      <w:r>
        <w:rPr>
          <w:rStyle w:val="Aucun"/>
          <w:noProof/>
        </w:rPr>
        <w:t>(1)</w:t>
      </w:r>
      <w:r>
        <w:rPr>
          <w:noProof/>
        </w:rPr>
        <w:tab/>
      </w:r>
      <w:r>
        <w:rPr>
          <w:rStyle w:val="Aucun"/>
          <w:noProof/>
        </w:rPr>
        <w:t>Instrumentul este finanțat în limita unui cuantum de 750 000 000 000 EUR</w:t>
      </w:r>
      <w:r>
        <w:rPr>
          <w:noProof/>
        </w:rPr>
        <w:t xml:space="preserve">, la prețurile din 2018, </w:t>
      </w:r>
      <w:r>
        <w:rPr>
          <w:rStyle w:val="Aucun"/>
          <w:noProof/>
        </w:rPr>
        <w:t>pe baza împuternicirii prevăzute la articolul 3b din [DRP].</w:t>
      </w:r>
    </w:p>
    <w:p>
      <w:pPr>
        <w:pStyle w:val="Point0"/>
        <w:rPr>
          <w:rStyle w:val="Aucun"/>
          <w:noProof/>
        </w:rPr>
      </w:pPr>
      <w:r>
        <w:rPr>
          <w:rStyle w:val="Aucun"/>
          <w:noProof/>
        </w:rPr>
        <w:t>(2)</w:t>
      </w:r>
      <w:r>
        <w:rPr>
          <w:noProof/>
        </w:rPr>
        <w:tab/>
      </w:r>
      <w:r>
        <w:rPr>
          <w:rStyle w:val="Aucun"/>
          <w:noProof/>
        </w:rPr>
        <w:t xml:space="preserve">Cuantumul menționat la alineatul (1) se alocă după cum urmează: </w:t>
      </w:r>
    </w:p>
    <w:p>
      <w:pPr>
        <w:pStyle w:val="Point1"/>
        <w:rPr>
          <w:noProof/>
        </w:rPr>
      </w:pPr>
      <w:r>
        <w:rPr>
          <w:noProof/>
        </w:rPr>
        <w:lastRenderedPageBreak/>
        <w:t>(a)</w:t>
      </w:r>
      <w:r>
        <w:rPr>
          <w:noProof/>
        </w:rPr>
        <w:tab/>
        <w:t xml:space="preserve"> sprijin în cuantum de până la 433 200 000 000 EUR, la prețurile din 2018, </w:t>
      </w:r>
      <w:r>
        <w:rPr>
          <w:rStyle w:val="Aucun"/>
          <w:noProof/>
        </w:rPr>
        <w:t>sub formă de sprijin nerambursabil și sprijin rambursabil prin instrumente financiare</w:t>
      </w:r>
      <w:r>
        <w:rPr>
          <w:noProof/>
        </w:rPr>
        <w:t xml:space="preserve">, alocat după cum urmează: </w:t>
      </w:r>
    </w:p>
    <w:p>
      <w:pPr>
        <w:pStyle w:val="Point2"/>
        <w:rPr>
          <w:noProof/>
        </w:rPr>
      </w:pPr>
      <w:r>
        <w:rPr>
          <w:noProof/>
        </w:rPr>
        <w:t>(i)</w:t>
      </w:r>
      <w:r>
        <w:rPr>
          <w:noProof/>
        </w:rPr>
        <w:tab/>
        <w:t>până la 50 000 000 000 EUR, la prețurile din 2018, pentru programele structurale și de coeziune din cadrul financiar multianual 2014-2020, astfel cum a fost consolidat până în 2022, inclusiv sprijin pentru instrumente financiare;</w:t>
      </w:r>
    </w:p>
    <w:p>
      <w:pPr>
        <w:pStyle w:val="Point2"/>
        <w:rPr>
          <w:noProof/>
        </w:rPr>
      </w:pPr>
      <w:r>
        <w:rPr>
          <w:noProof/>
        </w:rPr>
        <w:t>(ii)</w:t>
      </w:r>
      <w:r>
        <w:rPr>
          <w:noProof/>
        </w:rPr>
        <w:tab/>
        <w:t>până la 310 000 000 000 EUR, la prețurile din 2018, pentru un program care finanțează redresarea și reziliența economică și socială, prin intermediul unui sprijin pentru reforme și investiții;</w:t>
      </w:r>
    </w:p>
    <w:p>
      <w:pPr>
        <w:pStyle w:val="Point2"/>
        <w:rPr>
          <w:noProof/>
        </w:rPr>
      </w:pPr>
      <w:r>
        <w:rPr>
          <w:noProof/>
        </w:rPr>
        <w:t>(iii)</w:t>
      </w:r>
      <w:r>
        <w:rPr>
          <w:noProof/>
        </w:rPr>
        <w:tab/>
        <w:t>până la 7 700 000 000 EUR, la prețurile din 2018, pentru un program legat de sănătate;</w:t>
      </w:r>
    </w:p>
    <w:p>
      <w:pPr>
        <w:pStyle w:val="Point2"/>
        <w:rPr>
          <w:noProof/>
        </w:rPr>
      </w:pPr>
      <w:r>
        <w:rPr>
          <w:noProof/>
        </w:rPr>
        <w:t>(iv)</w:t>
      </w:r>
      <w:r>
        <w:rPr>
          <w:noProof/>
        </w:rPr>
        <w:tab/>
        <w:t xml:space="preserve">până la 2 000 000 000 EUR, la prețurile din 2018, pentru programe legate de protecția civilă; </w:t>
      </w:r>
    </w:p>
    <w:p>
      <w:pPr>
        <w:pStyle w:val="Point2"/>
        <w:rPr>
          <w:noProof/>
        </w:rPr>
      </w:pPr>
      <w:r>
        <w:rPr>
          <w:noProof/>
        </w:rPr>
        <w:t>(v)</w:t>
      </w:r>
      <w:r>
        <w:rPr>
          <w:noProof/>
        </w:rPr>
        <w:tab/>
        <w:t>până la 13 500 000 000 EUR, la prețurile din 2018, pentru programe legate de cercetare și inovare, inclusiv sprijin pentru instrumente financiare;</w:t>
      </w:r>
    </w:p>
    <w:p>
      <w:pPr>
        <w:pStyle w:val="Point2"/>
        <w:rPr>
          <w:noProof/>
        </w:rPr>
      </w:pPr>
      <w:r>
        <w:rPr>
          <w:noProof/>
        </w:rPr>
        <w:t>(vi)</w:t>
      </w:r>
      <w:r>
        <w:rPr>
          <w:noProof/>
        </w:rPr>
        <w:tab/>
        <w:t>până la 30 000 000 000 EUR, la prețurile din 2018, pentru programe care sprijină teritoriile în tranziția lor către o economie neutră din punctul de vedere al impactului asupra climei;</w:t>
      </w:r>
    </w:p>
    <w:p>
      <w:pPr>
        <w:pStyle w:val="Point2"/>
        <w:rPr>
          <w:noProof/>
        </w:rPr>
      </w:pPr>
      <w:r>
        <w:rPr>
          <w:noProof/>
        </w:rPr>
        <w:t>(vii)</w:t>
      </w:r>
      <w:r>
        <w:rPr>
          <w:noProof/>
        </w:rPr>
        <w:tab/>
        <w:t>până la 15 000 000 000 EUR, la prețurile din 2018, pentru dezvoltare în zonele rurale;</w:t>
      </w:r>
    </w:p>
    <w:p>
      <w:pPr>
        <w:pStyle w:val="Point2"/>
        <w:rPr>
          <w:noProof/>
        </w:rPr>
      </w:pPr>
      <w:r>
        <w:rPr>
          <w:noProof/>
        </w:rPr>
        <w:t>(viii)</w:t>
      </w:r>
      <w:r>
        <w:rPr>
          <w:noProof/>
        </w:rPr>
        <w:tab/>
        <w:t>până la 5 000 000 000 EUR, la prețurile din 2018, pentru furnizarea de ajutor umanitar în afara Uniunii.</w:t>
      </w:r>
    </w:p>
    <w:p>
      <w:pPr>
        <w:pStyle w:val="Point1"/>
        <w:rPr>
          <w:noProof/>
        </w:rPr>
      </w:pPr>
      <w:r>
        <w:rPr>
          <w:noProof/>
        </w:rPr>
        <w:t>(b)</w:t>
      </w:r>
      <w:r>
        <w:rPr>
          <w:noProof/>
        </w:rPr>
        <w:tab/>
        <w:t>împrumuturi acordate statelor membre de până la 250 000 000 000 EUR, la prețurile din</w:t>
      </w:r>
      <w:r>
        <w:rPr>
          <w:rStyle w:val="Aucun"/>
          <w:noProof/>
        </w:rPr>
        <w:t xml:space="preserve"> </w:t>
      </w:r>
      <w:r>
        <w:rPr>
          <w:noProof/>
        </w:rPr>
        <w:t>2018, pentru un program care finanțează redresarea și reziliența economică și socială, prin intermediul unui sprijin pentru reforme și investiții;</w:t>
      </w:r>
    </w:p>
    <w:p>
      <w:pPr>
        <w:pStyle w:val="Point1"/>
        <w:rPr>
          <w:noProof/>
        </w:rPr>
      </w:pPr>
      <w:r>
        <w:rPr>
          <w:noProof/>
        </w:rPr>
        <w:t>(c)</w:t>
      </w:r>
      <w:r>
        <w:rPr>
          <w:noProof/>
        </w:rPr>
        <w:tab/>
        <w:t>până la 66 800 000 000 EUR,</w:t>
      </w:r>
      <w:r>
        <w:rPr>
          <w:rStyle w:val="Aucun"/>
          <w:noProof/>
        </w:rPr>
        <w:t xml:space="preserve"> </w:t>
      </w:r>
      <w:r>
        <w:rPr>
          <w:noProof/>
        </w:rPr>
        <w:t>la prețurile din 2018, pentru provizionarea pentru garanții și cheltuieli conexe aferente următoarelor programe:</w:t>
      </w:r>
    </w:p>
    <w:p>
      <w:pPr>
        <w:pStyle w:val="Point2"/>
        <w:rPr>
          <w:noProof/>
        </w:rPr>
      </w:pPr>
      <w:r>
        <w:rPr>
          <w:noProof/>
        </w:rPr>
        <w:t>(i)</w:t>
      </w:r>
      <w:r>
        <w:rPr>
          <w:noProof/>
        </w:rPr>
        <w:tab/>
        <w:t>până la 30 300 000 000 EUR, la prețurile din 2018, pentru programe destinate operațiunilor de investiții prin care se acordă sprijin în domeniul politicilor interne ale Uniunii;</w:t>
      </w:r>
    </w:p>
    <w:p>
      <w:pPr>
        <w:pStyle w:val="Point2"/>
        <w:rPr>
          <w:noProof/>
        </w:rPr>
      </w:pPr>
      <w:r>
        <w:rPr>
          <w:noProof/>
        </w:rPr>
        <w:t>(ii)</w:t>
      </w:r>
      <w:r>
        <w:rPr>
          <w:noProof/>
        </w:rPr>
        <w:tab/>
        <w:t>până la 26 000 000 000 EUR, la prețurile din 2018, pentru programe care vizează consolidarea solvabilității întreprinderilor din Uniune care sunt viabile din punct de vedere economic;</w:t>
      </w:r>
    </w:p>
    <w:p>
      <w:pPr>
        <w:pStyle w:val="Point2"/>
        <w:rPr>
          <w:noProof/>
        </w:rPr>
      </w:pPr>
      <w:r>
        <w:rPr>
          <w:noProof/>
        </w:rPr>
        <w:t>(iii)</w:t>
      </w:r>
      <w:r>
        <w:rPr>
          <w:noProof/>
        </w:rPr>
        <w:tab/>
        <w:t>până la 10 500 000 000 EUR, la prețurile din 2018, pentru programe care vizează stimularea creșterii economice durabile și favorabile incluziunii în afara Uniunii.</w:t>
      </w:r>
    </w:p>
    <w:p>
      <w:pPr>
        <w:pStyle w:val="Titrearticle"/>
        <w:rPr>
          <w:i w:val="0"/>
          <w:noProof/>
        </w:rPr>
      </w:pPr>
      <w:r>
        <w:rPr>
          <w:noProof/>
        </w:rPr>
        <w:t xml:space="preserve">Articolul 4 </w:t>
      </w:r>
      <w:r>
        <w:rPr>
          <w:noProof/>
        </w:rPr>
        <w:br/>
        <w:t xml:space="preserve">Norme de execuție bugetară </w:t>
      </w:r>
    </w:p>
    <w:p>
      <w:pPr>
        <w:pStyle w:val="ListNumber"/>
        <w:rPr>
          <w:rStyle w:val="Aucun"/>
          <w:noProof/>
        </w:rPr>
      </w:pPr>
      <w:r>
        <w:rPr>
          <w:noProof/>
        </w:rPr>
        <w:t xml:space="preserve">În sensul articolului 21 alineatul (5) din Regulamentul (UE, Euratom) 2018/1046, 433 200 000 000 EUR, la prețurile din 2018, din </w:t>
      </w:r>
      <w:r>
        <w:rPr>
          <w:rStyle w:val="Aucun"/>
          <w:noProof/>
        </w:rPr>
        <w:t xml:space="preserve">fondurile menționate la articolul 3 alineatul (1) reprezintă venituri alocate externe pentru programele Uniunii menționate </w:t>
      </w:r>
      <w:r>
        <w:rPr>
          <w:rStyle w:val="Aucun"/>
          <w:noProof/>
        </w:rPr>
        <w:lastRenderedPageBreak/>
        <w:t>la articolul 3 alineatul (2) litera (a)</w:t>
      </w:r>
      <w:r>
        <w:rPr>
          <w:noProof/>
        </w:rPr>
        <w:t xml:space="preserve"> din prezentul regulament, </w:t>
      </w:r>
      <w:r>
        <w:rPr>
          <w:rStyle w:val="Aucun"/>
          <w:noProof/>
        </w:rPr>
        <w:t>iar 66 800 000 000 EUR,</w:t>
      </w:r>
      <w:r>
        <w:rPr>
          <w:noProof/>
        </w:rPr>
        <w:t xml:space="preserve"> la prețurile din 2018, din aceste fonduri </w:t>
      </w:r>
      <w:r>
        <w:rPr>
          <w:rStyle w:val="Aucun"/>
          <w:noProof/>
        </w:rPr>
        <w:t>reprezintă venituri alocate externe pentru programele Uniunii menționate la articolul 3 alineatul (2) litera (c)</w:t>
      </w:r>
      <w:r>
        <w:rPr>
          <w:noProof/>
        </w:rPr>
        <w:t xml:space="preserve"> din prezentul regulament</w:t>
      </w:r>
      <w:r>
        <w:rPr>
          <w:rStyle w:val="Aucun"/>
          <w:noProof/>
        </w:rPr>
        <w:t xml:space="preserve">. </w:t>
      </w:r>
    </w:p>
    <w:p>
      <w:pPr>
        <w:pStyle w:val="ListNumber"/>
        <w:rPr>
          <w:rStyle w:val="Aucun"/>
          <w:noProof/>
        </w:rPr>
      </w:pPr>
      <w:r>
        <w:rPr>
          <w:rStyle w:val="Aucun"/>
          <w:noProof/>
        </w:rPr>
        <w:t>250 000 000 000 EUR,</w:t>
      </w:r>
      <w:r>
        <w:rPr>
          <w:noProof/>
        </w:rPr>
        <w:t xml:space="preserve"> la prețurile din 2018, din </w:t>
      </w:r>
      <w:r>
        <w:rPr>
          <w:rStyle w:val="Aucun"/>
          <w:noProof/>
        </w:rPr>
        <w:t>fondurile menționate la articolul 3 alineatul (1) sunt utilizate pentru împrumuturi acordate statelor membre în cadrul programelor Uniunii, astfel cum sunt menționate la articolul 3 alineatul (2) litera (b)</w:t>
      </w:r>
      <w:r>
        <w:rPr>
          <w:noProof/>
        </w:rPr>
        <w:t xml:space="preserve"> din prezentul regulament</w:t>
      </w:r>
      <w:r>
        <w:rPr>
          <w:rStyle w:val="Aucun"/>
          <w:noProof/>
        </w:rPr>
        <w:t>.</w:t>
      </w:r>
      <w:r>
        <w:rPr>
          <w:noProof/>
        </w:rPr>
        <w:t xml:space="preserve"> </w:t>
      </w:r>
    </w:p>
    <w:p>
      <w:pPr>
        <w:pStyle w:val="ListNumber"/>
        <w:rPr>
          <w:noProof/>
        </w:rPr>
      </w:pPr>
      <w:r>
        <w:rPr>
          <w:noProof/>
        </w:rPr>
        <w:t>Creditele de angajament care acoperă sprijinul menționat la articolul 3 alineatul (2) literele (a) și (c) se pun la dispoziție în mod automat în limita cuantumurilor menționate la articolul 3 alineatul (2) literele (a) și (c) începând cu data intrării în vigoare a [DRP] care conferă împuternicirea menționată la articolul 3 alineatul (1).</w:t>
      </w:r>
    </w:p>
    <w:p>
      <w:pPr>
        <w:pStyle w:val="ListNumber"/>
        <w:rPr>
          <w:noProof/>
        </w:rPr>
      </w:pPr>
      <w:r>
        <w:rPr>
          <w:noProof/>
        </w:rPr>
        <w:t>Angajamentele juridice care conduc la cheltuieli pentru sprijin, astfel cum se menționează la articolul 3 alineatul (2) litera (a) și, după caz, la articolul 3 alineatul (2) litera (c) punctul (i), trebuie să fie asumate de Comisie sau de agențiile sale executive până la 31 decembrie 2024. Angajamentele juridice având un cuantum de cel puțin 60 % din cuantumul menționat la articolul 3 alineatul (2) litera (a) trebuie să fie asumate până la 31 decembrie 2022.</w:t>
      </w:r>
    </w:p>
    <w:p>
      <w:pPr>
        <w:pStyle w:val="ListNumber"/>
        <w:rPr>
          <w:noProof/>
        </w:rPr>
      </w:pPr>
      <w:r>
        <w:rPr>
          <w:noProof/>
        </w:rPr>
        <w:t xml:space="preserve">Deciziile de acordare a împrumuturilor menționate la articolul 3 alineatul (2) litera (b) se adoptă până la 31 decembrie 2024. </w:t>
      </w:r>
    </w:p>
    <w:p>
      <w:pPr>
        <w:pStyle w:val="ListNumber"/>
        <w:rPr>
          <w:noProof/>
          <w:sz w:val="22"/>
        </w:rPr>
      </w:pPr>
      <w:r>
        <w:rPr>
          <w:noProof/>
        </w:rPr>
        <w:t>Garanțiile bugetare ale Uniunii până la un cuantum care, în conformitate cu rata de provizionare relevantă prevăzută în actele de bază respective, corespunde provizionării pentru garanțiile bugetare menționate la articolul 3 alineatul (2) litera (c), în funcție de profilurile de risc ale operațiunilor de finanțare și de investiții care fac obiectul sprijinului, se acordă numai pentru sprijinirea operațiunilor care au fost aprobate până la 31 decembrie 2024 de către contrapărți. Acordurile de garantare respective prevăd provizioane care să asigure aprobarea de către contrapărți până la 31 decembrie 2022 a unor operațiuni financiare corespunzătoare cu cel puțin 60 % din cuantumul acestor garanții bugetare. În cazul în care se utilizează provizionarea pentru sprijinul nerambursabil legat de operațiunile financiare și de investiții prevăzute la articolul 3 alineatul (2) litera (c) punctul (i), Comisia își asumă angajamentele juridice aferente până la 31 decembrie 2024.</w:t>
      </w:r>
      <w:r>
        <w:rPr>
          <w:rFonts w:ascii="Segoe UI" w:hAnsi="Segoe UI"/>
          <w:noProof/>
          <w:color w:val="000000"/>
          <w:sz w:val="20"/>
        </w:rPr>
        <w:t xml:space="preserve"> </w:t>
      </w:r>
    </w:p>
    <w:p>
      <w:pPr>
        <w:pStyle w:val="ListNumber"/>
        <w:rPr>
          <w:noProof/>
        </w:rPr>
      </w:pPr>
      <w:r>
        <w:rPr>
          <w:noProof/>
        </w:rPr>
        <w:t xml:space="preserve">Deciziile de acordare a împrumuturilor pentru asistență macrofinanciară menționate la articolul 3 alineatul (2) litera (c) punctul (iii) se adoptă până la 31 decembrie 2024. </w:t>
      </w:r>
    </w:p>
    <w:p>
      <w:pPr>
        <w:pStyle w:val="ListNumber"/>
        <w:rPr>
          <w:noProof/>
        </w:rPr>
      </w:pPr>
      <w:r>
        <w:rPr>
          <w:noProof/>
        </w:rPr>
        <w:t>Alineatele (4)-(7) nu se aplică în cazul măsurilor menționate la articolul 2 alineatul (2) a doua teză.</w:t>
      </w:r>
    </w:p>
    <w:p>
      <w:pPr>
        <w:pStyle w:val="ListNumber"/>
        <w:rPr>
          <w:noProof/>
        </w:rPr>
      </w:pPr>
      <w:r>
        <w:rPr>
          <w:rStyle w:val="Aucun"/>
          <w:noProof/>
        </w:rPr>
        <w:t xml:space="preserve">Costurile aferente asistenței tehnice și administrative pentru punerea în aplicare a instrumentului, cum ar fi activitățile de pregătire, monitorizare, control, audit și evaluare, inclusiv sistemele corporative de tehnologie a informațiilor utilizate pentru punerea în aplicare a prezentului regulament, se finanțează din bugetul Uniunii. </w:t>
      </w:r>
    </w:p>
    <w:p>
      <w:pPr>
        <w:pStyle w:val="Text1"/>
        <w:rPr>
          <w:noProof/>
        </w:rPr>
      </w:pPr>
    </w:p>
    <w:p>
      <w:pPr>
        <w:pStyle w:val="Titrearticle"/>
        <w:spacing w:before="0"/>
        <w:rPr>
          <w:noProof/>
        </w:rPr>
      </w:pPr>
      <w:r>
        <w:rPr>
          <w:rStyle w:val="Aucun"/>
          <w:noProof/>
        </w:rPr>
        <w:t>Articolul 5</w:t>
      </w:r>
      <w:r>
        <w:rPr>
          <w:noProof/>
        </w:rPr>
        <w:t xml:space="preserve"> </w:t>
      </w:r>
      <w:r>
        <w:rPr>
          <w:noProof/>
        </w:rPr>
        <w:br/>
        <w:t>Raportarea</w:t>
      </w:r>
    </w:p>
    <w:p>
      <w:pPr>
        <w:rPr>
          <w:noProof/>
        </w:rPr>
      </w:pPr>
      <w:r>
        <w:rPr>
          <w:noProof/>
        </w:rPr>
        <w:t>Până la 31 martie 2023, Comisia prezintă Consiliului un raport privind progresele înregistrate în ceea ce privește punerea în aplicare a instrumentului și utilizarea fondurilor alocate în conformitate cu articolul 3 alineatul (2).</w:t>
      </w:r>
    </w:p>
    <w:p>
      <w:pPr>
        <w:pStyle w:val="Titrearticle"/>
        <w:spacing w:before="0"/>
        <w:rPr>
          <w:noProof/>
        </w:rPr>
      </w:pPr>
      <w:r>
        <w:rPr>
          <w:noProof/>
        </w:rPr>
        <w:lastRenderedPageBreak/>
        <w:t xml:space="preserve">Articolul 6 </w:t>
      </w:r>
      <w:r>
        <w:rPr>
          <w:noProof/>
        </w:rPr>
        <w:br/>
        <w:t>Intrarea în vigoare și aplicarea</w:t>
      </w:r>
    </w:p>
    <w:p>
      <w:pPr>
        <w:rPr>
          <w:noProof/>
        </w:rPr>
      </w:pPr>
      <w:r>
        <w:rPr>
          <w:noProof/>
        </w:rPr>
        <w:t xml:space="preserve">Prezentul regulament intră în vigoare în ziua următoare datei publicării în </w:t>
      </w:r>
      <w:r>
        <w:rPr>
          <w:i/>
          <w:noProof/>
        </w:rPr>
        <w:t>Jurnalul Oficial al Uniunii Europene</w:t>
      </w:r>
      <w:r>
        <w:rPr>
          <w:noProof/>
        </w:rPr>
        <w:t>.</w:t>
      </w:r>
    </w:p>
    <w:p>
      <w:pPr>
        <w:rPr>
          <w:noProof/>
        </w:rPr>
      </w:pPr>
      <w:r>
        <w:rPr>
          <w:noProof/>
          <w:color w:val="000000" w:themeColor="text1"/>
        </w:rPr>
        <w:t>Prezentul regulament nu se aplică Regatului Unit și pe teritoriul acestuia. Trimiterile la statele membre din prezentul regulament se interpretează ca neincluzând Regatul Unit.</w:t>
      </w:r>
    </w:p>
    <w:p>
      <w:pPr>
        <w:pStyle w:val="Applicationdirecte"/>
        <w:rPr>
          <w:noProof/>
        </w:rPr>
      </w:pPr>
      <w:r>
        <w:rPr>
          <w:noProof/>
        </w:rPr>
        <w:t>Prezentul regulament este obligatoriu în toate elementele sale și se aplică direct în toate statele membre.</w:t>
      </w:r>
    </w:p>
    <w:p>
      <w:pPr>
        <w:pStyle w:val="Fait"/>
        <w:rPr>
          <w:noProof/>
        </w:rPr>
      </w:pPr>
      <w:r>
        <w:t>Adoptat la Bruxelles,</w:t>
      </w:r>
    </w:p>
    <w:p>
      <w:pPr>
        <w:pStyle w:val="Institutionquisigne"/>
        <w:rPr>
          <w:noProof/>
        </w:rPr>
      </w:pPr>
      <w:r>
        <w:rPr>
          <w:noProof/>
        </w:rPr>
        <w:tab/>
        <w:t>Pentru Consiliu,</w:t>
      </w:r>
    </w:p>
    <w:p>
      <w:pPr>
        <w:pStyle w:val="Personnequisigne"/>
        <w:rPr>
          <w:noProof/>
        </w:rPr>
      </w:pPr>
      <w:r>
        <w:rPr>
          <w:noProof/>
        </w:rPr>
        <w:tab/>
        <w:t>Președintele</w:t>
      </w:r>
    </w:p>
    <w:p>
      <w:pPr>
        <w:rPr>
          <w:noProof/>
        </w:rPr>
        <w:sectPr>
          <w:pgSz w:w="11907" w:h="16840"/>
          <w:pgMar w:top="1134" w:right="1418" w:bottom="1134" w:left="1418" w:header="709" w:footer="709" w:gutter="0"/>
          <w:cols w:space="720"/>
          <w:docGrid w:linePitch="326"/>
        </w:sectPr>
      </w:pPr>
    </w:p>
    <w:p>
      <w:pPr>
        <w:pStyle w:val="Fichefinanciretitre"/>
        <w:rPr>
          <w:noProof/>
        </w:rPr>
      </w:pPr>
      <w:r>
        <w:rPr>
          <w:noProof/>
        </w:rPr>
        <w:lastRenderedPageBreak/>
        <w:t>FIȘĂ FINANCIARĂ LEGISLATIVĂ</w:t>
      </w:r>
    </w:p>
    <w:p>
      <w:pPr>
        <w:pStyle w:val="ManualHeading1"/>
        <w:rPr>
          <w:noProof/>
        </w:rPr>
      </w:pPr>
      <w:r>
        <w:rPr>
          <w:noProof/>
        </w:rPr>
        <w:t>1.</w:t>
      </w:r>
      <w:r>
        <w:rPr>
          <w:noProof/>
        </w:rPr>
        <w:tab/>
        <w:t xml:space="preserve">CADRUL PROPUNERII/INIȚIATIVEI </w:t>
      </w:r>
    </w:p>
    <w:p>
      <w:pPr>
        <w:pStyle w:val="ManualHeading2"/>
        <w:rPr>
          <w:b w:val="0"/>
          <w:noProof/>
        </w:rPr>
      </w:pPr>
      <w:r>
        <w:rPr>
          <w:noProof/>
        </w:rPr>
        <w:tab/>
      </w:r>
      <w:r>
        <w:rPr>
          <w:b w:val="0"/>
          <w:noProof/>
        </w:rPr>
        <w:t>1.1.</w:t>
      </w:r>
      <w:r>
        <w:rPr>
          <w:noProof/>
        </w:rPr>
        <w:tab/>
      </w:r>
      <w:r>
        <w:rPr>
          <w:b w:val="0"/>
          <w:noProof/>
        </w:rPr>
        <w:t xml:space="preserve">Titlul propunerii/inițiativei </w:t>
      </w:r>
    </w:p>
    <w:p>
      <w:pPr>
        <w:pStyle w:val="ManualHeading2"/>
        <w:rPr>
          <w:b w:val="0"/>
          <w:noProof/>
        </w:rPr>
      </w:pPr>
      <w:r>
        <w:rPr>
          <w:noProof/>
        </w:rPr>
        <w:tab/>
      </w:r>
      <w:r>
        <w:rPr>
          <w:b w:val="0"/>
          <w:noProof/>
        </w:rPr>
        <w:t>1.2.</w:t>
      </w:r>
      <w:r>
        <w:rPr>
          <w:noProof/>
        </w:rPr>
        <w:tab/>
      </w:r>
      <w:r>
        <w:rPr>
          <w:b w:val="0"/>
          <w:noProof/>
        </w:rPr>
        <w:t>Domeniul (domeniile) de politică vizat(e) în structura ABM/ABB</w:t>
      </w:r>
    </w:p>
    <w:p>
      <w:pPr>
        <w:pStyle w:val="ManualHeading2"/>
        <w:rPr>
          <w:b w:val="0"/>
          <w:noProof/>
        </w:rPr>
      </w:pPr>
      <w:r>
        <w:rPr>
          <w:noProof/>
        </w:rPr>
        <w:tab/>
      </w:r>
      <w:r>
        <w:rPr>
          <w:b w:val="0"/>
          <w:noProof/>
        </w:rPr>
        <w:t>1.3.</w:t>
      </w:r>
      <w:r>
        <w:rPr>
          <w:noProof/>
        </w:rPr>
        <w:tab/>
      </w:r>
      <w:r>
        <w:rPr>
          <w:b w:val="0"/>
          <w:noProof/>
        </w:rPr>
        <w:t xml:space="preserve">Caracterul propunerii/inițiativei </w:t>
      </w:r>
    </w:p>
    <w:p>
      <w:pPr>
        <w:pStyle w:val="ManualHeading2"/>
        <w:rPr>
          <w:b w:val="0"/>
          <w:noProof/>
        </w:rPr>
      </w:pPr>
      <w:r>
        <w:rPr>
          <w:noProof/>
        </w:rPr>
        <w:tab/>
      </w:r>
      <w:r>
        <w:rPr>
          <w:b w:val="0"/>
          <w:noProof/>
        </w:rPr>
        <w:t>1.4.</w:t>
      </w:r>
      <w:r>
        <w:rPr>
          <w:noProof/>
        </w:rPr>
        <w:tab/>
      </w:r>
      <w:r>
        <w:rPr>
          <w:b w:val="0"/>
          <w:noProof/>
        </w:rPr>
        <w:t xml:space="preserve">Obiectiv(e) </w:t>
      </w:r>
    </w:p>
    <w:p>
      <w:pPr>
        <w:pStyle w:val="ManualHeading2"/>
        <w:rPr>
          <w:b w:val="0"/>
          <w:noProof/>
        </w:rPr>
      </w:pPr>
      <w:r>
        <w:rPr>
          <w:noProof/>
        </w:rPr>
        <w:tab/>
      </w:r>
      <w:r>
        <w:rPr>
          <w:b w:val="0"/>
          <w:noProof/>
        </w:rPr>
        <w:t>1.5.</w:t>
      </w:r>
      <w:r>
        <w:rPr>
          <w:noProof/>
        </w:rPr>
        <w:tab/>
      </w:r>
      <w:r>
        <w:rPr>
          <w:b w:val="0"/>
          <w:noProof/>
        </w:rPr>
        <w:t xml:space="preserve">Motivele propunerii/inițiativei </w:t>
      </w:r>
    </w:p>
    <w:p>
      <w:pPr>
        <w:pStyle w:val="ManualHeading2"/>
        <w:rPr>
          <w:b w:val="0"/>
          <w:noProof/>
        </w:rPr>
      </w:pPr>
      <w:r>
        <w:rPr>
          <w:noProof/>
        </w:rPr>
        <w:tab/>
      </w:r>
      <w:r>
        <w:rPr>
          <w:b w:val="0"/>
          <w:noProof/>
        </w:rPr>
        <w:t>1.6.</w:t>
      </w:r>
      <w:r>
        <w:rPr>
          <w:noProof/>
        </w:rPr>
        <w:tab/>
      </w:r>
      <w:r>
        <w:rPr>
          <w:b w:val="0"/>
          <w:noProof/>
        </w:rPr>
        <w:t xml:space="preserve">Durata și impactul financiar </w:t>
      </w:r>
    </w:p>
    <w:p>
      <w:pPr>
        <w:pStyle w:val="ManualHeading2"/>
        <w:rPr>
          <w:b w:val="0"/>
          <w:noProof/>
        </w:rPr>
      </w:pPr>
      <w:r>
        <w:rPr>
          <w:noProof/>
        </w:rPr>
        <w:tab/>
      </w:r>
      <w:r>
        <w:rPr>
          <w:b w:val="0"/>
          <w:noProof/>
        </w:rPr>
        <w:t>1.7.</w:t>
      </w:r>
      <w:r>
        <w:rPr>
          <w:noProof/>
        </w:rPr>
        <w:tab/>
      </w:r>
      <w:r>
        <w:rPr>
          <w:b w:val="0"/>
          <w:noProof/>
        </w:rPr>
        <w:t xml:space="preserve">Modul (modurile) de gestiune preconizat(e) </w:t>
      </w:r>
    </w:p>
    <w:p>
      <w:pPr>
        <w:pStyle w:val="ManualHeading1"/>
        <w:rPr>
          <w:noProof/>
        </w:rPr>
      </w:pPr>
      <w:r>
        <w:rPr>
          <w:noProof/>
        </w:rPr>
        <w:t>2.</w:t>
      </w:r>
      <w:r>
        <w:rPr>
          <w:noProof/>
        </w:rPr>
        <w:tab/>
        <w:t xml:space="preserve">MĂSURI DE GESTIUNE </w:t>
      </w:r>
    </w:p>
    <w:p>
      <w:pPr>
        <w:pStyle w:val="ManualHeading2"/>
        <w:rPr>
          <w:b w:val="0"/>
          <w:noProof/>
        </w:rPr>
      </w:pPr>
      <w:r>
        <w:rPr>
          <w:noProof/>
        </w:rPr>
        <w:tab/>
      </w:r>
      <w:r>
        <w:rPr>
          <w:b w:val="0"/>
          <w:noProof/>
        </w:rPr>
        <w:t>2.1.</w:t>
      </w:r>
      <w:r>
        <w:rPr>
          <w:noProof/>
        </w:rPr>
        <w:tab/>
      </w:r>
      <w:r>
        <w:rPr>
          <w:b w:val="0"/>
          <w:noProof/>
        </w:rPr>
        <w:t xml:space="preserve">Dispoziții în materie de monitorizare și de raportare </w:t>
      </w:r>
    </w:p>
    <w:p>
      <w:pPr>
        <w:pStyle w:val="ManualHeading2"/>
        <w:rPr>
          <w:b w:val="0"/>
          <w:noProof/>
        </w:rPr>
      </w:pPr>
      <w:r>
        <w:rPr>
          <w:noProof/>
        </w:rPr>
        <w:tab/>
      </w:r>
      <w:r>
        <w:rPr>
          <w:b w:val="0"/>
          <w:noProof/>
        </w:rPr>
        <w:t>2.2.</w:t>
      </w:r>
      <w:r>
        <w:rPr>
          <w:noProof/>
        </w:rPr>
        <w:tab/>
      </w:r>
      <w:r>
        <w:rPr>
          <w:b w:val="0"/>
          <w:noProof/>
        </w:rPr>
        <w:t xml:space="preserve">Sistemul de gestiune și de control </w:t>
      </w:r>
    </w:p>
    <w:p>
      <w:pPr>
        <w:pStyle w:val="ManualHeading2"/>
        <w:rPr>
          <w:b w:val="0"/>
          <w:noProof/>
        </w:rPr>
      </w:pPr>
      <w:r>
        <w:rPr>
          <w:noProof/>
        </w:rPr>
        <w:tab/>
      </w:r>
      <w:r>
        <w:rPr>
          <w:b w:val="0"/>
          <w:noProof/>
        </w:rPr>
        <w:t>2.3.</w:t>
      </w:r>
      <w:r>
        <w:rPr>
          <w:noProof/>
        </w:rPr>
        <w:tab/>
      </w:r>
      <w:r>
        <w:rPr>
          <w:b w:val="0"/>
          <w:noProof/>
        </w:rPr>
        <w:t xml:space="preserve">Măsuri de prevenire a fraudelor și a neregulilor </w:t>
      </w:r>
    </w:p>
    <w:p>
      <w:pPr>
        <w:pStyle w:val="ManualHeading1"/>
        <w:rPr>
          <w:noProof/>
        </w:rPr>
      </w:pPr>
      <w:r>
        <w:rPr>
          <w:noProof/>
        </w:rPr>
        <w:t>3.</w:t>
      </w:r>
      <w:r>
        <w:rPr>
          <w:noProof/>
        </w:rPr>
        <w:tab/>
        <w:t xml:space="preserve">IMPACTUL FINANCIAR ESTIMAT AL PROPUNERII/INIȚIATIVEI </w:t>
      </w:r>
    </w:p>
    <w:p>
      <w:pPr>
        <w:pStyle w:val="ManualHeading2"/>
        <w:rPr>
          <w:b w:val="0"/>
          <w:noProof/>
        </w:rPr>
      </w:pPr>
      <w:r>
        <w:rPr>
          <w:noProof/>
        </w:rPr>
        <w:tab/>
      </w:r>
      <w:r>
        <w:rPr>
          <w:b w:val="0"/>
          <w:noProof/>
        </w:rPr>
        <w:t>3.1.</w:t>
      </w:r>
      <w:r>
        <w:rPr>
          <w:noProof/>
        </w:rPr>
        <w:tab/>
      </w:r>
      <w:r>
        <w:rPr>
          <w:b w:val="0"/>
          <w:noProof/>
        </w:rPr>
        <w:t xml:space="preserve">Rubrica (rubricile) din cadrul financiar multianual și linia (liniile) bugetară (bugetare) de cheltuieli afectată (afectate) </w:t>
      </w:r>
    </w:p>
    <w:p>
      <w:pPr>
        <w:pStyle w:val="ManualHeading2"/>
        <w:rPr>
          <w:noProof/>
        </w:rPr>
      </w:pPr>
      <w:r>
        <w:rPr>
          <w:noProof/>
        </w:rPr>
        <w:tab/>
      </w:r>
      <w:r>
        <w:rPr>
          <w:b w:val="0"/>
          <w:noProof/>
        </w:rPr>
        <w:t>3.2.</w:t>
      </w:r>
      <w:r>
        <w:rPr>
          <w:noProof/>
        </w:rPr>
        <w:tab/>
      </w:r>
      <w:r>
        <w:rPr>
          <w:b w:val="0"/>
          <w:noProof/>
        </w:rPr>
        <w:t>Impactul estimat asupra cheltuielilor</w:t>
      </w:r>
      <w:r>
        <w:rPr>
          <w:noProof/>
        </w:rPr>
        <w:t xml:space="preserve"> </w:t>
      </w:r>
    </w:p>
    <w:p>
      <w:pPr>
        <w:pStyle w:val="ManualHeading3"/>
        <w:rPr>
          <w:noProof/>
        </w:rPr>
      </w:pPr>
      <w:r>
        <w:rPr>
          <w:noProof/>
        </w:rPr>
        <w:tab/>
        <w:t>3.2.1.</w:t>
      </w:r>
      <w:r>
        <w:rPr>
          <w:noProof/>
        </w:rPr>
        <w:tab/>
        <w:t xml:space="preserve">Sinteza impactului estimat asupra cheltuielilor </w:t>
      </w:r>
    </w:p>
    <w:p>
      <w:pPr>
        <w:pStyle w:val="ManualHeading3"/>
        <w:rPr>
          <w:noProof/>
        </w:rPr>
      </w:pPr>
      <w:r>
        <w:rPr>
          <w:noProof/>
        </w:rPr>
        <w:tab/>
        <w:t>3.2.2.</w:t>
      </w:r>
      <w:r>
        <w:rPr>
          <w:noProof/>
        </w:rPr>
        <w:tab/>
        <w:t xml:space="preserve">Impactul estimat asupra creditelor operaționale </w:t>
      </w:r>
    </w:p>
    <w:p>
      <w:pPr>
        <w:pStyle w:val="ManualHeading3"/>
        <w:rPr>
          <w:noProof/>
        </w:rPr>
      </w:pPr>
      <w:r>
        <w:rPr>
          <w:noProof/>
        </w:rPr>
        <w:tab/>
        <w:t>3.2.3.</w:t>
      </w:r>
      <w:r>
        <w:rPr>
          <w:noProof/>
        </w:rPr>
        <w:tab/>
        <w:t>Impactul estimat asupra creditelor cu caracter administrativ</w:t>
      </w:r>
    </w:p>
    <w:p>
      <w:pPr>
        <w:pStyle w:val="ManualHeading3"/>
        <w:rPr>
          <w:noProof/>
        </w:rPr>
      </w:pPr>
      <w:r>
        <w:rPr>
          <w:noProof/>
        </w:rPr>
        <w:tab/>
        <w:t>3.2.4.</w:t>
      </w:r>
      <w:r>
        <w:rPr>
          <w:noProof/>
        </w:rPr>
        <w:tab/>
        <w:t>Compatibilitatea cu cadrul financiar multianual actual</w:t>
      </w:r>
    </w:p>
    <w:p>
      <w:pPr>
        <w:pStyle w:val="ManualHeading3"/>
        <w:rPr>
          <w:noProof/>
        </w:rPr>
      </w:pPr>
      <w:r>
        <w:rPr>
          <w:noProof/>
        </w:rPr>
        <w:tab/>
        <w:t>3.2.5.</w:t>
      </w:r>
      <w:r>
        <w:rPr>
          <w:noProof/>
        </w:rPr>
        <w:tab/>
        <w:t xml:space="preserve">Contribuțiile terților </w:t>
      </w:r>
    </w:p>
    <w:p>
      <w:pPr>
        <w:pStyle w:val="ManualHeading2"/>
        <w:jc w:val="left"/>
        <w:rPr>
          <w:b w:val="0"/>
          <w:noProof/>
        </w:rPr>
      </w:pPr>
      <w:r>
        <w:rPr>
          <w:noProof/>
        </w:rPr>
        <w:tab/>
      </w:r>
      <w:r>
        <w:rPr>
          <w:b w:val="0"/>
          <w:noProof/>
        </w:rPr>
        <w:t>3.3.</w:t>
      </w:r>
      <w:r>
        <w:rPr>
          <w:noProof/>
        </w:rPr>
        <w:tab/>
      </w:r>
      <w:r>
        <w:rPr>
          <w:b w:val="0"/>
          <w:noProof/>
        </w:rPr>
        <w:t>Impactul estimat asupra veniturilor</w:t>
      </w:r>
    </w:p>
    <w:p>
      <w:pPr>
        <w:spacing w:before="0" w:after="0"/>
        <w:jc w:val="left"/>
        <w:rPr>
          <w:noProof/>
        </w:rPr>
        <w:sectPr>
          <w:pgSz w:w="11907" w:h="16840"/>
          <w:pgMar w:top="1134" w:right="1418" w:bottom="1134" w:left="1418" w:header="709" w:footer="709" w:gutter="0"/>
          <w:cols w:space="720"/>
          <w:docGrid w:linePitch="326"/>
        </w:sectPr>
      </w:pPr>
    </w:p>
    <w:p>
      <w:pPr>
        <w:jc w:val="center"/>
        <w:rPr>
          <w:noProof/>
        </w:rPr>
      </w:pPr>
      <w:r>
        <w:rPr>
          <w:b/>
          <w:noProof/>
          <w:u w:val="single"/>
        </w:rPr>
        <w:t>FIȘĂ FINANCIARĂ LEGISLATIVĂ</w:t>
      </w:r>
    </w:p>
    <w:p>
      <w:pPr>
        <w:pStyle w:val="ManualHeading1"/>
        <w:rPr>
          <w:noProof/>
        </w:rPr>
      </w:pPr>
      <w:r>
        <w:rPr>
          <w:noProof/>
        </w:rPr>
        <w:t>1.</w:t>
      </w:r>
      <w:r>
        <w:rPr>
          <w:noProof/>
        </w:rPr>
        <w:tab/>
        <w:t xml:space="preserve">CADRUL PROPUNERII/INIȚIATIVEI </w:t>
      </w:r>
    </w:p>
    <w:p>
      <w:pPr>
        <w:pStyle w:val="ManualHeading2"/>
        <w:rPr>
          <w:noProof/>
        </w:rPr>
      </w:pPr>
      <w:r>
        <w:rPr>
          <w:noProof/>
        </w:rPr>
        <w:t>1.1.</w:t>
      </w:r>
      <w:r>
        <w:rPr>
          <w:noProof/>
        </w:rPr>
        <w:tab/>
        <w:t xml:space="preserve">Titlul propunerii/inițiativei </w:t>
      </w:r>
    </w:p>
    <w:p>
      <w:pPr>
        <w:pStyle w:val="Text1"/>
        <w:pBdr>
          <w:top w:val="single" w:sz="4" w:space="1" w:color="auto"/>
          <w:left w:val="single" w:sz="4" w:space="4" w:color="auto"/>
          <w:bottom w:val="single" w:sz="4" w:space="1" w:color="auto"/>
          <w:right w:val="single" w:sz="4" w:space="4" w:color="auto"/>
        </w:pBdr>
        <w:rPr>
          <w:noProof/>
        </w:rPr>
      </w:pPr>
      <w:r>
        <w:rPr>
          <w:noProof/>
        </w:rPr>
        <w:t>Propunere de regulament al Consiliului de instituire a Instrumentului de redresare al Uniunii Europene pentru a sprijini redresarea economică în urma pandemiei de COVID-19</w:t>
      </w:r>
    </w:p>
    <w:p>
      <w:pPr>
        <w:pStyle w:val="ManualHeading2"/>
        <w:rPr>
          <w:i/>
          <w:noProof/>
        </w:rPr>
      </w:pPr>
      <w:r>
        <w:rPr>
          <w:noProof/>
        </w:rPr>
        <w:t>1.2.</w:t>
      </w:r>
      <w:r>
        <w:rPr>
          <w:noProof/>
        </w:rPr>
        <w:tab/>
        <w:t>Domeniul (domeniile) de politică vizat(e) în structura ABM/ABB</w:t>
      </w:r>
      <w:r>
        <w:rPr>
          <w:rStyle w:val="FootnoteReference"/>
          <w:noProof/>
        </w:rPr>
        <w:footnoteReference w:id="6"/>
      </w:r>
      <w:r>
        <w:rPr>
          <w:i/>
          <w:noProof/>
        </w:rPr>
        <w:t xml:space="preserve"> </w:t>
      </w:r>
    </w:p>
    <w:p>
      <w:pPr>
        <w:pStyle w:val="Text1"/>
        <w:rPr>
          <w:noProof/>
        </w:rPr>
      </w:pPr>
      <w:r>
        <w:rPr>
          <w:noProof/>
        </w:rPr>
        <w:t>Afaceri economice și financiare (titlul 01 din bugetul general al Uniunii Europene, secțiunea 3 Comisia)</w:t>
      </w:r>
    </w:p>
    <w:p>
      <w:pPr>
        <w:pStyle w:val="ManualHeading2"/>
        <w:rPr>
          <w:noProof/>
        </w:rPr>
      </w:pPr>
      <w:r>
        <w:rPr>
          <w:noProof/>
        </w:rPr>
        <w:t>1.3.</w:t>
      </w:r>
      <w:r>
        <w:rPr>
          <w:noProof/>
        </w:rPr>
        <w:tab/>
        <w:t xml:space="preserve"> Caracterul propunerii/inițiativei </w:t>
      </w:r>
    </w:p>
    <w:p>
      <w:pPr>
        <w:pStyle w:val="Text1"/>
        <w:rPr>
          <w:b/>
          <w:noProof/>
          <w:sz w:val="22"/>
        </w:rPr>
      </w:pPr>
      <w:r>
        <w:rPr>
          <w:b/>
          <w:noProof/>
          <w:sz w:val="22"/>
        </w:rPr>
        <w:t>X</w:t>
      </w:r>
      <w:r>
        <w:rPr>
          <w:b/>
          <w:i/>
          <w:noProof/>
          <w:sz w:val="22"/>
        </w:rPr>
        <w:t xml:space="preserve"> </w:t>
      </w:r>
      <w:r>
        <w:rPr>
          <w:noProof/>
        </w:rPr>
        <w:t xml:space="preserve">Propunerea/inițiativa se referă la </w:t>
      </w:r>
      <w:r>
        <w:rPr>
          <w:b/>
          <w:noProof/>
        </w:rPr>
        <w:t>o acțiune nouă</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Propunerea/inițiativa se referă la </w:t>
      </w:r>
      <w:r>
        <w:rPr>
          <w:b/>
          <w:noProof/>
        </w:rPr>
        <w:t>o acțiune nouă întreprinsă ca urmare a unui proiect-pilot/a unei acțiuni pregătitoare</w:t>
      </w:r>
      <w:r>
        <w:rPr>
          <w:rStyle w:val="FootnoteReference"/>
          <w:b/>
          <w:noProof/>
        </w:rPr>
        <w:footnoteReference w:id="7"/>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Propunerea/inițiativa se referă la </w:t>
      </w:r>
      <w:r>
        <w:rPr>
          <w:b/>
          <w:noProof/>
        </w:rPr>
        <w:t>prelungirea unei acțiuni existente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Propunerea/inițiativa se referă la </w:t>
      </w:r>
      <w:r>
        <w:rPr>
          <w:b/>
          <w:noProof/>
        </w:rPr>
        <w:t>o acțiune redirecționată către o acțiune nouă</w:t>
      </w:r>
      <w:r>
        <w:rPr>
          <w:noProof/>
        </w:rPr>
        <w:t xml:space="preserve"> </w:t>
      </w:r>
    </w:p>
    <w:p>
      <w:pPr>
        <w:pStyle w:val="ManualHeading2"/>
        <w:rPr>
          <w:noProof/>
        </w:rPr>
      </w:pPr>
      <w:r>
        <w:rPr>
          <w:noProof/>
        </w:rPr>
        <w:t>1.4.</w:t>
      </w:r>
      <w:r>
        <w:rPr>
          <w:noProof/>
        </w:rPr>
        <w:tab/>
        <w:t>Obiectiv(e)</w:t>
      </w:r>
    </w:p>
    <w:p>
      <w:pPr>
        <w:pStyle w:val="ManualHeading3"/>
        <w:rPr>
          <w:noProof/>
        </w:rPr>
      </w:pPr>
      <w:r>
        <w:rPr>
          <w:noProof/>
        </w:rPr>
        <w:t>1.4.1.</w:t>
      </w:r>
      <w:r>
        <w:rPr>
          <w:noProof/>
        </w:rPr>
        <w:tab/>
        <w:t xml:space="preserve">Obiectiv(e) strategic(e) multianual(e) al(e) Comisiei vizat(e) de propunere/inițiativă </w:t>
      </w:r>
    </w:p>
    <w:p>
      <w:pPr>
        <w:pStyle w:val="Text1"/>
        <w:pBdr>
          <w:top w:val="single" w:sz="4" w:space="1" w:color="auto"/>
          <w:left w:val="single" w:sz="4" w:space="4" w:color="auto"/>
          <w:bottom w:val="single" w:sz="4" w:space="1" w:color="auto"/>
          <w:right w:val="single" w:sz="4" w:space="4" w:color="auto"/>
        </w:pBdr>
        <w:rPr>
          <w:noProof/>
        </w:rPr>
      </w:pPr>
      <w:r>
        <w:rPr>
          <w:noProof/>
        </w:rPr>
        <w:t>Pandemia de COVID-19 este o criză majoră și gravă în domeniul sănătății publice, care afectează grav cetățenii, societățile și economiile din întreaga lume. Anvergura crizei sanitare, dar și măsurile de răspuns adoptate la nivel de politici pentru a o controla sunt fără precedent. Prin urmare, impactul socioeconomic al crizei are o amploare de o incertitudine extraordinară. Încă de pe acum, este cert că aceasta prezintă provocări nemaiîntâlnite și puternice pentru sistemele financiare și economice ale statelor membre. Conform previziunilor economice din primăvară ale Comisiei</w:t>
      </w:r>
      <w:r>
        <w:rPr>
          <w:rStyle w:val="FootnoteReference"/>
          <w:noProof/>
        </w:rPr>
        <w:footnoteReference w:id="8"/>
      </w:r>
      <w:r>
        <w:rPr>
          <w:noProof/>
        </w:rPr>
        <w:t>, PIB-ul UE se va contracta cu aproximativ 7,5 % în acest an – cu mult mai mult decât în perioada crizei financiare mondiale din 2009 – și se va relansa cu doar 6 % în 2021, iar rata șomajului în UE va urca la 9 % în 2020, existând riscul ca sărăcia și inegalitatea să crească.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Ca răspuns, statele membre au adoptat măsuri economice și financiare discreționare excepționale. Împreună cu efectul așa-numiților „stabilizatori automați”, adică al plăților prevăzute în cadrul sistemelor asigurărilor pentru șomaj și al sistemelor de securitate socială combinate cu pierderi de venituri fiscale, aceste măsuri au o influență considerabilă asupra finanțelor publice, deficitul public consolidat urcând brusc de la 0,6 % din PIB în 2019 la 8,5 % din PIB în acest an, atât în zona euro, cât și în UE.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Criza ar putea conduce la o deteriorare de durată a țesutului economic al Uniunii, dacă la nivel european nu se adoptă un răspuns proporțional în materie de politică pe termen scurt și mediu. </w:t>
      </w:r>
    </w:p>
    <w:p>
      <w:pPr>
        <w:pStyle w:val="Text1"/>
        <w:pBdr>
          <w:top w:val="single" w:sz="4" w:space="1" w:color="auto"/>
          <w:left w:val="single" w:sz="4" w:space="0" w:color="auto"/>
          <w:bottom w:val="single" w:sz="4" w:space="1" w:color="auto"/>
          <w:right w:val="single" w:sz="4" w:space="4" w:color="auto"/>
        </w:pBdr>
        <w:rPr>
          <w:noProof/>
          <w:szCs w:val="24"/>
        </w:rPr>
      </w:pPr>
      <w:r>
        <w:rPr>
          <w:noProof/>
        </w:rPr>
        <w:t xml:space="preserve">Un plan cuprinzător de redresare europeană va avea nevoie de investiții publice și private masive la nivel european pentru a înscrie Uniunea în mod ferm pe calea unei redresări sustenabile și reziliente, care să creeze locuri de muncă de înaltă calitate și să repare daunele imediate cauzate de pandemia de COVID-19, sprijinind totodată prioritățile verzi și digitale ale Uniunii. Bugetul UE pe termen lung, consolidat, va fi principalul instrument. </w:t>
      </w:r>
    </w:p>
    <w:p>
      <w:pPr>
        <w:pStyle w:val="Text1"/>
        <w:pBdr>
          <w:top w:val="single" w:sz="4" w:space="1" w:color="auto"/>
          <w:left w:val="single" w:sz="4" w:space="0" w:color="auto"/>
          <w:bottom w:val="single" w:sz="4" w:space="1" w:color="auto"/>
          <w:right w:val="single" w:sz="4" w:space="4" w:color="auto"/>
        </w:pBdr>
        <w:rPr>
          <w:noProof/>
          <w:u w:val="single"/>
        </w:rPr>
      </w:pPr>
    </w:p>
    <w:p>
      <w:pPr>
        <w:pStyle w:val="ManualHeading3"/>
        <w:rPr>
          <w:noProof/>
        </w:rPr>
      </w:pPr>
      <w:r>
        <w:rPr>
          <w:noProof/>
        </w:rPr>
        <w:t>1.4.2.</w:t>
      </w:r>
      <w:r>
        <w:rPr>
          <w:noProof/>
        </w:rPr>
        <w:tab/>
        <w:t>Obiectiv(e) specific(e) și activitate (activități) ABM/ABB vizate</w:t>
      </w:r>
    </w:p>
    <w:p>
      <w:pPr>
        <w:pStyle w:val="Text1"/>
        <w:pBdr>
          <w:top w:val="single" w:sz="4" w:space="1" w:color="auto"/>
          <w:left w:val="single" w:sz="4" w:space="4" w:color="auto"/>
          <w:bottom w:val="single" w:sz="4" w:space="1" w:color="auto"/>
          <w:right w:val="single" w:sz="4" w:space="4" w:color="auto"/>
        </w:pBdr>
        <w:rPr>
          <w:rFonts w:eastAsia="Arial Unicode MS"/>
          <w:noProof/>
        </w:rPr>
      </w:pPr>
      <w:r>
        <w:rPr>
          <w:noProof/>
        </w:rPr>
        <w:t>Actul propus determină alocarea veniturilor obținute din sumele luate cu împrumut de către Uniune, astfel cum sunt autorizate în temeiul Deciziei privind resursele proprii, pentru programele de politică, în concordanță cu strategia stabilită în Planul de redresare al Uniunii Europene.</w:t>
      </w:r>
    </w:p>
    <w:p>
      <w:pPr>
        <w:pStyle w:val="Text1"/>
        <w:pBdr>
          <w:top w:val="single" w:sz="4" w:space="1" w:color="auto"/>
          <w:left w:val="single" w:sz="4" w:space="4" w:color="auto"/>
          <w:bottom w:val="single" w:sz="4" w:space="1" w:color="auto"/>
          <w:right w:val="single" w:sz="4" w:space="4" w:color="auto"/>
        </w:pBdr>
        <w:rPr>
          <w:rFonts w:eastAsia="Arial Unicode MS"/>
          <w:noProof/>
        </w:rPr>
      </w:pPr>
      <w:r>
        <w:rPr>
          <w:noProof/>
        </w:rPr>
        <w:t xml:space="preserve">Se vor cheltui 500 de miliarde EUR, la prețurile din 2018, pentru sprijin nerambursabil, sprijin rambursabil prin intermediul instrumentelor financiare sau provizionarea pentru garanții bugetare și cheltuieli conexe. </w:t>
      </w:r>
    </w:p>
    <w:p>
      <w:pPr>
        <w:pStyle w:val="Text1"/>
        <w:pBdr>
          <w:top w:val="single" w:sz="4" w:space="1" w:color="auto"/>
          <w:left w:val="single" w:sz="4" w:space="4" w:color="auto"/>
          <w:bottom w:val="single" w:sz="4" w:space="1" w:color="auto"/>
          <w:right w:val="single" w:sz="4" w:space="4" w:color="auto"/>
        </w:pBdr>
        <w:rPr>
          <w:noProof/>
          <w:szCs w:val="24"/>
        </w:rPr>
      </w:pPr>
      <w:r>
        <w:rPr>
          <w:noProof/>
        </w:rPr>
        <w:t>Se vor utiliza 250 de miliarde EUR, la prețurile din 2018, pentru a acorda împrumuturi statelor membre. Uniunea va suporta datoria contingentă sub formă de garanție pentru împrumuturile respective până când acestea vor fi rambursate.</w:t>
      </w:r>
    </w:p>
    <w:p>
      <w:pPr>
        <w:pStyle w:val="Text1"/>
        <w:rPr>
          <w:noProof/>
        </w:rPr>
      </w:pPr>
    </w:p>
    <w:p>
      <w:pPr>
        <w:pStyle w:val="Text1"/>
        <w:rPr>
          <w:i/>
          <w:noProof/>
          <w:sz w:val="20"/>
        </w:rPr>
      </w:pPr>
      <w:r>
        <w:rPr>
          <w:i/>
          <w:noProof/>
          <w:sz w:val="20"/>
        </w:rPr>
        <w:t>A se preciza efectele pe care ar trebui să le aibă propunerea/inițiativa asupra beneficiarilor vizați/grupurilor vizate.</w:t>
      </w:r>
    </w:p>
    <w:p>
      <w:pPr>
        <w:pStyle w:val="Text1"/>
        <w:pBdr>
          <w:top w:val="single" w:sz="4" w:space="1" w:color="auto"/>
          <w:left w:val="single" w:sz="4" w:space="1" w:color="auto"/>
          <w:bottom w:val="single" w:sz="4" w:space="1" w:color="auto"/>
          <w:right w:val="single" w:sz="4" w:space="1" w:color="auto"/>
        </w:pBdr>
        <w:rPr>
          <w:noProof/>
        </w:rPr>
      </w:pPr>
      <w:r>
        <w:rPr>
          <w:noProof/>
        </w:rPr>
        <w:t xml:space="preserve">Actul propus atribuie finanțare măsurilor și acțiunilor de combatere a consecințelor economice negative ale COVID-19 și sprijină redresarea economică, în special în următoarele domenii: </w:t>
      </w:r>
    </w:p>
    <w:p>
      <w:pPr>
        <w:pStyle w:val="ListBullet"/>
        <w:ind w:left="1210"/>
        <w:rPr>
          <w:noProof/>
        </w:rPr>
      </w:pPr>
      <w:r>
        <w:rPr>
          <w:noProof/>
        </w:rPr>
        <w:t>acordarea de sprijin sub formă de granturi și împrumuturi pentru punerea în aplicare a planurilor de redresare și de reziliență ale statelor membre în cadrul Mecanismului de redresare și reziliență;</w:t>
      </w:r>
    </w:p>
    <w:p>
      <w:pPr>
        <w:pStyle w:val="ListBullet"/>
        <w:ind w:left="1210"/>
        <w:rPr>
          <w:noProof/>
        </w:rPr>
      </w:pPr>
      <w:r>
        <w:rPr>
          <w:noProof/>
        </w:rPr>
        <w:t>furnizarea de sprijin pentru noi investiții în cadrul garanțiilor bugetare în derulare și propuse (FEIS/InvestEU), printre altele, (1) în favoarea întreprinderilor afectate de criză, dar viabile, pentru a le ajuta să o depășească, în special pentru a accelera dubla tranziție, verde și digitală; (2) sub forma unui sprijin specific acordat proiectelor de interes strategic european în favoarea lanțurilor de aprovizionare din cadrul pieței interne, pentru a dezvolta autonomia strategică a UE în sectoare și capacități-cheie;</w:t>
      </w:r>
    </w:p>
    <w:p>
      <w:pPr>
        <w:pStyle w:val="ListBullet"/>
        <w:ind w:left="1210"/>
        <w:rPr>
          <w:noProof/>
        </w:rPr>
      </w:pPr>
      <w:r>
        <w:rPr>
          <w:noProof/>
        </w:rPr>
        <w:t>acordarea unui sprijin sporit pentru regiunile și sectoarele afectate de criză prin măsuri consolidate ale politicii de coeziune;</w:t>
      </w:r>
    </w:p>
    <w:p>
      <w:pPr>
        <w:pStyle w:val="ListBullet"/>
        <w:ind w:left="1210"/>
        <w:rPr>
          <w:noProof/>
        </w:rPr>
      </w:pPr>
      <w:r>
        <w:rPr>
          <w:noProof/>
        </w:rPr>
        <w:t>sprijinirea cercetării și inovării ca răspuns la pandemia de COVID-19;</w:t>
      </w:r>
    </w:p>
    <w:p>
      <w:pPr>
        <w:pStyle w:val="ListBullet"/>
        <w:ind w:left="1210"/>
        <w:rPr>
          <w:noProof/>
        </w:rPr>
      </w:pPr>
      <w:r>
        <w:rPr>
          <w:noProof/>
        </w:rPr>
        <w:t xml:space="preserve">creșterea nivelului de pregătire pentru situații de criză și îmbunătățirea rezilienței strategice a sistemelor de sănătate din Uniune; </w:t>
      </w:r>
    </w:p>
    <w:p>
      <w:pPr>
        <w:pStyle w:val="ListBullet"/>
        <w:ind w:left="1210"/>
        <w:rPr>
          <w:noProof/>
        </w:rPr>
      </w:pPr>
      <w:r>
        <w:rPr>
          <w:noProof/>
        </w:rPr>
        <w:t>atenuarea impactului pe care pandemia de COVID-19 îl are în teritoriu asupra tranziției juste către o economie verde;</w:t>
      </w:r>
    </w:p>
    <w:p>
      <w:pPr>
        <w:pStyle w:val="ListBullet"/>
        <w:ind w:left="1210"/>
        <w:rPr>
          <w:noProof/>
        </w:rPr>
      </w:pPr>
      <w:r>
        <w:rPr>
          <w:noProof/>
        </w:rPr>
        <w:t>sprijinirea măsurilor menite să combată impactul pandemiei de COVID-19 asupra dezvoltării rurale;</w:t>
      </w:r>
    </w:p>
    <w:p>
      <w:pPr>
        <w:pStyle w:val="ListBullet"/>
        <w:ind w:left="1210"/>
        <w:rPr>
          <w:noProof/>
        </w:rPr>
      </w:pPr>
      <w:r>
        <w:rPr>
          <w:noProof/>
        </w:rPr>
        <w:t xml:space="preserve">sprijinirea țărilor partenere, în special a celor situate în Balcanii de Vest, în vecinătatea Uniunii și în Africa, în eforturile lor de combatere a impactului pandemiei și de redresare în urma acesteia, precum și în eforturile lor de a-și consolida reziliența. </w:t>
      </w:r>
    </w:p>
    <w:p>
      <w:pPr>
        <w:pStyle w:val="ManualHeading3"/>
        <w:rPr>
          <w:noProof/>
        </w:rPr>
      </w:pPr>
      <w:r>
        <w:rPr>
          <w:noProof/>
        </w:rPr>
        <w:t>1.4.3.</w:t>
      </w:r>
      <w:r>
        <w:rPr>
          <w:noProof/>
        </w:rPr>
        <w:tab/>
        <w:t xml:space="preserve">Indicatori de rezultate și impact </w:t>
      </w:r>
    </w:p>
    <w:p>
      <w:pPr>
        <w:pStyle w:val="Text1"/>
        <w:rPr>
          <w:i/>
          <w:noProof/>
          <w:sz w:val="20"/>
        </w:rPr>
      </w:pPr>
      <w:r>
        <w:rPr>
          <w:i/>
          <w:noProof/>
          <w:sz w:val="20"/>
        </w:rPr>
        <w:t>A se preciza indicatorii pentru monitorizarea punerii în aplicare a propunerii/inițiativei.</w:t>
      </w:r>
    </w:p>
    <w:p>
      <w:pPr>
        <w:pStyle w:val="Text1"/>
        <w:pBdr>
          <w:top w:val="single" w:sz="4" w:space="1" w:color="auto"/>
          <w:left w:val="single" w:sz="4" w:space="4" w:color="auto"/>
          <w:bottom w:val="single" w:sz="4" w:space="1" w:color="auto"/>
          <w:right w:val="single" w:sz="4" w:space="4" w:color="auto"/>
        </w:pBdr>
        <w:rPr>
          <w:noProof/>
        </w:rPr>
      </w:pPr>
      <w:r>
        <w:rPr>
          <w:noProof/>
        </w:rPr>
        <w:t>Rapiditatea cu care fondurile sunt puse la dispoziția instrumentelor financiare beneficiare. Trebuie remarcat faptul că instrumentul de redresare este o inițiativă temporară, iar creditele de angajament sunt limitate în timp.</w:t>
      </w:r>
    </w:p>
    <w:p>
      <w:pPr>
        <w:pStyle w:val="Text1"/>
        <w:pBdr>
          <w:top w:val="single" w:sz="4" w:space="1" w:color="auto"/>
          <w:left w:val="single" w:sz="4" w:space="4" w:color="auto"/>
          <w:bottom w:val="single" w:sz="4" w:space="1" w:color="auto"/>
          <w:right w:val="single" w:sz="4" w:space="4" w:color="auto"/>
        </w:pBdr>
        <w:rPr>
          <w:noProof/>
        </w:rPr>
      </w:pPr>
      <w:r>
        <w:rPr>
          <w:noProof/>
        </w:rPr>
        <w:t>Economii pentru fiecare stat membru, prin recurgerea la împrumuturi reciproce („back-to-back”) ale UE, în comparație cu autofinanțarea pe piețele internaționale.</w:t>
      </w:r>
    </w:p>
    <w:p>
      <w:pPr>
        <w:pStyle w:val="ManualHeading2"/>
        <w:rPr>
          <w:noProof/>
        </w:rPr>
      </w:pPr>
      <w:r>
        <w:rPr>
          <w:noProof/>
        </w:rPr>
        <w:t>1.5.</w:t>
      </w:r>
      <w:r>
        <w:rPr>
          <w:noProof/>
        </w:rPr>
        <w:tab/>
        <w:t xml:space="preserve">Motivele propunerii/inițiativei </w:t>
      </w:r>
    </w:p>
    <w:p>
      <w:pPr>
        <w:pStyle w:val="ManualHeading3"/>
        <w:rPr>
          <w:noProof/>
        </w:rPr>
      </w:pPr>
      <w:r>
        <w:rPr>
          <w:noProof/>
        </w:rPr>
        <w:t>1.5.1.</w:t>
      </w:r>
      <w:r>
        <w:rPr>
          <w:noProof/>
        </w:rPr>
        <w:tab/>
        <w:t xml:space="preserve">Cerința (cerințele) care trebuie îndeplinită (îndeplinite) pe termen scurt sau lung </w:t>
      </w:r>
    </w:p>
    <w:p>
      <w:pPr>
        <w:pStyle w:val="Text1"/>
        <w:pBdr>
          <w:top w:val="single" w:sz="4" w:space="1" w:color="auto"/>
          <w:left w:val="single" w:sz="4" w:space="4" w:color="auto"/>
          <w:bottom w:val="single" w:sz="4" w:space="1" w:color="auto"/>
          <w:right w:val="single" w:sz="4" w:space="4" w:color="auto"/>
        </w:pBdr>
        <w:rPr>
          <w:noProof/>
        </w:rPr>
      </w:pPr>
      <w:r>
        <w:rPr>
          <w:noProof/>
        </w:rPr>
        <w:t>Propunerea actuală de regulament al Consiliului urmărește să completeze temeiul juridic și instrumentele existente ale Uniunii, oferind un mecanism prin care să se atribuie sprijin diferitelor domenii de politică.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Dispozițiile operaționale care reglementează punerea în aplicare a acestui sprijin sunt incluse în actele legislative ce definesc instrumentele de politică beneficiare ale UE, al căror scop este să ofere un sprijin imediat și ferm pentru redresare economică și reziliență. </w:t>
      </w:r>
    </w:p>
    <w:p>
      <w:pPr>
        <w:pStyle w:val="ManualHeading3"/>
        <w:rPr>
          <w:noProof/>
        </w:rPr>
      </w:pPr>
      <w:r>
        <w:rPr>
          <w:noProof/>
        </w:rPr>
        <w:t>1.5.2.</w:t>
      </w:r>
      <w:r>
        <w:rPr>
          <w:noProof/>
        </w:rPr>
        <w:tab/>
        <w:t>Valoarea adăugată a intervenției Uniunii</w:t>
      </w:r>
    </w:p>
    <w:p>
      <w:pPr>
        <w:pStyle w:val="Text1"/>
        <w:pBdr>
          <w:top w:val="single" w:sz="4" w:space="1" w:color="auto"/>
          <w:left w:val="single" w:sz="4" w:space="4" w:color="auto"/>
          <w:bottom w:val="single" w:sz="4" w:space="1" w:color="auto"/>
          <w:right w:val="single" w:sz="4" w:space="4" w:color="auto"/>
        </w:pBdr>
        <w:rPr>
          <w:rFonts w:eastAsia="Calibri"/>
          <w:noProof/>
        </w:rPr>
      </w:pPr>
      <w:r>
        <w:rPr>
          <w:noProof/>
        </w:rPr>
        <w:t xml:space="preserve">Instrumentul de redresare al UE care este propus se bazează pe articolul 122 din TFUE. Acest articol prevede posibilitatea adoptării unor măsuri, decise în spiritul solidarității dintre statele membre și corespunzătoare situației economice. </w:t>
      </w:r>
    </w:p>
    <w:p>
      <w:pPr>
        <w:pStyle w:val="Text1"/>
        <w:pBdr>
          <w:top w:val="single" w:sz="4" w:space="1" w:color="auto"/>
          <w:left w:val="single" w:sz="4" w:space="4" w:color="auto"/>
          <w:bottom w:val="single" w:sz="4" w:space="1" w:color="auto"/>
          <w:right w:val="single" w:sz="4" w:space="4" w:color="auto"/>
        </w:pBdr>
        <w:rPr>
          <w:noProof/>
        </w:rPr>
      </w:pPr>
      <w:r>
        <w:rPr>
          <w:noProof/>
        </w:rPr>
        <w:t>În prezent, statele membre se confruntă cu o perturbare economică gravă cauzată de pandemia de COVID-19, care are efecte socioeconomice negative puternice în statele membre.</w:t>
      </w:r>
    </w:p>
    <w:p>
      <w:pPr>
        <w:pBdr>
          <w:top w:val="single" w:sz="4" w:space="1" w:color="auto"/>
          <w:left w:val="single" w:sz="4" w:space="4" w:color="auto"/>
          <w:bottom w:val="single" w:sz="4" w:space="1" w:color="auto"/>
          <w:right w:val="single" w:sz="4" w:space="4" w:color="auto"/>
        </w:pBdr>
        <w:ind w:left="850"/>
        <w:rPr>
          <w:noProof/>
        </w:rPr>
      </w:pPr>
      <w:r>
        <w:rPr>
          <w:noProof/>
        </w:rPr>
        <w:t xml:space="preserve">Propunerea alocă sprijinul financiar pentru intervențiile în materie de politici legate de criză, în spiritul solidarității europene cu statele membre afectate; acest sprijin financiar este posibil datorită împuternicirii temporare și excepționale prevăzute în Decizia privind resursele proprii. Având în vedere anvergura crizei și amploarea efectelor sale financiare și economice, este mai adecvat să se acționeze concertat la nivelul UE pentru a se asigura mobilizarea unor resurse suficiente care să genereze intervenții eficace și să atenueze impactul direct pe care criza provocată de pandemia de COVID-19 îl are asupra societății și a economiei. </w:t>
      </w:r>
    </w:p>
    <w:p>
      <w:pPr>
        <w:pBdr>
          <w:top w:val="single" w:sz="4" w:space="1" w:color="auto"/>
          <w:left w:val="single" w:sz="4" w:space="4" w:color="auto"/>
          <w:bottom w:val="single" w:sz="4" w:space="1" w:color="auto"/>
          <w:right w:val="single" w:sz="4" w:space="4" w:color="auto"/>
        </w:pBdr>
        <w:ind w:left="850"/>
        <w:rPr>
          <w:noProof/>
        </w:rPr>
      </w:pPr>
      <w:r>
        <w:rPr>
          <w:noProof/>
        </w:rPr>
        <w:t xml:space="preserve">Punerea în aplicare a Instrumentului de redresare al Uniunii Europene are la bază principiul subsidiarității. De fapt, din cauza dimensiunii globale a pandemiei de COVID-19 și a amplorii efectelor financiare și economice ale acesteia, Uniunea este mai bine plasată decât statele membre la nivel individual pentru a face față crizei, prin intermediul politicilor specifice ale UE; acestea sunt posibile cu ajutorul unor resurse pe scară largă, permise prin împuternicirea excepțională de a contracta împrumuturi pentru a completa bugetul Uniunii, astfel cum este prevăzută în Decizia privind resursele proprii. </w:t>
      </w:r>
    </w:p>
    <w:p>
      <w:pPr>
        <w:pBdr>
          <w:top w:val="single" w:sz="4" w:space="1" w:color="auto"/>
          <w:left w:val="single" w:sz="4" w:space="4" w:color="auto"/>
          <w:bottom w:val="single" w:sz="4" w:space="1" w:color="auto"/>
          <w:right w:val="single" w:sz="4" w:space="4" w:color="auto"/>
        </w:pBdr>
        <w:ind w:left="850"/>
        <w:rPr>
          <w:noProof/>
        </w:rPr>
      </w:pPr>
      <w:r>
        <w:rPr>
          <w:noProof/>
        </w:rPr>
        <w:t xml:space="preserve">Prin alocarea veniturilor suplimentare alocate extern prin intermediul actului propus se va asigura faptul că punerea în aplicare de către Uniune a răspunsului preconizat nu este subminată de disparitățile legate de capacitatea statelor membre de a mobiliza finanțarea în mod individual. </w:t>
      </w:r>
    </w:p>
    <w:p>
      <w:pPr>
        <w:pBdr>
          <w:top w:val="single" w:sz="4" w:space="1" w:color="auto"/>
          <w:left w:val="single" w:sz="4" w:space="4" w:color="auto"/>
          <w:bottom w:val="single" w:sz="4" w:space="1" w:color="auto"/>
          <w:right w:val="single" w:sz="4" w:space="4" w:color="auto"/>
        </w:pBdr>
        <w:ind w:left="850"/>
        <w:rPr>
          <w:noProof/>
        </w:rPr>
      </w:pPr>
      <w:r>
        <w:rPr>
          <w:noProof/>
        </w:rPr>
        <w:t xml:space="preserve">Numai o acțiune concertată, motivată de spiritul solidarității dintre statele membre într-o perioadă de criză, poate asigura mobilizarea eficace a mijloacelor financiare relevante pentru a genera intervenții eficace din partea Uniunii în zonele sau sectoarele cele mai afectate. </w:t>
      </w:r>
    </w:p>
    <w:p>
      <w:pPr>
        <w:pStyle w:val="ManualHeading3"/>
        <w:rPr>
          <w:noProof/>
        </w:rPr>
      </w:pPr>
      <w:r>
        <w:rPr>
          <w:noProof/>
        </w:rPr>
        <w:t>1.5.3.</w:t>
      </w:r>
      <w:r>
        <w:rPr>
          <w:noProof/>
        </w:rPr>
        <w:tab/>
        <w:t>Învățăminte desprinse din experiențele anterioare similare</w:t>
      </w:r>
    </w:p>
    <w:p>
      <w:pPr>
        <w:pStyle w:val="Text1"/>
        <w:pBdr>
          <w:top w:val="single" w:sz="4" w:space="1" w:color="auto"/>
          <w:left w:val="single" w:sz="4" w:space="4" w:color="auto"/>
          <w:bottom w:val="single" w:sz="4" w:space="1" w:color="auto"/>
          <w:right w:val="single" w:sz="4" w:space="4" w:color="auto"/>
        </w:pBdr>
        <w:rPr>
          <w:noProof/>
        </w:rPr>
      </w:pPr>
      <w:r>
        <w:rPr>
          <w:noProof/>
        </w:rPr>
        <w:t xml:space="preserve">Când Uniunea s-a confruntat cu o criză financiară gravă în urmă cu un deceniu, temeiul juridic al articolului 122 din Tratatul privind funcționarea Uniunii Europene (TFUE) a permis Uniunii să asigure asistență financiară pentru statele membre care se confruntau cu dificultăți cauzate de un eveniment excepțional în afara controlului acestora. Uniunea a adoptat, pe baza articolului 122 alineatul (2), Regulamentul (UE) nr. 407/2010 al Consiliului din 11 mai 2010 de instituire a unui mecanism european de stabilizare financiară (MESF). Acest instrument a oferit, din partea Uniunii, asistență financiară Portugaliei și Irlandei, precum și finanțare de tip „punte” Greciei prin credite back-to-back.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Articolul 122 din TFUE a fost utilizat ca temei juridic pentru propunerea recentă a Comisiei privind mecanismul SURE de a sprijini temporar sistemele asigurărilor pentru șomaj ale statelor membre. Acest temei juridic este considerat adecvat pentru un eveniment extraordinar aflat în afara controlului statelor membre, care impune un răspuns colectiv din partea Uniunii, în spiritul solidarității, și care, prin urmare, poate fi utilizat și în acest caz de criză provocată de pandemia de COVID-19. </w:t>
      </w:r>
    </w:p>
    <w:p>
      <w:pPr>
        <w:pStyle w:val="ManualHeading3"/>
        <w:rPr>
          <w:noProof/>
        </w:rPr>
      </w:pPr>
      <w:r>
        <w:rPr>
          <w:noProof/>
        </w:rPr>
        <w:t>1.5.4.</w:t>
      </w:r>
      <w:r>
        <w:rPr>
          <w:noProof/>
        </w:rPr>
        <w:tab/>
        <w:t>Compatibilitatea și posibilele sinergii cu alte instrumente corespunzătoare</w:t>
      </w:r>
    </w:p>
    <w:p>
      <w:pPr>
        <w:pStyle w:val="Text1"/>
        <w:pBdr>
          <w:top w:val="single" w:sz="4" w:space="1" w:color="auto"/>
          <w:left w:val="single" w:sz="4" w:space="4" w:color="auto"/>
          <w:bottom w:val="single" w:sz="4" w:space="1" w:color="auto"/>
          <w:right w:val="single" w:sz="4" w:space="4" w:color="auto"/>
        </w:pBdr>
        <w:rPr>
          <w:noProof/>
        </w:rPr>
      </w:pPr>
      <w:r>
        <w:rPr>
          <w:noProof/>
        </w:rPr>
        <w:t>Instrumentul de redresare al Uniunii Europene care este propus alocă mijloacele financiare suplimentare necesare pentru Planul de redresare al Uniunii Europene instrumentelor de politică ce vor combate consecințele sociale și economice profunde ale crizei. Planul de redresare în sine extinde și detaliază răspunsul în materie de politici pe care Uniunea îl oferă la această criză. Printre inițiativele anterioare adoptate ca răspuns la criză se numără Instrumentul european de sprijin temporar pentru atenuarea riscurilor de șomaj într-o situație de urgență (SURE) ca urmare a apariției epidemiei de COVID-19 (Instrumentul SURE), Inițiativa pentru investiții care reacție la coronavirus, extinderea propusă a domeniului de aplicare al Fondului de solidaritate al Uniunii Europene, reactivarea Instrumentului dedicat sprijinului de urgență și a altor instrumente care sprijină ocuparea forței de muncă, cum ar fi Fondul social european și InvestEU.</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Instrumentul de redresare este un element esențial din cadrul unui răspuns în materie de politici, mai puternic și mai amplu, menit să contracareze criza și să sprijine procesul de remediere și redresare economică. Instrumentul de redresare direcționează sprijin către instrumentele de coeziune, Mecanismul de redresare și reziliență și aplicarea la scară largă a garanțiilor bugetare ale UE pentru a sprijini întreprinderile și investițiile. </w:t>
      </w:r>
    </w:p>
    <w:p>
      <w:pPr>
        <w:pStyle w:val="Text1"/>
        <w:pBdr>
          <w:top w:val="single" w:sz="4" w:space="1" w:color="auto"/>
          <w:left w:val="single" w:sz="4" w:space="4" w:color="auto"/>
          <w:bottom w:val="single" w:sz="4" w:space="1" w:color="auto"/>
          <w:right w:val="single" w:sz="4" w:space="4" w:color="auto"/>
        </w:pBdr>
        <w:rPr>
          <w:noProof/>
        </w:rPr>
      </w:pPr>
      <w:r>
        <w:rPr>
          <w:noProof/>
        </w:rPr>
        <w:t>Instrumentul de redresare va avea același nivel de transparență, de responsabilitate și de control al auditului ca și bugetul tradițional.</w:t>
      </w:r>
    </w:p>
    <w:p>
      <w:pPr>
        <w:pStyle w:val="Text1"/>
        <w:pBdr>
          <w:top w:val="single" w:sz="4" w:space="1" w:color="auto"/>
          <w:left w:val="single" w:sz="4" w:space="4" w:color="auto"/>
          <w:bottom w:val="single" w:sz="4" w:space="1" w:color="auto"/>
          <w:right w:val="single" w:sz="4" w:space="4" w:color="auto"/>
        </w:pBdr>
        <w:rPr>
          <w:noProof/>
        </w:rPr>
      </w:pPr>
      <w:r>
        <w:rPr>
          <w:noProof/>
        </w:rPr>
        <w:t xml:space="preserve">Mijloacele financiare foarte importante distribuite în temeiul Instrumentului de redresare necesită o consolidare puternică a capacității interne a Comisiei de a gestiona și a administra această resursă. O serie de procese operaționale de maximă importanță vor trebui să fie actualizate în mod substanțial, în special: contabilitatea și raportarea cu privire la distribuția și utilizarea mijloacelor alocate diferitelor politici; administrarea și reconcilierea tuturor plăților și transferurilor către/din statele membre și către politicile beneficiare; acordarea de împrumuturi și asigurarea punerii la dispoziție a tuturor mijloacelor atunci când este necesar și în condițiile cele mai avantajoase; asigurarea sprijinului informatic necesar. Consolidarea acestei capacități în intervalele de timp necesare pentru punerea în aplicare a Planului de redresare va fi indispensabilă pentru îndeplinirea obiectivelor acestuia. </w:t>
      </w:r>
    </w:p>
    <w:p>
      <w:pPr>
        <w:pStyle w:val="ManualHeading2"/>
        <w:rPr>
          <w:noProof/>
        </w:rPr>
      </w:pPr>
      <w:r>
        <w:rPr>
          <w:noProof/>
        </w:rPr>
        <w:br w:type="page"/>
        <w:t>1.6.</w:t>
      </w:r>
      <w:r>
        <w:rPr>
          <w:noProof/>
        </w:rPr>
        <w:tab/>
        <w:t xml:space="preserve">Durata și impactul financiar </w:t>
      </w:r>
    </w:p>
    <w:p>
      <w:pPr>
        <w:pStyle w:val="Text1"/>
        <w:rPr>
          <w:noProof/>
        </w:rPr>
      </w:pPr>
      <w:r>
        <w:rPr>
          <w:b/>
          <w:noProof/>
        </w:rPr>
        <w:t>X</w:t>
      </w:r>
      <w:r>
        <w:rPr>
          <w:b/>
          <w:i/>
          <w:noProof/>
        </w:rPr>
        <w:t xml:space="preserve"> </w:t>
      </w:r>
      <w:r>
        <w:rPr>
          <w:noProof/>
        </w:rPr>
        <w:t xml:space="preserve">Propunere/inițiativă cu </w:t>
      </w:r>
      <w:r>
        <w:rPr>
          <w:b/>
          <w:noProof/>
        </w:rPr>
        <w:t xml:space="preserve">durată limitată </w:t>
      </w:r>
    </w:p>
    <w:p>
      <w:pPr>
        <w:pStyle w:val="ListDash2"/>
        <w:rPr>
          <w:noProof/>
        </w:rPr>
      </w:pPr>
      <w:r>
        <w:rPr>
          <w:noProof/>
        </w:rPr>
        <w:t>X</w:t>
      </w:r>
      <w:r>
        <w:rPr>
          <w:noProof/>
        </w:rPr>
        <w:tab/>
        <w:t xml:space="preserve">Impact financiar de la intrarea în vigoare a regulamentului până la scadența împrumuturilor, care se suprapun cu mai multe cadre financiare multianuale; nu sunt prevăzute scadențe înainte de 2028. </w:t>
      </w:r>
    </w:p>
    <w:p>
      <w:pPr>
        <w:pStyle w:val="Text1"/>
        <w:rPr>
          <w:noProof/>
        </w:rPr>
      </w:pPr>
      <w:r>
        <w:rPr>
          <w:noProof/>
        </w:rPr>
        <w:sym w:font="Wingdings" w:char="F0A8"/>
      </w:r>
      <w:r>
        <w:rPr>
          <w:b/>
          <w:i/>
          <w:noProof/>
        </w:rPr>
        <w:t xml:space="preserve"> </w:t>
      </w:r>
      <w:r>
        <w:rPr>
          <w:noProof/>
        </w:rPr>
        <w:t xml:space="preserve">Propunere/inițiativă cu </w:t>
      </w:r>
      <w:r>
        <w:rPr>
          <w:b/>
          <w:noProof/>
        </w:rPr>
        <w:t>durată nelimitată</w:t>
      </w:r>
    </w:p>
    <w:p>
      <w:pPr>
        <w:pStyle w:val="ListDash1"/>
        <w:rPr>
          <w:noProof/>
        </w:rPr>
      </w:pPr>
      <w:r>
        <w:rPr>
          <w:noProof/>
        </w:rPr>
        <w:t>Punere în aplicare cu o perioadă de creștere în intensitate din AAAA până în AAAA,</w:t>
      </w:r>
    </w:p>
    <w:p>
      <w:pPr>
        <w:pStyle w:val="ListDash1"/>
        <w:rPr>
          <w:noProof/>
        </w:rPr>
      </w:pPr>
      <w:r>
        <w:rPr>
          <w:noProof/>
        </w:rPr>
        <w:t>urmată de o perioadă de funcționare la capacitate maximă.</w:t>
      </w:r>
    </w:p>
    <w:p>
      <w:pPr>
        <w:pStyle w:val="ManualHeading2"/>
        <w:rPr>
          <w:noProof/>
        </w:rPr>
      </w:pPr>
      <w:r>
        <w:rPr>
          <w:noProof/>
        </w:rPr>
        <w:t>1.7.</w:t>
      </w:r>
      <w:r>
        <w:rPr>
          <w:noProof/>
        </w:rPr>
        <w:tab/>
        <w:t>Modul (modurile) de gestiune preconizat(e)</w:t>
      </w:r>
      <w:r>
        <w:rPr>
          <w:rStyle w:val="FootnoteReference"/>
          <w:noProof/>
        </w:rPr>
        <w:footnoteReference w:id="9"/>
      </w:r>
      <w:r>
        <w:rPr>
          <w:rStyle w:val="FootnoteReference"/>
          <w:noProof/>
        </w:rPr>
        <w:t xml:space="preserve"> </w:t>
      </w:r>
    </w:p>
    <w:p>
      <w:pPr>
        <w:pStyle w:val="Text1"/>
        <w:rPr>
          <w:noProof/>
        </w:rPr>
      </w:pPr>
      <w:r>
        <w:rPr>
          <w:b/>
          <w:noProof/>
        </w:rPr>
        <w:t>X</w:t>
      </w:r>
      <w:r>
        <w:rPr>
          <w:i/>
          <w:noProof/>
        </w:rPr>
        <w:t xml:space="preserve"> </w:t>
      </w:r>
      <w:r>
        <w:rPr>
          <w:b/>
          <w:noProof/>
        </w:rPr>
        <w:t>Gestionare directă</w:t>
      </w:r>
      <w:r>
        <w:rPr>
          <w:noProof/>
        </w:rPr>
        <w:t xml:space="preserve"> asigurată de către Comisie</w:t>
      </w:r>
    </w:p>
    <w:p>
      <w:pPr>
        <w:pStyle w:val="ListDash2"/>
        <w:rPr>
          <w:rFonts w:cs="EUAlbertina"/>
          <w:noProof/>
        </w:rPr>
      </w:pPr>
      <w:r>
        <w:rPr>
          <w:noProof/>
        </w:rPr>
        <w:t xml:space="preserve">X prin intermediul departamentelor sale, inclusiv al personalului din delegațiile Uniunii; </w:t>
      </w:r>
    </w:p>
    <w:p>
      <w:pPr>
        <w:pStyle w:val="ListDash2"/>
        <w:rPr>
          <w:noProof/>
        </w:rPr>
      </w:pPr>
      <w:r>
        <w:rPr>
          <w:noProof/>
        </w:rPr>
        <w:sym w:font="Wingdings" w:char="F0A8"/>
      </w:r>
      <w:r>
        <w:rPr>
          <w:noProof/>
        </w:rPr>
        <w:tab/>
        <w:t xml:space="preserve">prin intermediul agențiilor executive </w:t>
      </w:r>
    </w:p>
    <w:p>
      <w:pPr>
        <w:pStyle w:val="Text1"/>
        <w:rPr>
          <w:noProof/>
        </w:rPr>
      </w:pPr>
      <w:r>
        <w:rPr>
          <w:noProof/>
        </w:rPr>
        <w:t>X</w:t>
      </w:r>
      <w:r>
        <w:rPr>
          <w:b/>
          <w:i/>
          <w:noProof/>
        </w:rPr>
        <w:t xml:space="preserve"> </w:t>
      </w:r>
      <w:r>
        <w:rPr>
          <w:b/>
          <w:noProof/>
        </w:rPr>
        <w:t>Gestiune partajată</w:t>
      </w:r>
      <w:r>
        <w:rPr>
          <w:noProof/>
        </w:rPr>
        <w:t xml:space="preserve"> cu statele membre </w:t>
      </w:r>
    </w:p>
    <w:p>
      <w:pPr>
        <w:pStyle w:val="Text1"/>
        <w:rPr>
          <w:noProof/>
        </w:rPr>
      </w:pPr>
      <w:r>
        <w:rPr>
          <w:noProof/>
        </w:rPr>
        <w:t>X</w:t>
      </w:r>
      <w:r>
        <w:rPr>
          <w:i/>
          <w:noProof/>
        </w:rPr>
        <w:t xml:space="preserve"> </w:t>
      </w:r>
      <w:r>
        <w:rPr>
          <w:b/>
          <w:noProof/>
        </w:rPr>
        <w:t>Gestiune indirectă</w:t>
      </w:r>
      <w:r>
        <w:rPr>
          <w:noProof/>
        </w:rPr>
        <w:t>, cu delegarea sarcinilor de execuție bugetară:</w:t>
      </w:r>
    </w:p>
    <w:p>
      <w:pPr>
        <w:pStyle w:val="ListDash2"/>
        <w:rPr>
          <w:noProof/>
        </w:rPr>
      </w:pPr>
      <w:r>
        <w:rPr>
          <w:noProof/>
        </w:rPr>
        <w:sym w:font="Wingdings" w:char="F0A8"/>
      </w:r>
      <w:r>
        <w:rPr>
          <w:noProof/>
        </w:rPr>
        <w:t xml:space="preserve"> țărilor terțe sau organismelor pe care le-au desemnat acestea;</w:t>
      </w:r>
    </w:p>
    <w:p>
      <w:pPr>
        <w:pStyle w:val="ListDash2"/>
        <w:rPr>
          <w:noProof/>
        </w:rPr>
      </w:pPr>
      <w:r>
        <w:rPr>
          <w:noProof/>
        </w:rPr>
        <w:sym w:font="Wingdings" w:char="F0A8"/>
      </w:r>
      <w:r>
        <w:rPr>
          <w:noProof/>
        </w:rPr>
        <w:t xml:space="preserve"> organizațiilor internaționale și agențiilor acestora (a se preciza);</w:t>
      </w:r>
    </w:p>
    <w:p>
      <w:pPr>
        <w:pStyle w:val="ListDash2"/>
        <w:rPr>
          <w:noProof/>
        </w:rPr>
      </w:pPr>
      <w:r>
        <w:rPr>
          <w:noProof/>
        </w:rPr>
        <w:t>X BEI și Fondului european de investiții;</w:t>
      </w:r>
    </w:p>
    <w:p>
      <w:pPr>
        <w:pStyle w:val="ListDash2"/>
        <w:rPr>
          <w:noProof/>
        </w:rPr>
      </w:pPr>
      <w:r>
        <w:rPr>
          <w:noProof/>
        </w:rPr>
        <w:sym w:font="Wingdings" w:char="F0A8"/>
      </w:r>
      <w:r>
        <w:rPr>
          <w:noProof/>
        </w:rPr>
        <w:t xml:space="preserve"> organismelor menționate la articolele 208 și 209 din Regulamentul (UE, Euratom) 1046/2018;</w:t>
      </w:r>
    </w:p>
    <w:p>
      <w:pPr>
        <w:pStyle w:val="ListDash2"/>
        <w:rPr>
          <w:noProof/>
        </w:rPr>
      </w:pPr>
      <w:r>
        <w:rPr>
          <w:noProof/>
        </w:rPr>
        <w:sym w:font="Wingdings" w:char="F0A8"/>
      </w:r>
      <w:r>
        <w:rPr>
          <w:noProof/>
        </w:rPr>
        <w:t xml:space="preserve"> organismelor de drept public;</w:t>
      </w:r>
    </w:p>
    <w:p>
      <w:pPr>
        <w:pStyle w:val="ListDash2"/>
        <w:rPr>
          <w:noProof/>
        </w:rPr>
      </w:pPr>
      <w:r>
        <w:rPr>
          <w:noProof/>
        </w:rPr>
        <w:sym w:font="Wingdings" w:char="F0A8"/>
      </w:r>
      <w:r>
        <w:rPr>
          <w:noProof/>
        </w:rPr>
        <w:t xml:space="preserve"> organismelor de drept privat cu misiune de serviciu public, cu condiția să prezinte garanții financiare adecvate;</w:t>
      </w:r>
    </w:p>
    <w:p>
      <w:pPr>
        <w:pStyle w:val="ListDash2"/>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ListDash2"/>
        <w:rPr>
          <w:noProof/>
        </w:rPr>
      </w:pPr>
      <w:r>
        <w:rPr>
          <w:noProof/>
        </w:rPr>
        <w:sym w:font="Wingdings" w:char="F0A8"/>
      </w:r>
      <w:r>
        <w:rPr>
          <w:noProof/>
        </w:rPr>
        <w:t xml:space="preserve"> persoanelor cărora li se încredințează executarea unor acțiuni specifice în cadrul PESC, în temeiul titlului V din TUE, și care sunt identificate în actul de bază relevant.</w:t>
      </w:r>
    </w:p>
    <w:p>
      <w:pPr>
        <w:pStyle w:val="ListDash2"/>
        <w:rPr>
          <w:i/>
          <w:noProof/>
          <w:sz w:val="18"/>
          <w:u w:val="single"/>
        </w:rPr>
      </w:pPr>
      <w:r>
        <w:rPr>
          <w:i/>
          <w:noProof/>
          <w:sz w:val="18"/>
        </w:rPr>
        <w:t>Dacă se indică mai multe moduri de gestiune, a se furniza detalii suplimentare în secțiunea „Observații”.</w:t>
      </w:r>
    </w:p>
    <w:p>
      <w:pPr>
        <w:rPr>
          <w:noProof/>
        </w:rPr>
      </w:pPr>
    </w:p>
    <w:p>
      <w:pPr>
        <w:pBdr>
          <w:top w:val="single" w:sz="4" w:space="1" w:color="auto"/>
          <w:left w:val="single" w:sz="4" w:space="4" w:color="auto"/>
          <w:bottom w:val="single" w:sz="4" w:space="1" w:color="auto"/>
          <w:right w:val="single" w:sz="4" w:space="4" w:color="auto"/>
        </w:pBdr>
        <w:rPr>
          <w:noProof/>
        </w:rPr>
      </w:pPr>
    </w:p>
    <w:p>
      <w:pPr>
        <w:spacing w:before="0" w:after="0"/>
        <w:jc w:val="left"/>
        <w:rPr>
          <w:noProof/>
          <w:color w:val="0000FF"/>
        </w:rPr>
        <w:sectPr>
          <w:pgSz w:w="11907" w:h="16840"/>
          <w:pgMar w:top="1134" w:right="1418" w:bottom="1134" w:left="1418" w:header="709" w:footer="709" w:gutter="0"/>
          <w:cols w:space="720"/>
          <w:docGrid w:linePitch="326"/>
        </w:sectPr>
      </w:pPr>
    </w:p>
    <w:p>
      <w:pPr>
        <w:pStyle w:val="ManualHeading1"/>
        <w:rPr>
          <w:bCs/>
          <w:noProof/>
          <w:szCs w:val="24"/>
        </w:rPr>
      </w:pPr>
      <w:r>
        <w:rPr>
          <w:noProof/>
        </w:rPr>
        <w:t>2.</w:t>
      </w:r>
      <w:r>
        <w:rPr>
          <w:noProof/>
        </w:rPr>
        <w:tab/>
        <w:t xml:space="preserve">MĂSURI DE GESTIUNE </w:t>
      </w:r>
    </w:p>
    <w:p>
      <w:pPr>
        <w:pStyle w:val="ManualHeading2"/>
        <w:rPr>
          <w:noProof/>
        </w:rPr>
      </w:pPr>
      <w:r>
        <w:rPr>
          <w:noProof/>
        </w:rPr>
        <w:t>2.1.</w:t>
      </w:r>
      <w:r>
        <w:rPr>
          <w:noProof/>
        </w:rPr>
        <w:tab/>
        <w:t xml:space="preserve">Dispoziții în materie de monitorizare și de raportare </w:t>
      </w:r>
    </w:p>
    <w:p>
      <w:pPr>
        <w:pStyle w:val="Text1"/>
        <w:rPr>
          <w:i/>
          <w:noProof/>
          <w:sz w:val="20"/>
          <w:u w:val="single"/>
        </w:rPr>
      </w:pPr>
      <w:r>
        <w:rPr>
          <w:i/>
          <w:noProof/>
          <w:sz w:val="20"/>
        </w:rPr>
        <w:t>A se preciza frecvența și condițiile aferente monitorizării și raportării.</w:t>
      </w:r>
    </w:p>
    <w:p>
      <w:pPr>
        <w:pStyle w:val="Text1"/>
        <w:pBdr>
          <w:top w:val="single" w:sz="4" w:space="1" w:color="auto"/>
          <w:left w:val="single" w:sz="4" w:space="4" w:color="auto"/>
          <w:bottom w:val="single" w:sz="4" w:space="1" w:color="auto"/>
          <w:right w:val="single" w:sz="4" w:space="4" w:color="auto"/>
        </w:pBdr>
        <w:rPr>
          <w:noProof/>
        </w:rPr>
      </w:pPr>
      <w:r>
        <w:rPr>
          <w:noProof/>
        </w:rPr>
        <w:t>Pentru acțiunile care primesc ajutor financiar în baza prezentei propuneri se prezintă rapoarte cu regularitate.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Până la 31 martie 2023, Comisia prezintă Consiliului un raport privind progresele înregistrate în ceea ce privește punerea în aplicare a instrumentului și utilizarea fondurilor alocate în conformitate cu articolul 3 alineatul (2). </w:t>
      </w:r>
    </w:p>
    <w:p>
      <w:pPr>
        <w:pStyle w:val="ManualHeading3"/>
        <w:rPr>
          <w:noProof/>
        </w:rPr>
      </w:pPr>
      <w:r>
        <w:rPr>
          <w:noProof/>
        </w:rPr>
        <w:t>2.1.1.</w:t>
      </w:r>
      <w:r>
        <w:rPr>
          <w:noProof/>
        </w:rPr>
        <w:tab/>
        <w:t xml:space="preserve">Risc(uri) identificat(e) </w:t>
      </w:r>
    </w:p>
    <w:p>
      <w:pPr>
        <w:pStyle w:val="Text1"/>
        <w:pBdr>
          <w:top w:val="single" w:sz="4" w:space="1" w:color="auto"/>
          <w:left w:val="single" w:sz="4" w:space="4" w:color="auto"/>
          <w:bottom w:val="single" w:sz="4" w:space="1" w:color="auto"/>
          <w:right w:val="single" w:sz="4" w:space="4" w:color="auto"/>
        </w:pBdr>
        <w:rPr>
          <w:noProof/>
        </w:rPr>
      </w:pPr>
      <w:r>
        <w:rPr>
          <w:noProof/>
        </w:rPr>
        <w:t>Gestionarea riscurilor legate de administrarea instrumentului necesită investiții semnificative în dezvoltarea capacității administrative financiare a Comisiei. Aceste investiții explică cheltuielile administrative legate de această politică, pentru recrutarea de personal specializat, inclusiv din cadrul administrațiilor naționale. Resursele suplimentare de personal sunt necesare și pentru servicii de sprijin, cum ar fi contabilitatea, serviciile administrative și asistența informatică specifică.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Instrumentul de redresare depinde de emiterea de către Comisie a unor volume mari de titluri de creanțe pe piețele internaționale de capital, în temeiul împuternicirii acordate prin DRP. Creșterea bruscă a emisiunii de titluri de creanțe într-o perioadă în care este probabil ca alte entități suverane și instituții să recurgă în mod extensiv la piețele de capital generează riscul de deteriorare a condițiilor și modalităților de care beneficiază Uniunea. Acest risc va fi gestionat prin punerea în aplicare a unei noi strategii de administrare a datoriei pentru a ajuta Uniunea să obțină cele mai bune condiții disponibile, protejându-și, în același timp, ratingul de credit foarte ridicat. </w:t>
      </w:r>
    </w:p>
    <w:p>
      <w:pPr>
        <w:pStyle w:val="ManualHeading3"/>
        <w:rPr>
          <w:bCs/>
          <w:noProof/>
          <w:szCs w:val="24"/>
        </w:rPr>
      </w:pPr>
      <w:r>
        <w:rPr>
          <w:noProof/>
        </w:rPr>
        <w:t>2.1.2.</w:t>
      </w:r>
      <w:r>
        <w:rPr>
          <w:noProof/>
        </w:rPr>
        <w:tab/>
        <w:t>Informații privind sistemul de control intern instituit</w:t>
      </w:r>
    </w:p>
    <w:p>
      <w:pPr>
        <w:pStyle w:val="Text1"/>
        <w:pBdr>
          <w:top w:val="single" w:sz="4" w:space="1" w:color="auto"/>
          <w:left w:val="single" w:sz="4" w:space="4" w:color="auto"/>
          <w:bottom w:val="single" w:sz="4" w:space="1" w:color="auto"/>
          <w:right w:val="single" w:sz="4" w:space="4" w:color="auto"/>
        </w:pBdr>
        <w:rPr>
          <w:noProof/>
        </w:rPr>
      </w:pPr>
      <w:r>
        <w:rPr>
          <w:noProof/>
        </w:rPr>
        <w:t xml:space="preserve">Pentru a asigura faptul că fondurile disponibile în cadrul Instrumentului de redresare al UE sunt utilizate în mod corespunzător și în concordanță cu legislația corespunzătoare, se aplică sistemul de control intern existent al Comisiei Europene.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Structura sistemului actual este următoarea: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1. Echipele de control intern se concentrează asupra respectării procedurilor administrative și a legislației în vigoare. În acest scop este utilizat cadrul de control intern al Comisiei. </w:t>
      </w:r>
    </w:p>
    <w:p>
      <w:pPr>
        <w:pStyle w:val="Text1"/>
        <w:pBdr>
          <w:top w:val="single" w:sz="4" w:space="1" w:color="auto"/>
          <w:left w:val="single" w:sz="4" w:space="4" w:color="auto"/>
          <w:bottom w:val="single" w:sz="4" w:space="1" w:color="auto"/>
          <w:right w:val="single" w:sz="4" w:space="4" w:color="auto"/>
        </w:pBdr>
        <w:rPr>
          <w:noProof/>
        </w:rPr>
      </w:pPr>
      <w:r>
        <w:rPr>
          <w:noProof/>
        </w:rPr>
        <w:t xml:space="preserve">2. Auditurile periodice realizate de către auditori externi în ceea ce privește granturile și contractele care vor fi atribuite în cadrul acestui instrument vor fi incluse integral în planurile anuale de audit.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3. Evaluarea activităților generale de către evaluatori externi. </w:t>
      </w:r>
    </w:p>
    <w:p>
      <w:pPr>
        <w:pStyle w:val="Text1"/>
        <w:pBdr>
          <w:top w:val="single" w:sz="4" w:space="1" w:color="auto"/>
          <w:left w:val="single" w:sz="4" w:space="4" w:color="auto"/>
          <w:bottom w:val="single" w:sz="4" w:space="1" w:color="auto"/>
          <w:right w:val="single" w:sz="4" w:space="4" w:color="auto"/>
        </w:pBdr>
        <w:rPr>
          <w:noProof/>
        </w:rPr>
      </w:pPr>
      <w:r>
        <w:rPr>
          <w:noProof/>
        </w:rPr>
        <w:t>Acțiunile realizate pot fi auditate de Oficiul European de Luptă Antifraudă (OLAF) și de Curtea de Conturi.</w:t>
      </w:r>
    </w:p>
    <w:p>
      <w:pPr>
        <w:pStyle w:val="ManualHeading3"/>
        <w:rPr>
          <w:noProof/>
        </w:rPr>
      </w:pPr>
      <w:r>
        <w:rPr>
          <w:noProof/>
        </w:rPr>
        <w:t>2.1.3.</w:t>
      </w:r>
      <w:r>
        <w:rPr>
          <w:noProof/>
        </w:rPr>
        <w:tab/>
        <w:t xml:space="preserve">Estimarea costurilor și a beneficiilor controalelor și evaluarea nivelului prevăzut de risc de eroare </w:t>
      </w:r>
    </w:p>
    <w:p>
      <w:pPr>
        <w:pStyle w:val="Text1"/>
        <w:pBdr>
          <w:top w:val="single" w:sz="4" w:space="1" w:color="auto"/>
          <w:left w:val="single" w:sz="4" w:space="4" w:color="auto"/>
          <w:bottom w:val="single" w:sz="4" w:space="0" w:color="auto"/>
          <w:right w:val="single" w:sz="4" w:space="4" w:color="auto"/>
        </w:pBdr>
        <w:rPr>
          <w:noProof/>
        </w:rPr>
      </w:pPr>
      <w:r>
        <w:rPr>
          <w:noProof/>
        </w:rPr>
        <w:t>Nu se aplică.</w:t>
      </w:r>
    </w:p>
    <w:p>
      <w:pPr>
        <w:pStyle w:val="ManualHeading2"/>
        <w:rPr>
          <w:bCs/>
          <w:noProof/>
          <w:szCs w:val="24"/>
        </w:rPr>
      </w:pPr>
      <w:r>
        <w:rPr>
          <w:noProof/>
        </w:rPr>
        <w:t>2.2.</w:t>
      </w:r>
      <w:r>
        <w:rPr>
          <w:noProof/>
        </w:rPr>
        <w:tab/>
        <w:t xml:space="preserve">Măsuri de prevenire a fraudelor și a neregulilor </w:t>
      </w:r>
    </w:p>
    <w:p>
      <w:pPr>
        <w:pStyle w:val="Text1"/>
        <w:rPr>
          <w:i/>
          <w:noProof/>
          <w:sz w:val="20"/>
        </w:rPr>
      </w:pPr>
      <w:r>
        <w:rPr>
          <w:i/>
          <w:noProof/>
          <w:sz w:val="20"/>
        </w:rPr>
        <w:t>A se preciza măsurile de prevenire și de protecție existente sau preconizate.</w:t>
      </w:r>
    </w:p>
    <w:p>
      <w:pPr>
        <w:pStyle w:val="Text1"/>
        <w:pBdr>
          <w:top w:val="single" w:sz="4" w:space="1" w:color="auto"/>
          <w:left w:val="single" w:sz="4" w:space="4" w:color="auto"/>
          <w:bottom w:val="single" w:sz="4" w:space="1" w:color="auto"/>
          <w:right w:val="single" w:sz="4" w:space="4" w:color="auto"/>
        </w:pBdr>
        <w:ind w:left="720"/>
        <w:rPr>
          <w:noProof/>
        </w:rPr>
      </w:pPr>
      <w:r>
        <w:rPr>
          <w:noProof/>
        </w:rPr>
        <w:t>Utilizarea resurselor financiare ale UE trebuie realizată cu maximum de transparență și trebuie să fie însoțită de o monitorizare adecvată. Se vor aplica obligațiile de raportare ale statelor membre, ale altor beneficiari și ale Comisiei.</w:t>
      </w:r>
    </w:p>
    <w:p>
      <w:pPr>
        <w:pStyle w:val="Text1"/>
        <w:pBdr>
          <w:top w:val="single" w:sz="4" w:space="1" w:color="auto"/>
          <w:left w:val="single" w:sz="4" w:space="4" w:color="auto"/>
          <w:bottom w:val="single" w:sz="4" w:space="1" w:color="auto"/>
          <w:right w:val="single" w:sz="4" w:space="4" w:color="auto"/>
        </w:pBdr>
        <w:ind w:left="0"/>
        <w:rPr>
          <w:noProof/>
        </w:rPr>
        <w:sectPr>
          <w:pgSz w:w="11907" w:h="16840"/>
          <w:pgMar w:top="1134" w:right="1418" w:bottom="1134" w:left="1418" w:header="709" w:footer="709" w:gutter="0"/>
          <w:cols w:space="720"/>
          <w:docGrid w:linePitch="326"/>
        </w:sectPr>
      </w:pPr>
    </w:p>
    <w:p>
      <w:pPr>
        <w:pStyle w:val="ManualHeading1"/>
        <w:rPr>
          <w:bCs/>
          <w:noProof/>
          <w:szCs w:val="24"/>
        </w:rPr>
      </w:pPr>
      <w:r>
        <w:rPr>
          <w:noProof/>
        </w:rPr>
        <w:t>3.</w:t>
      </w:r>
      <w:r>
        <w:rPr>
          <w:noProof/>
        </w:rPr>
        <w:tab/>
        <w:t xml:space="preserve">IMPACTUL FINANCIAR ESTIMAT AL PROPUNERII/INIȚIATIVEI </w:t>
      </w:r>
    </w:p>
    <w:p>
      <w:pPr>
        <w:pStyle w:val="ManualHeading2"/>
        <w:rPr>
          <w:noProof/>
        </w:rPr>
      </w:pPr>
      <w:r>
        <w:rPr>
          <w:noProof/>
        </w:rPr>
        <w:t>3.1.</w:t>
      </w:r>
      <w:r>
        <w:rPr>
          <w:noProof/>
        </w:rPr>
        <w:tab/>
        <w:t xml:space="preserve">Rubrica (rubricile) din cadrul financiar multianual și linia (liniile) bugetară (bugetare) de cheltuieli afectată (afectate) </w:t>
      </w:r>
    </w:p>
    <w:p>
      <w:pPr>
        <w:pStyle w:val="ListBullet1"/>
        <w:rPr>
          <w:noProof/>
        </w:rPr>
      </w:pPr>
      <w:r>
        <w:rPr>
          <w:noProof/>
        </w:rPr>
        <w:t xml:space="preserve">Nicio linie bugetară existentă </w:t>
      </w:r>
    </w:p>
    <w:p>
      <w:pPr>
        <w:rPr>
          <w:noProof/>
        </w:rPr>
      </w:pPr>
    </w:p>
    <w:p>
      <w:pPr>
        <w:pStyle w:val="ListBullet1"/>
        <w:rPr>
          <w:noProof/>
        </w:rPr>
      </w:pPr>
      <w:r>
        <w:rPr>
          <w:noProof/>
        </w:rPr>
        <w:t xml:space="preserve">Noile linii bugetare solicitate </w:t>
      </w:r>
    </w:p>
    <w:p>
      <w:pPr>
        <w:pStyle w:val="Text1"/>
        <w:rPr>
          <w:i/>
          <w:noProof/>
          <w:sz w:val="20"/>
        </w:rPr>
      </w:pPr>
      <w:r>
        <w:rPr>
          <w:i/>
          <w:noProof/>
          <w:u w:val="single"/>
        </w:rPr>
        <w:t>În ordinea</w:t>
      </w:r>
      <w:r>
        <w:rPr>
          <w:i/>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18"/>
                <w:szCs w:val="18"/>
              </w:rPr>
            </w:pPr>
            <w:r>
              <w:rPr>
                <w:noProof/>
                <w:sz w:val="18"/>
              </w:rPr>
              <w:t>Rubrica din cadrul financiar multianual</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r>
              <w:rPr>
                <w:noProof/>
                <w:sz w:val="20"/>
              </w:rPr>
              <w:t>Linia bugetară</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r>
              <w:rPr>
                <w:noProof/>
                <w:sz w:val="18"/>
              </w:rPr>
              <w:t>Tipul de</w:t>
            </w:r>
            <w:r>
              <w:rPr>
                <w:noProof/>
              </w:rPr>
              <w:t xml:space="preserve"> </w:t>
            </w:r>
            <w:r>
              <w:rPr>
                <w:noProof/>
              </w:rPr>
              <w:br/>
            </w:r>
            <w:r>
              <w:rPr>
                <w:noProof/>
                <w:sz w:val="18"/>
              </w:rPr>
              <w:t>cheltuieli</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r>
              <w:rPr>
                <w:noProof/>
                <w:sz w:val="20"/>
              </w:rPr>
              <w:t xml:space="preserve">Contribuție </w:t>
            </w:r>
          </w:p>
        </w:tc>
      </w:tr>
      <w:tr>
        <w:tc>
          <w:tcPr>
            <w:tcW w:w="108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2"/>
              </w:rPr>
            </w:pPr>
            <w:r>
              <w:rPr>
                <w:noProof/>
                <w:sz w:val="20"/>
              </w:rPr>
              <w:t xml:space="preserve">Numărul </w:t>
            </w:r>
            <w:r>
              <w:rPr>
                <w:noProof/>
              </w:rPr>
              <w:t xml:space="preserve"> </w:t>
            </w:r>
            <w:r>
              <w:rPr>
                <w:noProof/>
              </w:rPr>
              <w:br/>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18"/>
              </w:rPr>
              <w:t>Dif./ Nedif.</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din partea țărilor AELS</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din partea țărilor candidate</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din partea țărilor terțe</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16"/>
              </w:rPr>
              <w:t xml:space="preserve">în sensul articolului 21 alineatul (2) litera (b) din </w:t>
            </w:r>
            <w:r>
              <w:rPr>
                <w:noProof/>
                <w:sz w:val="16"/>
                <w:szCs w:val="16"/>
              </w:rPr>
              <w:t xml:space="preserve">Regulamentul (CE, Euratom) 1046/2018 </w:t>
            </w:r>
          </w:p>
        </w:tc>
      </w:tr>
      <w:tr>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rPr>
            </w:pPr>
          </w:p>
        </w:tc>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18"/>
              </w:rPr>
            </w:pPr>
          </w:p>
        </w:tc>
        <w:tc>
          <w:tcPr>
            <w:tcW w:w="956"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956"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1448"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2"/>
        <w:rPr>
          <w:noProof/>
        </w:rPr>
      </w:pPr>
      <w:r>
        <w:rPr>
          <w:noProof/>
        </w:rPr>
        <w:t>3.2.</w:t>
      </w:r>
      <w:r>
        <w:rPr>
          <w:noProof/>
        </w:rPr>
        <w:tab/>
        <w:t xml:space="preserve">Impactul estimat asupra cheltuielilor </w:t>
      </w:r>
    </w:p>
    <w:p>
      <w:pPr>
        <w:pStyle w:val="Text1"/>
        <w:rPr>
          <w:noProof/>
        </w:rPr>
      </w:pPr>
      <w:r>
        <w:rPr>
          <w:noProof/>
        </w:rPr>
        <w:t xml:space="preserve">Propunerea nu are impact asupra cheltuielilor. În cadrul procedurii bugetare se va crea o linie p.m. </w:t>
      </w:r>
    </w:p>
    <w:p>
      <w:pPr>
        <w:pStyle w:val="ManualHeading3"/>
        <w:rPr>
          <w:noProof/>
          <w:u w:val="single"/>
        </w:rPr>
      </w:pPr>
      <w:r>
        <w:rPr>
          <w:noProof/>
        </w:rPr>
        <w:t>3.2.1.</w:t>
      </w:r>
      <w:r>
        <w:rPr>
          <w:noProof/>
        </w:rPr>
        <w:tab/>
        <w:t xml:space="preserve">Sinteza impactului estimat asupra cheltuielilor </w:t>
      </w:r>
    </w:p>
    <w:p>
      <w:pPr>
        <w:jc w:val="right"/>
        <w:rPr>
          <w:noProof/>
          <w:sz w:val="20"/>
        </w:rPr>
      </w:pPr>
      <w:r>
        <w:rPr>
          <w:noProof/>
          <w:sz w:val="20"/>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851"/>
        <w:gridCol w:w="8328"/>
      </w:tblGrid>
      <w:tr>
        <w:trPr>
          <w:jc w:val="center"/>
        </w:trPr>
        <w:tc>
          <w:tcPr>
            <w:tcW w:w="4532"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b/>
                <w:noProof/>
                <w:sz w:val="22"/>
              </w:rPr>
            </w:pPr>
            <w:r>
              <w:rPr>
                <w:b/>
                <w:noProof/>
                <w:sz w:val="22"/>
              </w:rPr>
              <w:t>Rubrica din cadrul financiar</w:t>
            </w:r>
            <w:r>
              <w:rPr>
                <w:noProof/>
              </w:rPr>
              <w:t xml:space="preserve"> </w:t>
            </w:r>
            <w:r>
              <w:rPr>
                <w:noProof/>
              </w:rPr>
              <w:br/>
            </w:r>
            <w:r>
              <w:rPr>
                <w:b/>
                <w:noProof/>
                <w:sz w:val="22"/>
              </w:rPr>
              <w:t xml:space="preserve">multianual </w:t>
            </w:r>
          </w:p>
        </w:tc>
        <w:tc>
          <w:tcPr>
            <w:tcW w:w="851"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p>
        </w:tc>
        <w:tc>
          <w:tcPr>
            <w:tcW w:w="832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sz w:val="22"/>
              </w:rPr>
            </w:pP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418"/>
        <w:gridCol w:w="850"/>
        <w:gridCol w:w="851"/>
        <w:gridCol w:w="850"/>
        <w:gridCol w:w="992"/>
        <w:gridCol w:w="993"/>
        <w:gridCol w:w="992"/>
        <w:gridCol w:w="992"/>
        <w:gridCol w:w="1134"/>
        <w:gridCol w:w="1134"/>
        <w:gridCol w:w="1276"/>
      </w:tblGrid>
      <w:tr>
        <w:tc>
          <w:tcPr>
            <w:tcW w:w="277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2"/>
              </w:rPr>
            </w:pPr>
            <w:r>
              <w:rPr>
                <w:b/>
                <w:noProof/>
                <w:sz w:val="22"/>
              </w:rPr>
              <w:t>DG: BUDG</w:t>
            </w:r>
          </w:p>
        </w:tc>
        <w:tc>
          <w:tcPr>
            <w:tcW w:w="1418" w:type="dxa"/>
            <w:tcBorders>
              <w:top w:val="single" w:sz="4" w:space="0" w:color="auto"/>
              <w:left w:val="single" w:sz="4" w:space="0" w:color="auto"/>
              <w:bottom w:val="single" w:sz="4" w:space="0" w:color="auto"/>
              <w:right w:val="single" w:sz="4" w:space="0" w:color="auto"/>
            </w:tcBorders>
          </w:tcPr>
          <w:p>
            <w:pPr>
              <w:spacing w:line="276" w:lineRule="auto"/>
              <w:rPr>
                <w:noProof/>
                <w:sz w:val="20"/>
              </w:rPr>
            </w:pPr>
          </w:p>
        </w:tc>
        <w:tc>
          <w:tcPr>
            <w:tcW w:w="850" w:type="dxa"/>
            <w:tcBorders>
              <w:top w:val="single" w:sz="4" w:space="0" w:color="auto"/>
              <w:left w:val="single" w:sz="4" w:space="0" w:color="auto"/>
              <w:bottom w:val="single" w:sz="4" w:space="0" w:color="auto"/>
              <w:right w:val="single" w:sz="4" w:space="0" w:color="auto"/>
            </w:tcBorders>
          </w:tcPr>
          <w:p>
            <w:pPr>
              <w:spacing w:line="276" w:lineRule="auto"/>
              <w:jc w:val="center"/>
              <w:rPr>
                <w:noProof/>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szCs w:val="18"/>
              </w:rPr>
            </w:pPr>
            <w:r>
              <w:rPr>
                <w:b/>
                <w:noProof/>
                <w:sz w:val="18"/>
                <w:szCs w:val="18"/>
              </w:rPr>
              <w:t>Anul</w:t>
            </w:r>
            <w:r>
              <w:rPr>
                <w:noProof/>
              </w:rPr>
              <w:t xml:space="preserve"> </w:t>
            </w:r>
            <w:r>
              <w:rPr>
                <w:noProof/>
              </w:rPr>
              <w:br/>
            </w:r>
            <w:r>
              <w:rPr>
                <w:b/>
                <w:noProof/>
                <w:sz w:val="18"/>
                <w:szCs w:val="18"/>
              </w:rPr>
              <w:t xml:space="preserve">2020 </w:t>
            </w:r>
          </w:p>
        </w:tc>
        <w:tc>
          <w:tcPr>
            <w:tcW w:w="850"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2021</w:t>
            </w:r>
          </w:p>
        </w:tc>
        <w:tc>
          <w:tcPr>
            <w:tcW w:w="992"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2022</w:t>
            </w:r>
          </w:p>
        </w:tc>
        <w:tc>
          <w:tcPr>
            <w:tcW w:w="993"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2023</w:t>
            </w:r>
          </w:p>
        </w:tc>
        <w:tc>
          <w:tcPr>
            <w:tcW w:w="992"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2024</w:t>
            </w:r>
          </w:p>
        </w:tc>
        <w:tc>
          <w:tcPr>
            <w:tcW w:w="992"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2025</w:t>
            </w:r>
          </w:p>
        </w:tc>
        <w:tc>
          <w:tcPr>
            <w:tcW w:w="1134"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2026</w:t>
            </w:r>
          </w:p>
        </w:tc>
        <w:tc>
          <w:tcPr>
            <w:tcW w:w="1134" w:type="dxa"/>
            <w:tcBorders>
              <w:top w:val="single" w:sz="4" w:space="0" w:color="auto"/>
              <w:left w:val="single" w:sz="4" w:space="0" w:color="auto"/>
              <w:bottom w:val="single" w:sz="4" w:space="0" w:color="auto"/>
              <w:right w:val="single" w:sz="4" w:space="0" w:color="auto"/>
            </w:tcBorders>
          </w:tcPr>
          <w:p>
            <w:pPr>
              <w:spacing w:line="276" w:lineRule="auto"/>
              <w:jc w:val="center"/>
              <w:rPr>
                <w:b/>
                <w:noProof/>
                <w:sz w:val="18"/>
                <w:szCs w:val="18"/>
              </w:rPr>
            </w:pPr>
            <w:r>
              <w:rPr>
                <w:b/>
                <w:noProof/>
                <w:sz w:val="18"/>
                <w:szCs w:val="18"/>
              </w:rPr>
              <w:t>Anul 2027</w:t>
            </w:r>
          </w:p>
        </w:tc>
        <w:tc>
          <w:tcPr>
            <w:tcW w:w="127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szCs w:val="18"/>
              </w:rPr>
            </w:pPr>
            <w:r>
              <w:rPr>
                <w:b/>
                <w:noProof/>
                <w:sz w:val="18"/>
                <w:szCs w:val="18"/>
              </w:rPr>
              <w:t>TOTAL</w:t>
            </w:r>
          </w:p>
        </w:tc>
      </w:tr>
      <w:tr>
        <w:trPr>
          <w:trHeight w:val="213"/>
        </w:trPr>
        <w:tc>
          <w:tcPr>
            <w:tcW w:w="5038"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1"/>
              </w:rPr>
            </w:pPr>
            <w:r>
              <w:rPr>
                <w:noProof/>
                <w:sz w:val="21"/>
              </w:rPr>
              <w:sym w:font="Wingdings" w:char="F09F"/>
            </w:r>
            <w:r>
              <w:rPr>
                <w:noProof/>
                <w:sz w:val="21"/>
              </w:rPr>
              <w:t xml:space="preserve">Credite operaționale </w:t>
            </w:r>
          </w:p>
        </w:tc>
        <w:tc>
          <w:tcPr>
            <w:tcW w:w="851"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50"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3"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1134"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1134"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769"/>
        </w:trPr>
        <w:tc>
          <w:tcPr>
            <w:tcW w:w="277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Angajamente</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277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Plăți</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319"/>
        </w:trPr>
        <w:tc>
          <w:tcPr>
            <w:tcW w:w="2770"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rPr>
                <w:noProof/>
                <w:sz w:val="22"/>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sz w:val="18"/>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center"/>
              <w:rPr>
                <w:noProof/>
                <w:sz w:val="14"/>
              </w:rPr>
            </w:pPr>
          </w:p>
        </w:tc>
        <w:tc>
          <w:tcPr>
            <w:tcW w:w="851"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50"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993"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1134"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1134"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r>
      <w:tr>
        <w:tc>
          <w:tcPr>
            <w:tcW w:w="277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2"/>
              </w:rPr>
            </w:pPr>
            <w:r>
              <w:rPr>
                <w:b/>
                <w:noProof/>
                <w:sz w:val="22"/>
              </w:rPr>
              <w:t>TOTAL credite</w:t>
            </w:r>
            <w:r>
              <w:rPr>
                <w:noProof/>
              </w:rPr>
              <w:t xml:space="preserve"> </w:t>
            </w:r>
            <w:r>
              <w:rPr>
                <w:noProof/>
              </w:rPr>
              <w:br/>
            </w:r>
            <w:r>
              <w:rPr>
                <w:b/>
                <w:noProof/>
                <w:sz w:val="22"/>
              </w:rPr>
              <w:t>pentru DG BUDG</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Angajamente</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=1+3</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277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Plăți</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=2+3</w:t>
            </w:r>
          </w:p>
          <w:p>
            <w:pPr>
              <w:spacing w:line="276" w:lineRule="auto"/>
              <w:jc w:val="center"/>
              <w:rPr>
                <w:noProof/>
                <w:sz w:val="14"/>
              </w:rPr>
            </w:pP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277"/>
        </w:trPr>
        <w:tc>
          <w:tcPr>
            <w:tcW w:w="2770" w:type="dxa"/>
            <w:vMerge w:val="restart"/>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2"/>
              </w:rPr>
            </w:pPr>
            <w:r>
              <w:rPr>
                <w:noProof/>
              </w:rPr>
              <w:br w:type="page"/>
            </w:r>
            <w:r>
              <w:rPr>
                <w:noProof/>
                <w:sz w:val="21"/>
              </w:rPr>
              <w:sym w:font="Wingdings" w:char="F09F"/>
            </w:r>
            <w:r>
              <w:rPr>
                <w:noProof/>
                <w:sz w:val="21"/>
              </w:rPr>
              <w:t xml:space="preserve">TOTAL credite operaționale </w:t>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18"/>
              </w:rPr>
            </w:pPr>
            <w:r>
              <w:rPr>
                <w:noProof/>
                <w:sz w:val="18"/>
              </w:rPr>
              <w:t>Angajamente</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(4)</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277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18"/>
              </w:rPr>
            </w:pPr>
            <w:r>
              <w:rPr>
                <w:noProof/>
                <w:sz w:val="18"/>
              </w:rPr>
              <w:t>Plăți</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(5)</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533"/>
        </w:trPr>
        <w:tc>
          <w:tcPr>
            <w:tcW w:w="4188"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22"/>
              </w:rPr>
            </w:pPr>
            <w:r>
              <w:rPr>
                <w:noProof/>
                <w:sz w:val="21"/>
              </w:rPr>
              <w:sym w:font="Wingdings" w:char="F09F"/>
            </w:r>
            <w:r>
              <w:rPr>
                <w:noProof/>
                <w:sz w:val="21"/>
              </w:rPr>
              <w:t xml:space="preserve">TOTAL credite cu caracter administrativ finanțate din bugetul unor programe specifice </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(6)</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50"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3"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1134"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1134"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2770" w:type="dxa"/>
            <w:vMerge w:val="restart"/>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b/>
                <w:noProof/>
                <w:sz w:val="22"/>
              </w:rPr>
            </w:pPr>
            <w:r>
              <w:rPr>
                <w:b/>
                <w:noProof/>
                <w:sz w:val="22"/>
              </w:rPr>
              <w:t>TOTAL credite</w:t>
            </w:r>
            <w:r>
              <w:rPr>
                <w:noProof/>
              </w:rPr>
              <w:t xml:space="preserve"> </w:t>
            </w:r>
            <w:r>
              <w:rPr>
                <w:noProof/>
              </w:rPr>
              <w:br/>
            </w:r>
            <w:r>
              <w:rPr>
                <w:b/>
                <w:noProof/>
                <w:sz w:val="22"/>
              </w:rPr>
              <w:t xml:space="preserve">(rubrica </w:t>
            </w:r>
            <w:r>
              <w:rPr>
                <w:noProof/>
                <w:sz w:val="22"/>
              </w:rPr>
              <w:t>2</w:t>
            </w:r>
            <w:r>
              <w:rPr>
                <w:b/>
                <w:noProof/>
                <w:sz w:val="22"/>
              </w:rPr>
              <w:t>)</w:t>
            </w:r>
            <w:r>
              <w:rPr>
                <w:noProof/>
              </w:rPr>
              <w:t xml:space="preserve"> </w:t>
            </w:r>
            <w:r>
              <w:rPr>
                <w:noProof/>
              </w:rPr>
              <w:br/>
            </w: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Angajamente</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=4+6</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277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Plăți</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=5+6</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bl>
    <w:p>
      <w:pPr>
        <w:spacing w:after="40"/>
        <w:rPr>
          <w:b/>
          <w:noProof/>
          <w:sz w:val="22"/>
          <w:u w:val="single"/>
        </w:rPr>
      </w:pPr>
    </w:p>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b/>
                <w:noProof/>
                <w:sz w:val="22"/>
              </w:rPr>
            </w:pPr>
            <w:r>
              <w:rPr>
                <w:noProof/>
              </w:rPr>
              <w:br w:type="page"/>
            </w:r>
            <w:r>
              <w:rPr>
                <w:b/>
                <w:noProof/>
                <w:sz w:val="22"/>
              </w:rPr>
              <w:t>Rubrica din cadrul financiar</w:t>
            </w:r>
            <w:r>
              <w:rPr>
                <w:noProof/>
              </w:rPr>
              <w:t xml:space="preserve"> </w:t>
            </w:r>
            <w:r>
              <w:rPr>
                <w:noProof/>
              </w:rPr>
              <w:br/>
            </w:r>
            <w:r>
              <w:rPr>
                <w:b/>
                <w:noProof/>
                <w:sz w:val="22"/>
              </w:rPr>
              <w:t xml:space="preserve">multianual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sz w:val="22"/>
              </w:rPr>
            </w:pPr>
            <w:r>
              <w:rPr>
                <w:b/>
                <w:noProof/>
                <w:sz w:val="22"/>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sz w:val="22"/>
              </w:rPr>
            </w:pPr>
            <w:r>
              <w:rPr>
                <w:noProof/>
                <w:sz w:val="22"/>
              </w:rPr>
              <w:t>„Cheltuieli administrative”</w:t>
            </w:r>
          </w:p>
        </w:tc>
      </w:tr>
    </w:tbl>
    <w:p>
      <w:pPr>
        <w:jc w:val="right"/>
        <w:rPr>
          <w:noProof/>
          <w:sz w:val="20"/>
        </w:rPr>
      </w:pPr>
      <w:r>
        <w:rPr>
          <w:noProof/>
          <w:sz w:val="20"/>
        </w:rPr>
        <w:t>milioane EUR (cu trei zecimale)</w:t>
      </w:r>
    </w:p>
    <w:tbl>
      <w:tblPr>
        <w:tblW w:w="143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8"/>
        <w:gridCol w:w="868"/>
        <w:gridCol w:w="210"/>
        <w:gridCol w:w="284"/>
        <w:gridCol w:w="1120"/>
        <w:gridCol w:w="868"/>
        <w:gridCol w:w="868"/>
        <w:gridCol w:w="868"/>
        <w:gridCol w:w="745"/>
        <w:gridCol w:w="787"/>
        <w:gridCol w:w="722"/>
        <w:gridCol w:w="758"/>
        <w:gridCol w:w="2338"/>
      </w:tblGrid>
      <w:tr>
        <w:tc>
          <w:tcPr>
            <w:tcW w:w="3958" w:type="dxa"/>
            <w:tcBorders>
              <w:top w:val="nil"/>
              <w:left w:val="nil"/>
              <w:bottom w:val="single" w:sz="4" w:space="0" w:color="auto"/>
              <w:right w:val="nil"/>
            </w:tcBorders>
            <w:vAlign w:val="center"/>
          </w:tcPr>
          <w:p>
            <w:pPr>
              <w:spacing w:line="276" w:lineRule="auto"/>
              <w:jc w:val="center"/>
              <w:rPr>
                <w:noProof/>
                <w:sz w:val="22"/>
              </w:rPr>
            </w:pPr>
          </w:p>
        </w:tc>
        <w:tc>
          <w:tcPr>
            <w:tcW w:w="1078" w:type="dxa"/>
            <w:gridSpan w:val="2"/>
            <w:tcBorders>
              <w:top w:val="nil"/>
              <w:left w:val="nil"/>
              <w:bottom w:val="single" w:sz="4" w:space="0" w:color="auto"/>
              <w:right w:val="nil"/>
            </w:tcBorders>
          </w:tcPr>
          <w:p>
            <w:pPr>
              <w:spacing w:line="276" w:lineRule="auto"/>
              <w:rPr>
                <w:noProof/>
                <w:sz w:val="20"/>
              </w:rPr>
            </w:pPr>
          </w:p>
        </w:tc>
        <w:tc>
          <w:tcPr>
            <w:tcW w:w="284" w:type="dxa"/>
            <w:tcBorders>
              <w:top w:val="nil"/>
              <w:left w:val="nil"/>
              <w:bottom w:val="single" w:sz="4" w:space="0" w:color="auto"/>
              <w:right w:val="single" w:sz="4" w:space="0" w:color="auto"/>
            </w:tcBorders>
          </w:tcPr>
          <w:p>
            <w:pPr>
              <w:spacing w:line="276" w:lineRule="auto"/>
              <w:jc w:val="center"/>
              <w:rPr>
                <w:noProof/>
                <w:sz w:val="20"/>
              </w:rPr>
            </w:pPr>
          </w:p>
        </w:tc>
        <w:tc>
          <w:tcPr>
            <w:tcW w:w="112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2022</w:t>
            </w:r>
          </w:p>
        </w:tc>
        <w:tc>
          <w:tcPr>
            <w:tcW w:w="868" w:type="dxa"/>
            <w:tcBorders>
              <w:top w:val="single" w:sz="4" w:space="0" w:color="auto"/>
              <w:left w:val="single" w:sz="4" w:space="0" w:color="auto"/>
              <w:bottom w:val="single" w:sz="4" w:space="0" w:color="auto"/>
              <w:right w:val="single" w:sz="4" w:space="0" w:color="auto"/>
            </w:tcBorders>
          </w:tcPr>
          <w:p>
            <w:pPr>
              <w:spacing w:line="276" w:lineRule="auto"/>
              <w:jc w:val="center"/>
              <w:rPr>
                <w:noProof/>
                <w:sz w:val="20"/>
              </w:rPr>
            </w:pPr>
            <w:r>
              <w:rPr>
                <w:noProof/>
                <w:sz w:val="20"/>
              </w:rPr>
              <w:t>Anul</w:t>
            </w:r>
            <w:r>
              <w:rPr>
                <w:noProof/>
              </w:rPr>
              <w:t xml:space="preserve"> </w:t>
            </w:r>
            <w:r>
              <w:rPr>
                <w:noProof/>
              </w:rPr>
              <w:br/>
            </w:r>
            <w:r>
              <w:rPr>
                <w:b/>
                <w:noProof/>
                <w:sz w:val="20"/>
              </w:rPr>
              <w:t>2023</w:t>
            </w:r>
          </w:p>
        </w:tc>
        <w:tc>
          <w:tcPr>
            <w:tcW w:w="745"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2024</w:t>
            </w:r>
          </w:p>
        </w:tc>
        <w:tc>
          <w:tcPr>
            <w:tcW w:w="78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noProof/>
                <w:sz w:val="20"/>
              </w:rPr>
              <w:t>Anul</w:t>
            </w:r>
            <w:r>
              <w:rPr>
                <w:noProof/>
              </w:rPr>
              <w:t xml:space="preserve"> </w:t>
            </w:r>
            <w:r>
              <w:rPr>
                <w:noProof/>
              </w:rPr>
              <w:br/>
            </w:r>
            <w:r>
              <w:rPr>
                <w:b/>
                <w:noProof/>
                <w:sz w:val="20"/>
              </w:rPr>
              <w:t>2025</w:t>
            </w:r>
          </w:p>
        </w:tc>
        <w:tc>
          <w:tcPr>
            <w:tcW w:w="722"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b/>
                <w:noProof/>
                <w:sz w:val="18"/>
              </w:rPr>
            </w:pPr>
            <w:r>
              <w:rPr>
                <w:noProof/>
                <w:sz w:val="20"/>
              </w:rPr>
              <w:t>Anul</w:t>
            </w:r>
            <w:r>
              <w:rPr>
                <w:noProof/>
              </w:rPr>
              <w:t xml:space="preserve"> </w:t>
            </w:r>
            <w:r>
              <w:rPr>
                <w:noProof/>
              </w:rPr>
              <w:br/>
            </w:r>
            <w:r>
              <w:rPr>
                <w:b/>
                <w:noProof/>
                <w:sz w:val="20"/>
              </w:rPr>
              <w:t>2026</w:t>
            </w:r>
          </w:p>
        </w:tc>
        <w:tc>
          <w:tcPr>
            <w:tcW w:w="758"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b/>
                <w:noProof/>
                <w:sz w:val="18"/>
              </w:rPr>
            </w:pPr>
            <w:r>
              <w:rPr>
                <w:noProof/>
                <w:sz w:val="20"/>
              </w:rPr>
              <w:t>Anul</w:t>
            </w:r>
            <w:r>
              <w:rPr>
                <w:noProof/>
              </w:rPr>
              <w:t xml:space="preserve"> </w:t>
            </w:r>
            <w:r>
              <w:rPr>
                <w:noProof/>
              </w:rPr>
              <w:br/>
            </w:r>
            <w:r>
              <w:rPr>
                <w:b/>
                <w:noProof/>
                <w:sz w:val="20"/>
              </w:rPr>
              <w:t>2027</w:t>
            </w:r>
          </w:p>
        </w:tc>
        <w:tc>
          <w:tcPr>
            <w:tcW w:w="233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TOTAL</w:t>
            </w:r>
          </w:p>
        </w:tc>
      </w:tr>
      <w:tr>
        <w:trPr>
          <w:gridAfter w:val="11"/>
          <w:wAfter w:w="9568" w:type="dxa"/>
        </w:trPr>
        <w:tc>
          <w:tcPr>
            <w:tcW w:w="395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r>
              <w:rPr>
                <w:noProof/>
                <w:sz w:val="22"/>
              </w:rPr>
              <w:t>DG BUDG</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center"/>
              <w:rPr>
                <w:noProof/>
                <w:sz w:val="22"/>
              </w:rPr>
            </w:pPr>
          </w:p>
        </w:tc>
      </w:tr>
      <w:tr>
        <w:trPr>
          <w:trHeight w:val="313"/>
        </w:trPr>
        <w:tc>
          <w:tcPr>
            <w:tcW w:w="5320"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2"/>
              </w:rPr>
            </w:pPr>
            <w:r>
              <w:rPr>
                <w:noProof/>
                <w:sz w:val="22"/>
              </w:rPr>
              <w:sym w:font="Wingdings" w:char="F09F"/>
            </w:r>
            <w:r>
              <w:rPr>
                <w:noProof/>
                <w:sz w:val="22"/>
              </w:rPr>
              <w:t xml:space="preserve"> Resurse umane </w:t>
            </w:r>
          </w:p>
        </w:tc>
        <w:tc>
          <w:tcPr>
            <w:tcW w:w="1120"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0,86</w:t>
            </w:r>
          </w:p>
        </w:tc>
        <w:tc>
          <w:tcPr>
            <w:tcW w:w="868"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868"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868"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45"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87"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22"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58" w:type="dxa"/>
            <w:tcBorders>
              <w:top w:val="nil"/>
              <w:left w:val="nil"/>
              <w:bottom w:val="nil"/>
              <w:right w:val="nil"/>
            </w:tcBorders>
            <w:shd w:val="clear" w:color="auto" w:fill="auto"/>
            <w:vAlign w:val="bottom"/>
          </w:tcPr>
          <w:p>
            <w:pPr>
              <w:spacing w:before="20" w:after="20" w:line="276" w:lineRule="auto"/>
              <w:jc w:val="right"/>
              <w:rPr>
                <w:b/>
                <w:noProof/>
                <w:sz w:val="20"/>
              </w:rPr>
            </w:pPr>
            <w:r>
              <w:rPr>
                <w:rFonts w:ascii="Calibri" w:hAnsi="Calibri"/>
                <w:noProof/>
                <w:color w:val="000000"/>
                <w:sz w:val="22"/>
              </w:rPr>
              <w:t>3,38</w:t>
            </w:r>
          </w:p>
        </w:tc>
        <w:tc>
          <w:tcPr>
            <w:tcW w:w="2338" w:type="dxa"/>
            <w:tcBorders>
              <w:top w:val="nil"/>
              <w:left w:val="nil"/>
              <w:bottom w:val="nil"/>
              <w:right w:val="nil"/>
            </w:tcBorders>
            <w:shd w:val="clear" w:color="auto" w:fill="auto"/>
            <w:vAlign w:val="bottom"/>
          </w:tcPr>
          <w:p>
            <w:pPr>
              <w:spacing w:before="20" w:after="20" w:line="276" w:lineRule="auto"/>
              <w:jc w:val="right"/>
              <w:rPr>
                <w:b/>
                <w:noProof/>
                <w:sz w:val="20"/>
              </w:rPr>
            </w:pPr>
            <w:r>
              <w:rPr>
                <w:rFonts w:ascii="Calibri" w:hAnsi="Calibri"/>
                <w:noProof/>
                <w:color w:val="000000"/>
                <w:sz w:val="22"/>
              </w:rPr>
              <w:t>24,516</w:t>
            </w:r>
          </w:p>
        </w:tc>
      </w:tr>
      <w:tr>
        <w:trPr>
          <w:trHeight w:val="351"/>
        </w:trPr>
        <w:tc>
          <w:tcPr>
            <w:tcW w:w="5320"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2"/>
              </w:rPr>
            </w:pPr>
            <w:r>
              <w:rPr>
                <w:noProof/>
                <w:sz w:val="22"/>
              </w:rPr>
              <w:sym w:font="Wingdings" w:char="F09F"/>
            </w:r>
            <w:r>
              <w:rPr>
                <w:noProof/>
                <w:sz w:val="22"/>
              </w:rPr>
              <w:t xml:space="preserve"> Alte cheltuieli administrative </w:t>
            </w:r>
          </w:p>
        </w:tc>
        <w:tc>
          <w:tcPr>
            <w:tcW w:w="112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745"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78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72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75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233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5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2"/>
              </w:rPr>
            </w:pPr>
            <w:r>
              <w:rPr>
                <w:b/>
                <w:noProof/>
                <w:sz w:val="22"/>
              </w:rPr>
              <w:t>TOTAL DG BUDG</w:t>
            </w:r>
          </w:p>
        </w:tc>
        <w:tc>
          <w:tcPr>
            <w:tcW w:w="1362"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 xml:space="preserve">Credite </w:t>
            </w:r>
          </w:p>
        </w:tc>
        <w:tc>
          <w:tcPr>
            <w:tcW w:w="1120" w:type="dxa"/>
            <w:tcBorders>
              <w:top w:val="nil"/>
              <w:left w:val="nil"/>
              <w:bottom w:val="nil"/>
              <w:right w:val="nil"/>
            </w:tcBorders>
            <w:shd w:val="clear" w:color="auto" w:fill="auto"/>
            <w:vAlign w:val="bottom"/>
          </w:tcPr>
          <w:p>
            <w:pPr>
              <w:spacing w:before="60" w:after="60" w:line="276" w:lineRule="auto"/>
              <w:jc w:val="right"/>
              <w:rPr>
                <w:noProof/>
                <w:sz w:val="20"/>
              </w:rPr>
            </w:pPr>
            <w:r>
              <w:rPr>
                <w:rFonts w:ascii="Calibri" w:hAnsi="Calibri"/>
                <w:noProof/>
                <w:color w:val="000000"/>
                <w:sz w:val="22"/>
              </w:rPr>
              <w:t>0,86</w:t>
            </w:r>
          </w:p>
        </w:tc>
        <w:tc>
          <w:tcPr>
            <w:tcW w:w="868"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868"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868" w:type="dxa"/>
            <w:tcBorders>
              <w:top w:val="nil"/>
              <w:left w:val="nil"/>
              <w:bottom w:val="nil"/>
              <w:right w:val="nil"/>
            </w:tcBorders>
            <w:shd w:val="clear" w:color="auto" w:fill="auto"/>
            <w:vAlign w:val="bottom"/>
          </w:tcPr>
          <w:p>
            <w:pPr>
              <w:spacing w:after="20" w:line="276" w:lineRule="auto"/>
              <w:jc w:val="right"/>
              <w:rPr>
                <w:noProof/>
                <w:sz w:val="20"/>
              </w:rPr>
            </w:pPr>
            <w:r>
              <w:rPr>
                <w:rFonts w:ascii="Calibri" w:hAnsi="Calibri"/>
                <w:noProof/>
                <w:color w:val="000000"/>
                <w:sz w:val="22"/>
              </w:rPr>
              <w:t>3,38</w:t>
            </w:r>
          </w:p>
        </w:tc>
        <w:tc>
          <w:tcPr>
            <w:tcW w:w="745"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87"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22" w:type="dxa"/>
            <w:tcBorders>
              <w:top w:val="nil"/>
              <w:left w:val="nil"/>
              <w:bottom w:val="nil"/>
              <w:right w:val="nil"/>
            </w:tcBorders>
            <w:shd w:val="clear" w:color="auto" w:fill="auto"/>
            <w:vAlign w:val="bottom"/>
          </w:tcPr>
          <w:p>
            <w:pPr>
              <w:spacing w:before="20" w:after="20" w:line="276" w:lineRule="auto"/>
              <w:jc w:val="right"/>
              <w:rPr>
                <w:noProof/>
                <w:sz w:val="20"/>
              </w:rPr>
            </w:pPr>
            <w:r>
              <w:rPr>
                <w:rFonts w:ascii="Calibri" w:hAnsi="Calibri"/>
                <w:noProof/>
                <w:color w:val="000000"/>
                <w:sz w:val="22"/>
              </w:rPr>
              <w:t>3,38</w:t>
            </w:r>
          </w:p>
        </w:tc>
        <w:tc>
          <w:tcPr>
            <w:tcW w:w="758" w:type="dxa"/>
            <w:tcBorders>
              <w:top w:val="nil"/>
              <w:left w:val="nil"/>
              <w:bottom w:val="nil"/>
              <w:right w:val="nil"/>
            </w:tcBorders>
            <w:shd w:val="clear" w:color="auto" w:fill="auto"/>
            <w:vAlign w:val="bottom"/>
          </w:tcPr>
          <w:p>
            <w:pPr>
              <w:spacing w:before="20" w:after="20" w:line="276" w:lineRule="auto"/>
              <w:jc w:val="right"/>
              <w:rPr>
                <w:b/>
                <w:noProof/>
                <w:sz w:val="20"/>
              </w:rPr>
            </w:pPr>
            <w:r>
              <w:rPr>
                <w:rFonts w:ascii="Calibri" w:hAnsi="Calibri"/>
                <w:noProof/>
                <w:color w:val="000000"/>
                <w:sz w:val="22"/>
              </w:rPr>
              <w:t>3,38</w:t>
            </w:r>
          </w:p>
        </w:tc>
        <w:tc>
          <w:tcPr>
            <w:tcW w:w="2338" w:type="dxa"/>
            <w:tcBorders>
              <w:top w:val="nil"/>
              <w:left w:val="nil"/>
              <w:bottom w:val="nil"/>
              <w:right w:val="nil"/>
            </w:tcBorders>
            <w:shd w:val="clear" w:color="auto" w:fill="auto"/>
            <w:vAlign w:val="bottom"/>
          </w:tcPr>
          <w:p>
            <w:pPr>
              <w:spacing w:before="20" w:after="20" w:line="276" w:lineRule="auto"/>
              <w:jc w:val="right"/>
              <w:rPr>
                <w:b/>
                <w:noProof/>
                <w:sz w:val="20"/>
              </w:rPr>
            </w:pPr>
            <w:r>
              <w:rPr>
                <w:rFonts w:ascii="Calibri" w:hAnsi="Calibri"/>
                <w:noProof/>
                <w:color w:val="000000"/>
                <w:sz w:val="22"/>
              </w:rPr>
              <w:t>24,516</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50"/>
        <w:gridCol w:w="851"/>
        <w:gridCol w:w="850"/>
        <w:gridCol w:w="851"/>
        <w:gridCol w:w="708"/>
        <w:gridCol w:w="851"/>
        <w:gridCol w:w="709"/>
        <w:gridCol w:w="2268"/>
      </w:tblGrid>
      <w:tr>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b/>
                <w:noProof/>
                <w:sz w:val="22"/>
              </w:rPr>
            </w:pPr>
            <w:r>
              <w:rPr>
                <w:b/>
                <w:noProof/>
                <w:sz w:val="22"/>
              </w:rPr>
              <w:t>TOTAL credite</w:t>
            </w:r>
            <w:r>
              <w:rPr>
                <w:noProof/>
              </w:rPr>
              <w:t xml:space="preserve"> </w:t>
            </w:r>
            <w:r>
              <w:rPr>
                <w:noProof/>
              </w:rPr>
              <w:br/>
            </w:r>
            <w:r>
              <w:rPr>
                <w:b/>
                <w:noProof/>
                <w:sz w:val="22"/>
              </w:rPr>
              <w:t>de la RUBRICA 5 (2020) și de la RUBRICA 7 (2021-2027)</w:t>
            </w:r>
            <w:r>
              <w:rPr>
                <w:noProof/>
              </w:rPr>
              <w:t xml:space="preserve"> </w:t>
            </w:r>
            <w:r>
              <w:rPr>
                <w:noProof/>
              </w:rPr>
              <w:br/>
            </w:r>
            <w:r>
              <w:rPr>
                <w:noProof/>
                <w:sz w:val="22"/>
              </w:rPr>
              <w:t>din cadrul financiar multianual</w:t>
            </w:r>
            <w:r>
              <w:rPr>
                <w:b/>
                <w:noProof/>
                <w:sz w:val="22"/>
              </w:rPr>
              <w:t xml:space="preserve"> </w:t>
            </w:r>
          </w:p>
        </w:tc>
        <w:tc>
          <w:tcPr>
            <w:tcW w:w="1362"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sz w:val="22"/>
              </w:rPr>
            </w:pPr>
            <w:r>
              <w:rPr>
                <w:noProof/>
                <w:sz w:val="18"/>
              </w:rPr>
              <w:t>(Total angajamente = Total plăți)</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r>
              <w:rPr>
                <w:noProof/>
                <w:sz w:val="20"/>
              </w:rPr>
              <w:t>0,86</w:t>
            </w: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r>
              <w:rPr>
                <w:noProof/>
                <w:sz w:val="20"/>
              </w:rPr>
              <w:t>3,38</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r>
              <w:rPr>
                <w:noProof/>
                <w:sz w:val="20"/>
              </w:rPr>
              <w:t>3,38</w:t>
            </w:r>
          </w:p>
        </w:tc>
        <w:tc>
          <w:tcPr>
            <w:tcW w:w="850"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r>
              <w:rPr>
                <w:noProof/>
                <w:sz w:val="20"/>
              </w:rPr>
              <w:t>3,38</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r>
              <w:rPr>
                <w:noProof/>
                <w:sz w:val="20"/>
              </w:rPr>
              <w:t>3,38</w:t>
            </w:r>
          </w:p>
        </w:tc>
        <w:tc>
          <w:tcPr>
            <w:tcW w:w="70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r>
              <w:rPr>
                <w:noProof/>
                <w:sz w:val="20"/>
              </w:rPr>
              <w:t>3,38</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noProof/>
                <w:sz w:val="20"/>
              </w:rPr>
              <w:t>3,38</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noProof/>
                <w:sz w:val="20"/>
              </w:rPr>
              <w:t>3,38</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noProof/>
                <w:sz w:val="20"/>
              </w:rPr>
              <w:t>24,516</w:t>
            </w:r>
          </w:p>
        </w:tc>
      </w:tr>
    </w:tbl>
    <w:p>
      <w:pPr>
        <w:jc w:val="right"/>
        <w:rPr>
          <w:noProof/>
          <w:sz w:val="20"/>
        </w:rPr>
      </w:pPr>
      <w:r>
        <w:rPr>
          <w:noProof/>
          <w:sz w:val="20"/>
        </w:rPr>
        <w:t>milioane EUR (cu trei zecimale)</w:t>
      </w:r>
    </w:p>
    <w:tbl>
      <w:tblPr>
        <w:tblW w:w="145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078"/>
        <w:gridCol w:w="284"/>
        <w:gridCol w:w="850"/>
        <w:gridCol w:w="851"/>
        <w:gridCol w:w="992"/>
        <w:gridCol w:w="992"/>
        <w:gridCol w:w="992"/>
        <w:gridCol w:w="993"/>
        <w:gridCol w:w="1134"/>
        <w:gridCol w:w="1134"/>
        <w:gridCol w:w="1275"/>
      </w:tblGrid>
      <w:tr>
        <w:tc>
          <w:tcPr>
            <w:tcW w:w="3960" w:type="dxa"/>
            <w:tcBorders>
              <w:top w:val="nil"/>
              <w:left w:val="nil"/>
              <w:bottom w:val="single" w:sz="4" w:space="0" w:color="auto"/>
              <w:right w:val="nil"/>
            </w:tcBorders>
            <w:vAlign w:val="center"/>
          </w:tcPr>
          <w:p>
            <w:pPr>
              <w:spacing w:line="276" w:lineRule="auto"/>
              <w:jc w:val="center"/>
              <w:rPr>
                <w:noProof/>
                <w:sz w:val="22"/>
              </w:rPr>
            </w:pPr>
          </w:p>
        </w:tc>
        <w:tc>
          <w:tcPr>
            <w:tcW w:w="1078" w:type="dxa"/>
            <w:tcBorders>
              <w:top w:val="nil"/>
              <w:left w:val="nil"/>
              <w:bottom w:val="single" w:sz="4" w:space="0" w:color="auto"/>
              <w:right w:val="nil"/>
            </w:tcBorders>
          </w:tcPr>
          <w:p>
            <w:pPr>
              <w:spacing w:line="276" w:lineRule="auto"/>
              <w:rPr>
                <w:noProof/>
                <w:sz w:val="20"/>
              </w:rPr>
            </w:pPr>
          </w:p>
        </w:tc>
        <w:tc>
          <w:tcPr>
            <w:tcW w:w="284" w:type="dxa"/>
            <w:tcBorders>
              <w:top w:val="nil"/>
              <w:left w:val="nil"/>
              <w:bottom w:val="single" w:sz="4" w:space="0" w:color="auto"/>
              <w:right w:val="single" w:sz="4" w:space="0" w:color="auto"/>
            </w:tcBorders>
          </w:tcPr>
          <w:p>
            <w:pPr>
              <w:spacing w:line="276" w:lineRule="auto"/>
              <w:jc w:val="center"/>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2020</w:t>
            </w:r>
          </w:p>
        </w:tc>
        <w:tc>
          <w:tcPr>
            <w:tcW w:w="85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Anul</w:t>
            </w:r>
            <w:r>
              <w:rPr>
                <w:noProof/>
              </w:rPr>
              <w:t xml:space="preserve"> </w:t>
            </w:r>
            <w:r>
              <w:rPr>
                <w:noProof/>
              </w:rPr>
              <w:br/>
            </w:r>
            <w:r>
              <w:rPr>
                <w:b/>
                <w:noProof/>
                <w:sz w:val="20"/>
              </w:rPr>
              <w:t>2024</w:t>
            </w:r>
          </w:p>
        </w:tc>
        <w:tc>
          <w:tcPr>
            <w:tcW w:w="993"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b/>
                <w:noProof/>
                <w:sz w:val="18"/>
              </w:rPr>
            </w:pPr>
            <w:r>
              <w:rPr>
                <w:noProof/>
                <w:sz w:val="20"/>
              </w:rPr>
              <w:t>Anul</w:t>
            </w:r>
            <w:r>
              <w:rPr>
                <w:noProof/>
              </w:rPr>
              <w:t xml:space="preserve"> </w:t>
            </w:r>
            <w:r>
              <w:rPr>
                <w:noProof/>
              </w:rPr>
              <w:br/>
            </w:r>
            <w:r>
              <w:rPr>
                <w:b/>
                <w:noProof/>
                <w:sz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b/>
                <w:noProof/>
                <w:sz w:val="18"/>
              </w:rPr>
            </w:pPr>
            <w:r>
              <w:rPr>
                <w:noProof/>
                <w:sz w:val="20"/>
              </w:rPr>
              <w:t>Anul</w:t>
            </w:r>
            <w:r>
              <w:rPr>
                <w:noProof/>
              </w:rPr>
              <w:t xml:space="preserve"> </w:t>
            </w:r>
            <w:r>
              <w:rPr>
                <w:noProof/>
              </w:rPr>
              <w:br/>
            </w:r>
            <w:r>
              <w:rPr>
                <w:b/>
                <w:noProof/>
                <w:sz w:val="20"/>
              </w:rPr>
              <w:t>2026</w:t>
            </w:r>
          </w:p>
        </w:tc>
        <w:tc>
          <w:tcPr>
            <w:tcW w:w="1134"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b/>
                <w:noProof/>
                <w:sz w:val="18"/>
              </w:rPr>
            </w:pPr>
            <w:r>
              <w:rPr>
                <w:noProof/>
                <w:sz w:val="20"/>
              </w:rPr>
              <w:t>Anul</w:t>
            </w:r>
            <w:r>
              <w:rPr>
                <w:noProof/>
              </w:rPr>
              <w:t xml:space="preserve"> </w:t>
            </w:r>
            <w:r>
              <w:rPr>
                <w:noProof/>
              </w:rPr>
              <w:br/>
            </w:r>
            <w:r>
              <w:rPr>
                <w:b/>
                <w:noProof/>
                <w:sz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TOTAL</w:t>
            </w:r>
          </w:p>
        </w:tc>
      </w:tr>
      <w:tr>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pPr>
              <w:spacing w:line="276" w:lineRule="auto"/>
              <w:jc w:val="center"/>
              <w:rPr>
                <w:b/>
                <w:noProof/>
                <w:sz w:val="22"/>
              </w:rPr>
            </w:pPr>
            <w:r>
              <w:rPr>
                <w:b/>
                <w:noProof/>
                <w:sz w:val="22"/>
              </w:rPr>
              <w:t xml:space="preserve">TOTAL credite </w:t>
            </w:r>
            <w:r>
              <w:rPr>
                <w:noProof/>
              </w:rPr>
              <w:br/>
            </w:r>
            <w:r>
              <w:rPr>
                <w:b/>
                <w:noProof/>
                <w:sz w:val="22"/>
              </w:rPr>
              <w:t xml:space="preserve">din </w:t>
            </w:r>
            <w:r>
              <w:rPr>
                <w:noProof/>
                <w:sz w:val="22"/>
              </w:rPr>
              <w:t>cadrul financiar multianual</w:t>
            </w:r>
            <w:r>
              <w:rPr>
                <w:b/>
                <w:noProof/>
                <w:sz w:val="22"/>
              </w:rPr>
              <w:t xml:space="preserve"> </w:t>
            </w:r>
          </w:p>
        </w:tc>
        <w:tc>
          <w:tcPr>
            <w:tcW w:w="1362"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Angajamente</w:t>
            </w:r>
          </w:p>
        </w:tc>
        <w:tc>
          <w:tcPr>
            <w:tcW w:w="850"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0,86</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3"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r>
              <w:rPr>
                <w:noProof/>
                <w:sz w:val="20"/>
              </w:rPr>
              <w:t>3,38</w:t>
            </w:r>
          </w:p>
        </w:tc>
        <w:tc>
          <w:tcPr>
            <w:tcW w:w="1275"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r>
              <w:rPr>
                <w:noProof/>
                <w:sz w:val="20"/>
              </w:rPr>
              <w:t>24,516</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sz w:val="22"/>
              </w:rPr>
            </w:pPr>
          </w:p>
        </w:tc>
        <w:tc>
          <w:tcPr>
            <w:tcW w:w="1362"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Plăți</w:t>
            </w:r>
          </w:p>
        </w:tc>
        <w:tc>
          <w:tcPr>
            <w:tcW w:w="850"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0,86</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993"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r>
              <w:rPr>
                <w:noProof/>
                <w:sz w:val="20"/>
              </w:rPr>
              <w:t>3,38</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180" w:after="60" w:line="276" w:lineRule="auto"/>
              <w:jc w:val="right"/>
              <w:rPr>
                <w:noProof/>
                <w:sz w:val="20"/>
              </w:rPr>
            </w:pPr>
            <w:r>
              <w:rPr>
                <w:noProof/>
                <w:sz w:val="20"/>
              </w:rPr>
              <w:t>3,38</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r>
              <w:rPr>
                <w:noProof/>
                <w:sz w:val="20"/>
              </w:rPr>
              <w:t>3,38</w:t>
            </w:r>
          </w:p>
        </w:tc>
        <w:tc>
          <w:tcPr>
            <w:tcW w:w="1275"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r>
              <w:rPr>
                <w:noProof/>
                <w:sz w:val="20"/>
              </w:rPr>
              <w:t>24,516</w:t>
            </w:r>
          </w:p>
        </w:tc>
      </w:tr>
    </w:tbl>
    <w:p>
      <w:pPr>
        <w:spacing w:before="0" w:after="0"/>
        <w:jc w:val="left"/>
        <w:rPr>
          <w:noProof/>
        </w:rPr>
        <w:sectPr>
          <w:headerReference w:type="default" r:id="rId16"/>
          <w:footerReference w:type="default" r:id="rId17"/>
          <w:headerReference w:type="first" r:id="rId18"/>
          <w:footerReference w:type="first" r:id="rId19"/>
          <w:pgSz w:w="16840" w:h="11907" w:orient="landscape"/>
          <w:pgMar w:top="1134" w:right="1418" w:bottom="1134" w:left="1418" w:header="709" w:footer="709" w:gutter="0"/>
          <w:cols w:space="720"/>
          <w:docGrid w:linePitch="326"/>
        </w:sectPr>
      </w:pPr>
    </w:p>
    <w:p>
      <w:pPr>
        <w:pStyle w:val="ManualHeading3"/>
        <w:rPr>
          <w:noProof/>
        </w:rPr>
      </w:pPr>
      <w:r>
        <w:rPr>
          <w:noProof/>
        </w:rPr>
        <w:t>3.2.2.</w:t>
      </w:r>
      <w:r>
        <w:rPr>
          <w:noProof/>
        </w:rPr>
        <w:tab/>
        <w:t xml:space="preserve">Impactul estimat asupra creditelor operaționale </w:t>
      </w:r>
    </w:p>
    <w:p>
      <w:pPr>
        <w:pStyle w:val="ListDash1"/>
        <w:rPr>
          <w:noProof/>
        </w:rPr>
      </w:pPr>
      <w:r>
        <w:rPr>
          <w:noProof/>
        </w:rPr>
        <w:sym w:font="Wingdings" w:char="F0A8"/>
      </w:r>
      <w:r>
        <w:rPr>
          <w:noProof/>
        </w:rPr>
        <w:tab/>
        <w:t xml:space="preserve">Propunerea/inițiativa nu implică utilizarea de credite operaționale </w:t>
      </w:r>
    </w:p>
    <w:p>
      <w:pPr>
        <w:pStyle w:val="ListDash1"/>
        <w:spacing w:before="0" w:after="0"/>
        <w:jc w:val="left"/>
        <w:rPr>
          <w:noProof/>
        </w:rPr>
        <w:sectPr>
          <w:pgSz w:w="16840" w:h="11907" w:orient="landscape"/>
          <w:pgMar w:top="1134" w:right="1418" w:bottom="567" w:left="1418" w:header="709" w:footer="709" w:gutter="0"/>
          <w:cols w:space="720"/>
          <w:docGrid w:linePitch="326"/>
        </w:sectPr>
      </w:pPr>
      <w:r>
        <w:rPr>
          <w:b/>
          <w:noProof/>
        </w:rPr>
        <w:t>X</w:t>
      </w:r>
      <w:r>
        <w:rPr>
          <w:noProof/>
        </w:rPr>
        <w:tab/>
        <w:t>Propunerea/inițiativa implică utilizarea de credite operaționale în exercițiile bugetare 2020-2027: plata dobânzilor, după cum se indică în tabelul de mai sus</w:t>
      </w:r>
    </w:p>
    <w:p>
      <w:pPr>
        <w:pStyle w:val="ManualHeading3"/>
        <w:rPr>
          <w:noProof/>
        </w:rPr>
      </w:pPr>
      <w:r>
        <w:rPr>
          <w:noProof/>
        </w:rPr>
        <w:t>3.2.3.</w:t>
      </w:r>
      <w:r>
        <w:rPr>
          <w:noProof/>
        </w:rPr>
        <w:tab/>
        <w:t>Impactul estimat asupra creditelor cu caracter administrativ</w:t>
      </w:r>
    </w:p>
    <w:p>
      <w:pPr>
        <w:pStyle w:val="ManualHeading4"/>
        <w:rPr>
          <w:noProof/>
        </w:rPr>
      </w:pPr>
      <w:r>
        <w:rPr>
          <w:noProof/>
        </w:rPr>
        <w:t>3.2.3.1.</w:t>
      </w:r>
      <w:r>
        <w:rPr>
          <w:noProof/>
        </w:rPr>
        <w:tab/>
        <w:t xml:space="preserve">Rezumat </w:t>
      </w:r>
    </w:p>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t>X</w:t>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9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73"/>
        <w:gridCol w:w="723"/>
        <w:gridCol w:w="712"/>
        <w:gridCol w:w="778"/>
        <w:gridCol w:w="635"/>
        <w:gridCol w:w="743"/>
        <w:gridCol w:w="674"/>
        <w:gridCol w:w="861"/>
        <w:gridCol w:w="846"/>
        <w:gridCol w:w="8"/>
        <w:gridCol w:w="1070"/>
        <w:gridCol w:w="8"/>
      </w:tblGrid>
      <w:tr>
        <w:trPr>
          <w:trHeight w:val="585"/>
        </w:trPr>
        <w:tc>
          <w:tcPr>
            <w:tcW w:w="1973" w:type="dxa"/>
            <w:tcBorders>
              <w:top w:val="single" w:sz="2" w:space="0" w:color="auto"/>
              <w:left w:val="single" w:sz="2" w:space="0" w:color="auto"/>
              <w:bottom w:val="single" w:sz="2" w:space="0" w:color="auto"/>
              <w:right w:val="single" w:sz="2" w:space="0" w:color="auto"/>
            </w:tcBorders>
          </w:tcPr>
          <w:p>
            <w:pPr>
              <w:spacing w:before="60" w:after="60" w:line="200" w:lineRule="exact"/>
              <w:rPr>
                <w:noProof/>
                <w:sz w:val="16"/>
                <w:szCs w:val="16"/>
              </w:rPr>
            </w:pPr>
          </w:p>
        </w:tc>
        <w:tc>
          <w:tcPr>
            <w:tcW w:w="723"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noProof/>
                <w:sz w:val="16"/>
                <w:szCs w:val="16"/>
              </w:rPr>
            </w:pPr>
            <w:r>
              <w:rPr>
                <w:noProof/>
                <w:sz w:val="16"/>
              </w:rPr>
              <w:t>Anul</w:t>
            </w:r>
            <w:r>
              <w:rPr>
                <w:noProof/>
              </w:rPr>
              <w:t xml:space="preserve"> </w:t>
            </w:r>
            <w:r>
              <w:rPr>
                <w:noProof/>
              </w:rPr>
              <w:br/>
            </w:r>
            <w:r>
              <w:rPr>
                <w:b/>
                <w:noProof/>
                <w:sz w:val="16"/>
              </w:rPr>
              <w:t xml:space="preserve">2020 </w:t>
            </w:r>
            <w:r>
              <w:rPr>
                <w:rStyle w:val="FootnoteReference"/>
                <w:b/>
                <w:noProof/>
                <w:sz w:val="16"/>
              </w:rPr>
              <w:footnoteReference w:id="10"/>
            </w:r>
          </w:p>
        </w:tc>
        <w:tc>
          <w:tcPr>
            <w:tcW w:w="712"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noProof/>
                <w:sz w:val="16"/>
                <w:szCs w:val="16"/>
              </w:rPr>
            </w:pPr>
            <w:r>
              <w:rPr>
                <w:noProof/>
                <w:sz w:val="16"/>
              </w:rPr>
              <w:t>Anul</w:t>
            </w:r>
            <w:r>
              <w:rPr>
                <w:noProof/>
              </w:rPr>
              <w:t xml:space="preserve"> </w:t>
            </w:r>
            <w:r>
              <w:rPr>
                <w:noProof/>
              </w:rPr>
              <w:br/>
            </w:r>
            <w:r>
              <w:rPr>
                <w:b/>
                <w:noProof/>
                <w:sz w:val="16"/>
              </w:rPr>
              <w:t>2021</w:t>
            </w:r>
          </w:p>
        </w:tc>
        <w:tc>
          <w:tcPr>
            <w:tcW w:w="778" w:type="dxa"/>
            <w:tcBorders>
              <w:top w:val="single" w:sz="2" w:space="0" w:color="auto"/>
              <w:left w:val="single" w:sz="2" w:space="0" w:color="auto"/>
              <w:bottom w:val="single" w:sz="2" w:space="0" w:color="auto"/>
              <w:right w:val="single" w:sz="2" w:space="0" w:color="auto"/>
            </w:tcBorders>
          </w:tcPr>
          <w:p>
            <w:pPr>
              <w:spacing w:line="200" w:lineRule="exact"/>
              <w:jc w:val="center"/>
              <w:rPr>
                <w:noProof/>
                <w:sz w:val="16"/>
              </w:rPr>
            </w:pPr>
            <w:r>
              <w:rPr>
                <w:noProof/>
                <w:sz w:val="16"/>
              </w:rPr>
              <w:t>Anul</w:t>
            </w:r>
            <w:r>
              <w:rPr>
                <w:noProof/>
              </w:rPr>
              <w:t xml:space="preserve"> </w:t>
            </w:r>
            <w:r>
              <w:rPr>
                <w:noProof/>
              </w:rPr>
              <w:br/>
            </w:r>
            <w:r>
              <w:rPr>
                <w:b/>
                <w:noProof/>
                <w:sz w:val="16"/>
              </w:rPr>
              <w:t>2022</w:t>
            </w:r>
          </w:p>
        </w:tc>
        <w:tc>
          <w:tcPr>
            <w:tcW w:w="635" w:type="dxa"/>
            <w:tcBorders>
              <w:top w:val="single" w:sz="2" w:space="0" w:color="auto"/>
              <w:left w:val="single" w:sz="2" w:space="0" w:color="auto"/>
              <w:bottom w:val="single" w:sz="2" w:space="0" w:color="auto"/>
              <w:right w:val="single" w:sz="2" w:space="0" w:color="auto"/>
            </w:tcBorders>
          </w:tcPr>
          <w:p>
            <w:pPr>
              <w:spacing w:line="200" w:lineRule="exact"/>
              <w:jc w:val="center"/>
              <w:rPr>
                <w:noProof/>
                <w:sz w:val="16"/>
              </w:rPr>
            </w:pPr>
            <w:r>
              <w:rPr>
                <w:noProof/>
                <w:sz w:val="16"/>
              </w:rPr>
              <w:t>Anul</w:t>
            </w:r>
            <w:r>
              <w:rPr>
                <w:noProof/>
              </w:rPr>
              <w:t xml:space="preserve"> </w:t>
            </w:r>
            <w:r>
              <w:rPr>
                <w:noProof/>
              </w:rPr>
              <w:br/>
            </w:r>
            <w:r>
              <w:rPr>
                <w:b/>
                <w:noProof/>
                <w:sz w:val="16"/>
              </w:rPr>
              <w:t>2023</w:t>
            </w:r>
          </w:p>
        </w:tc>
        <w:tc>
          <w:tcPr>
            <w:tcW w:w="743"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noProof/>
                <w:sz w:val="16"/>
                <w:szCs w:val="16"/>
              </w:rPr>
            </w:pPr>
            <w:r>
              <w:rPr>
                <w:noProof/>
                <w:sz w:val="16"/>
              </w:rPr>
              <w:t>Anul</w:t>
            </w:r>
            <w:r>
              <w:rPr>
                <w:noProof/>
              </w:rPr>
              <w:t xml:space="preserve"> </w:t>
            </w:r>
            <w:r>
              <w:rPr>
                <w:noProof/>
              </w:rPr>
              <w:br/>
            </w:r>
            <w:r>
              <w:rPr>
                <w:b/>
                <w:noProof/>
                <w:sz w:val="16"/>
              </w:rPr>
              <w:t>2024</w:t>
            </w:r>
          </w:p>
        </w:tc>
        <w:tc>
          <w:tcPr>
            <w:tcW w:w="674" w:type="dxa"/>
            <w:tcBorders>
              <w:top w:val="single" w:sz="2" w:space="0" w:color="auto"/>
              <w:left w:val="single" w:sz="2" w:space="0" w:color="auto"/>
              <w:bottom w:val="single" w:sz="2" w:space="0" w:color="auto"/>
              <w:right w:val="single" w:sz="2" w:space="0" w:color="auto"/>
            </w:tcBorders>
          </w:tcPr>
          <w:p>
            <w:pPr>
              <w:spacing w:line="200" w:lineRule="exact"/>
              <w:jc w:val="center"/>
              <w:rPr>
                <w:noProof/>
                <w:sz w:val="16"/>
              </w:rPr>
            </w:pPr>
            <w:r>
              <w:rPr>
                <w:noProof/>
                <w:sz w:val="16"/>
              </w:rPr>
              <w:t>Anul</w:t>
            </w:r>
            <w:r>
              <w:rPr>
                <w:noProof/>
              </w:rPr>
              <w:t xml:space="preserve"> </w:t>
            </w:r>
            <w:r>
              <w:rPr>
                <w:noProof/>
              </w:rPr>
              <w:br/>
            </w:r>
            <w:r>
              <w:rPr>
                <w:b/>
                <w:noProof/>
                <w:sz w:val="16"/>
              </w:rPr>
              <w:t>2025</w:t>
            </w:r>
          </w:p>
        </w:tc>
        <w:tc>
          <w:tcPr>
            <w:tcW w:w="861"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noProof/>
                <w:sz w:val="16"/>
                <w:szCs w:val="16"/>
              </w:rPr>
            </w:pPr>
            <w:r>
              <w:rPr>
                <w:noProof/>
                <w:sz w:val="16"/>
              </w:rPr>
              <w:t>Anul</w:t>
            </w:r>
            <w:r>
              <w:rPr>
                <w:noProof/>
              </w:rPr>
              <w:t xml:space="preserve"> </w:t>
            </w:r>
            <w:r>
              <w:rPr>
                <w:noProof/>
              </w:rPr>
              <w:br/>
            </w:r>
            <w:r>
              <w:rPr>
                <w:b/>
                <w:noProof/>
                <w:sz w:val="16"/>
              </w:rPr>
              <w:t>2026</w:t>
            </w:r>
          </w:p>
        </w:tc>
        <w:tc>
          <w:tcPr>
            <w:tcW w:w="854" w:type="dxa"/>
            <w:gridSpan w:val="2"/>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b/>
                <w:noProof/>
                <w:sz w:val="16"/>
                <w:szCs w:val="16"/>
              </w:rPr>
            </w:pPr>
            <w:r>
              <w:rPr>
                <w:noProof/>
                <w:sz w:val="16"/>
              </w:rPr>
              <w:t xml:space="preserve">Anul </w:t>
            </w:r>
            <w:r>
              <w:rPr>
                <w:b/>
                <w:noProof/>
                <w:sz w:val="16"/>
              </w:rPr>
              <w:t>2027</w:t>
            </w:r>
          </w:p>
        </w:tc>
        <w:tc>
          <w:tcPr>
            <w:tcW w:w="1078" w:type="dxa"/>
            <w:gridSpan w:val="2"/>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b/>
                <w:noProof/>
                <w:sz w:val="16"/>
                <w:szCs w:val="16"/>
              </w:rPr>
            </w:pPr>
            <w:r>
              <w:rPr>
                <w:b/>
                <w:noProof/>
                <w:sz w:val="16"/>
              </w:rPr>
              <w:t>TOTAL</w:t>
            </w:r>
          </w:p>
        </w:tc>
      </w:tr>
      <w:tr>
        <w:trPr>
          <w:trHeight w:val="585"/>
        </w:trPr>
        <w:tc>
          <w:tcPr>
            <w:tcW w:w="1973"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b/>
                <w:noProof/>
                <w:sz w:val="16"/>
                <w:szCs w:val="16"/>
              </w:rPr>
            </w:pPr>
            <w:r>
              <w:rPr>
                <w:b/>
                <w:noProof/>
                <w:sz w:val="16"/>
              </w:rPr>
              <w:t>RUBRICA 5 (7 din 2021)</w:t>
            </w:r>
            <w:r>
              <w:rPr>
                <w:noProof/>
              </w:rPr>
              <w:t xml:space="preserve"> </w:t>
            </w:r>
            <w:r>
              <w:rPr>
                <w:noProof/>
              </w:rPr>
              <w:br/>
            </w:r>
            <w:r>
              <w:rPr>
                <w:b/>
                <w:noProof/>
                <w:sz w:val="16"/>
              </w:rPr>
              <w:t>din cadrul financiar multianual</w:t>
            </w: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73"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 xml:space="preserve">Resurse umane </w:t>
            </w:r>
          </w:p>
        </w:tc>
        <w:tc>
          <w:tcPr>
            <w:tcW w:w="723" w:type="dxa"/>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0,86</w:t>
            </w:r>
          </w:p>
        </w:tc>
        <w:tc>
          <w:tcPr>
            <w:tcW w:w="712" w:type="dxa"/>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3,38</w:t>
            </w:r>
          </w:p>
        </w:tc>
        <w:tc>
          <w:tcPr>
            <w:tcW w:w="778" w:type="dxa"/>
            <w:tcBorders>
              <w:top w:val="single" w:sz="2" w:space="0" w:color="auto"/>
              <w:left w:val="single" w:sz="2" w:space="0" w:color="auto"/>
              <w:bottom w:val="single" w:sz="2" w:space="0" w:color="auto"/>
              <w:right w:val="single" w:sz="2" w:space="0" w:color="auto"/>
            </w:tcBorders>
          </w:tcPr>
          <w:p>
            <w:pPr>
              <w:spacing w:before="180" w:line="200" w:lineRule="exact"/>
              <w:jc w:val="center"/>
              <w:rPr>
                <w:noProof/>
                <w:sz w:val="16"/>
                <w:szCs w:val="16"/>
              </w:rPr>
            </w:pPr>
            <w:r>
              <w:rPr>
                <w:noProof/>
                <w:sz w:val="20"/>
              </w:rPr>
              <w:t>3,38</w:t>
            </w:r>
          </w:p>
        </w:tc>
        <w:tc>
          <w:tcPr>
            <w:tcW w:w="635" w:type="dxa"/>
            <w:tcBorders>
              <w:top w:val="single" w:sz="2" w:space="0" w:color="auto"/>
              <w:left w:val="single" w:sz="2" w:space="0" w:color="auto"/>
              <w:bottom w:val="single" w:sz="2" w:space="0" w:color="auto"/>
              <w:right w:val="single" w:sz="2" w:space="0" w:color="auto"/>
            </w:tcBorders>
          </w:tcPr>
          <w:p>
            <w:pPr>
              <w:spacing w:before="180" w:line="200" w:lineRule="exact"/>
              <w:jc w:val="center"/>
              <w:rPr>
                <w:noProof/>
                <w:sz w:val="16"/>
                <w:szCs w:val="16"/>
              </w:rPr>
            </w:pPr>
            <w:r>
              <w:rPr>
                <w:noProof/>
                <w:sz w:val="20"/>
              </w:rPr>
              <w:t>3,38</w:t>
            </w:r>
          </w:p>
        </w:tc>
        <w:tc>
          <w:tcPr>
            <w:tcW w:w="743" w:type="dxa"/>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3,38</w:t>
            </w:r>
          </w:p>
        </w:tc>
        <w:tc>
          <w:tcPr>
            <w:tcW w:w="674" w:type="dxa"/>
            <w:tcBorders>
              <w:top w:val="single" w:sz="2" w:space="0" w:color="auto"/>
              <w:left w:val="single" w:sz="2" w:space="0" w:color="auto"/>
              <w:bottom w:val="single" w:sz="2" w:space="0" w:color="auto"/>
              <w:right w:val="single" w:sz="2" w:space="0" w:color="auto"/>
            </w:tcBorders>
          </w:tcPr>
          <w:p>
            <w:pPr>
              <w:spacing w:before="180" w:line="200" w:lineRule="exact"/>
              <w:jc w:val="center"/>
              <w:rPr>
                <w:noProof/>
                <w:sz w:val="16"/>
                <w:szCs w:val="16"/>
              </w:rPr>
            </w:pPr>
            <w:r>
              <w:rPr>
                <w:noProof/>
                <w:sz w:val="20"/>
              </w:rPr>
              <w:t>3,38</w:t>
            </w:r>
          </w:p>
        </w:tc>
        <w:tc>
          <w:tcPr>
            <w:tcW w:w="861" w:type="dxa"/>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3,38</w:t>
            </w: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3,38</w:t>
            </w: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r>
              <w:rPr>
                <w:noProof/>
                <w:sz w:val="20"/>
              </w:rPr>
              <w:t>24,516</w:t>
            </w:r>
          </w:p>
        </w:tc>
      </w:tr>
      <w:tr>
        <w:trPr>
          <w:trHeight w:val="585"/>
        </w:trPr>
        <w:tc>
          <w:tcPr>
            <w:tcW w:w="1973"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 xml:space="preserve">Alte cheltuieli administrative </w:t>
            </w: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73"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b/>
                <w:noProof/>
                <w:sz w:val="16"/>
                <w:szCs w:val="16"/>
              </w:rPr>
            </w:pPr>
            <w:r>
              <w:rPr>
                <w:b/>
                <w:noProof/>
                <w:sz w:val="16"/>
              </w:rPr>
              <w:t>Subtotal RUBRICA 5 (7)</w:t>
            </w:r>
            <w:r>
              <w:rPr>
                <w:noProof/>
              </w:rPr>
              <w:t xml:space="preserve"> </w:t>
            </w:r>
            <w:r>
              <w:rPr>
                <w:noProof/>
              </w:rPr>
              <w:br/>
            </w:r>
            <w:r>
              <w:rPr>
                <w:b/>
                <w:noProof/>
                <w:sz w:val="16"/>
              </w:rPr>
              <w:t xml:space="preserve">din cadrul financiar multianual </w:t>
            </w:r>
          </w:p>
        </w:tc>
        <w:tc>
          <w:tcPr>
            <w:tcW w:w="723" w:type="dxa"/>
            <w:tcBorders>
              <w:top w:val="single" w:sz="2" w:space="0" w:color="auto"/>
              <w:left w:val="single" w:sz="2" w:space="0" w:color="auto"/>
              <w:bottom w:val="single" w:sz="2" w:space="0" w:color="auto"/>
              <w:right w:val="single" w:sz="2" w:space="0" w:color="auto"/>
            </w:tcBorders>
            <w:vAlign w:val="center"/>
          </w:tcPr>
          <w:p>
            <w:pPr>
              <w:spacing w:line="200" w:lineRule="exact"/>
              <w:jc w:val="right"/>
              <w:rPr>
                <w:noProof/>
                <w:sz w:val="16"/>
                <w:szCs w:val="16"/>
              </w:rPr>
            </w:pPr>
            <w:r>
              <w:rPr>
                <w:noProof/>
                <w:sz w:val="20"/>
              </w:rPr>
              <w:t>0,86</w:t>
            </w:r>
          </w:p>
        </w:tc>
        <w:tc>
          <w:tcPr>
            <w:tcW w:w="712" w:type="dxa"/>
            <w:tcBorders>
              <w:top w:val="single" w:sz="2" w:space="0" w:color="auto"/>
              <w:left w:val="single" w:sz="2" w:space="0" w:color="auto"/>
              <w:bottom w:val="single" w:sz="2" w:space="0" w:color="auto"/>
              <w:right w:val="single" w:sz="2" w:space="0" w:color="auto"/>
            </w:tcBorders>
            <w:vAlign w:val="center"/>
          </w:tcPr>
          <w:p>
            <w:pPr>
              <w:spacing w:line="200" w:lineRule="exact"/>
              <w:jc w:val="right"/>
              <w:rPr>
                <w:noProof/>
                <w:sz w:val="16"/>
                <w:szCs w:val="16"/>
              </w:rPr>
            </w:pPr>
            <w:r>
              <w:rPr>
                <w:noProof/>
                <w:sz w:val="20"/>
              </w:rPr>
              <w:t>3,38</w:t>
            </w:r>
          </w:p>
        </w:tc>
        <w:tc>
          <w:tcPr>
            <w:tcW w:w="778" w:type="dxa"/>
            <w:tcBorders>
              <w:top w:val="single" w:sz="2" w:space="0" w:color="auto"/>
              <w:left w:val="single" w:sz="2" w:space="0" w:color="auto"/>
              <w:bottom w:val="single" w:sz="2" w:space="0" w:color="auto"/>
              <w:right w:val="single" w:sz="2" w:space="0" w:color="auto"/>
            </w:tcBorders>
          </w:tcPr>
          <w:p>
            <w:pPr>
              <w:spacing w:before="240" w:line="200" w:lineRule="exact"/>
              <w:jc w:val="right"/>
              <w:rPr>
                <w:noProof/>
                <w:sz w:val="16"/>
                <w:szCs w:val="16"/>
              </w:rPr>
            </w:pPr>
            <w:r>
              <w:rPr>
                <w:noProof/>
                <w:sz w:val="20"/>
              </w:rPr>
              <w:t>3,38</w:t>
            </w:r>
          </w:p>
        </w:tc>
        <w:tc>
          <w:tcPr>
            <w:tcW w:w="635" w:type="dxa"/>
            <w:tcBorders>
              <w:top w:val="single" w:sz="2" w:space="0" w:color="auto"/>
              <w:left w:val="single" w:sz="2" w:space="0" w:color="auto"/>
              <w:bottom w:val="single" w:sz="2" w:space="0" w:color="auto"/>
              <w:right w:val="single" w:sz="2" w:space="0" w:color="auto"/>
            </w:tcBorders>
          </w:tcPr>
          <w:p>
            <w:pPr>
              <w:spacing w:before="240" w:line="200" w:lineRule="exact"/>
              <w:jc w:val="right"/>
              <w:rPr>
                <w:noProof/>
                <w:sz w:val="16"/>
                <w:szCs w:val="16"/>
              </w:rPr>
            </w:pPr>
            <w:r>
              <w:rPr>
                <w:noProof/>
                <w:sz w:val="20"/>
              </w:rPr>
              <w:t>3,38</w:t>
            </w:r>
          </w:p>
        </w:tc>
        <w:tc>
          <w:tcPr>
            <w:tcW w:w="743" w:type="dxa"/>
            <w:tcBorders>
              <w:top w:val="single" w:sz="2" w:space="0" w:color="auto"/>
              <w:left w:val="single" w:sz="2" w:space="0" w:color="auto"/>
              <w:bottom w:val="single" w:sz="2" w:space="0" w:color="auto"/>
              <w:right w:val="single" w:sz="2" w:space="0" w:color="auto"/>
            </w:tcBorders>
            <w:vAlign w:val="center"/>
          </w:tcPr>
          <w:p>
            <w:pPr>
              <w:spacing w:line="200" w:lineRule="exact"/>
              <w:jc w:val="right"/>
              <w:rPr>
                <w:noProof/>
                <w:sz w:val="16"/>
                <w:szCs w:val="16"/>
              </w:rPr>
            </w:pPr>
            <w:r>
              <w:rPr>
                <w:noProof/>
                <w:sz w:val="20"/>
              </w:rPr>
              <w:t>3,38</w:t>
            </w:r>
          </w:p>
        </w:tc>
        <w:tc>
          <w:tcPr>
            <w:tcW w:w="674" w:type="dxa"/>
            <w:tcBorders>
              <w:top w:val="single" w:sz="2" w:space="0" w:color="auto"/>
              <w:left w:val="single" w:sz="2" w:space="0" w:color="auto"/>
              <w:bottom w:val="single" w:sz="2" w:space="0" w:color="auto"/>
              <w:right w:val="single" w:sz="2" w:space="0" w:color="auto"/>
            </w:tcBorders>
          </w:tcPr>
          <w:p>
            <w:pPr>
              <w:spacing w:before="240" w:line="200" w:lineRule="exact"/>
              <w:jc w:val="right"/>
              <w:rPr>
                <w:noProof/>
                <w:sz w:val="16"/>
                <w:szCs w:val="16"/>
              </w:rPr>
            </w:pPr>
            <w:r>
              <w:rPr>
                <w:noProof/>
                <w:sz w:val="20"/>
              </w:rPr>
              <w:t>3,38</w:t>
            </w:r>
          </w:p>
        </w:tc>
        <w:tc>
          <w:tcPr>
            <w:tcW w:w="861" w:type="dxa"/>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3,38</w:t>
            </w: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line="200" w:lineRule="exact"/>
              <w:jc w:val="center"/>
              <w:rPr>
                <w:noProof/>
                <w:sz w:val="16"/>
                <w:szCs w:val="16"/>
              </w:rPr>
            </w:pPr>
            <w:r>
              <w:rPr>
                <w:noProof/>
                <w:sz w:val="20"/>
              </w:rPr>
              <w:t>3,38</w:t>
            </w: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r>
              <w:rPr>
                <w:noProof/>
                <w:sz w:val="20"/>
              </w:rPr>
              <w:t>24,516</w:t>
            </w:r>
          </w:p>
        </w:tc>
      </w:tr>
      <w:tr>
        <w:trPr>
          <w:trHeight w:val="585"/>
        </w:trPr>
        <w:tc>
          <w:tcPr>
            <w:tcW w:w="1973" w:type="dxa"/>
            <w:tcBorders>
              <w:top w:val="single" w:sz="2" w:space="0" w:color="auto"/>
              <w:left w:val="single" w:sz="2" w:space="0" w:color="auto"/>
              <w:bottom w:val="single" w:sz="2" w:space="0" w:color="auto"/>
              <w:right w:val="single" w:sz="2" w:space="0" w:color="auto"/>
            </w:tcBorders>
            <w:shd w:val="clear" w:color="auto" w:fill="CCCCCC"/>
            <w:vAlign w:val="center"/>
          </w:tcPr>
          <w:p>
            <w:pPr>
              <w:spacing w:before="60" w:after="60" w:line="200" w:lineRule="exact"/>
              <w:jc w:val="center"/>
              <w:rPr>
                <w:noProof/>
                <w:sz w:val="16"/>
                <w:szCs w:val="16"/>
              </w:rPr>
            </w:pPr>
            <w:r>
              <w:rPr>
                <w:b/>
                <w:noProof/>
                <w:sz w:val="16"/>
              </w:rPr>
              <w:t>În afara RUBRICII 5</w:t>
            </w:r>
            <w:r>
              <w:rPr>
                <w:rStyle w:val="FootnoteReference"/>
                <w:b/>
                <w:noProof/>
                <w:sz w:val="16"/>
              </w:rPr>
              <w:footnoteReference w:id="11"/>
            </w:r>
            <w:r>
              <w:rPr>
                <w:noProof/>
              </w:rPr>
              <w:t xml:space="preserve"> </w:t>
            </w:r>
            <w:r>
              <w:rPr>
                <w:noProof/>
              </w:rPr>
              <w:br/>
            </w:r>
            <w:r>
              <w:rPr>
                <w:b/>
                <w:noProof/>
                <w:sz w:val="16"/>
              </w:rPr>
              <w:t>din cadrul financiar multianual</w:t>
            </w:r>
          </w:p>
          <w:p>
            <w:pPr>
              <w:spacing w:before="0" w:after="0" w:line="200" w:lineRule="exact"/>
              <w:jc w:val="center"/>
              <w:rPr>
                <w:b/>
                <w:noProof/>
                <w:sz w:val="16"/>
                <w:szCs w:val="16"/>
              </w:rPr>
            </w:pP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73"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 xml:space="preserve">Resurse umane </w:t>
            </w: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73"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Alte cheltuieli</w:t>
            </w:r>
            <w:r>
              <w:rPr>
                <w:noProof/>
              </w:rPr>
              <w:t xml:space="preserve"> </w:t>
            </w:r>
            <w:r>
              <w:rPr>
                <w:noProof/>
              </w:rPr>
              <w:br/>
            </w:r>
            <w:r>
              <w:rPr>
                <w:noProof/>
                <w:sz w:val="16"/>
              </w:rPr>
              <w:t>cu caracter administrativ</w:t>
            </w: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73"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b/>
                <w:noProof/>
                <w:sz w:val="16"/>
                <w:szCs w:val="16"/>
              </w:rPr>
            </w:pPr>
            <w:r>
              <w:rPr>
                <w:b/>
                <w:noProof/>
                <w:sz w:val="16"/>
              </w:rPr>
              <w:t>Subtotal</w:t>
            </w:r>
            <w:r>
              <w:rPr>
                <w:noProof/>
              </w:rPr>
              <w:t xml:space="preserve"> </w:t>
            </w:r>
            <w:r>
              <w:rPr>
                <w:noProof/>
              </w:rPr>
              <w:br/>
            </w:r>
            <w:r>
              <w:rPr>
                <w:b/>
                <w:noProof/>
                <w:sz w:val="16"/>
              </w:rPr>
              <w:t>în afara RUBRICII 5</w:t>
            </w:r>
            <w:r>
              <w:rPr>
                <w:noProof/>
              </w:rPr>
              <w:t xml:space="preserve"> </w:t>
            </w:r>
            <w:r>
              <w:rPr>
                <w:noProof/>
              </w:rPr>
              <w:br/>
            </w:r>
            <w:r>
              <w:rPr>
                <w:b/>
                <w:noProof/>
                <w:sz w:val="16"/>
              </w:rPr>
              <w:t xml:space="preserve">din cadrul financiar multianual </w:t>
            </w: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noProof/>
                <w:sz w:val="16"/>
                <w:szCs w:val="16"/>
              </w:rPr>
            </w:pP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854"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gridAfter w:val="1"/>
          <w:wAfter w:w="8" w:type="dxa"/>
          <w:trHeight w:val="585"/>
        </w:trPr>
        <w:tc>
          <w:tcPr>
            <w:tcW w:w="1973" w:type="dxa"/>
            <w:tcBorders>
              <w:top w:val="single" w:sz="12" w:space="0" w:color="auto"/>
              <w:left w:val="single" w:sz="12" w:space="0" w:color="auto"/>
              <w:bottom w:val="single" w:sz="12" w:space="0" w:color="auto"/>
              <w:right w:val="single" w:sz="2" w:space="0" w:color="auto"/>
            </w:tcBorders>
            <w:vAlign w:val="center"/>
            <w:hideMark/>
          </w:tcPr>
          <w:p>
            <w:pPr>
              <w:spacing w:before="60" w:after="60" w:line="200" w:lineRule="exact"/>
              <w:jc w:val="center"/>
              <w:rPr>
                <w:noProof/>
                <w:sz w:val="16"/>
                <w:szCs w:val="16"/>
              </w:rPr>
            </w:pPr>
            <w:r>
              <w:rPr>
                <w:b/>
                <w:noProof/>
                <w:sz w:val="16"/>
              </w:rPr>
              <w:t>TOTAL</w:t>
            </w:r>
          </w:p>
        </w:tc>
        <w:tc>
          <w:tcPr>
            <w:tcW w:w="72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r>
              <w:rPr>
                <w:noProof/>
                <w:sz w:val="20"/>
              </w:rPr>
              <w:t>0,86</w:t>
            </w:r>
          </w:p>
        </w:tc>
        <w:tc>
          <w:tcPr>
            <w:tcW w:w="712"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r>
              <w:rPr>
                <w:noProof/>
                <w:sz w:val="20"/>
              </w:rPr>
              <w:t>3,38</w:t>
            </w:r>
          </w:p>
        </w:tc>
        <w:tc>
          <w:tcPr>
            <w:tcW w:w="778"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b/>
                <w:noProof/>
                <w:sz w:val="16"/>
                <w:szCs w:val="16"/>
              </w:rPr>
            </w:pPr>
            <w:r>
              <w:rPr>
                <w:noProof/>
                <w:sz w:val="20"/>
              </w:rPr>
              <w:t>3,38</w:t>
            </w:r>
          </w:p>
        </w:tc>
        <w:tc>
          <w:tcPr>
            <w:tcW w:w="635"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b/>
                <w:noProof/>
                <w:sz w:val="16"/>
                <w:szCs w:val="16"/>
              </w:rPr>
            </w:pPr>
            <w:r>
              <w:rPr>
                <w:noProof/>
                <w:sz w:val="20"/>
              </w:rPr>
              <w:t>3,38</w:t>
            </w:r>
          </w:p>
        </w:tc>
        <w:tc>
          <w:tcPr>
            <w:tcW w:w="743"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r>
              <w:rPr>
                <w:noProof/>
                <w:sz w:val="20"/>
              </w:rPr>
              <w:t>3,38</w:t>
            </w:r>
          </w:p>
        </w:tc>
        <w:tc>
          <w:tcPr>
            <w:tcW w:w="674" w:type="dxa"/>
            <w:tcBorders>
              <w:top w:val="single" w:sz="2" w:space="0" w:color="auto"/>
              <w:left w:val="single" w:sz="2" w:space="0" w:color="auto"/>
              <w:bottom w:val="single" w:sz="2" w:space="0" w:color="auto"/>
              <w:right w:val="single" w:sz="2" w:space="0" w:color="auto"/>
            </w:tcBorders>
          </w:tcPr>
          <w:p>
            <w:pPr>
              <w:spacing w:before="60" w:after="60" w:line="200" w:lineRule="exact"/>
              <w:jc w:val="right"/>
              <w:rPr>
                <w:b/>
                <w:noProof/>
                <w:sz w:val="16"/>
                <w:szCs w:val="16"/>
              </w:rPr>
            </w:pPr>
            <w:r>
              <w:rPr>
                <w:noProof/>
                <w:sz w:val="20"/>
              </w:rPr>
              <w:t>3,38</w:t>
            </w:r>
          </w:p>
        </w:tc>
        <w:tc>
          <w:tcPr>
            <w:tcW w:w="861"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center"/>
              <w:rPr>
                <w:b/>
                <w:noProof/>
                <w:sz w:val="16"/>
                <w:szCs w:val="16"/>
              </w:rPr>
            </w:pPr>
            <w:r>
              <w:rPr>
                <w:noProof/>
                <w:sz w:val="20"/>
              </w:rPr>
              <w:t>3,38</w:t>
            </w:r>
          </w:p>
        </w:tc>
        <w:tc>
          <w:tcPr>
            <w:tcW w:w="846"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center"/>
              <w:rPr>
                <w:b/>
                <w:noProof/>
                <w:sz w:val="16"/>
                <w:szCs w:val="16"/>
              </w:rPr>
            </w:pPr>
            <w:r>
              <w:rPr>
                <w:noProof/>
                <w:sz w:val="20"/>
              </w:rPr>
              <w:t>3,38</w:t>
            </w:r>
          </w:p>
        </w:tc>
        <w:tc>
          <w:tcPr>
            <w:tcW w:w="1078" w:type="dxa"/>
            <w:gridSpan w:val="2"/>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r>
              <w:rPr>
                <w:noProof/>
                <w:sz w:val="20"/>
              </w:rPr>
              <w:t>24,516</w:t>
            </w:r>
          </w:p>
        </w:tc>
      </w:tr>
    </w:tbl>
    <w:p>
      <w:pPr>
        <w:rPr>
          <w:noProof/>
          <w:sz w:val="18"/>
        </w:rPr>
      </w:pPr>
      <w:r>
        <w:rPr>
          <w:noProof/>
          <w:sz w:val="18"/>
        </w:rPr>
        <w:t xml:space="preserve">2020: </w:t>
      </w:r>
      <w:r>
        <w:rPr>
          <w:noProof/>
          <w:sz w:val="20"/>
        </w:rPr>
        <w:t>10</w:t>
      </w:r>
      <w:r>
        <w:rPr>
          <w:noProof/>
          <w:sz w:val="18"/>
        </w:rPr>
        <w:t xml:space="preserve"> posturi pentru 6 luni,</w:t>
      </w:r>
      <w:r>
        <w:rPr>
          <w:noProof/>
        </w:rPr>
        <w:t xml:space="preserve"> </w:t>
      </w:r>
      <w:r>
        <w:rPr>
          <w:noProof/>
          <w:sz w:val="20"/>
        </w:rPr>
        <w:t>5</w:t>
      </w:r>
      <w:r>
        <w:rPr>
          <w:noProof/>
          <w:sz w:val="18"/>
        </w:rPr>
        <w:t xml:space="preserve"> END pentru 3 luni. Din 2021: </w:t>
      </w:r>
      <w:r>
        <w:rPr>
          <w:noProof/>
          <w:sz w:val="20"/>
        </w:rPr>
        <w:t>18</w:t>
      </w:r>
      <w:r>
        <w:rPr>
          <w:noProof/>
          <w:sz w:val="18"/>
        </w:rPr>
        <w:t xml:space="preserve"> posturi și </w:t>
      </w:r>
      <w:r>
        <w:rPr>
          <w:noProof/>
          <w:sz w:val="20"/>
        </w:rPr>
        <w:t>8</w:t>
      </w:r>
      <w:r>
        <w:rPr>
          <w:noProof/>
          <w:sz w:val="18"/>
        </w:rPr>
        <w:t xml:space="preserve"> END 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pPr>
        <w:spacing w:before="0" w:after="0"/>
        <w:jc w:val="left"/>
        <w:rPr>
          <w:noProof/>
          <w:sz w:val="18"/>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20"/>
          <w:docGrid w:linePitch="326"/>
        </w:sectPr>
      </w:pPr>
    </w:p>
    <w:p>
      <w:pPr>
        <w:pStyle w:val="ManualHeading4"/>
        <w:rPr>
          <w:noProof/>
        </w:rPr>
      </w:pPr>
      <w:r>
        <w:rPr>
          <w:noProof/>
        </w:rPr>
        <w:t>3.2.3.2.</w:t>
      </w:r>
      <w:r>
        <w:rPr>
          <w:noProof/>
        </w:rPr>
        <w:tab/>
        <w:t>Necesarul de resurse umane estimat</w:t>
      </w:r>
    </w:p>
    <w:p>
      <w:pPr>
        <w:pStyle w:val="ListDash1"/>
        <w:rPr>
          <w:noProof/>
        </w:rPr>
      </w:pPr>
      <w:r>
        <w:rPr>
          <w:noProof/>
        </w:rPr>
        <w:sym w:font="Wingdings" w:char="F0A8"/>
      </w:r>
      <w:r>
        <w:rPr>
          <w:noProof/>
        </w:rPr>
        <w:tab/>
        <w:t xml:space="preserve">Propunerea/inițiativa nu implică utilizarea de resurse umane. </w:t>
      </w:r>
    </w:p>
    <w:p>
      <w:pPr>
        <w:pStyle w:val="ListDash1"/>
        <w:rPr>
          <w:noProof/>
        </w:rPr>
      </w:pPr>
      <w:r>
        <w:rPr>
          <w:b/>
          <w:noProof/>
        </w:rPr>
        <w:t>X</w:t>
      </w:r>
      <w:r>
        <w:rPr>
          <w:noProof/>
        </w:rPr>
        <w:tab/>
        <w:t>Propunerea/inițiativa implică utilizarea de resurse umane, conform explicațiilor de mai jos:</w:t>
      </w:r>
    </w:p>
    <w:p>
      <w:pPr>
        <w:spacing w:after="60"/>
        <w:jc w:val="right"/>
        <w:rPr>
          <w:i/>
          <w:noProof/>
          <w:sz w:val="20"/>
        </w:rPr>
      </w:pPr>
      <w:r>
        <w:rPr>
          <w:i/>
          <w:noProof/>
          <w:sz w:val="20"/>
        </w:rPr>
        <w:t>Estimări în echivalent normă întreagă</w:t>
      </w:r>
    </w:p>
    <w:tbl>
      <w:tblPr>
        <w:tblW w:w="60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35"/>
        <w:gridCol w:w="2063"/>
        <w:gridCol w:w="546"/>
        <w:gridCol w:w="546"/>
        <w:gridCol w:w="591"/>
        <w:gridCol w:w="607"/>
        <w:gridCol w:w="577"/>
        <w:gridCol w:w="577"/>
        <w:gridCol w:w="577"/>
        <w:gridCol w:w="7"/>
        <w:gridCol w:w="582"/>
        <w:gridCol w:w="2815"/>
      </w:tblGrid>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tcPr>
          <w:p>
            <w:pPr>
              <w:pStyle w:val="Text1"/>
              <w:spacing w:before="40" w:after="40" w:line="276" w:lineRule="auto"/>
              <w:ind w:left="0"/>
              <w:jc w:val="center"/>
              <w:rPr>
                <w:i/>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rPr>
              <w:t>Anul</w:t>
            </w:r>
            <w:r>
              <w:rPr>
                <w:noProof/>
              </w:rPr>
              <w:t xml:space="preserve"> </w:t>
            </w:r>
            <w:r>
              <w:rPr>
                <w:noProof/>
              </w:rPr>
              <w:br/>
            </w:r>
            <w:r>
              <w:rPr>
                <w:b/>
                <w:noProof/>
                <w:sz w:val="16"/>
              </w:rPr>
              <w:t>2020</w:t>
            </w:r>
          </w:p>
        </w:tc>
        <w:tc>
          <w:tcPr>
            <w:tcW w:w="241"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rPr>
              <w:t>Anul</w:t>
            </w:r>
            <w:r>
              <w:rPr>
                <w:noProof/>
              </w:rPr>
              <w:t xml:space="preserve"> </w:t>
            </w:r>
            <w:r>
              <w:rPr>
                <w:noProof/>
              </w:rPr>
              <w:br/>
            </w:r>
            <w:r>
              <w:rPr>
                <w:b/>
                <w:noProof/>
                <w:sz w:val="16"/>
              </w:rPr>
              <w:t>2021</w:t>
            </w:r>
          </w:p>
        </w:tc>
        <w:tc>
          <w:tcPr>
            <w:tcW w:w="261"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szCs w:val="16"/>
              </w:rPr>
              <w:t xml:space="preserve">Anul </w:t>
            </w:r>
            <w:r>
              <w:rPr>
                <w:b/>
                <w:noProof/>
                <w:sz w:val="16"/>
                <w:szCs w:val="16"/>
              </w:rPr>
              <w:t>2022</w:t>
            </w:r>
          </w:p>
        </w:tc>
        <w:tc>
          <w:tcPr>
            <w:tcW w:w="268" w:type="pct"/>
            <w:tcBorders>
              <w:top w:val="single" w:sz="6" w:space="0" w:color="auto"/>
              <w:left w:val="single" w:sz="6" w:space="0" w:color="auto"/>
              <w:bottom w:val="single" w:sz="6" w:space="0" w:color="auto"/>
              <w:right w:val="single" w:sz="6" w:space="0" w:color="auto"/>
            </w:tcBorders>
          </w:tcPr>
          <w:p>
            <w:pPr>
              <w:spacing w:before="20" w:after="20" w:line="276" w:lineRule="auto"/>
              <w:jc w:val="center"/>
              <w:rPr>
                <w:noProof/>
                <w:sz w:val="16"/>
                <w:szCs w:val="16"/>
              </w:rPr>
            </w:pPr>
          </w:p>
          <w:p>
            <w:pPr>
              <w:spacing w:before="20" w:after="20" w:line="276" w:lineRule="auto"/>
              <w:jc w:val="center"/>
              <w:rPr>
                <w:noProof/>
                <w:sz w:val="16"/>
                <w:szCs w:val="16"/>
              </w:rPr>
            </w:pPr>
            <w:r>
              <w:rPr>
                <w:noProof/>
                <w:sz w:val="16"/>
                <w:szCs w:val="16"/>
              </w:rPr>
              <w:t xml:space="preserve">Anul </w:t>
            </w:r>
            <w:r>
              <w:rPr>
                <w:b/>
                <w:noProof/>
                <w:sz w:val="16"/>
                <w:szCs w:val="16"/>
              </w:rPr>
              <w:t>2023</w:t>
            </w:r>
          </w:p>
        </w:tc>
        <w:tc>
          <w:tcPr>
            <w:tcW w:w="255" w:type="pct"/>
            <w:tcBorders>
              <w:top w:val="single" w:sz="6" w:space="0" w:color="auto"/>
              <w:left w:val="single" w:sz="6" w:space="0" w:color="auto"/>
              <w:bottom w:val="single" w:sz="6" w:space="0" w:color="auto"/>
              <w:right w:val="single" w:sz="6" w:space="0" w:color="auto"/>
            </w:tcBorders>
          </w:tcPr>
          <w:p>
            <w:pPr>
              <w:spacing w:before="20" w:after="20" w:line="276" w:lineRule="auto"/>
              <w:jc w:val="center"/>
              <w:rPr>
                <w:noProof/>
                <w:sz w:val="16"/>
                <w:szCs w:val="16"/>
              </w:rPr>
            </w:pPr>
          </w:p>
          <w:p>
            <w:pPr>
              <w:spacing w:before="20" w:after="20" w:line="276" w:lineRule="auto"/>
              <w:jc w:val="center"/>
              <w:rPr>
                <w:noProof/>
                <w:sz w:val="16"/>
                <w:szCs w:val="16"/>
              </w:rPr>
            </w:pPr>
            <w:r>
              <w:rPr>
                <w:noProof/>
                <w:sz w:val="16"/>
                <w:szCs w:val="16"/>
              </w:rPr>
              <w:t xml:space="preserve">Anul </w:t>
            </w:r>
            <w:r>
              <w:rPr>
                <w:b/>
                <w:noProof/>
                <w:sz w:val="16"/>
                <w:szCs w:val="16"/>
              </w:rPr>
              <w:t>2024</w:t>
            </w:r>
          </w:p>
        </w:tc>
        <w:tc>
          <w:tcPr>
            <w:tcW w:w="255" w:type="pct"/>
            <w:tcBorders>
              <w:top w:val="single" w:sz="6" w:space="0" w:color="auto"/>
              <w:left w:val="single" w:sz="6" w:space="0" w:color="auto"/>
              <w:bottom w:val="single" w:sz="6" w:space="0" w:color="auto"/>
              <w:right w:val="single" w:sz="6" w:space="0" w:color="auto"/>
            </w:tcBorders>
          </w:tcPr>
          <w:p>
            <w:pPr>
              <w:spacing w:before="20" w:after="20" w:line="276" w:lineRule="auto"/>
              <w:jc w:val="center"/>
              <w:rPr>
                <w:noProof/>
                <w:sz w:val="16"/>
                <w:szCs w:val="16"/>
              </w:rPr>
            </w:pPr>
          </w:p>
          <w:p>
            <w:pPr>
              <w:spacing w:before="20" w:after="20" w:line="276" w:lineRule="auto"/>
              <w:jc w:val="center"/>
              <w:rPr>
                <w:noProof/>
                <w:sz w:val="16"/>
                <w:szCs w:val="16"/>
              </w:rPr>
            </w:pPr>
            <w:r>
              <w:rPr>
                <w:noProof/>
                <w:sz w:val="16"/>
                <w:szCs w:val="16"/>
              </w:rPr>
              <w:t xml:space="preserve">Anul </w:t>
            </w:r>
            <w:r>
              <w:rPr>
                <w:b/>
                <w:noProof/>
                <w:sz w:val="16"/>
                <w:szCs w:val="16"/>
              </w:rPr>
              <w:t>2025</w:t>
            </w:r>
          </w:p>
        </w:tc>
        <w:tc>
          <w:tcPr>
            <w:tcW w:w="255" w:type="pct"/>
            <w:tcBorders>
              <w:top w:val="single" w:sz="6" w:space="0" w:color="auto"/>
              <w:left w:val="single" w:sz="6" w:space="0" w:color="auto"/>
              <w:bottom w:val="single" w:sz="6" w:space="0" w:color="auto"/>
              <w:right w:val="single" w:sz="6" w:space="0" w:color="auto"/>
            </w:tcBorders>
          </w:tcPr>
          <w:p>
            <w:pPr>
              <w:spacing w:before="20" w:after="20" w:line="276" w:lineRule="auto"/>
              <w:jc w:val="center"/>
              <w:rPr>
                <w:noProof/>
                <w:sz w:val="16"/>
                <w:szCs w:val="16"/>
              </w:rPr>
            </w:pPr>
          </w:p>
          <w:p>
            <w:pPr>
              <w:spacing w:before="20" w:after="20" w:line="276" w:lineRule="auto"/>
              <w:jc w:val="center"/>
              <w:rPr>
                <w:noProof/>
                <w:sz w:val="16"/>
                <w:szCs w:val="16"/>
              </w:rPr>
            </w:pPr>
            <w:r>
              <w:rPr>
                <w:noProof/>
                <w:sz w:val="16"/>
                <w:szCs w:val="16"/>
              </w:rPr>
              <w:t xml:space="preserve">Anul </w:t>
            </w:r>
            <w:r>
              <w:rPr>
                <w:b/>
                <w:noProof/>
                <w:sz w:val="16"/>
                <w:szCs w:val="16"/>
              </w:rPr>
              <w:t>2026</w:t>
            </w:r>
          </w:p>
        </w:tc>
        <w:tc>
          <w:tcPr>
            <w:tcW w:w="260" w:type="pct"/>
            <w:gridSpan w:val="2"/>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szCs w:val="16"/>
              </w:rPr>
              <w:t xml:space="preserve">Anul </w:t>
            </w:r>
            <w:r>
              <w:rPr>
                <w:b/>
                <w:noProof/>
                <w:sz w:val="16"/>
                <w:szCs w:val="16"/>
              </w:rPr>
              <w:t>2027</w:t>
            </w:r>
          </w:p>
        </w:tc>
        <w:tc>
          <w:tcPr>
            <w:tcW w:w="1244" w:type="pct"/>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sz w:val="16"/>
                <w:szCs w:val="16"/>
              </w:rPr>
            </w:pPr>
            <w:r>
              <w:rPr>
                <w:noProof/>
                <w:sz w:val="16"/>
              </w:rPr>
              <w:t>A se introduce atâția ani câți sunt considerați necesari pentru a reflecta durata impactului (a se vedea punctul 1.6)</w:t>
            </w:r>
          </w:p>
        </w:tc>
      </w:tr>
      <w:tr>
        <w:trPr>
          <w:trHeight w:val="289"/>
          <w:jc w:val="center"/>
        </w:trPr>
        <w:tc>
          <w:tcPr>
            <w:tcW w:w="5000" w:type="pct"/>
            <w:gridSpan w:val="12"/>
            <w:tcBorders>
              <w:top w:val="single" w:sz="6" w:space="0" w:color="auto"/>
              <w:left w:val="single" w:sz="6" w:space="0" w:color="auto"/>
              <w:bottom w:val="single" w:sz="6" w:space="0" w:color="auto"/>
              <w:right w:val="single" w:sz="6" w:space="0" w:color="auto"/>
            </w:tcBorders>
            <w:hideMark/>
          </w:tcPr>
          <w:p>
            <w:pPr>
              <w:spacing w:line="276" w:lineRule="auto"/>
              <w:jc w:val="left"/>
              <w:rPr>
                <w:noProof/>
                <w:sz w:val="16"/>
                <w:szCs w:val="16"/>
              </w:rPr>
            </w:pPr>
            <w:r>
              <w:rPr>
                <w:b/>
                <w:noProof/>
                <w:sz w:val="16"/>
              </w:rPr>
              <w:sym w:font="Wingdings" w:char="F09F"/>
            </w:r>
            <w:r>
              <w:rPr>
                <w:b/>
                <w:noProof/>
                <w:sz w:val="16"/>
              </w:rPr>
              <w:t>Posturi din schema de personal (funcționari și agenți temporari)</w:t>
            </w: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4"/>
              <w:jc w:val="left"/>
              <w:rPr>
                <w:b/>
                <w:noProof/>
                <w:sz w:val="16"/>
                <w:szCs w:val="16"/>
              </w:rPr>
            </w:pPr>
            <w:r>
              <w:rPr>
                <w:noProof/>
                <w:sz w:val="16"/>
              </w:rPr>
              <w:t>XX 01 01 01 (la sediu și în reprezentanțele Comisiei)</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10</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18</w:t>
            </w: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18</w:t>
            </w:r>
          </w:p>
        </w:tc>
        <w:tc>
          <w:tcPr>
            <w:tcW w:w="268"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18</w:t>
            </w:r>
          </w:p>
        </w:tc>
        <w:tc>
          <w:tcPr>
            <w:tcW w:w="255"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18</w:t>
            </w:r>
          </w:p>
        </w:tc>
        <w:tc>
          <w:tcPr>
            <w:tcW w:w="255"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18</w:t>
            </w:r>
          </w:p>
        </w:tc>
        <w:tc>
          <w:tcPr>
            <w:tcW w:w="255"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18</w:t>
            </w: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18</w:t>
            </w: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8 AD, 10 AST</w:t>
            </w: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4"/>
              <w:jc w:val="left"/>
              <w:rPr>
                <w:noProof/>
                <w:sz w:val="16"/>
                <w:szCs w:val="16"/>
              </w:rPr>
            </w:pPr>
            <w:r>
              <w:rPr>
                <w:noProof/>
                <w:sz w:val="16"/>
              </w:rPr>
              <w:t>XX 01 01 02 (în delegații)</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4"/>
              <w:jc w:val="left"/>
              <w:rPr>
                <w:noProof/>
                <w:sz w:val="16"/>
                <w:szCs w:val="16"/>
              </w:rPr>
            </w:pPr>
            <w:r>
              <w:rPr>
                <w:noProof/>
                <w:sz w:val="16"/>
              </w:rPr>
              <w:t>XX 01 05 01 (cercetare indirectă)</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4"/>
              <w:jc w:val="left"/>
              <w:rPr>
                <w:noProof/>
                <w:sz w:val="16"/>
                <w:szCs w:val="16"/>
              </w:rPr>
            </w:pPr>
            <w:r>
              <w:rPr>
                <w:noProof/>
                <w:sz w:val="16"/>
              </w:rPr>
              <w:t>10 01 05 01 (cercetare directă)</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gridAfter w:val="2"/>
          <w:wAfter w:w="1500" w:type="pct"/>
          <w:trHeight w:val="248"/>
          <w:jc w:val="center"/>
        </w:trPr>
        <w:tc>
          <w:tcPr>
            <w:tcW w:w="3500" w:type="pct"/>
            <w:gridSpan w:val="10"/>
            <w:tcBorders>
              <w:top w:val="single" w:sz="6" w:space="0" w:color="auto"/>
              <w:left w:val="single" w:sz="6" w:space="0" w:color="auto"/>
              <w:bottom w:val="single" w:sz="6" w:space="0" w:color="auto"/>
            </w:tcBorders>
            <w:vAlign w:val="center"/>
          </w:tcPr>
          <w:p>
            <w:pPr>
              <w:pStyle w:val="Text1"/>
              <w:spacing w:before="60" w:after="60" w:line="276" w:lineRule="auto"/>
              <w:ind w:left="0"/>
              <w:jc w:val="left"/>
              <w:rPr>
                <w:b/>
                <w:noProof/>
                <w:sz w:val="16"/>
                <w:szCs w:val="16"/>
              </w:rPr>
            </w:pPr>
            <w:r>
              <w:rPr>
                <w:b/>
                <w:noProof/>
                <w:sz w:val="16"/>
              </w:rPr>
              <w:sym w:font="Wingdings" w:char="F09F"/>
            </w:r>
            <w:r>
              <w:rPr>
                <w:b/>
                <w:noProof/>
                <w:sz w:val="16"/>
              </w:rPr>
              <w:t>Personal extern (în echivalent normă întreagă: ENI)</w:t>
            </w:r>
            <w:r>
              <w:rPr>
                <w:rStyle w:val="FootnoteReference"/>
                <w:b/>
                <w:noProof/>
                <w:sz w:val="16"/>
              </w:rPr>
              <w:footnoteReference w:id="12"/>
            </w:r>
          </w:p>
          <w:p>
            <w:pPr>
              <w:pStyle w:val="Text1"/>
              <w:spacing w:before="60" w:after="60" w:line="276" w:lineRule="auto"/>
              <w:ind w:left="0"/>
              <w:jc w:val="left"/>
              <w:rPr>
                <w:b/>
                <w:noProof/>
                <w:sz w:val="16"/>
              </w:rPr>
            </w:pP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rPr>
              <w:t>XX 01 02 01 (AC, END, INT din „pachetul global”)</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5</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8</w:t>
            </w: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8</w:t>
            </w:r>
          </w:p>
        </w:tc>
        <w:tc>
          <w:tcPr>
            <w:tcW w:w="268"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8</w:t>
            </w:r>
          </w:p>
        </w:tc>
        <w:tc>
          <w:tcPr>
            <w:tcW w:w="255"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8</w:t>
            </w:r>
          </w:p>
        </w:tc>
        <w:tc>
          <w:tcPr>
            <w:tcW w:w="255"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8</w:t>
            </w:r>
          </w:p>
        </w:tc>
        <w:tc>
          <w:tcPr>
            <w:tcW w:w="255" w:type="pct"/>
            <w:tcBorders>
              <w:top w:val="single" w:sz="6" w:space="0" w:color="auto"/>
              <w:left w:val="single" w:sz="6" w:space="0" w:color="auto"/>
              <w:bottom w:val="single" w:sz="6" w:space="0" w:color="auto"/>
              <w:right w:val="single" w:sz="6" w:space="0" w:color="auto"/>
            </w:tcBorders>
          </w:tcPr>
          <w:p>
            <w:pPr>
              <w:spacing w:beforeLines="60" w:before="144" w:afterLines="20" w:after="48" w:line="276" w:lineRule="auto"/>
              <w:jc w:val="center"/>
              <w:rPr>
                <w:noProof/>
                <w:sz w:val="16"/>
                <w:szCs w:val="16"/>
              </w:rPr>
            </w:pPr>
            <w:r>
              <w:rPr>
                <w:noProof/>
                <w:sz w:val="20"/>
              </w:rPr>
              <w:t>8</w:t>
            </w: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8</w:t>
            </w: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r>
              <w:rPr>
                <w:noProof/>
                <w:sz w:val="20"/>
              </w:rPr>
              <w:t>8 END</w:t>
            </w: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noProof/>
                <w:sz w:val="16"/>
                <w:szCs w:val="16"/>
              </w:rPr>
            </w:pPr>
            <w:r>
              <w:rPr>
                <w:noProof/>
                <w:sz w:val="16"/>
              </w:rPr>
              <w:t>XX 01 02 02 (AC, AL, END, INT și JED în delegații)</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810" w:type="pct"/>
            <w:vMerge w:val="restart"/>
            <w:tcBorders>
              <w:top w:val="single" w:sz="6" w:space="0" w:color="auto"/>
              <w:left w:val="single" w:sz="6" w:space="0" w:color="auto"/>
              <w:bottom w:val="single" w:sz="6" w:space="0" w:color="auto"/>
              <w:right w:val="single" w:sz="6" w:space="0" w:color="auto"/>
            </w:tcBorders>
            <w:vAlign w:val="center"/>
          </w:tcPr>
          <w:p>
            <w:pPr>
              <w:pStyle w:val="Text1"/>
              <w:spacing w:beforeLines="20" w:before="48" w:afterLines="20" w:after="48" w:line="276" w:lineRule="auto"/>
              <w:ind w:left="98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13"/>
            </w:r>
          </w:p>
          <w:p>
            <w:pPr>
              <w:pStyle w:val="Text1"/>
              <w:spacing w:beforeLines="20" w:before="48" w:afterLines="20" w:after="48" w:line="276" w:lineRule="auto"/>
              <w:ind w:left="986"/>
              <w:jc w:val="left"/>
              <w:rPr>
                <w:b/>
                <w:noProof/>
                <w:sz w:val="16"/>
                <w:szCs w:val="16"/>
              </w:rPr>
            </w:pPr>
          </w:p>
        </w:tc>
        <w:tc>
          <w:tcPr>
            <w:tcW w:w="911" w:type="pct"/>
            <w:tcBorders>
              <w:top w:val="single" w:sz="6" w:space="0" w:color="auto"/>
              <w:left w:val="single" w:sz="6" w:space="0" w:color="auto"/>
              <w:bottom w:val="single" w:sz="6" w:space="0" w:color="auto"/>
              <w:right w:val="single" w:sz="6" w:space="0" w:color="auto"/>
            </w:tcBorders>
            <w:vAlign w:val="center"/>
          </w:tcPr>
          <w:p>
            <w:pPr>
              <w:pStyle w:val="Text1"/>
              <w:spacing w:beforeLines="20" w:before="48" w:afterLines="20" w:after="48" w:line="276" w:lineRule="auto"/>
              <w:ind w:left="986"/>
              <w:jc w:val="left"/>
              <w:rPr>
                <w:b/>
                <w:noProof/>
                <w:sz w:val="16"/>
                <w:szCs w:val="16"/>
              </w:rPr>
            </w:pPr>
            <w:r>
              <w:rPr>
                <w:noProof/>
                <w:sz w:val="16"/>
              </w:rPr>
              <w:t>- la sediu</w:t>
            </w:r>
          </w:p>
          <w:p>
            <w:pPr>
              <w:pStyle w:val="Text1"/>
              <w:spacing w:beforeLines="20" w:before="48" w:afterLines="20" w:after="48" w:line="276" w:lineRule="auto"/>
              <w:ind w:left="986"/>
              <w:jc w:val="left"/>
              <w:rPr>
                <w:b/>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pStyle w:val="Text1"/>
              <w:spacing w:beforeLines="20" w:before="48" w:afterLines="20" w:after="48" w:line="276" w:lineRule="auto"/>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line="276" w:lineRule="auto"/>
              <w:jc w:val="left"/>
              <w:rPr>
                <w:b/>
                <w:noProof/>
                <w:sz w:val="16"/>
                <w:szCs w:val="16"/>
              </w:rPr>
            </w:pPr>
          </w:p>
        </w:tc>
        <w:tc>
          <w:tcPr>
            <w:tcW w:w="911" w:type="pc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rPr>
              <w:t xml:space="preserve">- în delegații </w:t>
            </w:r>
          </w:p>
        </w:tc>
        <w:tc>
          <w:tcPr>
            <w:tcW w:w="241" w:type="pct"/>
            <w:tcBorders>
              <w:top w:val="single" w:sz="6" w:space="0" w:color="auto"/>
              <w:left w:val="single" w:sz="6" w:space="0" w:color="auto"/>
              <w:bottom w:val="single" w:sz="6" w:space="0" w:color="auto"/>
              <w:right w:val="single" w:sz="6" w:space="0" w:color="auto"/>
            </w:tcBorders>
            <w:vAlign w:val="center"/>
          </w:tcPr>
          <w:p>
            <w:pPr>
              <w:pStyle w:val="Text1"/>
              <w:spacing w:beforeLines="20" w:before="48" w:afterLines="20" w:after="48" w:line="276" w:lineRule="auto"/>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noProof/>
                <w:sz w:val="16"/>
                <w:szCs w:val="16"/>
              </w:rPr>
            </w:pPr>
            <w:r>
              <w:rPr>
                <w:b/>
                <w:noProof/>
                <w:sz w:val="16"/>
                <w:szCs w:val="16"/>
              </w:rPr>
              <w:t>XX</w:t>
            </w:r>
            <w:r>
              <w:rPr>
                <w:noProof/>
                <w:sz w:val="16"/>
                <w:szCs w:val="16"/>
              </w:rPr>
              <w:t xml:space="preserve"> 01 05 02 (AC, END, INT – cercetare indirectă)</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721"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noProof/>
                <w:sz w:val="16"/>
                <w:szCs w:val="16"/>
              </w:rPr>
            </w:pPr>
            <w:r>
              <w:rPr>
                <w:noProof/>
                <w:sz w:val="16"/>
              </w:rPr>
              <w:t>10 01 05 02 (AC, END, INT – cercetare directă)</w:t>
            </w: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single" w:sz="6"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721" w:type="pct"/>
            <w:gridSpan w:val="2"/>
            <w:tcBorders>
              <w:top w:val="single" w:sz="6" w:space="0" w:color="auto"/>
              <w:left w:val="single" w:sz="6" w:space="0" w:color="auto"/>
              <w:bottom w:val="double" w:sz="4" w:space="0" w:color="auto"/>
              <w:right w:val="single" w:sz="6" w:space="0" w:color="auto"/>
            </w:tcBorders>
            <w:vAlign w:val="center"/>
            <w:hideMark/>
          </w:tcPr>
          <w:p>
            <w:pPr>
              <w:pStyle w:val="Text1"/>
              <w:spacing w:beforeLines="20" w:before="48" w:afterLines="20" w:after="48" w:line="276" w:lineRule="auto"/>
              <w:ind w:left="984"/>
              <w:jc w:val="left"/>
              <w:rPr>
                <w:noProof/>
                <w:sz w:val="16"/>
                <w:szCs w:val="16"/>
              </w:rPr>
            </w:pPr>
            <w:r>
              <w:rPr>
                <w:noProof/>
                <w:sz w:val="16"/>
              </w:rPr>
              <w:t>Alte linii bugetare (a se preciza)</w:t>
            </w:r>
          </w:p>
        </w:tc>
        <w:tc>
          <w:tcPr>
            <w:tcW w:w="241"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241"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261"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268" w:type="pct"/>
            <w:tcBorders>
              <w:top w:val="single" w:sz="6" w:space="0" w:color="auto"/>
              <w:left w:val="single" w:sz="6" w:space="0" w:color="auto"/>
              <w:bottom w:val="double" w:sz="4"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double" w:sz="4"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double" w:sz="4" w:space="0" w:color="auto"/>
              <w:right w:val="single" w:sz="6" w:space="0" w:color="auto"/>
            </w:tcBorders>
          </w:tcPr>
          <w:p>
            <w:pPr>
              <w:spacing w:beforeLines="20" w:before="48" w:afterLines="20" w:after="48" w:line="276" w:lineRule="auto"/>
              <w:jc w:val="center"/>
              <w:rPr>
                <w:noProof/>
                <w:sz w:val="16"/>
                <w:szCs w:val="16"/>
              </w:rPr>
            </w:pPr>
          </w:p>
        </w:tc>
        <w:tc>
          <w:tcPr>
            <w:tcW w:w="255" w:type="pct"/>
            <w:tcBorders>
              <w:top w:val="single" w:sz="6" w:space="0" w:color="auto"/>
              <w:left w:val="single" w:sz="6" w:space="0" w:color="auto"/>
              <w:bottom w:val="double" w:sz="4" w:space="0" w:color="auto"/>
              <w:right w:val="single" w:sz="6" w:space="0" w:color="auto"/>
            </w:tcBorders>
          </w:tcPr>
          <w:p>
            <w:pPr>
              <w:spacing w:beforeLines="20" w:before="48" w:afterLines="20" w:after="48" w:line="276" w:lineRule="auto"/>
              <w:jc w:val="center"/>
              <w:rPr>
                <w:noProof/>
                <w:sz w:val="16"/>
                <w:szCs w:val="16"/>
              </w:rPr>
            </w:pPr>
          </w:p>
        </w:tc>
        <w:tc>
          <w:tcPr>
            <w:tcW w:w="260" w:type="pct"/>
            <w:gridSpan w:val="2"/>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1244"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721" w:type="pct"/>
            <w:gridSpan w:val="2"/>
            <w:tcBorders>
              <w:top w:val="double" w:sz="4"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noProof/>
                <w:sz w:val="16"/>
                <w:szCs w:val="16"/>
              </w:rPr>
            </w:pPr>
            <w:r>
              <w:rPr>
                <w:b/>
                <w:noProof/>
                <w:sz w:val="16"/>
              </w:rPr>
              <w:t>TOTAL</w:t>
            </w:r>
          </w:p>
        </w:tc>
        <w:tc>
          <w:tcPr>
            <w:tcW w:w="241"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r>
              <w:rPr>
                <w:noProof/>
                <w:sz w:val="20"/>
              </w:rPr>
              <w:t>15</w:t>
            </w:r>
          </w:p>
        </w:tc>
        <w:tc>
          <w:tcPr>
            <w:tcW w:w="241"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r>
              <w:rPr>
                <w:noProof/>
                <w:sz w:val="20"/>
              </w:rPr>
              <w:t>26</w:t>
            </w:r>
          </w:p>
        </w:tc>
        <w:tc>
          <w:tcPr>
            <w:tcW w:w="261"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r>
              <w:rPr>
                <w:noProof/>
                <w:sz w:val="20"/>
              </w:rPr>
              <w:t>26</w:t>
            </w:r>
          </w:p>
        </w:tc>
        <w:tc>
          <w:tcPr>
            <w:tcW w:w="268" w:type="pct"/>
            <w:tcBorders>
              <w:top w:val="double" w:sz="4" w:space="0" w:color="auto"/>
              <w:left w:val="single" w:sz="6" w:space="0" w:color="auto"/>
              <w:bottom w:val="single" w:sz="6" w:space="0" w:color="auto"/>
              <w:right w:val="single" w:sz="6" w:space="0" w:color="auto"/>
            </w:tcBorders>
          </w:tcPr>
          <w:p>
            <w:pPr>
              <w:spacing w:beforeLines="20" w:before="48" w:afterLines="20" w:after="48" w:line="276" w:lineRule="auto"/>
              <w:jc w:val="center"/>
              <w:rPr>
                <w:b/>
                <w:noProof/>
                <w:sz w:val="16"/>
                <w:szCs w:val="16"/>
              </w:rPr>
            </w:pPr>
            <w:r>
              <w:rPr>
                <w:noProof/>
                <w:sz w:val="20"/>
              </w:rPr>
              <w:t>26</w:t>
            </w:r>
          </w:p>
        </w:tc>
        <w:tc>
          <w:tcPr>
            <w:tcW w:w="255" w:type="pct"/>
            <w:tcBorders>
              <w:top w:val="double" w:sz="4" w:space="0" w:color="auto"/>
              <w:left w:val="single" w:sz="6" w:space="0" w:color="auto"/>
              <w:bottom w:val="single" w:sz="6" w:space="0" w:color="auto"/>
              <w:right w:val="single" w:sz="6" w:space="0" w:color="auto"/>
            </w:tcBorders>
          </w:tcPr>
          <w:p>
            <w:pPr>
              <w:spacing w:beforeLines="20" w:before="48" w:afterLines="20" w:after="48" w:line="276" w:lineRule="auto"/>
              <w:jc w:val="center"/>
              <w:rPr>
                <w:b/>
                <w:noProof/>
                <w:sz w:val="16"/>
                <w:szCs w:val="16"/>
              </w:rPr>
            </w:pPr>
            <w:r>
              <w:rPr>
                <w:noProof/>
                <w:sz w:val="20"/>
              </w:rPr>
              <w:t>26</w:t>
            </w:r>
          </w:p>
        </w:tc>
        <w:tc>
          <w:tcPr>
            <w:tcW w:w="255" w:type="pct"/>
            <w:tcBorders>
              <w:top w:val="double" w:sz="4" w:space="0" w:color="auto"/>
              <w:left w:val="single" w:sz="6" w:space="0" w:color="auto"/>
              <w:bottom w:val="single" w:sz="6" w:space="0" w:color="auto"/>
              <w:right w:val="single" w:sz="6" w:space="0" w:color="auto"/>
            </w:tcBorders>
          </w:tcPr>
          <w:p>
            <w:pPr>
              <w:spacing w:beforeLines="20" w:before="48" w:afterLines="20" w:after="48" w:line="276" w:lineRule="auto"/>
              <w:jc w:val="center"/>
              <w:rPr>
                <w:b/>
                <w:noProof/>
                <w:sz w:val="16"/>
                <w:szCs w:val="16"/>
              </w:rPr>
            </w:pPr>
            <w:r>
              <w:rPr>
                <w:noProof/>
                <w:sz w:val="20"/>
              </w:rPr>
              <w:t>26</w:t>
            </w:r>
          </w:p>
        </w:tc>
        <w:tc>
          <w:tcPr>
            <w:tcW w:w="255" w:type="pct"/>
            <w:tcBorders>
              <w:top w:val="double" w:sz="4" w:space="0" w:color="auto"/>
              <w:left w:val="single" w:sz="6" w:space="0" w:color="auto"/>
              <w:bottom w:val="single" w:sz="6" w:space="0" w:color="auto"/>
              <w:right w:val="single" w:sz="6" w:space="0" w:color="auto"/>
            </w:tcBorders>
          </w:tcPr>
          <w:p>
            <w:pPr>
              <w:spacing w:beforeLines="20" w:before="48" w:afterLines="20" w:after="48" w:line="276" w:lineRule="auto"/>
              <w:jc w:val="center"/>
              <w:rPr>
                <w:b/>
                <w:noProof/>
                <w:sz w:val="16"/>
                <w:szCs w:val="16"/>
              </w:rPr>
            </w:pPr>
            <w:r>
              <w:rPr>
                <w:noProof/>
                <w:sz w:val="20"/>
              </w:rPr>
              <w:t>26</w:t>
            </w:r>
          </w:p>
        </w:tc>
        <w:tc>
          <w:tcPr>
            <w:tcW w:w="260" w:type="pct"/>
            <w:gridSpan w:val="2"/>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r>
              <w:rPr>
                <w:noProof/>
                <w:sz w:val="20"/>
              </w:rPr>
              <w:t>26</w:t>
            </w:r>
          </w:p>
        </w:tc>
        <w:tc>
          <w:tcPr>
            <w:tcW w:w="1244"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r>
    </w:tbl>
    <w:p>
      <w:pPr>
        <w:pStyle w:val="Text1"/>
        <w:spacing w:before="60" w:after="60"/>
        <w:ind w:left="851"/>
        <w:rPr>
          <w:noProof/>
          <w:sz w:val="18"/>
          <w:szCs w:val="18"/>
        </w:rPr>
      </w:pPr>
      <w:r>
        <w:rPr>
          <w:b/>
          <w:noProof/>
          <w:sz w:val="18"/>
          <w:szCs w:val="18"/>
        </w:rPr>
        <w:t>DG BUDG</w:t>
      </w:r>
      <w:r>
        <w:rPr>
          <w:noProof/>
          <w:sz w:val="18"/>
          <w:szCs w:val="18"/>
        </w:rPr>
        <w:t xml:space="preserve"> este domeniul de politică sau titlul din buget în cauză.</w:t>
      </w:r>
    </w:p>
    <w:p>
      <w:pPr>
        <w:pStyle w:val="Text1"/>
        <w:rPr>
          <w:noProof/>
          <w:sz w:val="18"/>
          <w:szCs w:val="18"/>
        </w:rPr>
      </w:pPr>
      <w:r>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pPr>
        <w:rPr>
          <w:noProof/>
          <w:sz w:val="20"/>
        </w:rPr>
      </w:pPr>
      <w:r>
        <w:rPr>
          <w:noProof/>
          <w:sz w:val="20"/>
        </w:rPr>
        <w:t>Descrierea sarcinilor care trebuie efectuate:</w:t>
      </w:r>
    </w:p>
    <w:tbl>
      <w:tblPr>
        <w:tblW w:w="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Borders>
              <w:top w:val="single" w:sz="2" w:space="0" w:color="auto"/>
              <w:left w:val="single" w:sz="2" w:space="0" w:color="auto"/>
              <w:bottom w:val="single" w:sz="2" w:space="0" w:color="auto"/>
              <w:right w:val="single" w:sz="2" w:space="0" w:color="auto"/>
            </w:tcBorders>
            <w:hideMark/>
          </w:tcPr>
          <w:p>
            <w:pPr>
              <w:spacing w:line="276" w:lineRule="auto"/>
              <w:rPr>
                <w:noProof/>
                <w:sz w:val="20"/>
              </w:rPr>
            </w:pPr>
            <w:r>
              <w:rPr>
                <w:noProof/>
                <w:sz w:val="20"/>
              </w:rPr>
              <w:t>Funcționari și personal temporar</w:t>
            </w:r>
          </w:p>
        </w:tc>
        <w:tc>
          <w:tcPr>
            <w:tcW w:w="7200" w:type="dxa"/>
            <w:tcBorders>
              <w:top w:val="single" w:sz="2" w:space="0" w:color="auto"/>
              <w:left w:val="single" w:sz="2" w:space="0" w:color="auto"/>
              <w:bottom w:val="single" w:sz="2" w:space="0" w:color="auto"/>
              <w:right w:val="single" w:sz="2" w:space="0" w:color="auto"/>
            </w:tcBorders>
            <w:hideMark/>
          </w:tcPr>
          <w:p>
            <w:pPr>
              <w:spacing w:line="276" w:lineRule="auto"/>
              <w:rPr>
                <w:noProof/>
                <w:sz w:val="20"/>
              </w:rPr>
            </w:pPr>
            <w:r>
              <w:rPr>
                <w:noProof/>
                <w:sz w:val="20"/>
              </w:rPr>
              <w:t xml:space="preserve">Emisiunea de titluri de creanțe, administrarea împrumuturilor și contabilitate, decontare. </w:t>
            </w:r>
          </w:p>
        </w:tc>
      </w:tr>
      <w:tr>
        <w:tc>
          <w:tcPr>
            <w:tcW w:w="3240" w:type="dxa"/>
            <w:tcBorders>
              <w:top w:val="single" w:sz="2" w:space="0" w:color="auto"/>
              <w:left w:val="single" w:sz="2" w:space="0" w:color="auto"/>
              <w:bottom w:val="single" w:sz="2" w:space="0" w:color="auto"/>
              <w:right w:val="single" w:sz="2" w:space="0" w:color="auto"/>
            </w:tcBorders>
            <w:hideMark/>
          </w:tcPr>
          <w:p>
            <w:pPr>
              <w:spacing w:before="60" w:after="60" w:line="276" w:lineRule="auto"/>
              <w:rPr>
                <w:noProof/>
                <w:sz w:val="20"/>
              </w:rPr>
            </w:pPr>
            <w:r>
              <w:rPr>
                <w:noProof/>
                <w:sz w:val="20"/>
              </w:rPr>
              <w:t>Personal extern</w:t>
            </w:r>
          </w:p>
        </w:tc>
        <w:tc>
          <w:tcPr>
            <w:tcW w:w="7200" w:type="dxa"/>
            <w:tcBorders>
              <w:top w:val="single" w:sz="2" w:space="0" w:color="auto"/>
              <w:left w:val="single" w:sz="2" w:space="0" w:color="auto"/>
              <w:bottom w:val="single" w:sz="2" w:space="0" w:color="auto"/>
              <w:right w:val="single" w:sz="2" w:space="0" w:color="auto"/>
            </w:tcBorders>
          </w:tcPr>
          <w:p>
            <w:pPr>
              <w:spacing w:line="276" w:lineRule="auto"/>
              <w:rPr>
                <w:noProof/>
                <w:sz w:val="20"/>
              </w:rPr>
            </w:pPr>
            <w:r>
              <w:rPr>
                <w:noProof/>
                <w:sz w:val="20"/>
              </w:rPr>
              <w:t>Emisiunea de titluri de creanțe, administrarea împrumuturilor și contabilitate, decontare.</w:t>
            </w:r>
          </w:p>
        </w:tc>
      </w:tr>
    </w:tbl>
    <w:p>
      <w:pPr>
        <w:pStyle w:val="Text1"/>
        <w:rPr>
          <w:noProof/>
          <w:sz w:val="18"/>
        </w:rPr>
      </w:pPr>
    </w:p>
    <w:p>
      <w:pPr>
        <w:pStyle w:val="Text1"/>
        <w:rPr>
          <w:noProof/>
          <w:sz w:val="18"/>
        </w:rPr>
      </w:pPr>
    </w:p>
    <w:p>
      <w:pPr>
        <w:pStyle w:val="ManualHeading3"/>
        <w:rPr>
          <w:noProof/>
        </w:rPr>
      </w:pPr>
      <w:r>
        <w:rPr>
          <w:noProof/>
        </w:rPr>
        <w:t>3.2.4.</w:t>
      </w:r>
      <w:r>
        <w:rPr>
          <w:noProof/>
        </w:rPr>
        <w:tab/>
        <w:t xml:space="preserve">Compatibilitatea cu cadrul financiar multianual actual </w:t>
      </w:r>
    </w:p>
    <w:p>
      <w:pPr>
        <w:pStyle w:val="ListDash1"/>
        <w:rPr>
          <w:noProof/>
        </w:rPr>
      </w:pPr>
      <w:r>
        <w:rPr>
          <w:b/>
          <w:noProof/>
        </w:rPr>
        <w:t>X</w:t>
      </w:r>
      <w:r>
        <w:rPr>
          <w:noProof/>
        </w:rPr>
        <w:tab/>
        <w:t>Propunerea/inițiativa este compatibilă cu actualul cadru financiar multianual și cu următorul cadru financiar multianual propus.</w:t>
      </w:r>
    </w:p>
    <w:p>
      <w:pPr>
        <w:pStyle w:val="ListDash1"/>
        <w:rPr>
          <w:noProof/>
        </w:rPr>
      </w:pPr>
      <w:r>
        <w:rPr>
          <w:noProof/>
        </w:rPr>
        <w:sym w:font="Wingdings" w:char="F0A8"/>
      </w:r>
      <w:r>
        <w:rPr>
          <w:noProof/>
        </w:rPr>
        <w:tab/>
        <w:t>Propunerea/inițiativa necesită o reprogramare a rubricii corespunzătoare din cadrul financiar multianual.</w:t>
      </w:r>
    </w:p>
    <w:p>
      <w:pPr>
        <w:pStyle w:val="ListDash1"/>
        <w:rPr>
          <w:noProof/>
        </w:rPr>
      </w:pPr>
      <w:r>
        <w:rPr>
          <w:noProof/>
        </w:rPr>
        <w:sym w:font="Wingdings" w:char="F0A8"/>
      </w:r>
      <w:r>
        <w:rPr>
          <w:noProof/>
        </w:rPr>
        <w:tab/>
        <w:t>Propunerea/inițiativa necesită recurgerea la instrumentul de flexibilitate sau la revizuirea cadrului financiar multianual.</w:t>
      </w:r>
    </w:p>
    <w:p>
      <w:pPr>
        <w:pStyle w:val="ManualHeading3"/>
        <w:rPr>
          <w:noProof/>
        </w:rPr>
      </w:pPr>
      <w:r>
        <w:rPr>
          <w:noProof/>
        </w:rPr>
        <w:t>3.2.5.</w:t>
      </w:r>
      <w:r>
        <w:rPr>
          <w:noProof/>
        </w:rPr>
        <w:tab/>
        <w:t xml:space="preserve">Contribuțiile terților </w:t>
      </w:r>
    </w:p>
    <w:p>
      <w:pPr>
        <w:pStyle w:val="ListDash1"/>
        <w:rPr>
          <w:noProof/>
        </w:rPr>
      </w:pPr>
      <w:r>
        <w:rPr>
          <w:noProof/>
        </w:rPr>
        <w:t xml:space="preserve">Propunerea/inițiativa nu prevede cofinanțare din partea terților. </w:t>
      </w:r>
    </w:p>
    <w:p>
      <w:pPr>
        <w:pStyle w:val="ListDash1"/>
        <w:rPr>
          <w:noProof/>
        </w:rPr>
      </w:pPr>
      <w:r>
        <w:rPr>
          <w:noProof/>
        </w:rPr>
        <w:t>X Propunerea/inițiativa prevede cofinanțare, estimată mai jos:</w:t>
      </w:r>
    </w:p>
    <w:p>
      <w:pPr>
        <w:jc w:val="left"/>
        <w:rPr>
          <w:noProof/>
        </w:rPr>
      </w:pPr>
      <w:r>
        <w:rPr>
          <w:noProof/>
        </w:rPr>
        <w:t xml:space="preserve">Nu există cofinanțare; cu toate acestea, pot fi prevăzute provizioane pentru garanții bugetare, aferente unui anumit program al Uniunii, în limita cuantumului angajamentelor voluntare asumate de statele membre care asigură rambursarea sumelor luate cu împrumut de către Uniune. </w:t>
      </w:r>
      <w:r>
        <w:rPr>
          <w:noProof/>
        </w:rPr>
        <w:br/>
      </w:r>
    </w:p>
    <w:p>
      <w:pPr>
        <w:pStyle w:val="ManualHeading2"/>
        <w:rPr>
          <w:noProof/>
        </w:rPr>
      </w:pPr>
      <w:r>
        <w:rPr>
          <w:noProof/>
        </w:rPr>
        <w:br w:type="page"/>
        <w:t>3.3.</w:t>
      </w:r>
      <w:r>
        <w:rPr>
          <w:noProof/>
        </w:rPr>
        <w:tab/>
        <w:t xml:space="preserve">Impactul estimat asupra veniturilor </w:t>
      </w:r>
    </w:p>
    <w:p>
      <w:pPr>
        <w:pStyle w:val="ListDash1"/>
        <w:rPr>
          <w:noProof/>
        </w:rPr>
      </w:pPr>
      <w:r>
        <w:rPr>
          <w:noProof/>
        </w:rPr>
        <w:sym w:font="Wingdings" w:char="F0A8"/>
      </w:r>
      <w:r>
        <w:rPr>
          <w:noProof/>
        </w:rPr>
        <w:tab/>
        <w:t>Propunerea/inițiativa nu are impact financiar asupra veniturilor.</w:t>
      </w:r>
    </w:p>
    <w:p>
      <w:pPr>
        <w:pStyle w:val="ListDash1"/>
        <w:rPr>
          <w:noProof/>
        </w:rPr>
      </w:pPr>
      <w:r>
        <w:rPr>
          <w:b/>
          <w:noProof/>
        </w:rPr>
        <w:t>X</w:t>
      </w:r>
      <w:r>
        <w:rPr>
          <w:noProof/>
        </w:rPr>
        <w:tab/>
        <w:t>Propunerea/inițiativa are următorul impact financiar:</w:t>
      </w:r>
    </w:p>
    <w:p>
      <w:pPr>
        <w:pStyle w:val="ListNumberLevel3"/>
        <w:numPr>
          <w:ilvl w:val="2"/>
          <w:numId w:val="17"/>
        </w:numPr>
        <w:rPr>
          <w:noProof/>
        </w:rPr>
      </w:pPr>
      <w:r>
        <w:rPr>
          <w:noProof/>
        </w:rPr>
        <w:t>X</w:t>
      </w:r>
      <w:r>
        <w:rPr>
          <w:noProof/>
        </w:rPr>
        <w:tab/>
        <w:t>asupra veniturilor alocate (linia bugetară pentru venituri urmează să fie stabilită)</w:t>
      </w:r>
    </w:p>
    <w:p>
      <w:pPr>
        <w:rPr>
          <w:noProof/>
        </w:rPr>
      </w:pPr>
    </w:p>
    <w:p>
      <w:pPr>
        <w:rPr>
          <w:noProof/>
        </w:rPr>
      </w:pPr>
      <w:r>
        <w:rPr>
          <w:noProof/>
        </w:rPr>
        <w:t>În perioada de punere în aplicare, 537,4 miliarde EUR (la prețurile din 2018) din veniturile obținute din operațiunile de împrumut vor constitui venituri alocate externe destinate granturilor acordate statelor membre și garanțiilor bugetare.</w:t>
      </w:r>
    </w:p>
    <w:p>
      <w:pPr>
        <w:jc w:val="right"/>
        <w:rPr>
          <w:noProof/>
        </w:rPr>
      </w:pPr>
      <w:r>
        <w:rPr>
          <w:noProof/>
        </w:rPr>
        <w:t>miliarde EUR (prin rotunjire)</w:t>
      </w:r>
    </w:p>
    <w:tbl>
      <w:tblPr>
        <w:tblStyle w:val="TableGrid"/>
        <w:tblW w:w="9840" w:type="dxa"/>
        <w:tblInd w:w="-480" w:type="dxa"/>
        <w:tblLayout w:type="fixed"/>
        <w:tblLook w:val="04A0" w:firstRow="1" w:lastRow="0" w:firstColumn="1" w:lastColumn="0" w:noHBand="0" w:noVBand="1"/>
      </w:tblPr>
      <w:tblGrid>
        <w:gridCol w:w="1434"/>
        <w:gridCol w:w="934"/>
        <w:gridCol w:w="934"/>
        <w:gridCol w:w="934"/>
        <w:gridCol w:w="934"/>
        <w:gridCol w:w="934"/>
        <w:gridCol w:w="934"/>
        <w:gridCol w:w="934"/>
        <w:gridCol w:w="934"/>
        <w:gridCol w:w="934"/>
      </w:tblGrid>
      <w:tr>
        <w:trPr>
          <w:trHeight w:val="300"/>
        </w:trPr>
        <w:tc>
          <w:tcPr>
            <w:tcW w:w="1434" w:type="dxa"/>
            <w:noWrap/>
            <w:hideMark/>
          </w:tcPr>
          <w:p>
            <w:pPr>
              <w:jc w:val="center"/>
              <w:rPr>
                <w:noProof/>
                <w:szCs w:val="24"/>
              </w:rPr>
            </w:pPr>
          </w:p>
        </w:tc>
        <w:tc>
          <w:tcPr>
            <w:tcW w:w="934" w:type="dxa"/>
            <w:noWrap/>
            <w:hideMark/>
          </w:tcPr>
          <w:p>
            <w:pPr>
              <w:jc w:val="center"/>
              <w:rPr>
                <w:noProof/>
                <w:szCs w:val="24"/>
              </w:rPr>
            </w:pPr>
            <w:r>
              <w:rPr>
                <w:noProof/>
              </w:rPr>
              <w:t>2021</w:t>
            </w:r>
          </w:p>
        </w:tc>
        <w:tc>
          <w:tcPr>
            <w:tcW w:w="934" w:type="dxa"/>
            <w:noWrap/>
          </w:tcPr>
          <w:p>
            <w:pPr>
              <w:jc w:val="center"/>
              <w:rPr>
                <w:noProof/>
                <w:szCs w:val="24"/>
              </w:rPr>
            </w:pPr>
            <w:r>
              <w:rPr>
                <w:noProof/>
              </w:rPr>
              <w:t>2022</w:t>
            </w:r>
          </w:p>
        </w:tc>
        <w:tc>
          <w:tcPr>
            <w:tcW w:w="934" w:type="dxa"/>
            <w:noWrap/>
          </w:tcPr>
          <w:p>
            <w:pPr>
              <w:jc w:val="center"/>
              <w:rPr>
                <w:noProof/>
                <w:szCs w:val="24"/>
              </w:rPr>
            </w:pPr>
            <w:r>
              <w:rPr>
                <w:noProof/>
              </w:rPr>
              <w:t>2023</w:t>
            </w:r>
          </w:p>
        </w:tc>
        <w:tc>
          <w:tcPr>
            <w:tcW w:w="934" w:type="dxa"/>
            <w:noWrap/>
          </w:tcPr>
          <w:p>
            <w:pPr>
              <w:jc w:val="center"/>
              <w:rPr>
                <w:noProof/>
                <w:szCs w:val="24"/>
              </w:rPr>
            </w:pPr>
            <w:r>
              <w:rPr>
                <w:noProof/>
              </w:rPr>
              <w:t>2024</w:t>
            </w:r>
          </w:p>
        </w:tc>
        <w:tc>
          <w:tcPr>
            <w:tcW w:w="934" w:type="dxa"/>
            <w:noWrap/>
          </w:tcPr>
          <w:p>
            <w:pPr>
              <w:jc w:val="center"/>
              <w:rPr>
                <w:noProof/>
                <w:szCs w:val="24"/>
              </w:rPr>
            </w:pPr>
            <w:r>
              <w:rPr>
                <w:noProof/>
              </w:rPr>
              <w:t>2025</w:t>
            </w:r>
          </w:p>
        </w:tc>
        <w:tc>
          <w:tcPr>
            <w:tcW w:w="934" w:type="dxa"/>
            <w:noWrap/>
          </w:tcPr>
          <w:p>
            <w:pPr>
              <w:jc w:val="center"/>
              <w:rPr>
                <w:noProof/>
                <w:szCs w:val="24"/>
              </w:rPr>
            </w:pPr>
            <w:r>
              <w:rPr>
                <w:noProof/>
              </w:rPr>
              <w:t>2026</w:t>
            </w:r>
          </w:p>
        </w:tc>
        <w:tc>
          <w:tcPr>
            <w:tcW w:w="934" w:type="dxa"/>
            <w:noWrap/>
          </w:tcPr>
          <w:p>
            <w:pPr>
              <w:jc w:val="center"/>
              <w:rPr>
                <w:noProof/>
                <w:szCs w:val="24"/>
              </w:rPr>
            </w:pPr>
            <w:r>
              <w:rPr>
                <w:noProof/>
              </w:rPr>
              <w:t>2027</w:t>
            </w:r>
          </w:p>
        </w:tc>
        <w:tc>
          <w:tcPr>
            <w:tcW w:w="934" w:type="dxa"/>
          </w:tcPr>
          <w:p>
            <w:pPr>
              <w:jc w:val="center"/>
              <w:rPr>
                <w:noProof/>
                <w:szCs w:val="24"/>
              </w:rPr>
            </w:pPr>
            <w:r>
              <w:rPr>
                <w:noProof/>
              </w:rPr>
              <w:t>total</w:t>
            </w:r>
          </w:p>
        </w:tc>
        <w:tc>
          <w:tcPr>
            <w:tcW w:w="934" w:type="dxa"/>
            <w:noWrap/>
          </w:tcPr>
          <w:p>
            <w:pPr>
              <w:jc w:val="center"/>
              <w:rPr>
                <w:noProof/>
                <w:szCs w:val="24"/>
              </w:rPr>
            </w:pPr>
            <w:r>
              <w:rPr>
                <w:noProof/>
              </w:rPr>
              <w:t>După 2027</w:t>
            </w:r>
            <w:r>
              <w:rPr>
                <w:rStyle w:val="FootnoteReference"/>
                <w:noProof/>
                <w:szCs w:val="24"/>
              </w:rPr>
              <w:footnoteReference w:id="14"/>
            </w:r>
          </w:p>
        </w:tc>
      </w:tr>
      <w:tr>
        <w:trPr>
          <w:trHeight w:val="300"/>
        </w:trPr>
        <w:tc>
          <w:tcPr>
            <w:tcW w:w="1434" w:type="dxa"/>
            <w:noWrap/>
            <w:hideMark/>
          </w:tcPr>
          <w:p>
            <w:pPr>
              <w:jc w:val="center"/>
              <w:rPr>
                <w:noProof/>
                <w:szCs w:val="24"/>
              </w:rPr>
            </w:pPr>
            <w:r>
              <w:rPr>
                <w:noProof/>
              </w:rPr>
              <w:t>prețuri constante 2018</w:t>
            </w:r>
          </w:p>
        </w:tc>
        <w:tc>
          <w:tcPr>
            <w:tcW w:w="934" w:type="dxa"/>
            <w:noWrap/>
          </w:tcPr>
          <w:p>
            <w:pPr>
              <w:rPr>
                <w:noProof/>
                <w:szCs w:val="24"/>
              </w:rPr>
            </w:pPr>
            <w:r>
              <w:rPr>
                <w:noProof/>
              </w:rPr>
              <w:t>35,0</w:t>
            </w:r>
          </w:p>
        </w:tc>
        <w:tc>
          <w:tcPr>
            <w:tcW w:w="934" w:type="dxa"/>
            <w:noWrap/>
          </w:tcPr>
          <w:p>
            <w:pPr>
              <w:rPr>
                <w:noProof/>
                <w:szCs w:val="24"/>
              </w:rPr>
            </w:pPr>
            <w:r>
              <w:rPr>
                <w:noProof/>
              </w:rPr>
              <w:t>84,5</w:t>
            </w:r>
          </w:p>
        </w:tc>
        <w:tc>
          <w:tcPr>
            <w:tcW w:w="934" w:type="dxa"/>
            <w:noWrap/>
          </w:tcPr>
          <w:p>
            <w:pPr>
              <w:rPr>
                <w:noProof/>
                <w:szCs w:val="24"/>
              </w:rPr>
            </w:pPr>
            <w:r>
              <w:rPr>
                <w:noProof/>
              </w:rPr>
              <w:t>111,8</w:t>
            </w:r>
          </w:p>
        </w:tc>
        <w:tc>
          <w:tcPr>
            <w:tcW w:w="934" w:type="dxa"/>
            <w:noWrap/>
          </w:tcPr>
          <w:p>
            <w:pPr>
              <w:rPr>
                <w:noProof/>
                <w:szCs w:val="24"/>
              </w:rPr>
            </w:pPr>
            <w:r>
              <w:rPr>
                <w:noProof/>
              </w:rPr>
              <w:t>122,5</w:t>
            </w:r>
          </w:p>
        </w:tc>
        <w:tc>
          <w:tcPr>
            <w:tcW w:w="934" w:type="dxa"/>
            <w:noWrap/>
          </w:tcPr>
          <w:p>
            <w:pPr>
              <w:rPr>
                <w:noProof/>
                <w:szCs w:val="24"/>
              </w:rPr>
            </w:pPr>
            <w:r>
              <w:rPr>
                <w:noProof/>
              </w:rPr>
              <w:t>74,5</w:t>
            </w:r>
          </w:p>
        </w:tc>
        <w:tc>
          <w:tcPr>
            <w:tcW w:w="934" w:type="dxa"/>
            <w:noWrap/>
          </w:tcPr>
          <w:p>
            <w:pPr>
              <w:rPr>
                <w:noProof/>
                <w:szCs w:val="24"/>
              </w:rPr>
            </w:pPr>
            <w:r>
              <w:rPr>
                <w:noProof/>
              </w:rPr>
              <w:t>34,4</w:t>
            </w:r>
          </w:p>
        </w:tc>
        <w:tc>
          <w:tcPr>
            <w:tcW w:w="934" w:type="dxa"/>
            <w:noWrap/>
          </w:tcPr>
          <w:p>
            <w:pPr>
              <w:rPr>
                <w:noProof/>
                <w:szCs w:val="24"/>
              </w:rPr>
            </w:pPr>
            <w:r>
              <w:rPr>
                <w:noProof/>
              </w:rPr>
              <w:t>17,9</w:t>
            </w:r>
          </w:p>
        </w:tc>
        <w:tc>
          <w:tcPr>
            <w:tcW w:w="934" w:type="dxa"/>
          </w:tcPr>
          <w:p>
            <w:pPr>
              <w:rPr>
                <w:noProof/>
                <w:szCs w:val="24"/>
              </w:rPr>
            </w:pPr>
            <w:r>
              <w:rPr>
                <w:noProof/>
              </w:rPr>
              <w:t>480,7</w:t>
            </w:r>
          </w:p>
        </w:tc>
        <w:tc>
          <w:tcPr>
            <w:tcW w:w="934" w:type="dxa"/>
            <w:noWrap/>
          </w:tcPr>
          <w:p>
            <w:pPr>
              <w:rPr>
                <w:noProof/>
                <w:szCs w:val="24"/>
              </w:rPr>
            </w:pPr>
            <w:r>
              <w:rPr>
                <w:noProof/>
              </w:rPr>
              <w:t>19,3</w:t>
            </w:r>
          </w:p>
        </w:tc>
      </w:tr>
      <w:tr>
        <w:trPr>
          <w:trHeight w:val="290"/>
        </w:trPr>
        <w:tc>
          <w:tcPr>
            <w:tcW w:w="1434" w:type="dxa"/>
            <w:noWrap/>
            <w:hideMark/>
          </w:tcPr>
          <w:p>
            <w:pPr>
              <w:jc w:val="center"/>
              <w:rPr>
                <w:noProof/>
                <w:szCs w:val="24"/>
              </w:rPr>
            </w:pPr>
            <w:r>
              <w:rPr>
                <w:noProof/>
              </w:rPr>
              <w:t xml:space="preserve">prețuri curente </w:t>
            </w:r>
          </w:p>
        </w:tc>
        <w:tc>
          <w:tcPr>
            <w:tcW w:w="934" w:type="dxa"/>
            <w:noWrap/>
          </w:tcPr>
          <w:p>
            <w:pPr>
              <w:rPr>
                <w:noProof/>
                <w:szCs w:val="24"/>
              </w:rPr>
            </w:pPr>
            <w:r>
              <w:rPr>
                <w:noProof/>
              </w:rPr>
              <w:t>37,1</w:t>
            </w:r>
          </w:p>
        </w:tc>
        <w:tc>
          <w:tcPr>
            <w:tcW w:w="934" w:type="dxa"/>
            <w:noWrap/>
          </w:tcPr>
          <w:p>
            <w:pPr>
              <w:rPr>
                <w:noProof/>
                <w:szCs w:val="24"/>
              </w:rPr>
            </w:pPr>
            <w:r>
              <w:rPr>
                <w:noProof/>
              </w:rPr>
              <w:t>91,5</w:t>
            </w:r>
          </w:p>
        </w:tc>
        <w:tc>
          <w:tcPr>
            <w:tcW w:w="934" w:type="dxa"/>
            <w:noWrap/>
          </w:tcPr>
          <w:p>
            <w:pPr>
              <w:rPr>
                <w:noProof/>
                <w:szCs w:val="24"/>
              </w:rPr>
            </w:pPr>
            <w:r>
              <w:rPr>
                <w:noProof/>
              </w:rPr>
              <w:t>123,5</w:t>
            </w:r>
          </w:p>
        </w:tc>
        <w:tc>
          <w:tcPr>
            <w:tcW w:w="934" w:type="dxa"/>
            <w:noWrap/>
          </w:tcPr>
          <w:p>
            <w:pPr>
              <w:rPr>
                <w:noProof/>
                <w:szCs w:val="24"/>
              </w:rPr>
            </w:pPr>
            <w:r>
              <w:rPr>
                <w:noProof/>
              </w:rPr>
              <w:t>138,0</w:t>
            </w:r>
          </w:p>
        </w:tc>
        <w:tc>
          <w:tcPr>
            <w:tcW w:w="934" w:type="dxa"/>
            <w:noWrap/>
          </w:tcPr>
          <w:p>
            <w:pPr>
              <w:rPr>
                <w:noProof/>
                <w:szCs w:val="24"/>
              </w:rPr>
            </w:pPr>
            <w:r>
              <w:rPr>
                <w:noProof/>
              </w:rPr>
              <w:t>85,6</w:t>
            </w:r>
          </w:p>
        </w:tc>
        <w:tc>
          <w:tcPr>
            <w:tcW w:w="934" w:type="dxa"/>
            <w:noWrap/>
          </w:tcPr>
          <w:p>
            <w:pPr>
              <w:rPr>
                <w:noProof/>
                <w:szCs w:val="24"/>
              </w:rPr>
            </w:pPr>
            <w:r>
              <w:rPr>
                <w:noProof/>
              </w:rPr>
              <w:t>40,3</w:t>
            </w:r>
          </w:p>
        </w:tc>
        <w:tc>
          <w:tcPr>
            <w:tcW w:w="934" w:type="dxa"/>
            <w:noWrap/>
          </w:tcPr>
          <w:p>
            <w:pPr>
              <w:rPr>
                <w:noProof/>
                <w:szCs w:val="24"/>
              </w:rPr>
            </w:pPr>
            <w:r>
              <w:rPr>
                <w:noProof/>
              </w:rPr>
              <w:t>21,4</w:t>
            </w:r>
          </w:p>
        </w:tc>
        <w:tc>
          <w:tcPr>
            <w:tcW w:w="934" w:type="dxa"/>
          </w:tcPr>
          <w:p>
            <w:pPr>
              <w:rPr>
                <w:noProof/>
                <w:szCs w:val="24"/>
              </w:rPr>
            </w:pPr>
            <w:r>
              <w:rPr>
                <w:noProof/>
              </w:rPr>
              <w:t>537,4</w:t>
            </w:r>
          </w:p>
        </w:tc>
        <w:tc>
          <w:tcPr>
            <w:tcW w:w="934" w:type="dxa"/>
            <w:noWrap/>
          </w:tcPr>
          <w:p>
            <w:pPr>
              <w:rPr>
                <w:noProof/>
                <w:szCs w:val="24"/>
              </w:rPr>
            </w:pPr>
            <w:r>
              <w:rPr>
                <w:noProof/>
              </w:rPr>
              <w:t>23,1</w:t>
            </w:r>
          </w:p>
        </w:tc>
      </w:tr>
    </w:tbl>
    <w:p>
      <w:pPr>
        <w:rPr>
          <w:noProof/>
        </w:rPr>
      </w:pPr>
    </w:p>
    <w:sectPr>
      <w:pgSz w:w="11907" w:h="16840"/>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25</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r>
      <w:r>
        <w:rPr>
          <w:i/>
        </w:rPr>
        <w:t>European Economic Forecast</w:t>
      </w:r>
      <w:r>
        <w:t xml:space="preserve"> (Previziuni economice europene), Documentul instituțional 125, mai 2020.</w:t>
      </w:r>
    </w:p>
  </w:footnote>
  <w:footnote w:id="3">
    <w:p>
      <w:pPr>
        <w:pStyle w:val="FootnoteText"/>
      </w:pPr>
      <w:r>
        <w:rPr>
          <w:rStyle w:val="FootnoteReference"/>
        </w:rPr>
        <w:footnoteRef/>
      </w:r>
      <w:r>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4">
    <w:p>
      <w:pPr>
        <w:pStyle w:val="FootnoteText"/>
      </w:pPr>
      <w:r>
        <w:rPr>
          <w:rStyle w:val="FootnoteReference"/>
        </w:rPr>
        <w:footnoteRef/>
      </w:r>
      <w:r>
        <w:tab/>
        <w:t>JO L 29, 31.1.2020, p. 7.</w:t>
      </w:r>
    </w:p>
  </w:footnote>
  <w:footnote w:id="5">
    <w:p>
      <w:pPr>
        <w:pStyle w:val="FootnoteText"/>
      </w:pPr>
      <w:r>
        <w:rPr>
          <w:rStyle w:val="FootnoteReference"/>
        </w:rPr>
        <w:footnoteRef/>
      </w:r>
      <w:r>
        <w:tab/>
        <w:t xml:space="preserve">Decizia 2014/335/UE, Euratom a Consiliului din 26 mai 2014 privind sistemul de resurse proprii ale Uniunii Europene (JO L 168, 7.6.2014, p. 105). </w:t>
      </w:r>
    </w:p>
  </w:footnote>
  <w:footnote w:id="6">
    <w:p>
      <w:pPr>
        <w:pStyle w:val="FootnoteText"/>
        <w:rPr>
          <w:szCs w:val="24"/>
        </w:rPr>
      </w:pPr>
      <w:r>
        <w:rPr>
          <w:rStyle w:val="FootnoteReference"/>
        </w:rPr>
        <w:footnoteRef/>
      </w:r>
      <w:r>
        <w:tab/>
        <w:t>A se stabili în cadrul procedurilor bugetare din 2020 și 2021. ABM: gestiune pe activități; ABB: întocmirea bugetului pe activități.</w:t>
      </w:r>
    </w:p>
  </w:footnote>
  <w:footnote w:id="7">
    <w:p>
      <w:pPr>
        <w:pStyle w:val="FootnoteText"/>
        <w:rPr>
          <w:szCs w:val="24"/>
        </w:rPr>
      </w:pPr>
      <w:r>
        <w:rPr>
          <w:rStyle w:val="FootnoteReference"/>
        </w:rPr>
        <w:footnoteRef/>
      </w:r>
      <w:r>
        <w:tab/>
        <w:t>Astfel cum se menționează la articolul 54 alineatul (2) litera (a) sau (b) din Regulamentul financiar.</w:t>
      </w:r>
    </w:p>
  </w:footnote>
  <w:footnote w:id="8">
    <w:p>
      <w:pPr>
        <w:pStyle w:val="FootnoteText"/>
      </w:pPr>
      <w:r>
        <w:rPr>
          <w:rStyle w:val="FootnoteReference"/>
        </w:rPr>
        <w:footnoteRef/>
      </w:r>
      <w:r>
        <w:tab/>
      </w:r>
      <w:r>
        <w:rPr>
          <w:i/>
        </w:rPr>
        <w:t>European Economic Forecast</w:t>
      </w:r>
      <w:r>
        <w:t xml:space="preserve"> (Previziuni economice europene), Documentul instituțional 125, mai 2020.</w:t>
      </w:r>
    </w:p>
  </w:footnote>
  <w:footnote w:id="9">
    <w:p>
      <w:pPr>
        <w:pStyle w:val="FootnoteText"/>
        <w:rPr>
          <w:szCs w:val="24"/>
        </w:rPr>
      </w:pPr>
      <w:r>
        <w:rPr>
          <w:rStyle w:val="FootnoteReference"/>
        </w:rPr>
        <w:footnoteRef/>
      </w:r>
      <w:r>
        <w:tab/>
        <w:t xml:space="preserve">Explicații detaliate privind modurile de gestiune, precum și trimiterile la Regulamentul (UE, Euratom) 1046/2018 sunt disponibile pe site-ul BudgWeb: </w:t>
      </w:r>
      <w:hyperlink r:id="rId1" w:history="1">
        <w:r>
          <w:rPr>
            <w:rStyle w:val="Hyperlink"/>
            <w:sz w:val="18"/>
          </w:rPr>
          <w:t>http://www.cc.cec/budg/man/budgmanag/budgmanag_en.html</w:t>
        </w:r>
      </w:hyperlink>
    </w:p>
  </w:footnote>
  <w:footnote w:id="10">
    <w:p>
      <w:pPr>
        <w:pStyle w:val="FootnoteText"/>
        <w:rPr>
          <w:szCs w:val="24"/>
        </w:rPr>
      </w:pPr>
      <w:r>
        <w:rPr>
          <w:rStyle w:val="FootnoteReference"/>
        </w:rPr>
        <w:footnoteRef/>
      </w:r>
      <w:r>
        <w:tab/>
        <w:t>Anul N este anul în care începe punerea în aplicare a propunerii/inițiativei.</w:t>
      </w:r>
    </w:p>
  </w:footnote>
  <w:footnote w:id="11">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12">
    <w:p>
      <w:pPr>
        <w:pStyle w:val="FootnoteText"/>
        <w:rPr>
          <w:szCs w:val="24"/>
        </w:rPr>
      </w:pPr>
      <w:r>
        <w:rPr>
          <w:rStyle w:val="FootnoteReference"/>
        </w:rPr>
        <w:footnoteRef/>
      </w:r>
      <w:r>
        <w:tab/>
        <w:t xml:space="preserve">AC = agent contractual; AL = agent local; END = expert național detașat; INT = personal pus la dispoziție de agenții de muncă temporară; JED= expert tânăr în delegații. </w:t>
      </w:r>
    </w:p>
  </w:footnote>
  <w:footnote w:id="13">
    <w:p>
      <w:pPr>
        <w:pStyle w:val="FootnoteText"/>
        <w:rPr>
          <w:szCs w:val="24"/>
        </w:rPr>
      </w:pPr>
      <w:r>
        <w:rPr>
          <w:rStyle w:val="FootnoteReference"/>
        </w:rPr>
        <w:footnoteRef/>
      </w:r>
      <w:r>
        <w:tab/>
        <w:t>Subplafonul pentru personal extern acoperit din creditele operaționale (fostele linii „BA”).</w:t>
      </w:r>
    </w:p>
  </w:footnote>
  <w:footnote w:id="14">
    <w:p>
      <w:pPr>
        <w:pStyle w:val="FootnoteText"/>
      </w:pPr>
      <w:r>
        <w:rPr>
          <w:rStyle w:val="FootnoteReference"/>
        </w:rPr>
        <w:footnoteRef/>
      </w:r>
      <w:r>
        <w:tab/>
        <w:t xml:space="preserve">Include diferențele de conversie.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F90701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12FCB098"/>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C23646A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30D8473E"/>
    <w:name w:val="8,119929E-0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418"/>
        </w:tabs>
        <w:ind w:left="1418" w:hanging="283"/>
      </w:pPr>
      <w:rPr>
        <w:rFonts w:ascii="Times New Roman" w:hAnsi="Times New Roman" w:cs="Times New Roman"/>
      </w:rPr>
    </w:lvl>
  </w:abstractNum>
  <w:abstractNum w:abstractNumId="21">
    <w:nsid w:val="542A1204"/>
    <w:multiLevelType w:val="multilevel"/>
    <w:tmpl w:val="92E28BA6"/>
    <w:name w:val="0,1882899"/>
    <w:lvl w:ilvl="0">
      <w:start w:val="1"/>
      <w:numFmt w:val="decimal"/>
      <w:pStyle w:val="ListNumber4"/>
      <w:lvlText w:val="(%1)"/>
      <w:lvlJc w:val="left"/>
      <w:pPr>
        <w:tabs>
          <w:tab w:val="num" w:pos="1560"/>
        </w:tabs>
        <w:ind w:left="1560" w:hanging="709"/>
      </w:pPr>
      <w:rPr>
        <w:rFonts w:cs="Times New Roman"/>
      </w:rPr>
    </w:lvl>
    <w:lvl w:ilvl="1">
      <w:start w:val="1"/>
      <w:numFmt w:val="lowerRoman"/>
      <w:pStyle w:val="ListNumber4Level2"/>
      <w:lvlText w:val="%2."/>
      <w:lvlJc w:val="righ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0"/>
  </w:num>
  <w:num w:numId="8">
    <w:abstractNumId w:val="19"/>
  </w:num>
  <w:num w:numId="9">
    <w:abstractNumId w:val="28"/>
  </w:num>
  <w:num w:numId="10">
    <w:abstractNumId w:val="5"/>
  </w:num>
  <w:num w:numId="11">
    <w:abstractNumId w:val="14"/>
  </w:num>
  <w:num w:numId="12">
    <w:abstractNumId w:val="6"/>
  </w:num>
  <w:num w:numId="13">
    <w:abstractNumId w:val="15"/>
  </w:num>
  <w:num w:numId="14">
    <w:abstractNumId w:val="13"/>
  </w:num>
  <w:num w:numId="15">
    <w:abstractNumId w:val="21"/>
  </w:num>
  <w:num w:numId="16">
    <w:abstractNumId w:val="11"/>
  </w:num>
  <w:num w:numId="17">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27"/>
  </w:num>
  <w:num w:numId="21">
    <w:abstractNumId w:val="10"/>
  </w:num>
  <w:num w:numId="22">
    <w:abstractNumId w:val="17"/>
  </w:num>
  <w:num w:numId="23">
    <w:abstractNumId w:val="8"/>
  </w:num>
  <w:num w:numId="24">
    <w:abstractNumId w:val="26"/>
  </w:num>
  <w:num w:numId="25">
    <w:abstractNumId w:val="7"/>
  </w:num>
  <w:num w:numId="26">
    <w:abstractNumId w:val="18"/>
  </w:num>
  <w:num w:numId="27">
    <w:abstractNumId w:val="23"/>
  </w:num>
  <w:num w:numId="28">
    <w:abstractNumId w:val="24"/>
  </w:num>
  <w:num w:numId="29">
    <w:abstractNumId w:val="9"/>
  </w:num>
  <w:num w:numId="30">
    <w:abstractNumId w:val="22"/>
  </w:num>
  <w:num w:numId="31">
    <w:abstractNumId w:val="29"/>
  </w:num>
  <w:num w:numId="32">
    <w:abstractNumId w:val="25"/>
  </w:num>
  <w:num w:numId="33">
    <w:abstractNumId w:val="16"/>
  </w:num>
  <w:num w:numId="34">
    <w:abstractNumId w:val="27"/>
  </w:num>
  <w:num w:numId="35">
    <w:abstractNumId w:val="10"/>
  </w:num>
  <w:num w:numId="36">
    <w:abstractNumId w:val="17"/>
  </w:num>
  <w:num w:numId="37">
    <w:abstractNumId w:val="8"/>
  </w:num>
  <w:num w:numId="38">
    <w:abstractNumId w:val="26"/>
  </w:num>
  <w:num w:numId="39">
    <w:abstractNumId w:val="7"/>
  </w:num>
  <w:num w:numId="40">
    <w:abstractNumId w:val="18"/>
  </w:num>
  <w:num w:numId="41">
    <w:abstractNumId w:val="23"/>
  </w:num>
  <w:num w:numId="42">
    <w:abstractNumId w:val="24"/>
  </w:num>
  <w:num w:numId="43">
    <w:abstractNumId w:val="9"/>
  </w:num>
  <w:num w:numId="44">
    <w:abstractNumId w:val="22"/>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8 17:22: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118C452-6E38-47CB-9EE5-A2A06E021BC3"/>
    <w:docVar w:name="LW_COVERPAGE_TYPE" w:val="1"/>
    <w:docVar w:name="LW_CROSSREFERENCE" w:val="&lt;UNUSED&gt;"/>
    <w:docVar w:name="LW_DocType" w:val="COM"/>
    <w:docVar w:name="LW_EMISSION" w:val="28.5.2020"/>
    <w:docVar w:name="LW_EMISSION_ISODATE" w:val="2020-05-28"/>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111"/>
    <w:docVar w:name="LW_REF.II.NEW.CP_YEAR" w:val="2020"/>
    <w:docVar w:name="LW_REF.INST.NEW" w:val="COM"/>
    <w:docVar w:name="LW_REF.INST.NEW_ADOPTED" w:val="final"/>
    <w:docVar w:name="LW_REF.INST.NEW_TEXT" w:val="(2020) 4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instituire a Instrumentului de redresare al Uniunii Europene pentru a sprijini redresarea în urma pandemiei de COVID-19"/>
    <w:docVar w:name="LW_TYPE.DOC.CP" w:val="REGULAMENT AL CONSILIULUI"/>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nhideWhenUsed/>
    <w:pPr>
      <w:numPr>
        <w:numId w:val="4"/>
      </w:numPr>
      <w:contextualSpacing/>
    </w:pPr>
  </w:style>
  <w:style w:type="character" w:customStyle="1" w:styleId="Aucun">
    <w:name w:val="Aucun"/>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character" w:styleId="Hyperlink">
    <w:name w:val="Hyperlink"/>
    <w:basedOn w:val="DefaultParagraphFont"/>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s4">
    <w:name w:val="s4"/>
    <w:basedOn w:val="DefaultParagraphFont"/>
  </w:style>
  <w:style w:type="paragraph" w:styleId="ListNumber">
    <w:name w:val="List Number"/>
    <w:basedOn w:val="Normal"/>
    <w:pPr>
      <w:numPr>
        <w:numId w:val="9"/>
      </w:numPr>
    </w:pPr>
    <w:rPr>
      <w:rFonts w:eastAsia="Times New Roman"/>
      <w:lang w:eastAsia="de-DE"/>
    </w:rPr>
  </w:style>
  <w:style w:type="paragraph" w:customStyle="1" w:styleId="ListBullet1">
    <w:name w:val="List Bullet 1"/>
    <w:basedOn w:val="Normal"/>
    <w:pPr>
      <w:numPr>
        <w:numId w:val="5"/>
      </w:numPr>
    </w:pPr>
    <w:rPr>
      <w:rFonts w:eastAsia="Times New Roman"/>
      <w:lang w:eastAsia="de-DE"/>
    </w:rPr>
  </w:style>
  <w:style w:type="paragraph" w:customStyle="1" w:styleId="ListDash">
    <w:name w:val="List Dash"/>
    <w:basedOn w:val="Normal"/>
    <w:pPr>
      <w:numPr>
        <w:numId w:val="6"/>
      </w:numPr>
    </w:pPr>
    <w:rPr>
      <w:rFonts w:eastAsia="Times New Roman"/>
      <w:lang w:eastAsia="de-DE"/>
    </w:rPr>
  </w:style>
  <w:style w:type="paragraph" w:customStyle="1" w:styleId="ListDash1">
    <w:name w:val="List Dash 1"/>
    <w:basedOn w:val="Normal"/>
    <w:pPr>
      <w:numPr>
        <w:numId w:val="7"/>
      </w:numPr>
    </w:pPr>
    <w:rPr>
      <w:rFonts w:eastAsia="Times New Roman"/>
      <w:lang w:eastAsia="de-DE"/>
    </w:rPr>
  </w:style>
  <w:style w:type="paragraph" w:customStyle="1" w:styleId="ListDash2">
    <w:name w:val="List Dash 2"/>
    <w:basedOn w:val="Normal"/>
    <w:pPr>
      <w:numPr>
        <w:numId w:val="8"/>
      </w:numPr>
    </w:pPr>
    <w:rPr>
      <w:rFonts w:eastAsia="Times New Roman"/>
      <w:lang w:eastAsia="de-DE"/>
    </w:rPr>
  </w:style>
  <w:style w:type="paragraph" w:customStyle="1" w:styleId="ListNumberLevel2">
    <w:name w:val="List Number (Level 2)"/>
    <w:basedOn w:val="Normal"/>
    <w:pPr>
      <w:numPr>
        <w:ilvl w:val="1"/>
        <w:numId w:val="9"/>
      </w:numPr>
    </w:pPr>
    <w:rPr>
      <w:rFonts w:eastAsia="Times New Roman"/>
      <w:lang w:eastAsia="de-DE"/>
    </w:rPr>
  </w:style>
  <w:style w:type="paragraph" w:customStyle="1" w:styleId="ListNumberLevel3">
    <w:name w:val="List Number (Level 3)"/>
    <w:basedOn w:val="Normal"/>
    <w:pPr>
      <w:numPr>
        <w:ilvl w:val="2"/>
        <w:numId w:val="9"/>
      </w:numPr>
    </w:pPr>
    <w:rPr>
      <w:rFonts w:eastAsia="Times New Roman"/>
      <w:lang w:eastAsia="de-DE"/>
    </w:rPr>
  </w:style>
  <w:style w:type="paragraph" w:customStyle="1" w:styleId="ListNumberLevel4">
    <w:name w:val="List Number (Level 4)"/>
    <w:basedOn w:val="Normal"/>
    <w:pPr>
      <w:numPr>
        <w:ilvl w:val="3"/>
        <w:numId w:val="9"/>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Arti">
    <w:name w:val="Arti"/>
    <w:basedOn w:val="Normal"/>
    <w:pPr>
      <w:spacing w:before="360" w:line="276" w:lineRule="auto"/>
      <w:jc w:val="center"/>
    </w:pPr>
    <w:rPr>
      <w:rFonts w:ascii="&amp;quot" w:eastAsia="Times New Roman" w:hAnsi="&amp;quot"/>
      <w:i/>
      <w:szCs w:val="24"/>
      <w:lang w:eastAsia="en-GB"/>
    </w:rPr>
  </w:style>
  <w:style w:type="character" w:customStyle="1" w:styleId="marker">
    <w:name w:val="marker"/>
    <w:basedOn w:val="DefaultParagraphFont"/>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pPr>
  </w:style>
  <w:style w:type="paragraph" w:customStyle="1" w:styleId="numpar10">
    <w:name w:val="numpar1"/>
    <w:basedOn w:val="Normal"/>
    <w:pPr>
      <w:ind w:left="850" w:hanging="850"/>
    </w:pPr>
    <w:rPr>
      <w:szCs w:val="24"/>
      <w:lang w:eastAsia="en-GB"/>
    </w:rPr>
  </w:style>
  <w:style w:type="character" w:customStyle="1" w:styleId="Marker0">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
    <w:name w:val="Point 0"/>
    <w:basedOn w:val="Normal"/>
    <w:pPr>
      <w:ind w:left="850" w:hanging="850"/>
    </w:pPr>
  </w:style>
  <w:style w:type="character" w:customStyle="1" w:styleId="Marker3">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paragraph" w:customStyle="1" w:styleId="Point00">
    <w:name w:val="Point 0"/>
    <w:basedOn w:val="Normal"/>
    <w:pPr>
      <w:ind w:left="850" w:hanging="850"/>
    </w:pPr>
  </w:style>
  <w:style w:type="paragraph" w:customStyle="1" w:styleId="Point2">
    <w:name w:val="Point 2"/>
    <w:basedOn w:val="Normal"/>
    <w:pPr>
      <w:ind w:left="1984" w:hanging="567"/>
    </w:pPr>
  </w:style>
  <w:style w:type="character" w:customStyle="1" w:styleId="Marker4">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1">
    <w:name w:val="Point 0"/>
    <w:basedOn w:val="Normal"/>
    <w:pPr>
      <w:ind w:left="850" w:hanging="850"/>
    </w:pPr>
  </w:style>
  <w:style w:type="paragraph" w:customStyle="1" w:styleId="Point1">
    <w:name w:val="Point 1"/>
    <w:basedOn w:val="Normal"/>
    <w:pPr>
      <w:ind w:left="1417" w:hanging="567"/>
    </w:pPr>
  </w:style>
  <w:style w:type="paragraph" w:customStyle="1" w:styleId="Point20">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1"/>
    <w:pPr>
      <w:numPr>
        <w:numId w:val="32"/>
      </w:numPr>
    </w:pPr>
  </w:style>
  <w:style w:type="paragraph" w:customStyle="1" w:styleId="Tiret1">
    <w:name w:val="Tiret 1"/>
    <w:basedOn w:val="Point1"/>
    <w:pPr>
      <w:numPr>
        <w:numId w:val="33"/>
      </w:numPr>
    </w:pPr>
  </w:style>
  <w:style w:type="paragraph" w:customStyle="1" w:styleId="Tiret2">
    <w:name w:val="Tiret 2"/>
    <w:basedOn w:val="Point20"/>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5">
    <w:name w:val="Marker"/>
    <w:basedOn w:val="DefaultParagraphFont"/>
    <w:rPr>
      <w:color w:val="0000FF"/>
      <w:shd w:val="clear" w:color="auto" w:fill="auto"/>
    </w:rPr>
  </w:style>
  <w:style w:type="character" w:customStyle="1" w:styleId="Marker12">
    <w:name w:val="Marker1"/>
    <w:basedOn w:val="DefaultParagraphFont"/>
    <w:rPr>
      <w:color w:val="008000"/>
      <w:shd w:val="clear" w:color="auto" w:fill="auto"/>
    </w:rPr>
  </w:style>
  <w:style w:type="character" w:customStyle="1" w:styleId="Marker2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nhideWhenUsed/>
    <w:pPr>
      <w:numPr>
        <w:numId w:val="4"/>
      </w:numPr>
      <w:contextualSpacing/>
    </w:pPr>
  </w:style>
  <w:style w:type="character" w:customStyle="1" w:styleId="Aucun">
    <w:name w:val="Aucun"/>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character" w:styleId="Hyperlink">
    <w:name w:val="Hyperlink"/>
    <w:basedOn w:val="DefaultParagraphFont"/>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s4">
    <w:name w:val="s4"/>
    <w:basedOn w:val="DefaultParagraphFont"/>
  </w:style>
  <w:style w:type="paragraph" w:styleId="ListNumber">
    <w:name w:val="List Number"/>
    <w:basedOn w:val="Normal"/>
    <w:pPr>
      <w:numPr>
        <w:numId w:val="9"/>
      </w:numPr>
    </w:pPr>
    <w:rPr>
      <w:rFonts w:eastAsia="Times New Roman"/>
      <w:lang w:eastAsia="de-DE"/>
    </w:rPr>
  </w:style>
  <w:style w:type="paragraph" w:customStyle="1" w:styleId="ListBullet1">
    <w:name w:val="List Bullet 1"/>
    <w:basedOn w:val="Normal"/>
    <w:pPr>
      <w:numPr>
        <w:numId w:val="5"/>
      </w:numPr>
    </w:pPr>
    <w:rPr>
      <w:rFonts w:eastAsia="Times New Roman"/>
      <w:lang w:eastAsia="de-DE"/>
    </w:rPr>
  </w:style>
  <w:style w:type="paragraph" w:customStyle="1" w:styleId="ListDash">
    <w:name w:val="List Dash"/>
    <w:basedOn w:val="Normal"/>
    <w:pPr>
      <w:numPr>
        <w:numId w:val="6"/>
      </w:numPr>
    </w:pPr>
    <w:rPr>
      <w:rFonts w:eastAsia="Times New Roman"/>
      <w:lang w:eastAsia="de-DE"/>
    </w:rPr>
  </w:style>
  <w:style w:type="paragraph" w:customStyle="1" w:styleId="ListDash1">
    <w:name w:val="List Dash 1"/>
    <w:basedOn w:val="Normal"/>
    <w:pPr>
      <w:numPr>
        <w:numId w:val="7"/>
      </w:numPr>
    </w:pPr>
    <w:rPr>
      <w:rFonts w:eastAsia="Times New Roman"/>
      <w:lang w:eastAsia="de-DE"/>
    </w:rPr>
  </w:style>
  <w:style w:type="paragraph" w:customStyle="1" w:styleId="ListDash2">
    <w:name w:val="List Dash 2"/>
    <w:basedOn w:val="Normal"/>
    <w:pPr>
      <w:numPr>
        <w:numId w:val="8"/>
      </w:numPr>
    </w:pPr>
    <w:rPr>
      <w:rFonts w:eastAsia="Times New Roman"/>
      <w:lang w:eastAsia="de-DE"/>
    </w:rPr>
  </w:style>
  <w:style w:type="paragraph" w:customStyle="1" w:styleId="ListNumberLevel2">
    <w:name w:val="List Number (Level 2)"/>
    <w:basedOn w:val="Normal"/>
    <w:pPr>
      <w:numPr>
        <w:ilvl w:val="1"/>
        <w:numId w:val="9"/>
      </w:numPr>
    </w:pPr>
    <w:rPr>
      <w:rFonts w:eastAsia="Times New Roman"/>
      <w:lang w:eastAsia="de-DE"/>
    </w:rPr>
  </w:style>
  <w:style w:type="paragraph" w:customStyle="1" w:styleId="ListNumberLevel3">
    <w:name w:val="List Number (Level 3)"/>
    <w:basedOn w:val="Normal"/>
    <w:pPr>
      <w:numPr>
        <w:ilvl w:val="2"/>
        <w:numId w:val="9"/>
      </w:numPr>
    </w:pPr>
    <w:rPr>
      <w:rFonts w:eastAsia="Times New Roman"/>
      <w:lang w:eastAsia="de-DE"/>
    </w:rPr>
  </w:style>
  <w:style w:type="paragraph" w:customStyle="1" w:styleId="ListNumberLevel4">
    <w:name w:val="List Number (Level 4)"/>
    <w:basedOn w:val="Normal"/>
    <w:pPr>
      <w:numPr>
        <w:ilvl w:val="3"/>
        <w:numId w:val="9"/>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Arti">
    <w:name w:val="Arti"/>
    <w:basedOn w:val="Normal"/>
    <w:pPr>
      <w:spacing w:before="360" w:line="276" w:lineRule="auto"/>
      <w:jc w:val="center"/>
    </w:pPr>
    <w:rPr>
      <w:rFonts w:ascii="&amp;quot" w:eastAsia="Times New Roman" w:hAnsi="&amp;quot"/>
      <w:i/>
      <w:szCs w:val="24"/>
      <w:lang w:eastAsia="en-GB"/>
    </w:rPr>
  </w:style>
  <w:style w:type="character" w:customStyle="1" w:styleId="marker">
    <w:name w:val="marker"/>
    <w:basedOn w:val="DefaultParagraphFont"/>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pPr>
  </w:style>
  <w:style w:type="paragraph" w:customStyle="1" w:styleId="numpar10">
    <w:name w:val="numpar1"/>
    <w:basedOn w:val="Normal"/>
    <w:pPr>
      <w:ind w:left="850" w:hanging="850"/>
    </w:pPr>
    <w:rPr>
      <w:szCs w:val="24"/>
      <w:lang w:eastAsia="en-GB"/>
    </w:rPr>
  </w:style>
  <w:style w:type="character" w:customStyle="1" w:styleId="Marker0">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
    <w:name w:val="Point 0"/>
    <w:basedOn w:val="Normal"/>
    <w:pPr>
      <w:ind w:left="850" w:hanging="850"/>
    </w:pPr>
  </w:style>
  <w:style w:type="character" w:customStyle="1" w:styleId="Marker3">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paragraph" w:customStyle="1" w:styleId="Point00">
    <w:name w:val="Point 0"/>
    <w:basedOn w:val="Normal"/>
    <w:pPr>
      <w:ind w:left="850" w:hanging="850"/>
    </w:pPr>
  </w:style>
  <w:style w:type="paragraph" w:customStyle="1" w:styleId="Point2">
    <w:name w:val="Point 2"/>
    <w:basedOn w:val="Normal"/>
    <w:pPr>
      <w:ind w:left="1984" w:hanging="567"/>
    </w:pPr>
  </w:style>
  <w:style w:type="character" w:customStyle="1" w:styleId="Marker4">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1">
    <w:name w:val="Point 0"/>
    <w:basedOn w:val="Normal"/>
    <w:pPr>
      <w:ind w:left="850" w:hanging="850"/>
    </w:pPr>
  </w:style>
  <w:style w:type="paragraph" w:customStyle="1" w:styleId="Point1">
    <w:name w:val="Point 1"/>
    <w:basedOn w:val="Normal"/>
    <w:pPr>
      <w:ind w:left="1417" w:hanging="567"/>
    </w:pPr>
  </w:style>
  <w:style w:type="paragraph" w:customStyle="1" w:styleId="Point20">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1"/>
    <w:pPr>
      <w:numPr>
        <w:numId w:val="32"/>
      </w:numPr>
    </w:pPr>
  </w:style>
  <w:style w:type="paragraph" w:customStyle="1" w:styleId="Tiret1">
    <w:name w:val="Tiret 1"/>
    <w:basedOn w:val="Point1"/>
    <w:pPr>
      <w:numPr>
        <w:numId w:val="33"/>
      </w:numPr>
    </w:pPr>
  </w:style>
  <w:style w:type="paragraph" w:customStyle="1" w:styleId="Tiret2">
    <w:name w:val="Tiret 2"/>
    <w:basedOn w:val="Point20"/>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5">
    <w:name w:val="Marker"/>
    <w:basedOn w:val="DefaultParagraphFont"/>
    <w:rPr>
      <w:color w:val="0000FF"/>
      <w:shd w:val="clear" w:color="auto" w:fill="auto"/>
    </w:rPr>
  </w:style>
  <w:style w:type="character" w:customStyle="1" w:styleId="Marker12">
    <w:name w:val="Marker1"/>
    <w:basedOn w:val="DefaultParagraphFont"/>
    <w:rPr>
      <w:color w:val="008000"/>
      <w:shd w:val="clear" w:color="auto" w:fill="auto"/>
    </w:rPr>
  </w:style>
  <w:style w:type="character" w:customStyle="1" w:styleId="Marker2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8736">
      <w:bodyDiv w:val="1"/>
      <w:marLeft w:val="0"/>
      <w:marRight w:val="0"/>
      <w:marTop w:val="0"/>
      <w:marBottom w:val="0"/>
      <w:divBdr>
        <w:top w:val="none" w:sz="0" w:space="0" w:color="auto"/>
        <w:left w:val="none" w:sz="0" w:space="0" w:color="auto"/>
        <w:bottom w:val="none" w:sz="0" w:space="0" w:color="auto"/>
        <w:right w:val="none" w:sz="0" w:space="0" w:color="auto"/>
      </w:divBdr>
    </w:div>
    <w:div w:id="62801299">
      <w:bodyDiv w:val="1"/>
      <w:marLeft w:val="0"/>
      <w:marRight w:val="0"/>
      <w:marTop w:val="0"/>
      <w:marBottom w:val="0"/>
      <w:divBdr>
        <w:top w:val="none" w:sz="0" w:space="0" w:color="auto"/>
        <w:left w:val="none" w:sz="0" w:space="0" w:color="auto"/>
        <w:bottom w:val="none" w:sz="0" w:space="0" w:color="auto"/>
        <w:right w:val="none" w:sz="0" w:space="0" w:color="auto"/>
      </w:divBdr>
    </w:div>
    <w:div w:id="151869828">
      <w:bodyDiv w:val="1"/>
      <w:marLeft w:val="0"/>
      <w:marRight w:val="0"/>
      <w:marTop w:val="0"/>
      <w:marBottom w:val="0"/>
      <w:divBdr>
        <w:top w:val="none" w:sz="0" w:space="0" w:color="auto"/>
        <w:left w:val="none" w:sz="0" w:space="0" w:color="auto"/>
        <w:bottom w:val="none" w:sz="0" w:space="0" w:color="auto"/>
        <w:right w:val="none" w:sz="0" w:space="0" w:color="auto"/>
      </w:divBdr>
    </w:div>
    <w:div w:id="186406552">
      <w:bodyDiv w:val="1"/>
      <w:marLeft w:val="0"/>
      <w:marRight w:val="0"/>
      <w:marTop w:val="0"/>
      <w:marBottom w:val="0"/>
      <w:divBdr>
        <w:top w:val="none" w:sz="0" w:space="0" w:color="auto"/>
        <w:left w:val="none" w:sz="0" w:space="0" w:color="auto"/>
        <w:bottom w:val="none" w:sz="0" w:space="0" w:color="auto"/>
        <w:right w:val="none" w:sz="0" w:space="0" w:color="auto"/>
      </w:divBdr>
    </w:div>
    <w:div w:id="363755549">
      <w:bodyDiv w:val="1"/>
      <w:marLeft w:val="0"/>
      <w:marRight w:val="0"/>
      <w:marTop w:val="0"/>
      <w:marBottom w:val="0"/>
      <w:divBdr>
        <w:top w:val="none" w:sz="0" w:space="0" w:color="auto"/>
        <w:left w:val="none" w:sz="0" w:space="0" w:color="auto"/>
        <w:bottom w:val="none" w:sz="0" w:space="0" w:color="auto"/>
        <w:right w:val="none" w:sz="0" w:space="0" w:color="auto"/>
      </w:divBdr>
    </w:div>
    <w:div w:id="396443837">
      <w:bodyDiv w:val="1"/>
      <w:marLeft w:val="0"/>
      <w:marRight w:val="0"/>
      <w:marTop w:val="0"/>
      <w:marBottom w:val="0"/>
      <w:divBdr>
        <w:top w:val="none" w:sz="0" w:space="0" w:color="auto"/>
        <w:left w:val="none" w:sz="0" w:space="0" w:color="auto"/>
        <w:bottom w:val="none" w:sz="0" w:space="0" w:color="auto"/>
        <w:right w:val="none" w:sz="0" w:space="0" w:color="auto"/>
      </w:divBdr>
    </w:div>
    <w:div w:id="452098479">
      <w:bodyDiv w:val="1"/>
      <w:marLeft w:val="0"/>
      <w:marRight w:val="0"/>
      <w:marTop w:val="0"/>
      <w:marBottom w:val="0"/>
      <w:divBdr>
        <w:top w:val="none" w:sz="0" w:space="0" w:color="auto"/>
        <w:left w:val="none" w:sz="0" w:space="0" w:color="auto"/>
        <w:bottom w:val="none" w:sz="0" w:space="0" w:color="auto"/>
        <w:right w:val="none" w:sz="0" w:space="0" w:color="auto"/>
      </w:divBdr>
    </w:div>
    <w:div w:id="514659078">
      <w:bodyDiv w:val="1"/>
      <w:marLeft w:val="0"/>
      <w:marRight w:val="0"/>
      <w:marTop w:val="0"/>
      <w:marBottom w:val="0"/>
      <w:divBdr>
        <w:top w:val="none" w:sz="0" w:space="0" w:color="auto"/>
        <w:left w:val="none" w:sz="0" w:space="0" w:color="auto"/>
        <w:bottom w:val="none" w:sz="0" w:space="0" w:color="auto"/>
        <w:right w:val="none" w:sz="0" w:space="0" w:color="auto"/>
      </w:divBdr>
    </w:div>
    <w:div w:id="619147058">
      <w:bodyDiv w:val="1"/>
      <w:marLeft w:val="0"/>
      <w:marRight w:val="0"/>
      <w:marTop w:val="0"/>
      <w:marBottom w:val="0"/>
      <w:divBdr>
        <w:top w:val="none" w:sz="0" w:space="0" w:color="auto"/>
        <w:left w:val="none" w:sz="0" w:space="0" w:color="auto"/>
        <w:bottom w:val="none" w:sz="0" w:space="0" w:color="auto"/>
        <w:right w:val="none" w:sz="0" w:space="0" w:color="auto"/>
      </w:divBdr>
    </w:div>
    <w:div w:id="662972008">
      <w:bodyDiv w:val="1"/>
      <w:marLeft w:val="0"/>
      <w:marRight w:val="0"/>
      <w:marTop w:val="0"/>
      <w:marBottom w:val="0"/>
      <w:divBdr>
        <w:top w:val="none" w:sz="0" w:space="0" w:color="auto"/>
        <w:left w:val="none" w:sz="0" w:space="0" w:color="auto"/>
        <w:bottom w:val="none" w:sz="0" w:space="0" w:color="auto"/>
        <w:right w:val="none" w:sz="0" w:space="0" w:color="auto"/>
      </w:divBdr>
    </w:div>
    <w:div w:id="782267143">
      <w:bodyDiv w:val="1"/>
      <w:marLeft w:val="0"/>
      <w:marRight w:val="0"/>
      <w:marTop w:val="0"/>
      <w:marBottom w:val="0"/>
      <w:divBdr>
        <w:top w:val="none" w:sz="0" w:space="0" w:color="auto"/>
        <w:left w:val="none" w:sz="0" w:space="0" w:color="auto"/>
        <w:bottom w:val="none" w:sz="0" w:space="0" w:color="auto"/>
        <w:right w:val="none" w:sz="0" w:space="0" w:color="auto"/>
      </w:divBdr>
    </w:div>
    <w:div w:id="801112612">
      <w:bodyDiv w:val="1"/>
      <w:marLeft w:val="0"/>
      <w:marRight w:val="0"/>
      <w:marTop w:val="0"/>
      <w:marBottom w:val="0"/>
      <w:divBdr>
        <w:top w:val="none" w:sz="0" w:space="0" w:color="auto"/>
        <w:left w:val="none" w:sz="0" w:space="0" w:color="auto"/>
        <w:bottom w:val="none" w:sz="0" w:space="0" w:color="auto"/>
        <w:right w:val="none" w:sz="0" w:space="0" w:color="auto"/>
      </w:divBdr>
    </w:div>
    <w:div w:id="1047098032">
      <w:bodyDiv w:val="1"/>
      <w:marLeft w:val="0"/>
      <w:marRight w:val="0"/>
      <w:marTop w:val="0"/>
      <w:marBottom w:val="0"/>
      <w:divBdr>
        <w:top w:val="none" w:sz="0" w:space="0" w:color="auto"/>
        <w:left w:val="none" w:sz="0" w:space="0" w:color="auto"/>
        <w:bottom w:val="none" w:sz="0" w:space="0" w:color="auto"/>
        <w:right w:val="none" w:sz="0" w:space="0" w:color="auto"/>
      </w:divBdr>
    </w:div>
    <w:div w:id="1063871044">
      <w:bodyDiv w:val="1"/>
      <w:marLeft w:val="0"/>
      <w:marRight w:val="0"/>
      <w:marTop w:val="0"/>
      <w:marBottom w:val="0"/>
      <w:divBdr>
        <w:top w:val="none" w:sz="0" w:space="0" w:color="auto"/>
        <w:left w:val="none" w:sz="0" w:space="0" w:color="auto"/>
        <w:bottom w:val="none" w:sz="0" w:space="0" w:color="auto"/>
        <w:right w:val="none" w:sz="0" w:space="0" w:color="auto"/>
      </w:divBdr>
    </w:div>
    <w:div w:id="1158813815">
      <w:bodyDiv w:val="1"/>
      <w:marLeft w:val="0"/>
      <w:marRight w:val="0"/>
      <w:marTop w:val="0"/>
      <w:marBottom w:val="0"/>
      <w:divBdr>
        <w:top w:val="none" w:sz="0" w:space="0" w:color="auto"/>
        <w:left w:val="none" w:sz="0" w:space="0" w:color="auto"/>
        <w:bottom w:val="none" w:sz="0" w:space="0" w:color="auto"/>
        <w:right w:val="none" w:sz="0" w:space="0" w:color="auto"/>
      </w:divBdr>
    </w:div>
    <w:div w:id="1231119560">
      <w:bodyDiv w:val="1"/>
      <w:marLeft w:val="0"/>
      <w:marRight w:val="0"/>
      <w:marTop w:val="0"/>
      <w:marBottom w:val="0"/>
      <w:divBdr>
        <w:top w:val="none" w:sz="0" w:space="0" w:color="auto"/>
        <w:left w:val="none" w:sz="0" w:space="0" w:color="auto"/>
        <w:bottom w:val="none" w:sz="0" w:space="0" w:color="auto"/>
        <w:right w:val="none" w:sz="0" w:space="0" w:color="auto"/>
      </w:divBdr>
    </w:div>
    <w:div w:id="1279335343">
      <w:bodyDiv w:val="1"/>
      <w:marLeft w:val="0"/>
      <w:marRight w:val="0"/>
      <w:marTop w:val="0"/>
      <w:marBottom w:val="0"/>
      <w:divBdr>
        <w:top w:val="none" w:sz="0" w:space="0" w:color="auto"/>
        <w:left w:val="none" w:sz="0" w:space="0" w:color="auto"/>
        <w:bottom w:val="none" w:sz="0" w:space="0" w:color="auto"/>
        <w:right w:val="none" w:sz="0" w:space="0" w:color="auto"/>
      </w:divBdr>
    </w:div>
    <w:div w:id="1282877973">
      <w:bodyDiv w:val="1"/>
      <w:marLeft w:val="0"/>
      <w:marRight w:val="0"/>
      <w:marTop w:val="0"/>
      <w:marBottom w:val="0"/>
      <w:divBdr>
        <w:top w:val="none" w:sz="0" w:space="0" w:color="auto"/>
        <w:left w:val="none" w:sz="0" w:space="0" w:color="auto"/>
        <w:bottom w:val="none" w:sz="0" w:space="0" w:color="auto"/>
        <w:right w:val="none" w:sz="0" w:space="0" w:color="auto"/>
      </w:divBdr>
    </w:div>
    <w:div w:id="1396002848">
      <w:bodyDiv w:val="1"/>
      <w:marLeft w:val="0"/>
      <w:marRight w:val="0"/>
      <w:marTop w:val="0"/>
      <w:marBottom w:val="0"/>
      <w:divBdr>
        <w:top w:val="none" w:sz="0" w:space="0" w:color="auto"/>
        <w:left w:val="none" w:sz="0" w:space="0" w:color="auto"/>
        <w:bottom w:val="none" w:sz="0" w:space="0" w:color="auto"/>
        <w:right w:val="none" w:sz="0" w:space="0" w:color="auto"/>
      </w:divBdr>
    </w:div>
    <w:div w:id="1400979506">
      <w:bodyDiv w:val="1"/>
      <w:marLeft w:val="0"/>
      <w:marRight w:val="0"/>
      <w:marTop w:val="0"/>
      <w:marBottom w:val="0"/>
      <w:divBdr>
        <w:top w:val="none" w:sz="0" w:space="0" w:color="auto"/>
        <w:left w:val="none" w:sz="0" w:space="0" w:color="auto"/>
        <w:bottom w:val="none" w:sz="0" w:space="0" w:color="auto"/>
        <w:right w:val="none" w:sz="0" w:space="0" w:color="auto"/>
      </w:divBdr>
    </w:div>
    <w:div w:id="1441606253">
      <w:bodyDiv w:val="1"/>
      <w:marLeft w:val="0"/>
      <w:marRight w:val="0"/>
      <w:marTop w:val="0"/>
      <w:marBottom w:val="0"/>
      <w:divBdr>
        <w:top w:val="none" w:sz="0" w:space="0" w:color="auto"/>
        <w:left w:val="none" w:sz="0" w:space="0" w:color="auto"/>
        <w:bottom w:val="none" w:sz="0" w:space="0" w:color="auto"/>
        <w:right w:val="none" w:sz="0" w:space="0" w:color="auto"/>
      </w:divBdr>
    </w:div>
    <w:div w:id="1475681385">
      <w:bodyDiv w:val="1"/>
      <w:marLeft w:val="0"/>
      <w:marRight w:val="0"/>
      <w:marTop w:val="0"/>
      <w:marBottom w:val="0"/>
      <w:divBdr>
        <w:top w:val="none" w:sz="0" w:space="0" w:color="auto"/>
        <w:left w:val="none" w:sz="0" w:space="0" w:color="auto"/>
        <w:bottom w:val="none" w:sz="0" w:space="0" w:color="auto"/>
        <w:right w:val="none" w:sz="0" w:space="0" w:color="auto"/>
      </w:divBdr>
    </w:div>
    <w:div w:id="1609120161">
      <w:bodyDiv w:val="1"/>
      <w:marLeft w:val="0"/>
      <w:marRight w:val="0"/>
      <w:marTop w:val="0"/>
      <w:marBottom w:val="0"/>
      <w:divBdr>
        <w:top w:val="none" w:sz="0" w:space="0" w:color="auto"/>
        <w:left w:val="none" w:sz="0" w:space="0" w:color="auto"/>
        <w:bottom w:val="none" w:sz="0" w:space="0" w:color="auto"/>
        <w:right w:val="none" w:sz="0" w:space="0" w:color="auto"/>
      </w:divBdr>
    </w:div>
    <w:div w:id="1636252255">
      <w:bodyDiv w:val="1"/>
      <w:marLeft w:val="0"/>
      <w:marRight w:val="0"/>
      <w:marTop w:val="0"/>
      <w:marBottom w:val="0"/>
      <w:divBdr>
        <w:top w:val="none" w:sz="0" w:space="0" w:color="auto"/>
        <w:left w:val="none" w:sz="0" w:space="0" w:color="auto"/>
        <w:bottom w:val="none" w:sz="0" w:space="0" w:color="auto"/>
        <w:right w:val="none" w:sz="0" w:space="0" w:color="auto"/>
      </w:divBdr>
    </w:div>
    <w:div w:id="1713964675">
      <w:bodyDiv w:val="1"/>
      <w:marLeft w:val="0"/>
      <w:marRight w:val="0"/>
      <w:marTop w:val="0"/>
      <w:marBottom w:val="0"/>
      <w:divBdr>
        <w:top w:val="none" w:sz="0" w:space="0" w:color="auto"/>
        <w:left w:val="none" w:sz="0" w:space="0" w:color="auto"/>
        <w:bottom w:val="none" w:sz="0" w:space="0" w:color="auto"/>
        <w:right w:val="none" w:sz="0" w:space="0" w:color="auto"/>
      </w:divBdr>
    </w:div>
    <w:div w:id="1716466154">
      <w:bodyDiv w:val="1"/>
      <w:marLeft w:val="0"/>
      <w:marRight w:val="0"/>
      <w:marTop w:val="0"/>
      <w:marBottom w:val="0"/>
      <w:divBdr>
        <w:top w:val="none" w:sz="0" w:space="0" w:color="auto"/>
        <w:left w:val="none" w:sz="0" w:space="0" w:color="auto"/>
        <w:bottom w:val="none" w:sz="0" w:space="0" w:color="auto"/>
        <w:right w:val="none" w:sz="0" w:space="0" w:color="auto"/>
      </w:divBdr>
    </w:div>
    <w:div w:id="1935704026">
      <w:bodyDiv w:val="1"/>
      <w:marLeft w:val="0"/>
      <w:marRight w:val="0"/>
      <w:marTop w:val="0"/>
      <w:marBottom w:val="0"/>
      <w:divBdr>
        <w:top w:val="none" w:sz="0" w:space="0" w:color="auto"/>
        <w:left w:val="none" w:sz="0" w:space="0" w:color="auto"/>
        <w:bottom w:val="none" w:sz="0" w:space="0" w:color="auto"/>
        <w:right w:val="none" w:sz="0" w:space="0" w:color="auto"/>
      </w:divBdr>
    </w:div>
    <w:div w:id="204610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850D65-6DE3-4B82-9B5A-268577A7C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38E4A8-FBC1-43E5-B360-9CFD8727A283}">
  <ds:schemaRefs>
    <ds:schemaRef ds:uri="http://schemas.microsoft.com/sharepoint/v3/contenttype/forms"/>
  </ds:schemaRefs>
</ds:datastoreItem>
</file>

<file path=customXml/itemProps3.xml><?xml version="1.0" encoding="utf-8"?>
<ds:datastoreItem xmlns:ds="http://schemas.openxmlformats.org/officeDocument/2006/customXml" ds:itemID="{43A9450D-3571-499A-A94D-57701B0318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8CBB200-B0FB-4899-9740-BFC04326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30</Pages>
  <Words>8215</Words>
  <Characters>48721</Characters>
  <Application>Microsoft Office Word</Application>
  <DocSecurity>0</DocSecurity>
  <Lines>1432</Lines>
  <Paragraphs>618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21</cp:revision>
  <cp:lastPrinted>2020-05-12T11:44:00Z</cp:lastPrinted>
  <dcterms:created xsi:type="dcterms:W3CDTF">2020-05-28T13:18:00Z</dcterms:created>
  <dcterms:modified xsi:type="dcterms:W3CDTF">2020-05-28T15:22:00Z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ies>
</file>