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A32AB" w:rsidRDefault="00F7544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1666F0C-9526-4E8E-97F8-1EB7CB994251" style="width:451.4pt;height:333.7pt">
            <v:imagedata r:id="rId8" o:title=""/>
          </v:shape>
        </w:pict>
      </w:r>
    </w:p>
    <w:bookmarkEnd w:id="0"/>
    <w:p w:rsidR="00CA32AB" w:rsidRDefault="00CA32AB">
      <w:pPr>
        <w:rPr>
          <w:noProof/>
        </w:rPr>
        <w:sectPr w:rsidR="00CA32A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600" w:charSpace="32768"/>
        </w:sectPr>
      </w:pPr>
    </w:p>
    <w:p w:rsidR="00CA32AB" w:rsidRDefault="00F7544F">
      <w:pPr>
        <w:keepNext/>
        <w:tabs>
          <w:tab w:val="left" w:pos="1440"/>
          <w:tab w:val="left" w:pos="2149"/>
          <w:tab w:val="center" w:pos="4535"/>
          <w:tab w:val="right" w:pos="9071"/>
          <w:tab w:val="right" w:pos="9921"/>
        </w:tabs>
        <w:spacing w:before="240"/>
        <w:rPr>
          <w:b/>
          <w:bCs/>
          <w:noProof/>
        </w:rPr>
      </w:pPr>
      <w:r>
        <w:rPr>
          <w:b/>
          <w:smallCaps/>
          <w:noProof/>
          <w:sz w:val="28"/>
        </w:rPr>
        <w:lastRenderedPageBreak/>
        <w:t xml:space="preserve">Bevezetés </w:t>
      </w:r>
    </w:p>
    <w:p w:rsidR="00CA32AB" w:rsidRDefault="00F7544F">
      <w:pPr>
        <w:pStyle w:val="ListParagraph"/>
        <w:ind w:left="0"/>
        <w:rPr>
          <w:b/>
          <w:bCs/>
          <w:noProof/>
        </w:rPr>
      </w:pPr>
      <w:r>
        <w:rPr>
          <w:b/>
          <w:bCs/>
          <w:noProof/>
        </w:rPr>
        <w:t>Az Európai Unió példa nélküli gazdasági sokknak van kitéve a Covid19-világjárvány következtében.</w:t>
      </w:r>
      <w:r>
        <w:rPr>
          <w:noProof/>
        </w:rPr>
        <w:t xml:space="preserve"> Az egészségügyi intézkedések, a kijárási korlátozások, valamint ezek termelésre, keresletre és kereskedelemre gyakorolt hatásai visszavetették a gazdasági tevékenységet, és a munkanélküliségi ráták emelkedését, a vállalati jövedelmek zuhanását, a költségv</w:t>
      </w:r>
      <w:r>
        <w:rPr>
          <w:noProof/>
        </w:rPr>
        <w:t>etési hiányok növekedését, valamint a tagállamokon belüli és a tagállamok közötti különbségek kiéleződését eredményezték.</w:t>
      </w:r>
    </w:p>
    <w:p w:rsidR="00CA32AB" w:rsidRDefault="00F7544F">
      <w:pPr>
        <w:pStyle w:val="ListParagraph"/>
        <w:ind w:left="0"/>
        <w:rPr>
          <w:rStyle w:val="CommentReference2"/>
          <w:b/>
          <w:bCs/>
          <w:noProof/>
          <w:sz w:val="24"/>
          <w:szCs w:val="20"/>
        </w:rPr>
      </w:pPr>
      <w:r>
        <w:rPr>
          <w:b/>
          <w:bCs/>
          <w:noProof/>
        </w:rPr>
        <w:t xml:space="preserve">Kulcsfontosságú, hogy európai szinten összehangolt gazdasági válaszintézkedések valósuljanak meg. </w:t>
      </w:r>
      <w:r>
        <w:rPr>
          <w:noProof/>
        </w:rPr>
        <w:t>Minimalizálni kell a válság gazdaság</w:t>
      </w:r>
      <w:r>
        <w:rPr>
          <w:noProof/>
        </w:rPr>
        <w:t>i és szociális következményeit, az egységes piac esetleges széttagolódását, valamint az EU-n belül mutatkozó lényeges gazdasági különbségeket és egyensúlyhiányokat.</w:t>
      </w:r>
      <w:r>
        <w:rPr>
          <w:b/>
          <w:bCs/>
          <w:noProof/>
        </w:rPr>
        <w:t xml:space="preserve"> </w:t>
      </w:r>
    </w:p>
    <w:p w:rsidR="00CA32AB" w:rsidRDefault="00F7544F">
      <w:pPr>
        <w:pStyle w:val="ListParagraph"/>
        <w:ind w:left="0"/>
        <w:rPr>
          <w:rStyle w:val="CommentReference2"/>
          <w:b/>
          <w:bCs/>
          <w:noProof/>
          <w:sz w:val="24"/>
          <w:szCs w:val="20"/>
        </w:rPr>
      </w:pPr>
      <w:r>
        <w:rPr>
          <w:rStyle w:val="CommentReference2"/>
          <w:b/>
          <w:bCs/>
          <w:noProof/>
          <w:sz w:val="24"/>
          <w:szCs w:val="20"/>
        </w:rPr>
        <w:t>Az éves fenntartható növekedési stratégiában részletesen bemutatott versenyképes fenntarth</w:t>
      </w:r>
      <w:r>
        <w:rPr>
          <w:rStyle w:val="CommentReference2"/>
          <w:b/>
          <w:bCs/>
          <w:noProof/>
          <w:sz w:val="24"/>
          <w:szCs w:val="20"/>
        </w:rPr>
        <w:t>atóság az európai szociális piacgazdaság központi eleme.</w:t>
      </w:r>
      <w:r>
        <w:rPr>
          <w:rStyle w:val="CommentReference2"/>
          <w:bCs/>
          <w:noProof/>
          <w:color w:val="000000"/>
          <w:sz w:val="24"/>
          <w:szCs w:val="20"/>
        </w:rPr>
        <w:t xml:space="preserve"> </w:t>
      </w:r>
      <w:r>
        <w:rPr>
          <w:rStyle w:val="CommentReference2"/>
          <w:noProof/>
          <w:color w:val="000000"/>
          <w:sz w:val="24"/>
          <w:szCs w:val="20"/>
        </w:rPr>
        <w:t xml:space="preserve">A tagállamoknak továbbra is a versenyképes fenntarthatóság négy dimenziójára kell összpontosítaniuk: </w:t>
      </w:r>
      <w:r>
        <w:rPr>
          <w:rStyle w:val="CommentReference2"/>
          <w:noProof/>
          <w:sz w:val="24"/>
          <w:szCs w:val="20"/>
        </w:rPr>
        <w:t xml:space="preserve">a gazdasági stabilitásra, a társadalmi méltányosságra, a környezeti fenntarthatóságra, valamint a </w:t>
      </w:r>
      <w:r>
        <w:rPr>
          <w:rStyle w:val="CommentReference2"/>
          <w:noProof/>
          <w:sz w:val="24"/>
          <w:szCs w:val="20"/>
        </w:rPr>
        <w:t>termelékenységre és a versenyképességre, kiemelt figyelmet fordítva az egészségügyre.</w:t>
      </w:r>
      <w:r>
        <w:rPr>
          <w:rStyle w:val="CommentReference2"/>
          <w:noProof/>
          <w:color w:val="000000"/>
          <w:sz w:val="24"/>
          <w:szCs w:val="20"/>
        </w:rPr>
        <w:t xml:space="preserve"> Egy ilyen gazdasági program támogatná az EU-t és az uniós tagállamokat abban, hogy elérjék az Egyesült Nemzetek fenntartható fejlődési céljait, és jó úton haladjanak a kl</w:t>
      </w:r>
      <w:r>
        <w:rPr>
          <w:rStyle w:val="CommentReference2"/>
          <w:noProof/>
          <w:color w:val="000000"/>
          <w:sz w:val="24"/>
          <w:szCs w:val="20"/>
        </w:rPr>
        <w:t>ímasemlegesség 2050-es megvalósítása felé.</w:t>
      </w:r>
    </w:p>
    <w:p w:rsidR="00CA32AB" w:rsidRDefault="00F7544F">
      <w:pPr>
        <w:pStyle w:val="ListParagraph"/>
        <w:ind w:left="0"/>
        <w:rPr>
          <w:b/>
          <w:bCs/>
          <w:noProof/>
        </w:rPr>
      </w:pPr>
      <w:r>
        <w:rPr>
          <w:rStyle w:val="CommentReference2"/>
          <w:b/>
          <w:bCs/>
          <w:noProof/>
          <w:sz w:val="24"/>
          <w:szCs w:val="20"/>
        </w:rPr>
        <w:t xml:space="preserve">Az egységes piac különösen válság idején bizonyította értékét azáltal, hogy biztosította az alapvető termékek, szolgáltatások és munkavállalók eljutását a rászorulókhoz. </w:t>
      </w:r>
      <w:r>
        <w:rPr>
          <w:rStyle w:val="CommentReference2"/>
          <w:noProof/>
          <w:sz w:val="24"/>
          <w:szCs w:val="20"/>
        </w:rPr>
        <w:t>A világjárvány terjedésének megfékezésére i</w:t>
      </w:r>
      <w:r>
        <w:rPr>
          <w:rStyle w:val="CommentReference2"/>
          <w:noProof/>
          <w:sz w:val="24"/>
          <w:szCs w:val="20"/>
        </w:rPr>
        <w:t>rányuló egyes nemzeti intézkedések azonban súlyosan károsították integritását. Az egységes piacban rejlő gazdaságélénkítési potenciál maximalizálása érdekében a korlátozások fokozatos feloldásának együtt kell járnia az egységes piac megerősítésére és jövőb</w:t>
      </w:r>
      <w:r>
        <w:rPr>
          <w:rStyle w:val="CommentReference2"/>
          <w:noProof/>
          <w:sz w:val="24"/>
          <w:szCs w:val="20"/>
        </w:rPr>
        <w:t xml:space="preserve">eni ellenálló képességének javítására irányuló erőfeszítésekkel. </w:t>
      </w:r>
    </w:p>
    <w:p w:rsidR="00CA32AB" w:rsidRDefault="00F7544F">
      <w:pPr>
        <w:pStyle w:val="ListParagraph"/>
        <w:ind w:left="0"/>
        <w:rPr>
          <w:rFonts w:cs="Calibri"/>
          <w:b/>
          <w:bCs/>
          <w:noProof/>
        </w:rPr>
      </w:pPr>
      <w:r>
        <w:rPr>
          <w:b/>
          <w:bCs/>
          <w:noProof/>
        </w:rPr>
        <w:t>Az európai szemeszterre most különösen nagy szükség van, tekintettel a sokkhatás mértékére és a tagállamok által elfogadott gazdaságpolitikai intézkedések</w:t>
      </w:r>
      <w:r>
        <w:rPr>
          <w:rStyle w:val="FootnoteReference"/>
          <w:b/>
          <w:bCs/>
          <w:noProof/>
        </w:rPr>
        <w:footnoteReference w:id="1"/>
      </w:r>
      <w:r>
        <w:rPr>
          <w:b/>
          <w:bCs/>
          <w:noProof/>
        </w:rPr>
        <w:t xml:space="preserve"> példa nélküli jellegére.</w:t>
      </w:r>
      <w:r>
        <w:rPr>
          <w:noProof/>
        </w:rPr>
        <w:t xml:space="preserve"> Az EU-n belüli hatékony gazdaságpolitikai koordináció biztosítása meghatározó jelentőséggel bír. A szemeszter lehetővé teszi a tagállamoknak, hogy megvitassák szakpolitikáikat, megosszák egymással bevált módszereiket, és megállapodjanak a követendő közös </w:t>
      </w:r>
      <w:r>
        <w:rPr>
          <w:noProof/>
        </w:rPr>
        <w:t xml:space="preserve">irányról, összhangban a 2020. március 13-i bizottsági közleménnyel és az április 24-én közzétett európai helyreállítási ütemtervvel. </w:t>
      </w:r>
    </w:p>
    <w:p w:rsidR="00CA32AB" w:rsidRDefault="00F7544F">
      <w:pPr>
        <w:pStyle w:val="ListParagraph"/>
        <w:ind w:left="0"/>
        <w:rPr>
          <w:rFonts w:cs="Calibri"/>
          <w:b/>
          <w:bCs/>
          <w:noProof/>
        </w:rPr>
      </w:pPr>
      <w:r>
        <w:rPr>
          <w:b/>
          <w:bCs/>
          <w:noProof/>
        </w:rPr>
        <w:t>Az idei szemeszter folyamata tükrözi, hogy a tagállamoknak figyelmet kell fordítaniuk mind a világjárvány társadalmi-gazda</w:t>
      </w:r>
      <w:r>
        <w:rPr>
          <w:b/>
          <w:bCs/>
          <w:noProof/>
        </w:rPr>
        <w:t xml:space="preserve">sági hatásainak kezelését és enyhítését célzó azonnali intézkedésekre, mind a gazdasági tevékenység biztonságos újraindítását szolgáló intézkedésekre. </w:t>
      </w:r>
      <w:r>
        <w:rPr>
          <w:noProof/>
        </w:rPr>
        <w:t>A sürgős prioritások az egészségüggyel kapcsolatos kérdésekre, az érintett munkavállalóknak nyújtott jöve</w:t>
      </w:r>
      <w:r>
        <w:rPr>
          <w:noProof/>
        </w:rPr>
        <w:t>delemtámogatásra, a vállalkozások (különösen a kis- és középvállalkozások) likviditására és a szimmetrikus helyreállítás elősegítését, illetve az egységes piac integritásának megőrzését célzó intézkedésekre vonatkoznak.</w:t>
      </w:r>
      <w:r>
        <w:rPr>
          <w:b/>
          <w:bCs/>
          <w:noProof/>
        </w:rPr>
        <w:t xml:space="preserve"> </w:t>
      </w:r>
    </w:p>
    <w:p w:rsidR="00CA32AB" w:rsidRDefault="00F7544F">
      <w:pPr>
        <w:pStyle w:val="ListParagraph"/>
        <w:ind w:left="0"/>
        <w:rPr>
          <w:b/>
          <w:noProof/>
        </w:rPr>
      </w:pPr>
      <w:r>
        <w:rPr>
          <w:b/>
          <w:bCs/>
          <w:noProof/>
        </w:rPr>
        <w:lastRenderedPageBreak/>
        <w:t>A gazdaság újraindítása során a tag</w:t>
      </w:r>
      <w:r>
        <w:rPr>
          <w:b/>
          <w:bCs/>
          <w:noProof/>
        </w:rPr>
        <w:t>államoknak olyan gazdaságélénkítési stratégia kialakítására kell összpontosítaniuk, amely az európai zöld megállapodással összhangban kijelöli a zöld és digitális átálláshoz vezető utat.</w:t>
      </w:r>
      <w:r>
        <w:rPr>
          <w:noProof/>
        </w:rPr>
        <w:t xml:space="preserve"> </w:t>
      </w:r>
      <w:r>
        <w:rPr>
          <w:noProof/>
          <w:color w:val="000000"/>
        </w:rPr>
        <w:t>A digitális és tiszta technológiák által lehetővé tett fenntarthatóbb</w:t>
      </w:r>
      <w:r>
        <w:rPr>
          <w:noProof/>
          <w:color w:val="000000"/>
        </w:rPr>
        <w:t xml:space="preserve"> gazdasági modell felé történő elmozdulással Európa az átalakulás éllovasává válhat. </w:t>
      </w:r>
      <w:r>
        <w:rPr>
          <w:noProof/>
        </w:rPr>
        <w:t>Különös figyelmet kell fordítani azokra a beruházási projektekre, amelyek fejlesztése előrehaladott stádiumban van, és amelyeket az uniós gazdaságélénkítési terv különböző</w:t>
      </w:r>
      <w:r>
        <w:rPr>
          <w:noProof/>
        </w:rPr>
        <w:t xml:space="preserve"> kezdeményezéseinek támogatásával az időszak elejére lehetne ütemezni. Mindemellett a tagállamoknak növekedésösztönző beruházások és reformok segítségével kezelniük kell a növekvő egyenlőtlenségeket, és bővíteniük kell a fizikai és humán tőkét. Emellett vé</w:t>
      </w:r>
      <w:r>
        <w:rPr>
          <w:noProof/>
        </w:rPr>
        <w:t>deniük kell az egységes piacot, biztosítaniuk kell az ellenállóképes és fenntartható ellátási láncokat, és továbbra is világszerte elő kell mozdítaniuk a szabad és tisztességes kereskedelmet. A világgazdasági kilátások romlanak. Ez hatással lesz az EU gazd</w:t>
      </w:r>
      <w:r>
        <w:rPr>
          <w:noProof/>
        </w:rPr>
        <w:t>aságára, és a kereskedelmi nyitottság kölcsönös fenntartása elősegítené a helyreállítást. Végezetül pedig a tagállamoknak biztosítaniuk kell a makrogazdasági stabilitást egy nagyobb kihívásokat tartogató környezetben. A nemzeti szinten elfogadott, példa né</w:t>
      </w:r>
      <w:r>
        <w:rPr>
          <w:noProof/>
        </w:rPr>
        <w:t xml:space="preserve">lküli gazdaságpolitikai intézkedésekre, valamint az állami szektor megnövekedett gazdasági szerepére való tekintettel a hatékony közigazgatás, valamint a korrupció és az adókijátszás elleni küzdelem is fontos szerepet fog játszani. </w:t>
      </w:r>
    </w:p>
    <w:p w:rsidR="00CA32AB" w:rsidRDefault="00F7544F">
      <w:pPr>
        <w:keepNext/>
        <w:numPr>
          <w:ilvl w:val="0"/>
          <w:numId w:val="4"/>
        </w:numPr>
        <w:ind w:left="714" w:hanging="357"/>
        <w:rPr>
          <w:b/>
          <w:noProof/>
        </w:rPr>
      </w:pPr>
      <w:r>
        <w:rPr>
          <w:b/>
          <w:noProof/>
        </w:rPr>
        <w:t>GAZDASÁGI KILÁTÁSOK</w:t>
      </w:r>
    </w:p>
    <w:p w:rsidR="00CA32AB" w:rsidRDefault="00F7544F">
      <w:pPr>
        <w:pStyle w:val="ListParagraph"/>
        <w:ind w:left="0"/>
        <w:rPr>
          <w:b/>
          <w:noProof/>
        </w:rPr>
      </w:pPr>
      <w:r>
        <w:rPr>
          <w:b/>
          <w:noProof/>
        </w:rPr>
        <w:t>Mind uniós, mind nemzeti szinten gyors és átfogó szakpolitikai válaszintézkedések valósultak meg, ám az uniós gazdaság idén még így is példátlan mértékű recesszióra számíthat.</w:t>
      </w:r>
      <w:r>
        <w:rPr>
          <w:noProof/>
        </w:rPr>
        <w:t xml:space="preserve"> A 2020. tavaszi gazdasági előrejelzés szerint az uniós gazdaság 2020-ban rekordm</w:t>
      </w:r>
      <w:r>
        <w:rPr>
          <w:noProof/>
        </w:rPr>
        <w:t>értékben, 7,5 %-kal fog zsugorodni, majd 2021-ben 6 %-kal bővül, ami körülbelül kilenc százalékponttal elmarad a 2019. őszi gazdasági előrejelzésben foglaltaktól. A világjárvány és a kapcsolódó kijárási korlátozások súlyosan rányomták bélyegüket a fogyaszt</w:t>
      </w:r>
      <w:r>
        <w:rPr>
          <w:noProof/>
        </w:rPr>
        <w:t>ói kiadásokra, az ipari termelésre, a beruházásra, a kereskedelemre, a tőkeáramlásra és az ellátási láncokra. A kijárási korlátozás következő hónapok során történő esetleges lazítása minden bizonnyal megteremti a szilárd fellendülés alapjait. A jelenlegi e</w:t>
      </w:r>
      <w:r>
        <w:rPr>
          <w:noProof/>
        </w:rPr>
        <w:t>lőrejelzések szerint azonban az uniós gazdaság 2021 végére nem fogja teljes mértékben behozni az idei veszteségeket, a gazdasági kilátásokat övező bizonytalanság és kockázatok pedig igen magasak.</w:t>
      </w:r>
    </w:p>
    <w:p w:rsidR="00CA32AB" w:rsidRDefault="00F7544F">
      <w:pPr>
        <w:pStyle w:val="ListParagraph"/>
        <w:ind w:left="0"/>
        <w:rPr>
          <w:b/>
          <w:noProof/>
        </w:rPr>
      </w:pPr>
      <w:r>
        <w:rPr>
          <w:b/>
          <w:noProof/>
        </w:rPr>
        <w:t>Bár a világjárvány valamennyi tagállamot érintette, gazdaság</w:t>
      </w:r>
      <w:r>
        <w:rPr>
          <w:b/>
          <w:noProof/>
        </w:rPr>
        <w:t>i következményei nem azonosak.</w:t>
      </w:r>
      <w:r>
        <w:rPr>
          <w:noProof/>
        </w:rPr>
        <w:t xml:space="preserve"> Az uniós gazdaságot ért sokk szimmetrikus, amennyiben a világjárvány az összes tagállamot érintette, ugyanakkor mind a 2020. évi termelés visszaesése (ami a lengyelországi –4,2 %-tól a görögországi –9,7 %-ig terjed), mind a 2</w:t>
      </w:r>
      <w:r>
        <w:rPr>
          <w:noProof/>
        </w:rPr>
        <w:t>021. évi fellendülés mértéke terén jelentős eltérésekre kell számítani a tagállamok között. Minden tagállam tekintetében elmondható, hogy a gazdasági fellendülés nem csupán a világjárvány adott országban való alakulásán, hanem a helyi gazdaság ellenálló ké</w:t>
      </w:r>
      <w:r>
        <w:rPr>
          <w:noProof/>
        </w:rPr>
        <w:t>pességén és szerkezetén, valamint a stabilizáló szakpolitikai intézkedések bevezetésére való tagállami képességen is fog múlni. Az uniós gazdaságok kölcsönös függőségéből adódóan pedig az egyes tagállamok fellendülésének dinamikája más tagállamok fellendül</w:t>
      </w:r>
      <w:r>
        <w:rPr>
          <w:noProof/>
        </w:rPr>
        <w:t xml:space="preserve">ésének erőteljességére is hatással lesz.  </w:t>
      </w:r>
    </w:p>
    <w:p w:rsidR="00CA32AB" w:rsidRDefault="00F7544F">
      <w:pPr>
        <w:pStyle w:val="ListParagraph"/>
        <w:ind w:left="0"/>
        <w:rPr>
          <w:b/>
          <w:noProof/>
        </w:rPr>
      </w:pPr>
      <w:r>
        <w:rPr>
          <w:b/>
          <w:noProof/>
        </w:rPr>
        <w:t>Összehangolt válaszra van szükség.</w:t>
      </w:r>
      <w:r>
        <w:rPr>
          <w:noProof/>
        </w:rPr>
        <w:t xml:space="preserve"> A gazdaságok fenntartható és inkluzív növekedési pályára állításához elengedhetetlen a gazdasági károk korlátozása, a megfelelő egészségvédelem biztosítása és a gyors és erőtelje</w:t>
      </w:r>
      <w:r>
        <w:rPr>
          <w:noProof/>
        </w:rPr>
        <w:t xml:space="preserve">s fellendülés előmozdítása, ami az uniós és a nemzeti szakpolitikai intézkedések folyamatos hatékonyságán áll vagy bukik. </w:t>
      </w:r>
      <w:r>
        <w:rPr>
          <w:noProof/>
        </w:rPr>
        <w:lastRenderedPageBreak/>
        <w:t>Az egészségügyi és a polgári védelmi intézkedések alapvető fontosságúak a gazdaságok biztonságos megnyitása szempontjából, ezért kieme</w:t>
      </w:r>
      <w:r>
        <w:rPr>
          <w:noProof/>
        </w:rPr>
        <w:t>lt figyelmet érdemelnek. A 2021. évi gazdaságélénkülés nagyrészt attól függ majd, hogy a tagállamok képesek-e a gazdasági tevékenység biztonságos és tartós újraindítására a szükséges tesztelési, nyomonkövetési és egyéb egészségvédelmi intézkedések végrehaj</w:t>
      </w:r>
      <w:r>
        <w:rPr>
          <w:noProof/>
        </w:rPr>
        <w:t>tása révén.</w:t>
      </w:r>
    </w:p>
    <w:p w:rsidR="00CA32AB" w:rsidRDefault="00F7544F">
      <w:pPr>
        <w:pStyle w:val="ListParagraph"/>
        <w:ind w:left="0"/>
        <w:rPr>
          <w:b/>
          <w:noProof/>
        </w:rPr>
      </w:pPr>
      <w:r>
        <w:rPr>
          <w:b/>
          <w:noProof/>
        </w:rPr>
        <w:t>Noha a csökkentett munkaidős foglalkoztatás, a bértámogatások és a vállalkozásoknak nyújtott támogatások korlátozni fogják a munkahelyek megszűnését, a pandémia súlyos hatással lesz a munkaerőpiacra.</w:t>
      </w:r>
      <w:r>
        <w:rPr>
          <w:noProof/>
        </w:rPr>
        <w:t xml:space="preserve"> Az EU-ban a munkanélküliségi ráta várhatóan </w:t>
      </w:r>
      <w:r>
        <w:rPr>
          <w:noProof/>
        </w:rPr>
        <w:t>a 2019. évi 6,7 %-ról 2020-ban 9 %-ra nő, majd 2021-ben 8 % körüli szintre mérséklődik. Egyes tagállamokban a munkanélküliség jelentősebb mértékben fog nőni, mint másokban, mivel az olyan ágazatoktól függő munkaerő nagy része, mint a turizmus, különösen ki</w:t>
      </w:r>
      <w:r>
        <w:rPr>
          <w:noProof/>
        </w:rPr>
        <w:t xml:space="preserve">szolgáltatott. </w:t>
      </w:r>
    </w:p>
    <w:p w:rsidR="00CA32AB" w:rsidRDefault="00F7544F">
      <w:pPr>
        <w:pStyle w:val="ListParagraph"/>
        <w:ind w:left="0"/>
        <w:rPr>
          <w:b/>
          <w:noProof/>
        </w:rPr>
      </w:pPr>
      <w:r>
        <w:rPr>
          <w:b/>
          <w:noProof/>
        </w:rPr>
        <w:t>A tagállamok határozott költségvetési intézkedéseket hoztak a világjárvány okozta gazdasági károk enyhítésére.</w:t>
      </w:r>
      <w:r>
        <w:rPr>
          <w:noProof/>
        </w:rPr>
        <w:t xml:space="preserve"> Az olyan automatikus stabilizátorok, mint például a szociális ellátás kifizetése a diszkrecionális költségvetési intézkedésekkel </w:t>
      </w:r>
      <w:r>
        <w:rPr>
          <w:noProof/>
        </w:rPr>
        <w:t xml:space="preserve">társítva a kormányzati kiadások növekedéséhez fognak vezetni. Következésképpen az előrejelzés szerint az euróövezeti és az uniós összesített, GDP-arányos költségvetési hiány a 2019. évi mindössze 0,6 %-ról 2020-ban körülbelül 8,5 %-ra ugrik, majd 2021-ben </w:t>
      </w:r>
      <w:r>
        <w:rPr>
          <w:noProof/>
        </w:rPr>
        <w:t>nagyjából 3,5 %-ra esik vissza. A 2014 óta csökkenő tendenciát mutató GDP-arányos államadósság a magasabb adósság és az alacsonyabb GDP együtteséből adódóan várhatóan szintén emelkedni fog. Ez a mutató az euróövezetben a számítások szerint a 2019. évi 86 %</w:t>
      </w:r>
      <w:r>
        <w:rPr>
          <w:noProof/>
        </w:rPr>
        <w:t xml:space="preserve">-ról 2020-ban 102,75 %-ra nő, majd 2021-ben 98,75 %-ra mérséklődik. Az EU egészét tekintve a 2019. évi 79,4 % után idén mintegy 95 %-os, jövőre pedig 92 %-os érték várható. </w:t>
      </w:r>
    </w:p>
    <w:p w:rsidR="00CA32AB" w:rsidRDefault="00F7544F">
      <w:pPr>
        <w:pStyle w:val="ListParagraph"/>
        <w:ind w:left="0"/>
        <w:rPr>
          <w:noProof/>
        </w:rPr>
      </w:pPr>
      <w:r>
        <w:rPr>
          <w:b/>
          <w:noProof/>
        </w:rPr>
        <w:t>A válság jelentős hatással lesz a szociális körülményekre, mindenekelőtt a veszély</w:t>
      </w:r>
      <w:r>
        <w:rPr>
          <w:b/>
          <w:noProof/>
        </w:rPr>
        <w:t>eztetett csoportok tekintetében</w:t>
      </w:r>
      <w:r>
        <w:rPr>
          <w:noProof/>
        </w:rPr>
        <w:t xml:space="preserve">. Prioritásnak számít a társadalmi hatások enyhítése, valamint a szegénység és az egyenlőtlenségek tartós növekedésének elkerülése. A jelenlegi és jövőbeni intézkedéseknek biztosítaniuk kell valamennyi munkavállaló védelmét. </w:t>
      </w:r>
      <w:r>
        <w:rPr>
          <w:noProof/>
        </w:rPr>
        <w:t xml:space="preserve">Nagy valószínűséggel azok a legsúlyosabban érintettek, akik már a válság előtt is kiszolgáltatott helyzetben voltak (például a határozott idejű munkaszerződéssel foglalkoztatottak, az alacsony képzettségűek, a nem önként részmunkaidőben foglalkoztatottak, </w:t>
      </w:r>
      <w:r>
        <w:rPr>
          <w:noProof/>
        </w:rPr>
        <w:t>az önfoglalkoztatók és a migráns munkavállalók), többek között a digitális infrastruktúrához és kompetenciákhoz való egyenlőtlen hozzáférésből adódóan. A Covid19-világjárványra adott első vonalbeli válaszintézkedésekben érintett alapvető foglalkozásokban d</w:t>
      </w:r>
      <w:r>
        <w:rPr>
          <w:noProof/>
        </w:rPr>
        <w:t xml:space="preserve">olgozó számos munkavállaló szintén e kiszolgáltatott csoportokhoz tartozik, aminek felismerése igen fontos sajátos szükségleteik kielégítéséhez. </w:t>
      </w:r>
    </w:p>
    <w:p w:rsidR="00CA32AB" w:rsidRDefault="00F7544F">
      <w:pPr>
        <w:pStyle w:val="ListParagraph"/>
        <w:ind w:left="0"/>
        <w:rPr>
          <w:rFonts w:eastAsia="SimSun" w:cs="Lucida Sans"/>
          <w:noProof/>
          <w:kern w:val="1"/>
          <w:szCs w:val="24"/>
        </w:rPr>
      </w:pPr>
      <w:r>
        <w:rPr>
          <w:b/>
          <w:noProof/>
        </w:rPr>
        <w:t>A jelenlegi helyzet emellett a tagállamok közötti és a tagállamokon belüli gazdasági és társadalmi – köztük re</w:t>
      </w:r>
      <w:r>
        <w:rPr>
          <w:b/>
          <w:noProof/>
        </w:rPr>
        <w:t>gionális és területi – különbségek növekedésének veszélyével is fenyeget.</w:t>
      </w:r>
      <w:r>
        <w:rPr>
          <w:noProof/>
        </w:rPr>
        <w:t xml:space="preserve"> A kereslet eltolódása és a vállalati szektor helyreállási kapacitása aszimmetrikus hatással lesz a tagállamokon belüli régiókra és területekre, azok eltérő ágazati szakosodása miatt.</w:t>
      </w:r>
      <w:r>
        <w:rPr>
          <w:noProof/>
        </w:rPr>
        <w:t xml:space="preserve"> Előreláthatólag a fogyasztókkal való közvetlen kapcsolatot megkövetelő szolgáltatások fognak a leginkább visszaesni, ami konkrétan a kkv-k megcsappant forgalmában és a kkv-kben való foglalkoztatás csökkenésében érhető tetten. A jelentős költségvetési mozg</w:t>
      </w:r>
      <w:r>
        <w:rPr>
          <w:noProof/>
        </w:rPr>
        <w:t xml:space="preserve">ástérrel rendelkező tagállamok megengedhetik maguknak, hogy – a szűkebb költségvetési mozgástérrel rendelkezőkhöz képest – nagyvonalúbb és tartósabb támogatást nyújtsanak a vállalkozásoknak és a háztartásoknak. Emellett jobb helyzetben lesznek ahhoz, hogy </w:t>
      </w:r>
      <w:r>
        <w:rPr>
          <w:noProof/>
        </w:rPr>
        <w:t>elnyeljék a magasabb költségvetési hiányt és adósságszintet, miközben egyre sürgetőbbé válik a minőségi egészségügyi ellátás és a tartós szociális jólét biztosítása az érintettek számára. Általánosabban fogalmazva, a tagállamok eltérő lehetőségekkel fognak</w:t>
      </w:r>
      <w:r>
        <w:rPr>
          <w:noProof/>
        </w:rPr>
        <w:t xml:space="preserve"> szembesülni a gazdaságuk újraindításához, valamint a zöld és digitális átálláshoz szükséges beruházások finanszírozása terén. Ezek az eltérések az egységes piacon belüli egyenlő versenyfeltételek torzulásához és az életszínvonalbeli különbségek növekedésé</w:t>
      </w:r>
      <w:r>
        <w:rPr>
          <w:noProof/>
        </w:rPr>
        <w:t xml:space="preserve">hez vezethetnek. </w:t>
      </w:r>
    </w:p>
    <w:p w:rsidR="00CA32AB" w:rsidRDefault="00CA32AB">
      <w:pPr>
        <w:pStyle w:val="ListParagraph"/>
        <w:ind w:left="0"/>
        <w:rPr>
          <w:rFonts w:eastAsia="SimSun" w:cs="Lucida Sans"/>
          <w:noProof/>
          <w:kern w:val="1"/>
          <w:szCs w:val="24"/>
          <w:lang w:eastAsia="hi-IN" w:bidi="hi-IN"/>
        </w:rPr>
      </w:pPr>
    </w:p>
    <w:tbl>
      <w:tblPr>
        <w:tblW w:w="0" w:type="auto"/>
        <w:tblInd w:w="10" w:type="dxa"/>
        <w:tblLayout w:type="fixed"/>
        <w:tblCellMar>
          <w:left w:w="0" w:type="dxa"/>
          <w:right w:w="0" w:type="dxa"/>
        </w:tblCellMar>
        <w:tblLook w:val="0000" w:firstRow="0" w:lastRow="0" w:firstColumn="0" w:lastColumn="0" w:noHBand="0" w:noVBand="0"/>
      </w:tblPr>
      <w:tblGrid>
        <w:gridCol w:w="9448"/>
      </w:tblGrid>
      <w:tr w:rsidR="00CA32AB">
        <w:tc>
          <w:tcPr>
            <w:tcW w:w="9448" w:type="dxa"/>
            <w:tcBorders>
              <w:top w:val="single" w:sz="8" w:space="0" w:color="000000"/>
              <w:left w:val="single" w:sz="8" w:space="0" w:color="000000"/>
              <w:bottom w:val="single" w:sz="8" w:space="0" w:color="000000"/>
              <w:right w:val="single" w:sz="8" w:space="0" w:color="000000"/>
            </w:tcBorders>
            <w:shd w:val="clear" w:color="auto" w:fill="FFFFFF"/>
          </w:tcPr>
          <w:p w:rsidR="00CA32AB" w:rsidRDefault="00F7544F">
            <w:pPr>
              <w:keepNext/>
              <w:rPr>
                <w:iCs/>
                <w:noProof/>
                <w:szCs w:val="24"/>
              </w:rPr>
            </w:pPr>
            <w:r>
              <w:rPr>
                <w:b/>
                <w:bCs/>
                <w:iCs/>
                <w:noProof/>
                <w:szCs w:val="24"/>
              </w:rPr>
              <w:t>1. háttérmagyarázat: A Stabilitási és Növekedési Paktum keretében végzett felügyeleti tevékenység az általános mentesítési rendelkezés összefüggésében – Aktuális helyzet</w:t>
            </w:r>
          </w:p>
          <w:p w:rsidR="00CA32AB" w:rsidRDefault="00F7544F">
            <w:pPr>
              <w:keepNext/>
              <w:rPr>
                <w:iCs/>
                <w:noProof/>
                <w:szCs w:val="24"/>
              </w:rPr>
            </w:pPr>
            <w:r>
              <w:rPr>
                <w:noProof/>
              </w:rPr>
              <w:t>Mivel nyilvánvalóvá vált a koronavírus-járvány nyomán valószínűsíth</w:t>
            </w:r>
            <w:r>
              <w:rPr>
                <w:noProof/>
              </w:rPr>
              <w:t>ető gazdasági visszaesés súlyossága, a Bizottság 2020. március 20-i közleményében úgy ítélte meg, hogy a jelenlegi feltételek lehetővé teszik az általános mentesítési rendelkezés alkalmazását. Az általános mentesítési rendelkezés nem függeszti fel a Stabil</w:t>
            </w:r>
            <w:r>
              <w:rPr>
                <w:noProof/>
              </w:rPr>
              <w:t>itási és Növekedési Paktum eljárásait. Lehetővé teszi a tagállamok számára, hogy eltérjenek az általában alkalmazandó költségvetési követelményektől, a Bizottság és a Tanács számára pedig biztosítja annak lehetőségét, hogy a Paktum keretében meghozzák a sz</w:t>
            </w:r>
            <w:r>
              <w:rPr>
                <w:noProof/>
              </w:rPr>
              <w:t>ükséges szakpolitikai koordinációs intézkedéseket.</w:t>
            </w:r>
          </w:p>
          <w:p w:rsidR="00CA32AB" w:rsidRDefault="00F7544F">
            <w:pPr>
              <w:keepNext/>
              <w:rPr>
                <w:iCs/>
                <w:noProof/>
                <w:szCs w:val="24"/>
              </w:rPr>
            </w:pPr>
            <w:r>
              <w:rPr>
                <w:noProof/>
              </w:rPr>
              <w:t>A 2020. évi stabilitási és konvergenciaprogramok értékelésével egyidejűleg a Bizottság számos lépést tett a Stabilitási és Növekedési Paktum keretében.</w:t>
            </w:r>
          </w:p>
          <w:p w:rsidR="00CA32AB" w:rsidRDefault="00F7544F">
            <w:pPr>
              <w:keepNext/>
              <w:rPr>
                <w:iCs/>
                <w:noProof/>
                <w:szCs w:val="24"/>
              </w:rPr>
            </w:pPr>
            <w:r>
              <w:rPr>
                <w:noProof/>
              </w:rPr>
              <w:t>A Bizottság az EUMSZ 126. cikkének (3) bekezdése alap</w:t>
            </w:r>
            <w:r>
              <w:rPr>
                <w:noProof/>
              </w:rPr>
              <w:t>ján valamennyi tagállamra vonatkozóan jelentést fogadott el, kivéve Romániát, amely már a Paktum korrekciós ágához tartozik. Ezek a jelentések a tagállami tervek vagy a Bizottság 2020. tavaszi előrejelzése alapján értékelik, hogy a tagállamok 2020-ban megf</w:t>
            </w:r>
            <w:r>
              <w:rPr>
                <w:noProof/>
              </w:rPr>
              <w:t>elelnek-e a hiánykritériumnak. Ezen túlmenően a Franciaországra, a Belgiumra, a Ciprusra, a Görögországra, az Olaszországra és a Spanyolországra vonatkozó jelentés az adósságkritériumnak való 2019. évi megfelelést is értékeli az eredményadatok alapján. A j</w:t>
            </w:r>
            <w:r>
              <w:rPr>
                <w:noProof/>
              </w:rPr>
              <w:t>elentések minden érdemleges tényezőt megvizsgálnak, és figyelembe veszik a Covid19-járvány jelentős és bizonytalan makrogazdasági és költségvetési vonzatait.</w:t>
            </w:r>
          </w:p>
          <w:p w:rsidR="00CA32AB" w:rsidRDefault="00F7544F">
            <w:pPr>
              <w:keepNext/>
              <w:rPr>
                <w:iCs/>
                <w:noProof/>
                <w:szCs w:val="24"/>
              </w:rPr>
            </w:pPr>
            <w:r>
              <w:rPr>
                <w:noProof/>
              </w:rPr>
              <w:t>A koronavírus-járvány rendkívüli makrogazdasági és költségvetési hatással járt, amely még mindig k</w:t>
            </w:r>
            <w:r>
              <w:rPr>
                <w:noProof/>
              </w:rPr>
              <w:t>ibontakozóban van. Ez kivételesen nagy fokú bizonytalanságot kelt, többek között a hiteles költségvetési politika kialakítása tekintetében, amelynek a kibocsátási rés megszüntetése érdekében támogató irányvonalat kell fenntartania, miközben biztosítja az á</w:t>
            </w:r>
            <w:r>
              <w:rPr>
                <w:noProof/>
              </w:rPr>
              <w:t>llamadósság fenntarthatóságát és adott esetben a túlzott hiány kiigazítását. E helyzet fényében a Bizottság úgy véli, hogy jelenleg nem szabad döntést hozni arról, hogy a tagállamokat túlzotthiány-eljárás alá vonják-e vagy sem.</w:t>
            </w:r>
          </w:p>
          <w:p w:rsidR="00CA32AB" w:rsidRDefault="00F7544F">
            <w:pPr>
              <w:keepNext/>
              <w:rPr>
                <w:iCs/>
                <w:noProof/>
                <w:szCs w:val="24"/>
              </w:rPr>
            </w:pPr>
            <w:r>
              <w:rPr>
                <w:noProof/>
              </w:rPr>
              <w:t>Románia az egyedüli tagállam</w:t>
            </w:r>
            <w:r>
              <w:rPr>
                <w:noProof/>
              </w:rPr>
              <w:t xml:space="preserve">, amely már túlzotthiány-eljárás alatt áll. A Tanács 2020. április 3-án megállapította, hogy Romániában túlzott költségvetési hiány áll fenn, és azt ajánlotta, hogy Románia legkésőbb 2022-ig szüntesse meg a jelenlegi túlzott hiányt. A Tanács </w:t>
            </w:r>
            <w:hyperlink r:id="rId15" w:history="1">
              <w:r>
                <w:rPr>
                  <w:rStyle w:val="Hyperlink"/>
                  <w:iCs/>
                  <w:noProof/>
                  <w:color w:val="00000A"/>
                  <w:szCs w:val="24"/>
                  <w:u w:val="none"/>
                </w:rPr>
                <w:t>2020. szeptember 15-ét</w:t>
              </w:r>
            </w:hyperlink>
            <w:r>
              <w:rPr>
                <w:noProof/>
              </w:rPr>
              <w:t xml:space="preserve"> tűzte ki határidőnek Románia számára az eredményes intézkedések megtételére és a célok elérése érdekében kidolgozott konszolidációs stratégia részletes ismertetésére.</w:t>
            </w:r>
          </w:p>
          <w:p w:rsidR="00CA32AB" w:rsidRDefault="00F7544F">
            <w:pPr>
              <w:keepLines/>
              <w:rPr>
                <w:noProof/>
              </w:rPr>
            </w:pPr>
            <w:r>
              <w:rPr>
                <w:noProof/>
              </w:rPr>
              <w:t xml:space="preserve">A Bizottság a 2020. őszi gazdasági előrejelzés és az euróövezeti tagállamok által </w:t>
            </w:r>
            <w:hyperlink r:id="rId16" w:history="1">
              <w:r>
                <w:rPr>
                  <w:rStyle w:val="Hyperlink"/>
                  <w:iCs/>
                  <w:noProof/>
                  <w:color w:val="00000A"/>
                  <w:szCs w:val="24"/>
                  <w:u w:val="none"/>
                </w:rPr>
                <w:t>október 15-ig</w:t>
              </w:r>
            </w:hyperlink>
            <w:r>
              <w:rPr>
                <w:noProof/>
              </w:rPr>
              <w:t xml:space="preserve"> benyújtandó költségvetésiterv-javaslatok alapján újra fogja értékelni a tagállamok költségvetési helyzetét.</w:t>
            </w:r>
          </w:p>
        </w:tc>
      </w:tr>
    </w:tbl>
    <w:p w:rsidR="00CA32AB" w:rsidRDefault="00CA32AB">
      <w:pPr>
        <w:ind w:left="720"/>
        <w:rPr>
          <w:rFonts w:eastAsia="SimSun"/>
          <w:b/>
          <w:noProof/>
        </w:rPr>
      </w:pPr>
    </w:p>
    <w:p w:rsidR="00CA32AB" w:rsidRDefault="00F7544F">
      <w:pPr>
        <w:keepNext/>
        <w:numPr>
          <w:ilvl w:val="0"/>
          <w:numId w:val="4"/>
        </w:numPr>
        <w:ind w:left="714" w:hanging="357"/>
        <w:rPr>
          <w:rFonts w:cs="Calibri"/>
          <w:b/>
          <w:bCs/>
          <w:noProof/>
        </w:rPr>
      </w:pPr>
      <w:r>
        <w:rPr>
          <w:b/>
          <w:noProof/>
        </w:rPr>
        <w:t xml:space="preserve">A 2021. ÉVI AJÁNLÁSOK FŐ CÉLKITŰZÉSEI  </w:t>
      </w:r>
    </w:p>
    <w:p w:rsidR="00CA32AB" w:rsidRDefault="00F7544F">
      <w:pPr>
        <w:rPr>
          <w:rFonts w:cs="Calibri"/>
          <w:b/>
          <w:bCs/>
          <w:noProof/>
        </w:rPr>
      </w:pPr>
      <w:r>
        <w:rPr>
          <w:b/>
          <w:bCs/>
          <w:noProof/>
        </w:rPr>
        <w:t xml:space="preserve">A mai ajánlások a koronavírus-válság új társadalmi-gazdasági realitását tükrözik. </w:t>
      </w:r>
      <w:r>
        <w:rPr>
          <w:noProof/>
        </w:rPr>
        <w:t>A jelenlegi szemeszter két dimenzió mentén épül fel, arra ösztönözve a tagállamokat, hogy tovább erősítsék gazdaságaik ellenálló képes</w:t>
      </w:r>
      <w:r>
        <w:rPr>
          <w:noProof/>
        </w:rPr>
        <w:t>ségét</w:t>
      </w:r>
      <w:r>
        <w:rPr>
          <w:rStyle w:val="FootnoteReference"/>
          <w:noProof/>
        </w:rPr>
        <w:footnoteReference w:id="2"/>
      </w:r>
      <w:r>
        <w:rPr>
          <w:noProof/>
        </w:rPr>
        <w:t>:</w:t>
      </w:r>
    </w:p>
    <w:p w:rsidR="00CA32AB" w:rsidRDefault="00F7544F">
      <w:pPr>
        <w:widowControl w:val="0"/>
        <w:numPr>
          <w:ilvl w:val="0"/>
          <w:numId w:val="3"/>
        </w:numPr>
        <w:spacing w:after="0"/>
        <w:rPr>
          <w:rFonts w:cs="Calibri"/>
          <w:b/>
          <w:bCs/>
          <w:noProof/>
        </w:rPr>
      </w:pPr>
      <w:r>
        <w:rPr>
          <w:b/>
          <w:bCs/>
          <w:noProof/>
        </w:rPr>
        <w:t>Azonnali gazdaságpolitikai válaszintézkedések végrehajtása a koronavírus-járvány egészségügyi és társadalmi-gazdasági hatásainak kezelése és enyhítése céljából</w:t>
      </w:r>
      <w:r>
        <w:rPr>
          <w:noProof/>
        </w:rPr>
        <w:t xml:space="preserve"> (rövid távon). Ezek a prioritások magukban foglalják a foglalkoztatás fenntartását és az</w:t>
      </w:r>
      <w:r>
        <w:rPr>
          <w:noProof/>
        </w:rPr>
        <w:t xml:space="preserve"> érintett munkavállalók jövedelemtámogatását, az egészségügyre fordított állami kiadásokat, a vállalati szektor (különösen a kis- és középvállalkozások) érdekében hozott likviditási intézkedéseket, valamint az alapvető áruk belső piacon való áramlásának vé</w:t>
      </w:r>
      <w:r>
        <w:rPr>
          <w:noProof/>
        </w:rPr>
        <w:t>delmét. Az országspecifikus ajánlások költségvetési elemei a Stabilitási és Növekedési Paktum általános mentesítési rendelkezésének alkalmazását tükrözik.</w:t>
      </w:r>
    </w:p>
    <w:p w:rsidR="00CA32AB" w:rsidRDefault="00CA32AB">
      <w:pPr>
        <w:widowControl w:val="0"/>
        <w:spacing w:after="0"/>
        <w:rPr>
          <w:rFonts w:cs="Calibri"/>
          <w:b/>
          <w:bCs/>
          <w:noProof/>
        </w:rPr>
      </w:pPr>
    </w:p>
    <w:p w:rsidR="00CA32AB" w:rsidRDefault="00F7544F">
      <w:pPr>
        <w:widowControl w:val="0"/>
        <w:numPr>
          <w:ilvl w:val="0"/>
          <w:numId w:val="3"/>
        </w:numPr>
        <w:ind w:left="714" w:hanging="357"/>
        <w:rPr>
          <w:bCs/>
          <w:noProof/>
        </w:rPr>
      </w:pPr>
      <w:r>
        <w:rPr>
          <w:b/>
          <w:bCs/>
          <w:noProof/>
        </w:rPr>
        <w:t>A gazdasági tevékenység újraindítása és a növekedési pályára való visszatérés, valamint a zöld gazda</w:t>
      </w:r>
      <w:r>
        <w:rPr>
          <w:b/>
          <w:bCs/>
          <w:noProof/>
        </w:rPr>
        <w:t>ságra való átállás és a digitális átalakulás előmozdítása</w:t>
      </w:r>
      <w:r>
        <w:rPr>
          <w:noProof/>
        </w:rPr>
        <w:t xml:space="preserve"> (rövid–középtávon). Fontos lesz arra helyezni a hangsúlyt, hogy a pandémia azonnali akut hatásának megfékezése urán miként lehet „újjáéleszteni” a gazdaságot. Hatékonyabb és erősebb jóléti államra, </w:t>
      </w:r>
      <w:r>
        <w:rPr>
          <w:noProof/>
        </w:rPr>
        <w:t>aktív munkaerőpiaci intézkedésekre és készségfejlesztésre lesz szükség. Az országjelentések információval szolgálhatnak a jövőbeli növekedés lehetséges területeiről, amint a rendkívüli körülmények (pl. kijárási korlátozás) megszűnnek.</w:t>
      </w:r>
    </w:p>
    <w:p w:rsidR="00CA32AB" w:rsidRDefault="00F7544F">
      <w:pPr>
        <w:pStyle w:val="ListParagraph"/>
        <w:ind w:left="0"/>
        <w:rPr>
          <w:b/>
          <w:noProof/>
        </w:rPr>
      </w:pPr>
      <w:r>
        <w:rPr>
          <w:noProof/>
        </w:rPr>
        <w:t>A helyreállítást az é</w:t>
      </w:r>
      <w:r>
        <w:rPr>
          <w:noProof/>
        </w:rPr>
        <w:t>ves fenntartható növekedési stratégiában</w:t>
      </w:r>
      <w:r>
        <w:rPr>
          <w:rStyle w:val="FootnoteReference"/>
          <w:noProof/>
        </w:rPr>
        <w:footnoteReference w:id="3"/>
      </w:r>
      <w:r>
        <w:rPr>
          <w:noProof/>
        </w:rPr>
        <w:t xml:space="preserve"> bemutatott, a „versenyképes fenntarthatóság” koncepciója mentén kialakított keretnek kell irányítania, amely a gazdasági stabilitásra, a társadalmi méltányosságra, a környezeti fenntarthatóságra, valamint a termelé</w:t>
      </w:r>
      <w:r>
        <w:rPr>
          <w:noProof/>
        </w:rPr>
        <w:t>kenységre és a versenyképességre összpontosít. A tagállamoknak szóló mai ajánlások magukban foglalják ezt a négy dimenziót.</w:t>
      </w:r>
    </w:p>
    <w:p w:rsidR="00CA32AB" w:rsidRDefault="00F7544F">
      <w:pPr>
        <w:pStyle w:val="ListParagraph"/>
        <w:ind w:left="0"/>
        <w:rPr>
          <w:b/>
          <w:noProof/>
        </w:rPr>
      </w:pPr>
      <w:r>
        <w:rPr>
          <w:b/>
          <w:noProof/>
        </w:rPr>
        <w:t>A pandémia rávilágít a gazdasági, szociális és környezeti elemek összekapcsoltságára, és egy holisztikus helyreállítási stratégia sz</w:t>
      </w:r>
      <w:r>
        <w:rPr>
          <w:b/>
          <w:noProof/>
        </w:rPr>
        <w:t xml:space="preserve">ükségességére. </w:t>
      </w:r>
      <w:r>
        <w:rPr>
          <w:noProof/>
        </w:rPr>
        <w:t>Ezért az ENSZ fenntartható fejlődési céljainak a gazdaságpolitikai koordináció európai szemeszterébe való beágyazása most minden korábbinál nagyobb jelentőséggel bír. Valamennyi országspecifikus ajánlás a strukturális reformokra és a beruház</w:t>
      </w:r>
      <w:r>
        <w:rPr>
          <w:noProof/>
        </w:rPr>
        <w:t xml:space="preserve">ásokra egyaránt vonatkozik. A 2019. évi országspecifikus ajánlások változatlanul relevánsak, és azokat figyelembe kell venni az uniós alapok – mindenekelőtt a kohéziós politikai alapok – esetében. </w:t>
      </w:r>
      <w:r>
        <w:rPr>
          <w:noProof/>
          <w:color w:val="000000"/>
        </w:rPr>
        <w:t>Az európai szemeszter hozzá fog járulni ahhoz, hogy a fennt</w:t>
      </w:r>
      <w:r>
        <w:rPr>
          <w:noProof/>
          <w:color w:val="000000"/>
        </w:rPr>
        <w:t>artható fejlesztési célokkal kapcsolatos kihívások és szakpolitikai ajánlások a szakpolitikai menetrend homlokterébe kerüljenek, ami az európai zöld megállapodással és az éves fenntartható növekedési stratégiával összhangban előmozdíthatja a fenntartható g</w:t>
      </w:r>
      <w:r>
        <w:rPr>
          <w:noProof/>
          <w:color w:val="000000"/>
        </w:rPr>
        <w:t>azdaságot.</w:t>
      </w:r>
    </w:p>
    <w:p w:rsidR="00CA32AB" w:rsidRDefault="00F7544F">
      <w:pPr>
        <w:pStyle w:val="ListParagraph"/>
        <w:ind w:left="0"/>
        <w:rPr>
          <w:noProof/>
        </w:rPr>
      </w:pPr>
      <w:r>
        <w:rPr>
          <w:b/>
          <w:noProof/>
        </w:rPr>
        <w:t xml:space="preserve">Annak nyomon követése, hogy a tagállamok ténylegesen képesek-e hatékony választ adni a válságra, alapvető eleme az idei újragondolt szemeszternek. </w:t>
      </w:r>
    </w:p>
    <w:p w:rsidR="00CA32AB" w:rsidRDefault="00F7544F">
      <w:pPr>
        <w:pStyle w:val="ListParagraph"/>
        <w:ind w:left="0"/>
        <w:rPr>
          <w:rFonts w:cs="Calibri"/>
          <w:b/>
          <w:noProof/>
        </w:rPr>
      </w:pPr>
      <w:bookmarkStart w:id="1" w:name="_GoBack"/>
      <w:bookmarkEnd w:id="1"/>
      <w:r>
        <w:rPr>
          <w:b/>
          <w:noProof/>
        </w:rPr>
        <w:pict>
          <v:shape id="_x0000_i1026" type="#_x0000_t75" style="width:420.9pt;height:303.25pt;mso-left-percent:-10001;mso-top-percent:-10001;mso-position-horizontal:absolute;mso-position-horizontal-relative:char;mso-position-vertical:absolute;mso-position-vertical-relative:line;mso-left-percent:-10001;mso-top-percent:-10001">
            <v:imagedata r:id="rId17" o:title=""/>
          </v:shape>
        </w:pict>
      </w:r>
    </w:p>
    <w:p w:rsidR="00CA32AB" w:rsidRDefault="00F7544F">
      <w:pPr>
        <w:pStyle w:val="ListNumber2Level4"/>
        <w:ind w:left="0"/>
        <w:rPr>
          <w:b/>
          <w:bCs/>
          <w:noProof/>
        </w:rPr>
      </w:pPr>
      <w:r>
        <w:rPr>
          <w:b/>
          <w:bCs/>
          <w:noProof/>
        </w:rPr>
        <w:t>A koronavírus-válság nyomot hagyott az egységes árupiac működésén, határlezárásokhoz vezetett</w:t>
      </w:r>
      <w:r>
        <w:rPr>
          <w:b/>
          <w:bCs/>
          <w:noProof/>
        </w:rPr>
        <w:t xml:space="preserve"> és a kivitelre is hatással volt.</w:t>
      </w:r>
      <w:r>
        <w:rPr>
          <w:noProof/>
        </w:rPr>
        <w:t xml:space="preserve"> A pandémia elleni küzdelem szempontjából kulcsfontosságú termékek – például egyéni védőeszközök, maszkok, lélegeztetőgépek és gyógyszerek – exportjára vonatkozó nemzeti korlátozások aláássák a járvány elleni közös erőfeszí</w:t>
      </w:r>
      <w:r>
        <w:rPr>
          <w:noProof/>
        </w:rPr>
        <w:t>téseket. Bár számos tagállam a Bizottság kezdeményezésére végül feloldotta a korlátozásokat, a néhány országban továbbra is fennálló indokolatlan és szükségtelen korlátozások súlyosbíthatják az ellátási lánc zavarait, az áremelkedéseket és az áruhiányt. Az</w:t>
      </w:r>
      <w:r>
        <w:rPr>
          <w:noProof/>
        </w:rPr>
        <w:t xml:space="preserve"> igények kielégítése érdekében kezdeményezések születtek mind a helyi termelés, mind a harmadik országokból származó behozatal növelésére. Tekintettel a helyzet sürgősségére, az egységes piacot védeni kell a nem megfelelő termékekkel szemben. A piacfelügye</w:t>
      </w:r>
      <w:r>
        <w:rPr>
          <w:noProof/>
        </w:rPr>
        <w:t>leti hatóságok és a vámhatóságok továbbra is meghatározó szerepet játszanak.</w:t>
      </w:r>
    </w:p>
    <w:p w:rsidR="00CA32AB" w:rsidRDefault="00F7544F">
      <w:pPr>
        <w:pStyle w:val="ListNumber2Level4"/>
        <w:ind w:left="0"/>
        <w:rPr>
          <w:b/>
          <w:bCs/>
          <w:noProof/>
        </w:rPr>
      </w:pPr>
      <w:r>
        <w:rPr>
          <w:b/>
          <w:bCs/>
          <w:noProof/>
        </w:rPr>
        <w:t>Az egységes piac szempontjából előnyösek a jól működő ellátási láncok, mind az EU-n belül, mind világszerte.</w:t>
      </w:r>
      <w:r>
        <w:rPr>
          <w:noProof/>
        </w:rPr>
        <w:t xml:space="preserve"> Tükrözve az EU zöld és digitális átállás iránti elkötelezettségét, valamint az ellátási láncok globális jellegét – nem utolsósorban a kritikus jelentőségű áruk (köztük az orvosi felszerelések) esetében –, különös figyelmet kell fordítani azok ellenálló ké</w:t>
      </w:r>
      <w:r>
        <w:rPr>
          <w:noProof/>
        </w:rPr>
        <w:t xml:space="preserve">pességére és fenntarthatóságára, ugyanakkor ellátási láncainkat diverzifikálni kell, és növelni kell a kritikus áruk előállításához rendelkezésre álló uniós kapacitást. </w:t>
      </w:r>
    </w:p>
    <w:p w:rsidR="00CA32AB" w:rsidRDefault="00F7544F">
      <w:pPr>
        <w:pStyle w:val="ListNumber2Level4"/>
        <w:ind w:left="0"/>
        <w:rPr>
          <w:b/>
          <w:noProof/>
          <w:color w:val="000000"/>
          <w:szCs w:val="24"/>
        </w:rPr>
      </w:pPr>
      <w:r>
        <w:rPr>
          <w:b/>
          <w:bCs/>
          <w:noProof/>
        </w:rPr>
        <w:t>A szolgáltatások egységes piacának működését aránytalan szabályozási korlátozások hátr</w:t>
      </w:r>
      <w:r>
        <w:rPr>
          <w:b/>
          <w:bCs/>
          <w:noProof/>
        </w:rPr>
        <w:t>áltatják, különösen a kiskereskedelemben és az építőiparban.</w:t>
      </w:r>
      <w:r>
        <w:rPr>
          <w:noProof/>
        </w:rPr>
        <w:t xml:space="preserve"> A válság összességében a szolgáltatási ágazatot érintette a legérzékenyebben a kereslet drasztikus visszaesése és a számos vállalkozás működését ellehetetlenítő kijárási korlátozások miatt. Ugyan</w:t>
      </w:r>
      <w:r>
        <w:rPr>
          <w:noProof/>
        </w:rPr>
        <w:t>akkor ez az ágazat rendelkezik a legnagyobb helyreállási potenciállal. Elengedhetetlen lesz a szabályozási és adminisztratív akadályok csökkentése. A leginkább érintett ágazatokban – amilyen a kiskereskedelem, az idegenforgalom, a kultúra, a szálloda- és v</w:t>
      </w:r>
      <w:r>
        <w:rPr>
          <w:noProof/>
        </w:rPr>
        <w:t xml:space="preserve">endéglátóipar – a nemzeti szabályozás rugalmasságának fokozása elősegítené a fellendülést. </w:t>
      </w:r>
    </w:p>
    <w:p w:rsidR="00CA32AB" w:rsidRDefault="00F7544F">
      <w:pPr>
        <w:pStyle w:val="ListNumber2Level4"/>
        <w:spacing w:line="100" w:lineRule="atLeast"/>
        <w:ind w:left="0"/>
        <w:rPr>
          <w:b/>
          <w:bCs/>
          <w:noProof/>
          <w:szCs w:val="24"/>
          <w:u w:val="single"/>
        </w:rPr>
      </w:pPr>
      <w:r>
        <w:rPr>
          <w:b/>
          <w:noProof/>
          <w:color w:val="000000"/>
          <w:szCs w:val="24"/>
        </w:rPr>
        <w:t>A Covid19-világjárvány következtében számos tagállam hozott olyan intézkedéseket, amelyek messzemenő következményekkel járnak a személyek mozgására mind az országha</w:t>
      </w:r>
      <w:r>
        <w:rPr>
          <w:b/>
          <w:noProof/>
          <w:color w:val="000000"/>
          <w:szCs w:val="24"/>
        </w:rPr>
        <w:t>tárokon belül, mind határokon átnyúlóan.</w:t>
      </w:r>
      <w:r>
        <w:rPr>
          <w:noProof/>
          <w:color w:val="000000"/>
          <w:szCs w:val="24"/>
        </w:rPr>
        <w:t xml:space="preserve"> Csaknem az összes tagállam átmenetileg visszaállította a belső határellenőrzést. Emellett az Unió külső határain korlátozásokat vezettek be a nem alapvető fontosságú utazások tekintetében. Az uniós belső határok lez</w:t>
      </w:r>
      <w:r>
        <w:rPr>
          <w:noProof/>
          <w:color w:val="000000"/>
          <w:szCs w:val="24"/>
        </w:rPr>
        <w:t>árása különösen azokat a munkavállalókat érinti hátrányosan, akiknek munkahelyük eléréséhez egy másik tagállamba kell átutazniuk. Ez a határ menti ingázókon kívül a kiküldött munkavállalókat és az idénymunkásokat is érinti. A belső határellenőrzés és az ut</w:t>
      </w:r>
      <w:r>
        <w:rPr>
          <w:noProof/>
          <w:color w:val="000000"/>
          <w:szCs w:val="24"/>
        </w:rPr>
        <w:t>azási korlátozások bevezetése nyomán előállt komoly problémák kezelése, illetve a belső piac működésére gyakorolt hatás mérséklése érdekében a Bizottság uniós szintű koordinációt és iránymutatást biztosított</w:t>
      </w:r>
      <w:r>
        <w:rPr>
          <w:rStyle w:val="FootnoteReference"/>
          <w:noProof/>
          <w:color w:val="000000"/>
          <w:szCs w:val="24"/>
        </w:rPr>
        <w:footnoteReference w:id="4"/>
      </w:r>
      <w:r>
        <w:rPr>
          <w:noProof/>
          <w:color w:val="000000"/>
          <w:szCs w:val="24"/>
        </w:rPr>
        <w:t>.</w:t>
      </w:r>
    </w:p>
    <w:p w:rsidR="00CA32AB" w:rsidRDefault="00F7544F">
      <w:pPr>
        <w:keepNext/>
        <w:numPr>
          <w:ilvl w:val="0"/>
          <w:numId w:val="2"/>
        </w:numPr>
        <w:spacing w:before="100"/>
        <w:ind w:left="1077" w:hanging="357"/>
        <w:rPr>
          <w:b/>
          <w:noProof/>
        </w:rPr>
      </w:pPr>
      <w:r>
        <w:rPr>
          <w:b/>
          <w:bCs/>
          <w:noProof/>
          <w:szCs w:val="24"/>
          <w:u w:val="single"/>
        </w:rPr>
        <w:t>Stabilitás</w:t>
      </w:r>
    </w:p>
    <w:p w:rsidR="00CA32AB" w:rsidRDefault="00F7544F">
      <w:pPr>
        <w:rPr>
          <w:b/>
          <w:noProof/>
        </w:rPr>
      </w:pPr>
      <w:r>
        <w:rPr>
          <w:b/>
          <w:bCs/>
          <w:noProof/>
        </w:rPr>
        <w:t>A makrogazdasági egyensúlyhiány kez</w:t>
      </w:r>
      <w:r>
        <w:rPr>
          <w:b/>
          <w:bCs/>
          <w:noProof/>
        </w:rPr>
        <w:t>elésére szolgáló eljárás keretében végzett felügyelet rendkívül fontos</w:t>
      </w:r>
      <w:r>
        <w:rPr>
          <w:rStyle w:val="FootnoteReference"/>
          <w:noProof/>
        </w:rPr>
        <w:footnoteReference w:id="5"/>
      </w:r>
      <w:r>
        <w:rPr>
          <w:b/>
          <w:bCs/>
          <w:noProof/>
        </w:rPr>
        <w:t>.</w:t>
      </w:r>
      <w:r>
        <w:rPr>
          <w:b/>
          <w:noProof/>
        </w:rPr>
        <w:t xml:space="preserve"> </w:t>
      </w:r>
      <w:r>
        <w:rPr>
          <w:noProof/>
        </w:rPr>
        <w:t>Az idei ajánlások figyelembe veszik a világjárvány kezelésének és a gazdasági fellendülés elősegítésének szükségességét, hiszen ezek fontos lépések az újabb egyensúlyhiányok esetleges</w:t>
      </w:r>
      <w:r>
        <w:rPr>
          <w:noProof/>
        </w:rPr>
        <w:t xml:space="preserve"> jövőbeni kialakulásának megelőzésében. Az ajánlások a sebezhetőségek és a strukturális kihívások kezelésére egyaránt törekednek. A makrogazdasági egyensúlyhiány kezelésére szolgáló eljárás keretében továbbra is célirányosan nyomon követik a szakpolitikai </w:t>
      </w:r>
      <w:r>
        <w:rPr>
          <w:noProof/>
        </w:rPr>
        <w:t>fejleményeket az érintett területeken. A riasztási mechanizmus keretében készülő következő jelentés újra fogja értékelni az EU-n belüli makrogazdasági fejleményeket.</w:t>
      </w:r>
    </w:p>
    <w:p w:rsidR="00CA32AB" w:rsidRDefault="00F7544F">
      <w:pPr>
        <w:rPr>
          <w:rFonts w:cs="Calibri"/>
          <w:b/>
          <w:noProof/>
        </w:rPr>
      </w:pPr>
      <w:r>
        <w:rPr>
          <w:b/>
          <w:noProof/>
        </w:rPr>
        <w:t>A 2015 óta tartó csökkenő tendenciától eltérve 2020-ban az államadósság meredek emelkedése</w:t>
      </w:r>
      <w:r>
        <w:rPr>
          <w:b/>
          <w:noProof/>
        </w:rPr>
        <w:t xml:space="preserve"> várható.</w:t>
      </w:r>
      <w:r>
        <w:rPr>
          <w:noProof/>
        </w:rPr>
        <w:t xml:space="preserve"> A tagállamok az uniós keret által biztosított teljes költségvetési rugalmasságot kihasználva széles körű intézkedéseket fogadtak el az egészségügyi rendszerek kapacitásának bővítése és a leginkább érintett polgárok és ágazatok megsegítése érdekéb</w:t>
      </w:r>
      <w:r>
        <w:rPr>
          <w:noProof/>
        </w:rPr>
        <w:t>en. Ezek az intézkedések a gazdasági tevékenység visszaesésével és az alacsony inflációval együtt lényegesen magasabb költségvetési hiányhoz és államadóssághoz fognak vezetni 2020-ban. Emellett a tagállamok jelentős likviditástámogatási intézkedéseket tesz</w:t>
      </w:r>
      <w:r>
        <w:rPr>
          <w:noProof/>
        </w:rPr>
        <w:t>nek és hitelgaranciákat biztosítanak, amelyek függő kötelezettségeket rónak a kormányokra.</w:t>
      </w:r>
    </w:p>
    <w:p w:rsidR="00CA32AB" w:rsidRDefault="00F7544F">
      <w:pPr>
        <w:pStyle w:val="ListParagraph"/>
        <w:ind w:left="0"/>
        <w:rPr>
          <w:b/>
          <w:noProof/>
        </w:rPr>
      </w:pPr>
      <w:r>
        <w:rPr>
          <w:b/>
          <w:noProof/>
        </w:rPr>
        <w:t xml:space="preserve">Az országspecifikus ajánlások költségvetési elemei az általános mentesítési rendelkezés alkalmazását tükrözik, és a pandémia hatékony kezelését, a gazdaság </w:t>
      </w:r>
      <w:r>
        <w:rPr>
          <w:b/>
          <w:noProof/>
        </w:rPr>
        <w:t>fenntartását és az azt követő helyreállítás támogatását célzó valamennyi szükséges intézkedés meghozatalát szorgalmazzák.</w:t>
      </w:r>
      <w:r>
        <w:rPr>
          <w:noProof/>
        </w:rPr>
        <w:t xml:space="preserve"> Amint a gazdasági feltételek lehetővé teszik, a költségvetési politikának törekednie kell a prudens középtávú költségvetési pozíció me</w:t>
      </w:r>
      <w:r>
        <w:rPr>
          <w:noProof/>
        </w:rPr>
        <w:t>gvalósítására és az adósság fenntarthatóságának biztosítására, a beruházások élénkítése mellett.</w:t>
      </w:r>
    </w:p>
    <w:p w:rsidR="00CA32AB" w:rsidRDefault="00F7544F">
      <w:pPr>
        <w:rPr>
          <w:b/>
          <w:noProof/>
        </w:rPr>
      </w:pPr>
      <w:r>
        <w:rPr>
          <w:b/>
          <w:noProof/>
        </w:rPr>
        <w:t>Az általános mentesítési rendelkezés eddig példa nélkül álló aktiválása megkönnyíti a költségvetési politikák összehangolását a jelenlegi súlyos gazdasági viss</w:t>
      </w:r>
      <w:r>
        <w:rPr>
          <w:b/>
          <w:noProof/>
        </w:rPr>
        <w:t>zaesés idején.</w:t>
      </w:r>
      <w:r>
        <w:rPr>
          <w:noProof/>
        </w:rPr>
        <w:t xml:space="preserve"> A koronavírus-járvány következtében várható súlyos gazdasági visszaesés miatt a Bizottság arra a következtetésre jutott, hogy a jelenlegi körülmények indokolják az általános mentesítési rendelkezés alkalmazását. A tagállamok pénzügyminiszter</w:t>
      </w:r>
      <w:r>
        <w:rPr>
          <w:noProof/>
        </w:rPr>
        <w:t>ei egyetértettek ezzel az értékeléssel. Az általános mentesítési rendelkezés nem függeszti fel a Stabilitási és Növekedési Paktum eljárásait. Lehetővé teszi a Bizottság és a Tanács számára, hogy a Paktum keretében meghozzák a szükséges szakpolitikai koordi</w:t>
      </w:r>
      <w:r>
        <w:rPr>
          <w:noProof/>
        </w:rPr>
        <w:t xml:space="preserve">nációs intézkedéseket, ugyanakkor eltérjenek az általában alkalmazandó költségvetési követelményektől. Konkrétan lehetővé teszi a tagállamok számára, hogy átmenetileg eltérjenek a középtávú költségvetési célhoz vezető korrekciós pályától, feltéve, hogy ez </w:t>
      </w:r>
      <w:r>
        <w:rPr>
          <w:noProof/>
        </w:rPr>
        <w:t xml:space="preserve">középtávon nem veszélyezteti a költségvetés fenntarthatóságát. </w:t>
      </w:r>
    </w:p>
    <w:p w:rsidR="00CA32AB" w:rsidRDefault="00F7544F">
      <w:pPr>
        <w:rPr>
          <w:b/>
          <w:bCs/>
          <w:noProof/>
        </w:rPr>
      </w:pPr>
      <w:r>
        <w:rPr>
          <w:b/>
          <w:noProof/>
        </w:rPr>
        <w:t>A tavaszi ajánláscsomagban szereplő költségvetési iránymutatás célja a költségvetési politikák összehangolása közvetlenül a válság idején, majd a gazdaság helyreállításának szakaszában is</w:t>
      </w:r>
      <w:r>
        <w:rPr>
          <w:noProof/>
        </w:rPr>
        <w:t>. A h</w:t>
      </w:r>
      <w:r>
        <w:rPr>
          <w:noProof/>
        </w:rPr>
        <w:t>elyreállítás előmozdítása érdekében jelenleg valamennyi tagállamban indokolt a támogató költségvetési irányvonal. Ezzel párhuzamosan középtávon továbbra is gondoskodni kell a költségvetés fenntarthatóságáról. Különösen azt kell biztosítani, hogy amennyiben</w:t>
      </w:r>
      <w:r>
        <w:rPr>
          <w:noProof/>
        </w:rPr>
        <w:t xml:space="preserve"> a gazdasági feltételek lehetővé teszik, a tagállamok fiskális politikája a prudens középtávú költségvetési pozíció elérése és az adósság fenntarthatóságának biztosítása felé mutasson. </w:t>
      </w:r>
    </w:p>
    <w:p w:rsidR="00CA32AB" w:rsidRDefault="00F7544F">
      <w:pPr>
        <w:rPr>
          <w:noProof/>
        </w:rPr>
      </w:pPr>
      <w:r>
        <w:rPr>
          <w:b/>
          <w:bCs/>
          <w:noProof/>
        </w:rPr>
        <w:t>A tagállamoknak szintén szem előtt kell tartaniuk az államháztartás mi</w:t>
      </w:r>
      <w:r>
        <w:rPr>
          <w:b/>
          <w:bCs/>
          <w:noProof/>
        </w:rPr>
        <w:t xml:space="preserve">nőségét a példa nélkül álló költségvetési csomagok idején, és helyesen kell rangsorolniuk a beruházási és termelési kiadásokat. </w:t>
      </w:r>
      <w:r>
        <w:rPr>
          <w:noProof/>
        </w:rPr>
        <w:t>Mindemellett a tagállamokban elfogadott, példátlan költségvetési csomagok és következésképpen az állami szektor megnövekedett ga</w:t>
      </w:r>
      <w:r>
        <w:rPr>
          <w:noProof/>
        </w:rPr>
        <w:t>zdasági szerepe miatt kiemelkedően fontos a közigazgatás hatékony és eredményes működése. A jövőre nézve a hatékony és eredményes államháztartási pénzgazdálkodást megvalósító tagállamok gyorsabban tudnak majd kilábalni a válságból. Az állami kiadások és be</w:t>
      </w:r>
      <w:r>
        <w:rPr>
          <w:noProof/>
        </w:rPr>
        <w:t xml:space="preserve">ruházások lényeges szerepet játszanak a zöld és a digitális átállás támogatásában, többek között a zöld és a digitális közbeszerzés, valamint a környezetbarát költségvetés-tervezés révén. </w:t>
      </w:r>
    </w:p>
    <w:p w:rsidR="00CA32AB" w:rsidRDefault="00F7544F">
      <w:pPr>
        <w:rPr>
          <w:b/>
          <w:noProof/>
        </w:rPr>
      </w:pPr>
      <w:r>
        <w:rPr>
          <w:b/>
          <w:noProof/>
        </w:rPr>
        <w:t>A koronavírus-járvány következtében a globális pénzügyi piacokon ko</w:t>
      </w:r>
      <w:r>
        <w:rPr>
          <w:b/>
          <w:noProof/>
        </w:rPr>
        <w:t>moly, lefelé mutató árkorrekciók és fokozott volatilitás tapasztalható.</w:t>
      </w:r>
      <w:r>
        <w:rPr>
          <w:noProof/>
        </w:rPr>
        <w:t xml:space="preserve"> A romló gazdasági körülmények és a nagyobb bizonytalanság hátrányosan érintette a részvénypiacokat, a rögzített hozamú eszközök piacát és az árupiacokat. Ennek ellenére a piacok és a p</w:t>
      </w:r>
      <w:r>
        <w:rPr>
          <w:noProof/>
        </w:rPr>
        <w:t>énzügyi intézmények működését mindeddig sikerült maradéktalanul fenntartani.</w:t>
      </w:r>
      <w:r>
        <w:rPr>
          <w:b/>
          <w:noProof/>
        </w:rPr>
        <w:t xml:space="preserve"> </w:t>
      </w:r>
      <w:r>
        <w:rPr>
          <w:noProof/>
        </w:rPr>
        <w:t xml:space="preserve">A közpolitika és az Európai Központi Bank (EKB), illetve világszerte más monetáris hatóságok intézkedései fontos szerepet játszottak e hatás enyhítésében. Az EKB 1 billió EUR (az </w:t>
      </w:r>
      <w:r>
        <w:rPr>
          <w:noProof/>
        </w:rPr>
        <w:t xml:space="preserve">euróövezet GDP-jének 8,5 %-a) értékű likviditást bocsátott rendelkezésre különböző eszközök, többek között az államkötvényekre és vállalati kötvényekre vonatkozó Pandémiás Veszélyhelyzeti Eszközvásárlási Program révén. </w:t>
      </w:r>
    </w:p>
    <w:p w:rsidR="00CA32AB" w:rsidRDefault="00F7544F">
      <w:pPr>
        <w:rPr>
          <w:b/>
          <w:noProof/>
        </w:rPr>
      </w:pPr>
      <w:r>
        <w:rPr>
          <w:b/>
          <w:noProof/>
        </w:rPr>
        <w:t xml:space="preserve">A pénzmosás kockázata változatlanul </w:t>
      </w:r>
      <w:r>
        <w:rPr>
          <w:b/>
          <w:noProof/>
        </w:rPr>
        <w:t>gyakori.</w:t>
      </w:r>
      <w:r>
        <w:rPr>
          <w:noProof/>
        </w:rPr>
        <w:t xml:space="preserve"> A pénzmosás negatív következményekkel jár az államháztartásra és a pénzügyi stabilitásra nézve, és számottevő kockázatokat rejt magában. Egyes tagállamok (Bulgária, Dánia, Észtország, Lettország, Málta és Svédország) már tavaly ajánlást kaptak a p</w:t>
      </w:r>
      <w:r>
        <w:rPr>
          <w:noProof/>
        </w:rPr>
        <w:t xml:space="preserve">énzmosás elleni küzdelmet szolgáló szabályozás és felügyelet megerősítésére, és a lista idén öt további tagállammal (Írország, Luxemburg, Hollandia, Szlovákia, Finnország) bővült. </w:t>
      </w:r>
    </w:p>
    <w:p w:rsidR="00CA32AB" w:rsidRDefault="00F7544F">
      <w:pPr>
        <w:rPr>
          <w:b/>
          <w:bCs/>
          <w:noProof/>
        </w:rPr>
      </w:pPr>
      <w:r>
        <w:rPr>
          <w:b/>
          <w:noProof/>
        </w:rPr>
        <w:t>A bankok fontos szerepet játszanak a reálgazdaságba áramló likviditás fennt</w:t>
      </w:r>
      <w:r>
        <w:rPr>
          <w:b/>
          <w:noProof/>
        </w:rPr>
        <w:t xml:space="preserve">artásában. </w:t>
      </w:r>
      <w:r>
        <w:rPr>
          <w:noProof/>
        </w:rPr>
        <w:t>A romló gazdasági környezetben az Európai Bizottság, az EKB, az Európai Bankhatóság és az egységes felügyeleti mechanizmus rendkívüli intézkedéseket hozott a bankokra nézve a háztartások és vállalkozások finanszírozása érdekében, hogy azok meg t</w:t>
      </w:r>
      <w:r>
        <w:rPr>
          <w:noProof/>
        </w:rPr>
        <w:t xml:space="preserve">udjanak birkózni a bevételkieséssel. A bankok számára lehetővé válik, hogy a tőkemegfelelésre vonatkozó 2. pillér szerinti iránymutatás alatti szinten működjenek, és a tagállamok felszabadították az anticiklikus és rendszerszintű kockázati tőkepuffereket, </w:t>
      </w:r>
      <w:r>
        <w:rPr>
          <w:noProof/>
        </w:rPr>
        <w:t>amennyiben azok már léteztek, hogy jobban tudják viselni a veszteségeket és hitelnyújtással támogassák a fellendülést. Fontos, hogy pénzügyi támogatásban részesüljenek azok a hitelfelvevők, akik a válság előtt lényegében életképesek voltak. A jelenlegi rec</w:t>
      </w:r>
      <w:r>
        <w:rPr>
          <w:noProof/>
        </w:rPr>
        <w:t>esszió próbára teszi a bankszektor ellenálló képességét, mivel a banki mérlegek megtisztítása terén elért sikerek a visszájukra fordulhatnak, és más kihívások – például az alacsony nyereségesség – szintén láthatóbbá válhatnak.</w:t>
      </w:r>
    </w:p>
    <w:p w:rsidR="00CA32AB" w:rsidRDefault="00F7544F">
      <w:pPr>
        <w:keepNext/>
        <w:pBdr>
          <w:top w:val="single" w:sz="4" w:space="1" w:color="000000"/>
          <w:left w:val="single" w:sz="4" w:space="4" w:color="000000"/>
          <w:bottom w:val="single" w:sz="4" w:space="1" w:color="000000"/>
          <w:right w:val="single" w:sz="4" w:space="4" w:color="000000"/>
        </w:pBdr>
        <w:rPr>
          <w:noProof/>
        </w:rPr>
      </w:pPr>
      <w:r>
        <w:rPr>
          <w:b/>
          <w:bCs/>
          <w:noProof/>
        </w:rPr>
        <w:t>2. háttérmagyarázat: A legink</w:t>
      </w:r>
      <w:r>
        <w:rPr>
          <w:b/>
          <w:bCs/>
          <w:noProof/>
        </w:rPr>
        <w:t>ább érintett munkavállalók és kkv-k támogatása érdekében elfogadott tagállami intézkedések összefoglalása (likviditási támogatás)</w:t>
      </w:r>
    </w:p>
    <w:p w:rsidR="00CA32AB" w:rsidRDefault="00F7544F">
      <w:pPr>
        <w:keepLines/>
        <w:pBdr>
          <w:top w:val="single" w:sz="4" w:space="1" w:color="000000"/>
          <w:left w:val="single" w:sz="4" w:space="4" w:color="000000"/>
          <w:bottom w:val="single" w:sz="4" w:space="1" w:color="000000"/>
          <w:right w:val="single" w:sz="4" w:space="4" w:color="000000"/>
        </w:pBdr>
        <w:rPr>
          <w:noProof/>
        </w:rPr>
      </w:pPr>
      <w:r>
        <w:rPr>
          <w:noProof/>
        </w:rPr>
        <w:t xml:space="preserve">A Covid19-világjárványra reagálva a tagállamok példa nélküli intézkedéseket hoztak, hosszabbítottak meg vagy jelentettek be a </w:t>
      </w:r>
      <w:r>
        <w:rPr>
          <w:noProof/>
        </w:rPr>
        <w:t>különösen érintett polgárok és ágazatok megsegítésére. Bár az intézkedéseket az országspecifikus helyzethez igazították, összességében mindegyiknek ugyanaz a célja: a válság hatásainak enyhítése az egyének munkahelyeinek és jövedelmének védelme, valamint a</w:t>
      </w:r>
      <w:r>
        <w:rPr>
          <w:noProof/>
        </w:rPr>
        <w:t xml:space="preserve"> vállalkozások, különösen a kis- és középvállalkozások (kkv-k) likviditási támogatása révén.</w:t>
      </w:r>
    </w:p>
    <w:p w:rsidR="00CA32AB" w:rsidRDefault="00F7544F">
      <w:pPr>
        <w:keepLines/>
        <w:pBdr>
          <w:top w:val="single" w:sz="4" w:space="1" w:color="000000"/>
          <w:left w:val="single" w:sz="4" w:space="4" w:color="000000"/>
          <w:bottom w:val="single" w:sz="4" w:space="1" w:color="000000"/>
          <w:right w:val="single" w:sz="4" w:space="4" w:color="000000"/>
        </w:pBdr>
        <w:rPr>
          <w:noProof/>
        </w:rPr>
      </w:pPr>
      <w:r>
        <w:rPr>
          <w:noProof/>
        </w:rPr>
        <w:t>A munkavállalók támogatása érdekében számos tagállam kiterjesztette, illetve egyes esetekben létrehozta csökkentett munkaidős foglalkoztatási vagy átmeneti munkané</w:t>
      </w:r>
      <w:r>
        <w:rPr>
          <w:noProof/>
        </w:rPr>
        <w:t>lküliségi rendszerét a juttatások kiegészítésével és/vagy a jogosultsági feltételek enyhítésével. Ezek a rendszerek lehetővé teszik a gazdasági nehézségekkel küzdő vállalkozások számára, hogy csökkentsék a ledolgozott munkaórák számát vagy átmenetileg felf</w:t>
      </w:r>
      <w:r>
        <w:rPr>
          <w:noProof/>
        </w:rPr>
        <w:t>üggesszék a munkavállalókat, míg a munkavállalókat (részben) állami jövedelemtámogatással kompenzálják. Az ilyen intézkedések hozzájárulnak a tartós elbocsátások megelőzéséhez, a stabil jövedelmek biztosításához és a polgárok védelméhez. Számos tagállam az</w:t>
      </w:r>
      <w:r>
        <w:rPr>
          <w:noProof/>
        </w:rPr>
        <w:t xml:space="preserve"> önfoglalkoztatók jövedelemkiesésének kompenzálására is kiterjesztette ezeket az intézkedéseket.</w:t>
      </w:r>
      <w:r>
        <w:rPr>
          <w:noProof/>
          <w:color w:val="000000"/>
        </w:rPr>
        <w:t xml:space="preserve"> Egyes tagállamok intézkedéseket hoztak továbbá annak érdekében, hogy megakadályozzák a bérleti szerződések felmondását és a bérleti díjak emelkedését a világjá</w:t>
      </w:r>
      <w:r>
        <w:rPr>
          <w:noProof/>
          <w:color w:val="000000"/>
        </w:rPr>
        <w:t>rvány idején.</w:t>
      </w:r>
    </w:p>
    <w:p w:rsidR="00CA32AB" w:rsidRDefault="00F7544F">
      <w:pPr>
        <w:keepLines/>
        <w:pBdr>
          <w:top w:val="single" w:sz="4" w:space="1" w:color="000000"/>
          <w:left w:val="single" w:sz="4" w:space="4" w:color="000000"/>
          <w:bottom w:val="single" w:sz="4" w:space="1" w:color="000000"/>
          <w:right w:val="single" w:sz="4" w:space="4" w:color="000000"/>
        </w:pBdr>
        <w:rPr>
          <w:noProof/>
        </w:rPr>
      </w:pPr>
      <w:r>
        <w:rPr>
          <w:noProof/>
        </w:rPr>
        <w:t>A gazdasági sokkhatások további enyhítése és a vállalkozások megmentése érdekében az Európai Bizottság ideiglenes keretet fogadott el, amely lehetővé teszi a tagállamok számára, hogy teljes mértékben kihasználják az állami támogatásokra vonat</w:t>
      </w:r>
      <w:r>
        <w:rPr>
          <w:noProof/>
        </w:rPr>
        <w:t xml:space="preserve">kozó uniós szabályok által biztosított rugalmasságot. A tagállamok mindemellett támogatott kölcsönök és állami garanciák révén számottevő likviditási támogatást nyújtanak a vállalkozásoknak. </w:t>
      </w:r>
    </w:p>
    <w:p w:rsidR="00CA32AB" w:rsidRDefault="00F7544F">
      <w:pPr>
        <w:keepLines/>
        <w:pBdr>
          <w:top w:val="single" w:sz="4" w:space="1" w:color="000000"/>
          <w:left w:val="single" w:sz="4" w:space="4" w:color="000000"/>
          <w:bottom w:val="single" w:sz="4" w:space="1" w:color="000000"/>
          <w:right w:val="single" w:sz="4" w:space="4" w:color="000000"/>
        </w:pBdr>
        <w:rPr>
          <w:noProof/>
        </w:rPr>
      </w:pPr>
      <w:r>
        <w:rPr>
          <w:noProof/>
        </w:rPr>
        <w:t xml:space="preserve">Számos tagállam lehetővé teszi az önfoglalkoztatók vagy a kkv-k </w:t>
      </w:r>
      <w:r>
        <w:rPr>
          <w:noProof/>
        </w:rPr>
        <w:t>számára adójuk vagy a társadalombiztosítási járulékuk befizetésének elhalasztását. Ezen túlmenően csökkentették az adóelőlegeket vagy előre visszatérítették az adójóváírásokat, ezzel további likviditást biztosítva. Bizonyos tagállamok meghatározott feltéte</w:t>
      </w:r>
      <w:r>
        <w:rPr>
          <w:noProof/>
        </w:rPr>
        <w:t>lekhez kötött ideiglenes állami moratóriumot vezettek be a magán- és vállalati hitelek – köztük az önfoglalkoztatóknak és a kkv-knak nyújtott hitelek – visszafizetésére.</w:t>
      </w:r>
    </w:p>
    <w:p w:rsidR="00CA32AB" w:rsidRDefault="00F7544F">
      <w:pPr>
        <w:keepLines/>
        <w:pBdr>
          <w:top w:val="single" w:sz="4" w:space="1" w:color="000000"/>
          <w:left w:val="single" w:sz="4" w:space="4" w:color="000000"/>
          <w:bottom w:val="single" w:sz="4" w:space="1" w:color="000000"/>
          <w:right w:val="single" w:sz="4" w:space="4" w:color="000000"/>
        </w:pBdr>
        <w:rPr>
          <w:b/>
          <w:bCs/>
          <w:noProof/>
          <w:szCs w:val="24"/>
          <w:u w:val="single"/>
        </w:rPr>
      </w:pPr>
      <w:r>
        <w:rPr>
          <w:noProof/>
        </w:rPr>
        <w:t xml:space="preserve">A tagállami erőfeszítések támogatása érdekében az EU jelentős intézkedéseket vezetett </w:t>
      </w:r>
      <w:r>
        <w:rPr>
          <w:noProof/>
        </w:rPr>
        <w:t>be az uniós alapokból származó összes fel nem használt forrás azonnali mozgósítása érdekében, a tagállamok számára további rugalmasságot, egyszerűsített és észszerűsített eljárásokat, valamint annak a lehetőségét biztosítva, hogy a 2020–2021-es pénzügyi év</w:t>
      </w:r>
      <w:r>
        <w:rPr>
          <w:noProof/>
        </w:rPr>
        <w:t>ben 100 %-os társfinanszírozási arányt vehessenek igénybe az uniós költségvetésből</w:t>
      </w:r>
      <w:r>
        <w:rPr>
          <w:rStyle w:val="FootnoteReference"/>
          <w:noProof/>
        </w:rPr>
        <w:footnoteReference w:id="6"/>
      </w:r>
      <w:r>
        <w:rPr>
          <w:noProof/>
        </w:rPr>
        <w:t>.</w:t>
      </w:r>
    </w:p>
    <w:p w:rsidR="00CA32AB" w:rsidRDefault="00F7544F">
      <w:pPr>
        <w:keepNext/>
        <w:numPr>
          <w:ilvl w:val="0"/>
          <w:numId w:val="2"/>
        </w:numPr>
        <w:spacing w:before="100"/>
        <w:ind w:left="1077" w:hanging="357"/>
        <w:rPr>
          <w:b/>
          <w:noProof/>
        </w:rPr>
      </w:pPr>
      <w:r>
        <w:rPr>
          <w:b/>
          <w:bCs/>
          <w:noProof/>
          <w:szCs w:val="24"/>
          <w:u w:val="single"/>
        </w:rPr>
        <w:t xml:space="preserve">Méltányosság </w:t>
      </w:r>
    </w:p>
    <w:p w:rsidR="00CA32AB" w:rsidRDefault="00F7544F">
      <w:pPr>
        <w:spacing w:line="100" w:lineRule="atLeast"/>
        <w:rPr>
          <w:b/>
          <w:noProof/>
        </w:rPr>
      </w:pPr>
      <w:r>
        <w:rPr>
          <w:b/>
          <w:noProof/>
        </w:rPr>
        <w:t>A Covid19-válság alapjaiban rázta meg a munkaerőpiacot és a szociális körülményeket.</w:t>
      </w:r>
      <w:r>
        <w:rPr>
          <w:noProof/>
        </w:rPr>
        <w:t xml:space="preserve"> Pontosan akkor tört ki, mikor a munkaerőpiaci helyzet javulóban volt. A </w:t>
      </w:r>
      <w:r>
        <w:rPr>
          <w:noProof/>
        </w:rPr>
        <w:t xml:space="preserve">foglalkoztatási ráta 2019 végén 74 % fölött tetőzött, és a szegénység és a társadalmi kirekesztődés kockázatának kitettek aránya elérte az évtizedes legalacsonyabb szintet, bár az országok között továbbra is eltérések mutatkoztak. </w:t>
      </w:r>
    </w:p>
    <w:p w:rsidR="00CA32AB" w:rsidRDefault="00F7544F">
      <w:pPr>
        <w:spacing w:line="100" w:lineRule="atLeast"/>
        <w:rPr>
          <w:b/>
          <w:noProof/>
        </w:rPr>
      </w:pPr>
      <w:r>
        <w:rPr>
          <w:b/>
          <w:noProof/>
        </w:rPr>
        <w:t>A mostani válság előrelá</w:t>
      </w:r>
      <w:r>
        <w:rPr>
          <w:b/>
          <w:noProof/>
        </w:rPr>
        <w:t>thatólag lényegesen megnöveli a munkanélküliséget és a jövedelmi egyenlőtlenségeket.</w:t>
      </w:r>
      <w:r>
        <w:rPr>
          <w:noProof/>
        </w:rPr>
        <w:t xml:space="preserve"> A munkanélküliség növekedése a különböző ágazatokat, illetve lakossági csoportokat összehasonlítva várhatóan egyenetlen lesz. A tagállamok és munkaerőpiacaik demográfiai h</w:t>
      </w:r>
      <w:r>
        <w:rPr>
          <w:noProof/>
        </w:rPr>
        <w:t>elyzetét szintén figyelembe kell venni, különös tekintettel az idősödésre. A mobilitás tartós korlátozása minden bizonnyal kihat a munkafeltételekre, a tanulásra és a képzésre, valamint a szolgáltatásokhoz való hozzáférésre. A veszélyeztetett csoportokat n</w:t>
      </w:r>
      <w:r>
        <w:rPr>
          <w:noProof/>
        </w:rPr>
        <w:t>em szabad lemaradni hagyni egy olyan környezetben, amelyben az egyenlőtlenségek kérlelhetetlenül megmutatkoznak, sőt fokozódnak. A helyreállításnak figyelembe kell vennie a nemek közötti egyenlőség szempontját is, és enyhítenie kell a válság nőkre gyakorol</w:t>
      </w:r>
      <w:r>
        <w:rPr>
          <w:noProof/>
        </w:rPr>
        <w:t xml:space="preserve">t aránytalan hatását, ami tovább tetézi a meglévő egyenlőtlenségeket. A szociális jogok európai pillérének három dimenziója – az esélyegyenlőség, a méltányos munkafeltételek és a szociális védelemhez való hozzáférés – változatlanul az uniós és a tagállami </w:t>
      </w:r>
      <w:r>
        <w:rPr>
          <w:noProof/>
        </w:rPr>
        <w:t>szintű szakpolitikai intézkedések iránytűjének számít.</w:t>
      </w:r>
    </w:p>
    <w:p w:rsidR="00CA32AB" w:rsidRDefault="00F7544F">
      <w:pPr>
        <w:spacing w:line="100" w:lineRule="atLeast"/>
        <w:rPr>
          <w:b/>
          <w:noProof/>
        </w:rPr>
      </w:pPr>
      <w:r>
        <w:rPr>
          <w:b/>
          <w:noProof/>
        </w:rPr>
        <w:t>A tagállamok rendkívüli erőfeszítéseket tesznek a foglalkoztatásra és a társadalomra gyakorolt hatás enyhítése érdekében.</w:t>
      </w:r>
      <w:r>
        <w:rPr>
          <w:noProof/>
        </w:rPr>
        <w:t xml:space="preserve"> A tagállamok többsége aktiválta és kiterjesztette a meglévő csökkentett munkaid</w:t>
      </w:r>
      <w:r>
        <w:rPr>
          <w:noProof/>
        </w:rPr>
        <w:t xml:space="preserve">ős foglalkoztatási rendszereket, míg mások hasonló rendszereket vezettek be. A legtöbb tagállam a kkv-k likviditásának biztosítása, a munkahelyek védelme és az üzletmenet-folytonosság érdekében is garanciarendszereket hozott létre, illetve terjesztett ki. </w:t>
      </w:r>
      <w:r>
        <w:rPr>
          <w:noProof/>
        </w:rPr>
        <w:t>A vállalkozások és a munkavállalók ilyen és hasonló módon történő támogatása kulcsszerepet fog játszani a munkahelyek megőrzésében. Az intézkedések finanszírozását egyrészt az európai strukturális és beruházási alapok felhasználásával, másrészt a Bizottság</w:t>
      </w:r>
      <w:r>
        <w:rPr>
          <w:noProof/>
        </w:rPr>
        <w:t xml:space="preserve"> által április elején előterjesztett, 100 milliárd EUR-ig terjedő kerettel rendelkező szükséghelyzeti munkanélküliségi kockázatokat mérséklő ideiglenes támogatást nyújtó európai eszköz (SURE) révén támogatják. Ez az új uniós eszköz pénzügyi támogatást nyúj</w:t>
      </w:r>
      <w:r>
        <w:rPr>
          <w:noProof/>
        </w:rPr>
        <w:t>t a tagállamoknak a nemzeti csökkentett munkaidős foglalkoztatási rendszerekkel, illetve az önfoglalkoztatókat célzó hasonló intézkedésekkel kapcsolatban felmerülő kiadások fedezéséhez. A rugalmas munkafeltételek és a távmunka szintén lényeges szerephez ju</w:t>
      </w:r>
      <w:r>
        <w:rPr>
          <w:noProof/>
        </w:rPr>
        <w:t xml:space="preserve">tnak a munkahelyek és a termelés megőrzésében. Ezek a megoldások a munka és a magánélet közötti jobb egyensúly elősegítése szempontjából is kulcsfontosságúak. </w:t>
      </w:r>
    </w:p>
    <w:p w:rsidR="00CA32AB" w:rsidRDefault="00F7544F">
      <w:pPr>
        <w:spacing w:line="100" w:lineRule="atLeast"/>
        <w:rPr>
          <w:noProof/>
        </w:rPr>
      </w:pPr>
      <w:r>
        <w:rPr>
          <w:b/>
          <w:noProof/>
        </w:rPr>
        <w:t xml:space="preserve">Az összes munkahely megmentésére ugyan nincs lehetőség, de a helyreállás új lehetőségeket is fel fog tárni. </w:t>
      </w:r>
      <w:r>
        <w:rPr>
          <w:noProof/>
        </w:rPr>
        <w:t>A tagállamoknak támogatniuk kell ezeket a strukturális változásokat. Egyrészt a munkanélküliség növekedése nyomás alá helyezi a munkanélküli ellátás</w:t>
      </w:r>
      <w:r>
        <w:rPr>
          <w:noProof/>
        </w:rPr>
        <w:t>i rendszereket.</w:t>
      </w:r>
      <w:r>
        <w:rPr>
          <w:b/>
          <w:noProof/>
        </w:rPr>
        <w:t xml:space="preserve"> </w:t>
      </w:r>
      <w:r>
        <w:rPr>
          <w:noProof/>
        </w:rPr>
        <w:t>Az ellátásra jogosultak körét és az ellátás időtartamát számos országban kiterjesztették. Döntő fontosságú, hogy foglalkoztatási viszonytól függetlenül minden munkavállaló megfelelő munkanélküli ellátásban és jövedelempótlásban részesüljön,</w:t>
      </w:r>
      <w:r>
        <w:rPr>
          <w:noProof/>
        </w:rPr>
        <w:t xml:space="preserve"> kellő figyelmet fordítva az önfoglalkoztatókra is. Másrészt hatékony aktív munkaerőpiaci intézkedésekkel kell támogatni az embereket abban, hogy a helyreállítás ideje alatt megfelelő munkahelyet találjanak, megkülönböztetett figyelemben részesítve a fiata</w:t>
      </w:r>
      <w:r>
        <w:rPr>
          <w:noProof/>
        </w:rPr>
        <w:t>lokat, a tartósan munkanélkülieket és a kiszolgáltatott csoportokat. A strukturális változásokat a munkavégzés és a vállalkozás innovatív formáit – köztük a szociális gazdaságot – ösztönző intézkedések révén is fel kell karolni. Végezetül a szociális partn</w:t>
      </w:r>
      <w:r>
        <w:rPr>
          <w:noProof/>
        </w:rPr>
        <w:t>erek érdemi bevonása elengedhetetlen lesz a kilépési és helyreállítási stratégia sikeréhez.</w:t>
      </w:r>
    </w:p>
    <w:p w:rsidR="00CA32AB" w:rsidRDefault="00F7544F">
      <w:pPr>
        <w:suppressAutoHyphens w:val="0"/>
        <w:spacing w:after="0"/>
        <w:rPr>
          <w:noProof/>
        </w:rPr>
      </w:pPr>
      <w:r>
        <w:rPr>
          <w:b/>
          <w:noProof/>
        </w:rPr>
        <w:t>Az eddig bevezetett, példa nélküli gazdasági stabilizációs intézkedések ellenére valószínűleg sokan bizonytalan jövedelmi helyzetben találják magukat.</w:t>
      </w:r>
      <w:r>
        <w:rPr>
          <w:noProof/>
        </w:rPr>
        <w:t xml:space="preserve"> Az elhúzódó j</w:t>
      </w:r>
      <w:r>
        <w:rPr>
          <w:noProof/>
        </w:rPr>
        <w:t>övedelemkiesés várhatóan növeli a szegénység kockázatát, különösen a kiszolgáltatott háztartások esetében, ezáltal elmélyítve az egyenlőtlenségeket az egészségügyi ellátáshoz, az alapvető szociális szolgáltatásokhoz és támogatásokhoz, valamint a távoktatás</w:t>
      </w:r>
      <w:r>
        <w:rPr>
          <w:noProof/>
        </w:rPr>
        <w:t>hoz való hozzáférés terén. Egyes csoportok – különösen a gyermekes családok, a tartósan munkanélküliek, a fogyatékossággal élők, a migránsok, a migráns háttérrel rendelkezők és a romák – viszonylag nagyobb mértékben vannak kitéve ennek a veszélynek. Számít</w:t>
      </w:r>
      <w:r>
        <w:rPr>
          <w:noProof/>
        </w:rPr>
        <w:t>ani kell a meglévő jövedelmi egyenlőtlenségek további növekedésére. Ilyen körülmények között létfontosságú a szociális védelmi rendszerek mielőbbi kiigazítása, szükség esetén lefedettségük és megfelelőségük javítása révén. Ez magában foglalhatja az ellátás</w:t>
      </w:r>
      <w:r>
        <w:rPr>
          <w:noProof/>
        </w:rPr>
        <w:t xml:space="preserve"> időtartamának meghosszabbítását és lehetőség szerint a jogosultsági követelmények enyhítését. A tagállamoknak szintén növelniük kell a szociális kiadások hatékonyságát azáltal, hogy megfelelő rászorultsági vizsgálat révén biztosítják a leginkább rászoruló</w:t>
      </w:r>
      <w:r>
        <w:rPr>
          <w:noProof/>
        </w:rPr>
        <w:t xml:space="preserve">k elérését. Mindenki számára biztosítani kell a szociális és az alapvető szolgáltatásokhoz (többek között a vízhez, a megfelelő higiénés körülményekhez, az energiához és a digitális kommunikációhoz) való hozzáférést. </w:t>
      </w:r>
    </w:p>
    <w:p w:rsidR="00CA32AB" w:rsidRDefault="00CA32AB">
      <w:pPr>
        <w:suppressAutoHyphens w:val="0"/>
        <w:spacing w:after="0"/>
        <w:rPr>
          <w:noProof/>
        </w:rPr>
      </w:pPr>
    </w:p>
    <w:p w:rsidR="00CA32AB" w:rsidRDefault="00F7544F">
      <w:pPr>
        <w:suppressAutoHyphens w:val="0"/>
        <w:spacing w:after="0"/>
        <w:rPr>
          <w:b/>
          <w:noProof/>
        </w:rPr>
      </w:pPr>
      <w:r>
        <w:rPr>
          <w:b/>
          <w:noProof/>
        </w:rPr>
        <w:t>Szükség lehet a szociális szolgálatok</w:t>
      </w:r>
      <w:r>
        <w:rPr>
          <w:b/>
          <w:noProof/>
        </w:rPr>
        <w:t>, az egészségügyi ellátás és a tartós ápolás-gondozás közötti együttműködés megerősítésére.</w:t>
      </w:r>
      <w:r>
        <w:rPr>
          <w:noProof/>
        </w:rPr>
        <w:t xml:space="preserve"> A lakhatási költségek által túlterhelt háztartások védelmét szolgáló rövid távú intézkedések magukban foglalhatják a kilakoltatások és kényszerértékesítések ideigle</w:t>
      </w:r>
      <w:r>
        <w:rPr>
          <w:noProof/>
        </w:rPr>
        <w:t>nes felfüggesztését vagy az alacsony jövedelmű családok számára a jelzáloghitelek és a bérleti díjak kifizetésének elhalasztását a válság alatt, a pénzügyi stabilitás és a visszafizetési ösztönzők középtávú megőrzése mellett. A munkahelyi biztonságra és eg</w:t>
      </w:r>
      <w:r>
        <w:rPr>
          <w:noProof/>
        </w:rPr>
        <w:t>észségvédelemre vonatkozó uniós szabályokat átültető nemzeti rendelkezéseket az EU által rendelkezésre bocsátott, a munkavállalók munkahelyre való biztonságos visszatéréséről szóló gyakorlati iránymutatással</w:t>
      </w:r>
      <w:r>
        <w:rPr>
          <w:rStyle w:val="FootnoteReference"/>
          <w:noProof/>
          <w:szCs w:val="24"/>
        </w:rPr>
        <w:footnoteReference w:id="7"/>
      </w:r>
      <w:r>
        <w:rPr>
          <w:noProof/>
        </w:rPr>
        <w:t xml:space="preserve"> összhangban kell alkalmazni. </w:t>
      </w:r>
    </w:p>
    <w:p w:rsidR="00CA32AB" w:rsidRDefault="00CA32AB">
      <w:pPr>
        <w:spacing w:line="100" w:lineRule="atLeast"/>
        <w:rPr>
          <w:b/>
          <w:noProof/>
        </w:rPr>
      </w:pPr>
    </w:p>
    <w:p w:rsidR="00CA32AB" w:rsidRDefault="00F7544F">
      <w:pPr>
        <w:keepNext/>
        <w:pBdr>
          <w:top w:val="single" w:sz="4" w:space="1" w:color="000000"/>
          <w:left w:val="single" w:sz="4" w:space="4" w:color="000000"/>
          <w:bottom w:val="single" w:sz="4" w:space="1" w:color="000000"/>
          <w:right w:val="single" w:sz="4" w:space="4" w:color="000000"/>
        </w:pBdr>
        <w:spacing w:line="100" w:lineRule="atLeast"/>
        <w:rPr>
          <w:b/>
          <w:noProof/>
        </w:rPr>
      </w:pPr>
      <w:r>
        <w:rPr>
          <w:b/>
          <w:noProof/>
        </w:rPr>
        <w:t>3. háttérmagyará</w:t>
      </w:r>
      <w:r>
        <w:rPr>
          <w:b/>
          <w:noProof/>
        </w:rPr>
        <w:t>zat: Egészségügyi ellátás</w:t>
      </w:r>
    </w:p>
    <w:p w:rsidR="00CA32AB" w:rsidRDefault="00F7544F">
      <w:pPr>
        <w:keepLines/>
        <w:pBdr>
          <w:top w:val="single" w:sz="4" w:space="1" w:color="000000"/>
          <w:left w:val="single" w:sz="4" w:space="4" w:color="000000"/>
          <w:bottom w:val="single" w:sz="4" w:space="1" w:color="000000"/>
          <w:right w:val="single" w:sz="4" w:space="4" w:color="000000"/>
        </w:pBdr>
        <w:spacing w:line="100" w:lineRule="atLeast"/>
        <w:rPr>
          <w:b/>
          <w:noProof/>
        </w:rPr>
      </w:pPr>
      <w:r>
        <w:rPr>
          <w:b/>
          <w:noProof/>
        </w:rPr>
        <w:t>A koronavírus-válság soha nem látott nyomás alá helyezte a tagállamok egészségügyi rendszereit.</w:t>
      </w:r>
      <w:r>
        <w:rPr>
          <w:noProof/>
        </w:rPr>
        <w:t xml:space="preserve"> Az azonnali válaszlépések között szerepeltek a kritikus fontosságú gyógyászati termékek kínálatának növelésére, a laboratóriumi kapaci</w:t>
      </w:r>
      <w:r>
        <w:rPr>
          <w:noProof/>
        </w:rPr>
        <w:t xml:space="preserve">tás és a kórházak intenzív gondozási osztályainak bővítésére, valamint – lehetőség szerint – a további egészségügyi dolgozók felvételére irányuló intézkedések. </w:t>
      </w:r>
    </w:p>
    <w:p w:rsidR="00CA32AB" w:rsidRDefault="00F7544F">
      <w:pPr>
        <w:pBdr>
          <w:top w:val="single" w:sz="4" w:space="1" w:color="000000"/>
          <w:left w:val="single" w:sz="4" w:space="4" w:color="000000"/>
          <w:bottom w:val="single" w:sz="4" w:space="1" w:color="000000"/>
          <w:right w:val="single" w:sz="4" w:space="4" w:color="000000"/>
        </w:pBdr>
        <w:spacing w:line="100" w:lineRule="atLeast"/>
        <w:rPr>
          <w:b/>
          <w:noProof/>
        </w:rPr>
      </w:pPr>
      <w:r>
        <w:rPr>
          <w:b/>
          <w:noProof/>
        </w:rPr>
        <w:t>A járvány összességében súlyosbította az egészségügyi rendszerek hatékonyságával, hozzáférhetős</w:t>
      </w:r>
      <w:r>
        <w:rPr>
          <w:b/>
          <w:noProof/>
        </w:rPr>
        <w:t>égével és ellenálló képességével kapcsolatos meglévő strukturális kihívásokat</w:t>
      </w:r>
      <w:r>
        <w:rPr>
          <w:noProof/>
        </w:rPr>
        <w:t>. Ezek például az egészségügyi beruházások elégtelen finanszírozásához (beleértve a válsághelyzetekre való felkészültséget és reagálást), az ellátás korlátozott koordinációjához é</w:t>
      </w:r>
      <w:r>
        <w:rPr>
          <w:noProof/>
        </w:rPr>
        <w:t>s integrációjához, a gyenge alapellátáshoz, az egészségügyi ellátáshoz való hozzáférés tartós akadályaihoz és az orvosi ellátás igénybevételének elmulasztásához kapcsolódnak, különösen a legkiszolgáltatottabbak esetében, mindenekelőtt a betegek által közve</w:t>
      </w:r>
      <w:r>
        <w:rPr>
          <w:noProof/>
        </w:rPr>
        <w:t>tlenül fizetett térítések magas összege miatt. A válság az egészségügyi rendszerek bevételeire is rányomta bélyegét, ami a hozzáférés terén fennálló egyenlőtlenségek elmélyülésének kockázatát vonja maga után, különösen a hátrányos helyzetű csoportok esetéb</w:t>
      </w:r>
      <w:r>
        <w:rPr>
          <w:noProof/>
        </w:rPr>
        <w:t>en. Számos tagállamban kritikussá vált az egészségügyi személyzet hiánya, mivel a munkakörülmények aláássák e szakmák vonzerejét. A tagállamok tapasztalatai rámutattak, milyen ígéretes lehetőségek rejlenek az e-egészségügyben az ellátás koordinációjának és</w:t>
      </w:r>
      <w:r>
        <w:rPr>
          <w:noProof/>
        </w:rPr>
        <w:t xml:space="preserve"> integrációjának javítására, valamint annak hatékonnyá és hozzáférhetővé tételére, különösen a telemedicina révén. A nemzeti egészségügyi rendszerek közvetlen támogatását célzó bizottsági intézkedések között szerepelnek a közös közbeszerzési megállapodás k</w:t>
      </w:r>
      <w:r>
        <w:rPr>
          <w:noProof/>
        </w:rPr>
        <w:t>eretében közzétett ajánlati felhívások orvosi felszerelésekre és eszközökre, az uniós polgári védelmi mechanizmus szerinti rescEU kapacitás, amely lehetővé teszi a tagállamok számára az alapvető egészségügyi eszközök stratégiai készletének létrehozását, va</w:t>
      </w:r>
      <w:r>
        <w:rPr>
          <w:noProof/>
        </w:rPr>
        <w:t>lamint az oltóanyagokkal, diagnosztikával és kezeléssel kapcsolatos kutatás támogatása. Ezen túlmenően az egészségügyi rendszerek támogatása a koronavírusra való reagálást célzó beruházási kezdeményezés egyik célterülete. A kohéziós politikai alapok, a SUR</w:t>
      </w:r>
      <w:r>
        <w:rPr>
          <w:noProof/>
        </w:rPr>
        <w:t xml:space="preserve">E és a hasonló európai eszközök </w:t>
      </w:r>
      <w:r>
        <w:rPr>
          <w:rStyle w:val="CommentReference2"/>
          <w:noProof/>
          <w:sz w:val="24"/>
          <w:szCs w:val="24"/>
        </w:rPr>
        <w:t>segíthetnek a tagállamoknak lefaragni a pandémia kapcsán felmerülő egészségügyi költségeket.</w:t>
      </w:r>
    </w:p>
    <w:p w:rsidR="00CA32AB" w:rsidRDefault="00F7544F">
      <w:pPr>
        <w:suppressAutoHyphens w:val="0"/>
        <w:rPr>
          <w:b/>
          <w:noProof/>
          <w:szCs w:val="24"/>
        </w:rPr>
      </w:pPr>
      <w:r>
        <w:rPr>
          <w:b/>
          <w:noProof/>
        </w:rPr>
        <w:t xml:space="preserve">A válság az oktatási és képzési rendszereket sem hagyta érintetlenül. </w:t>
      </w:r>
      <w:r>
        <w:rPr>
          <w:noProof/>
        </w:rPr>
        <w:t xml:space="preserve">A legtöbb tagállamban a tanórákat (csakúgy mint a munkaalapú </w:t>
      </w:r>
      <w:r>
        <w:rPr>
          <w:noProof/>
        </w:rPr>
        <w:t>tanulást és a tanulószerződéses gyakorlati képzéseket) felfüggesztették, és az oktatási tevékenységeket részben online közegbe helyezték át. Ez a helyzet hatással van a tanulók oktatási eredményeire, és – megfelelő reformokkal és beruházásokkal való ellens</w:t>
      </w:r>
      <w:r>
        <w:rPr>
          <w:noProof/>
        </w:rPr>
        <w:t>úlyozás hiányában – súlyosbíthatja a társadalmi-gazdasági egyenlőtlenségeket és a meglévő strukturális kihívásokat. Még mindig túl sok a fiatal iskolaelhagyó, aki nem rendelkezik megfelelő alapkészségekkel. A koronavírus okozta válság rávilágított, mennyir</w:t>
      </w:r>
      <w:r>
        <w:rPr>
          <w:noProof/>
        </w:rPr>
        <w:t>e fontos, hogy minden diák egyenlő hozzáféréssel rendelkezzen a távoktatáshoz a széles sávú kapcsolat és az informatikai eszközök segítségével, és rendelkezzen a szükséges digitális készségekkel. Az úgynevezett nagy társadalmi hatású infrastruktúrába törté</w:t>
      </w:r>
      <w:r>
        <w:rPr>
          <w:noProof/>
        </w:rPr>
        <w:t>nő beruházásoknak fel kell ölelniük az iskolák/oktatási szolgáltatások valamennyi lényeges vetületét az iskolaépületek korszerűsítésétől (az energiahatékonyság és a higiénia biztosítása, valamint a tanulók közösségi kontaktusainak korlátozása érdekében) az</w:t>
      </w:r>
      <w:r>
        <w:rPr>
          <w:noProof/>
        </w:rPr>
        <w:t xml:space="preserve"> informatikai berendezésekig. A megfelelő készségek – különösen a digitális készségek – támogatása javítani fogja a munkaerő termelékenységét és ellenálló képességét, megkönnyítve a zöldebb és intelligensebb gazdaságra való áttérést.  </w:t>
      </w:r>
    </w:p>
    <w:p w:rsidR="00CA32AB" w:rsidRDefault="00F7544F">
      <w:pPr>
        <w:suppressAutoHyphens w:val="0"/>
        <w:rPr>
          <w:b/>
          <w:noProof/>
          <w:szCs w:val="24"/>
        </w:rPr>
      </w:pPr>
      <w:r>
        <w:rPr>
          <w:b/>
          <w:noProof/>
          <w:szCs w:val="24"/>
        </w:rPr>
        <w:t>A meghozott intézked</w:t>
      </w:r>
      <w:r>
        <w:rPr>
          <w:b/>
          <w:noProof/>
          <w:szCs w:val="24"/>
        </w:rPr>
        <w:t>ések sikerének, inkluzív jellegének és fenntarthatóságának kulcsa a jól működő szociális párbeszéd.</w:t>
      </w:r>
      <w:r>
        <w:rPr>
          <w:noProof/>
        </w:rPr>
        <w:t xml:space="preserve"> Bár nem létezik egyetlen, referenciaként szolgáló modell, néhány tagállamban egyértelműen van mozgástér a szociális párbeszéd működésének javítására és a sz</w:t>
      </w:r>
      <w:r>
        <w:rPr>
          <w:noProof/>
        </w:rPr>
        <w:t>ociális partnereknek a szakpolitikák kialakításába és végrehajtásába való nagyobb mértékű bevonására.</w:t>
      </w:r>
    </w:p>
    <w:p w:rsidR="00CA32AB" w:rsidRDefault="00F7544F">
      <w:pPr>
        <w:suppressAutoHyphens w:val="0"/>
        <w:rPr>
          <w:b/>
          <w:noProof/>
        </w:rPr>
      </w:pPr>
      <w:r>
        <w:rPr>
          <w:b/>
          <w:noProof/>
          <w:szCs w:val="24"/>
        </w:rPr>
        <w:t>A méltányos és növekedésbarát adórendszerek elősegíthetik a gazdasági fellendülést azáltal, hogy hozzájárulnak az inkluzív és fenntartható növekedéshez.</w:t>
      </w:r>
      <w:r>
        <w:rPr>
          <w:noProof/>
        </w:rPr>
        <w:t xml:space="preserve"> A</w:t>
      </w:r>
      <w:r>
        <w:rPr>
          <w:noProof/>
        </w:rPr>
        <w:t xml:space="preserve"> növekedésbarát adórendszer képes ösztönözni a magánberuházásokat, javítani az üzleti környezetet, bővíteni a foglalkoztatást, csökkenteni az egyenlőtlenségeket és előmozdítani a környezeti szempontból ellenálló gazdaság kialakítását. Az adórendszer egysze</w:t>
      </w:r>
      <w:r>
        <w:rPr>
          <w:noProof/>
        </w:rPr>
        <w:t>rűsítése emellett hozzájárulhat a gazdasági torzulások korlátozásához és a vállalkozásokra háruló adminisztratív terhek enyhítéséhez. Mivel középtávon nézve a hatékony és méltányos adórendszer kiemelkedően fontos az eredményes gazdaságélénkítés támogatásáh</w:t>
      </w:r>
      <w:r>
        <w:rPr>
          <w:noProof/>
        </w:rPr>
        <w:t>oz, néhány tagállam számára ajánlott adórendszerük megreformálása, egyebek mellett a munkát terhelő adóktól a környezetvédelmi adók felé való elmozdulás révén.</w:t>
      </w:r>
    </w:p>
    <w:p w:rsidR="00CA32AB" w:rsidRDefault="00F7544F">
      <w:pPr>
        <w:spacing w:after="200"/>
        <w:rPr>
          <w:b/>
          <w:bCs/>
          <w:noProof/>
          <w:szCs w:val="24"/>
          <w:u w:val="single"/>
        </w:rPr>
      </w:pPr>
      <w:r>
        <w:rPr>
          <w:b/>
          <w:noProof/>
        </w:rPr>
        <w:t>Az agresszív adótervezés elleni fellépés továbbra is egyértelmű prioritás, különösen annak érdek</w:t>
      </w:r>
      <w:r>
        <w:rPr>
          <w:b/>
          <w:noProof/>
        </w:rPr>
        <w:t>ében, hogy a tagállamok a költségvetési támogatás végrehajtása során az adóbevételekből rájuk eső méltányos részre támaszkodhassanak</w:t>
      </w:r>
      <w:r>
        <w:rPr>
          <w:noProof/>
        </w:rPr>
        <w:t>. Az uniós jogszabályok és a nemzetközileg elfogadott kezdeményezések átültetése segíteni fogja az agresszív adótervezési gy</w:t>
      </w:r>
      <w:r>
        <w:rPr>
          <w:noProof/>
        </w:rPr>
        <w:t>akorlatok visszaszorítását. Az agresszív adótervezést folytató vállalkozások mindazonáltal kihasználják néhány tagállam (Ciprus, Magyarország, Írország, Luxemburg, Málta és Hollandia) adórendszereinek bizonyos sajátosságait. Ennek fényében ajánlott, hogy e</w:t>
      </w:r>
      <w:r>
        <w:rPr>
          <w:noProof/>
        </w:rPr>
        <w:t>zek a tagállamok visszaszorítsák az agresszív adótervezést.</w:t>
      </w:r>
    </w:p>
    <w:p w:rsidR="00CA32AB" w:rsidRDefault="00F7544F">
      <w:pPr>
        <w:keepNext/>
        <w:numPr>
          <w:ilvl w:val="0"/>
          <w:numId w:val="2"/>
        </w:numPr>
        <w:spacing w:before="240"/>
        <w:ind w:left="1077" w:hanging="357"/>
        <w:rPr>
          <w:b/>
          <w:noProof/>
        </w:rPr>
      </w:pPr>
      <w:r>
        <w:rPr>
          <w:b/>
          <w:bCs/>
          <w:noProof/>
          <w:szCs w:val="24"/>
          <w:u w:val="single"/>
        </w:rPr>
        <w:t>Környezeti fenntarthatóság</w:t>
      </w:r>
    </w:p>
    <w:p w:rsidR="00CA32AB" w:rsidRDefault="00F7544F">
      <w:pPr>
        <w:rPr>
          <w:noProof/>
        </w:rPr>
      </w:pPr>
      <w:r>
        <w:rPr>
          <w:b/>
          <w:noProof/>
        </w:rPr>
        <w:t>A gazdaságélénkítő beruházások lehetőséget teremtenek az uniós gazdaság átalakítására és szilárdan fenntartható alapokra helyezésére</w:t>
      </w:r>
      <w:r>
        <w:rPr>
          <w:noProof/>
        </w:rPr>
        <w:t xml:space="preserve">. Az idei országspecifikus ajánlások </w:t>
      </w:r>
      <w:r>
        <w:rPr>
          <w:noProof/>
        </w:rPr>
        <w:t>meghatározzák azokat a területeket, ahol a tagállamok szempontjából az időszak elejére ütemezhetők a fenntartható beruházások. A Bizottság azt javasolja a hatóságoknak, hogy azonosítsák a befektetésre kész projekteket és a finanszírozási forrásokat az ipar</w:t>
      </w:r>
      <w:r>
        <w:rPr>
          <w:noProof/>
        </w:rPr>
        <w:t>, az épületek és a közlekedés klímasemlegességének és erőforrás-hatékonyságának előmozdítása érdekében, továbbá kezdjék meg a jövőbeli beruházási projektek előkészítését a környezeti fenntarthatósági menetrend jegyében. A számos energia-, éghajlat- és körn</w:t>
      </w:r>
      <w:r>
        <w:rPr>
          <w:noProof/>
        </w:rPr>
        <w:t>yezetvédelmi politikai intézkedés közül néhány kitűnik azzal, hogy a gyors végrehajtás lehetőségével kecsegtet. Ezek közé tartoznak a kisebb projektekbe – például a közlekedés dekarbonizációjába és az energiahatékonyságba – történő beruházások, többek közö</w:t>
      </w:r>
      <w:r>
        <w:rPr>
          <w:noProof/>
        </w:rPr>
        <w:t>tt épületfelújítások révén, amelyek hozzájárulhatnak a helyreállításhoz, és hosszú távon fenntartható pályára állíthatják a gazdaságokat.</w:t>
      </w:r>
    </w:p>
    <w:p w:rsidR="00CA32AB" w:rsidRDefault="00F7544F">
      <w:pPr>
        <w:spacing w:before="100"/>
        <w:rPr>
          <w:b/>
          <w:noProof/>
        </w:rPr>
      </w:pPr>
      <w:r>
        <w:rPr>
          <w:b/>
          <w:bCs/>
          <w:noProof/>
        </w:rPr>
        <w:t>Az európai zöld megállapodás és a nemzeti energia- és klímatervek végrehajtása megszilárdítja a hosszú távú klímasemle</w:t>
      </w:r>
      <w:r>
        <w:rPr>
          <w:b/>
          <w:bCs/>
          <w:noProof/>
        </w:rPr>
        <w:t>gességi célkitűzést és a kapcsolódó beruházási követelményeket.</w:t>
      </w:r>
      <w:r>
        <w:rPr>
          <w:noProof/>
        </w:rPr>
        <w:t xml:space="preserve"> Az energiahatékonyságba és a megújulóenergia-termelésbe, illetve -hálózatokba történő beruházás ösztönzése hozzájárulhat a versenyképesebb, fenntarthatóbb és biztonságosabb energiarendszerre v</w:t>
      </w:r>
      <w:r>
        <w:rPr>
          <w:noProof/>
        </w:rPr>
        <w:t>aló átálláshoz. Az állami és magánberuházásokat ötvöző energiapolitika szintén jelentős mértékben hozzájárulhat a gazdasági fellendüléshez.</w:t>
      </w:r>
      <w:r>
        <w:rPr>
          <w:b/>
          <w:bCs/>
          <w:noProof/>
        </w:rPr>
        <w:t xml:space="preserve"> </w:t>
      </w:r>
    </w:p>
    <w:p w:rsidR="00CA32AB" w:rsidRDefault="00F7544F">
      <w:pPr>
        <w:rPr>
          <w:b/>
          <w:noProof/>
        </w:rPr>
      </w:pPr>
      <w:r>
        <w:rPr>
          <w:b/>
          <w:noProof/>
        </w:rPr>
        <w:t>A fenntartható mobilitásba és a körforgásos gazdaságba való beruházás lehetőséget kínál a termelékenység javítására</w:t>
      </w:r>
      <w:r>
        <w:rPr>
          <w:b/>
          <w:noProof/>
        </w:rPr>
        <w:t xml:space="preserve"> és a zöld átállás előmozdítására. </w:t>
      </w:r>
      <w:r>
        <w:rPr>
          <w:noProof/>
        </w:rPr>
        <w:t>A fenntartható közlekedési infrastruktúrába (például a városi tömegközlekedésbe, a vasutakba, a kerékpáros infrastruktúrába és az intermodális közlekedés logisztikai csomópontjaiba) történő beruházások javíthatják a polgá</w:t>
      </w:r>
      <w:r>
        <w:rPr>
          <w:noProof/>
        </w:rPr>
        <w:t xml:space="preserve">roknak kínált minőséget és megőrizhetik a közlekedési ágazat versenyképességet. </w:t>
      </w:r>
    </w:p>
    <w:p w:rsidR="00CA32AB" w:rsidRDefault="00F7544F">
      <w:pPr>
        <w:rPr>
          <w:b/>
          <w:noProof/>
        </w:rPr>
      </w:pPr>
      <w:r>
        <w:rPr>
          <w:b/>
          <w:noProof/>
        </w:rPr>
        <w:t>Támogatni kell az Európa ellenálló képessége, fenntarthatósága és stratégiai autonómiája szempontjából kulcsfontosságú stratégiai ellátási láncokat.</w:t>
      </w:r>
      <w:r>
        <w:rPr>
          <w:noProof/>
        </w:rPr>
        <w:t xml:space="preserve"> Ez különösen igaz a neheze</w:t>
      </w:r>
      <w:r>
        <w:rPr>
          <w:noProof/>
        </w:rPr>
        <w:t xml:space="preserve">n dekarbonizálható ágazatokra (például az acélgyártásra, a vegyiparra és a mobilitási értékláncra), valamint a megújuló energiaforrásokra. A cél vezető piacok, illetve ellátási láncok létrehozása az európai tisztaenergia-ipar számára. Az energiarendszerre </w:t>
      </w:r>
      <w:r>
        <w:rPr>
          <w:noProof/>
        </w:rPr>
        <w:t>vonatkozó integrációs stratégia fontos hajtóereje lesz e cél megvalósításának, amihez számos további kezdeményezés is hozzájárul</w:t>
      </w:r>
      <w:r>
        <w:rPr>
          <w:rStyle w:val="FootnoteReference"/>
          <w:noProof/>
        </w:rPr>
        <w:footnoteReference w:id="8"/>
      </w:r>
      <w:r>
        <w:rPr>
          <w:noProof/>
        </w:rPr>
        <w:t xml:space="preserve">. </w:t>
      </w:r>
    </w:p>
    <w:p w:rsidR="00CA32AB" w:rsidRDefault="00F7544F">
      <w:pPr>
        <w:spacing w:before="240"/>
        <w:rPr>
          <w:noProof/>
        </w:rPr>
      </w:pPr>
      <w:r>
        <w:rPr>
          <w:b/>
          <w:noProof/>
        </w:rPr>
        <w:t>A nagy hatású infrastruktúrákba való beruházás segíthet a jelenlegi szakpolitikai kompromisszumok és társadalmi egyensúlyhiá</w:t>
      </w:r>
      <w:r>
        <w:rPr>
          <w:b/>
          <w:noProof/>
        </w:rPr>
        <w:t>nyok kezelésében</w:t>
      </w:r>
      <w:r>
        <w:rPr>
          <w:noProof/>
        </w:rPr>
        <w:t>. A helyreállításra elkülönített forrásokat a lehető legnagyobb mértékben a fenntarthatóbb növekedést szolgáló közjavakra és infrastruktúrára kell fordítani. Ez megvalósítható például a fenntartható közlekedési infrastruktúrába történő, a k</w:t>
      </w:r>
      <w:r>
        <w:rPr>
          <w:noProof/>
        </w:rPr>
        <w:t>límasemlegességre vonatkozó uniós célkitűzéssel összeegyeztethető beruházások (pl. városi tömegközlekedés, vasutak és intermodális közlekedési logisztikai csomópontok), valamint a környezetvédelmi infrastruktúrába történő beruházások révén. A nagy társadal</w:t>
      </w:r>
      <w:r>
        <w:rPr>
          <w:noProof/>
        </w:rPr>
        <w:t>mi hatású infrastruktúrába történő beruházások kiterjedhetnek a szociális lakásoknak és az alacsony jövedelmű háztartások lakásainak a felújítására csakúgy, mint az iskolák/oktatási szolgáltatások valamennyi lényeges vetületére az iskolaépületek korszerűsí</w:t>
      </w:r>
      <w:r>
        <w:rPr>
          <w:noProof/>
        </w:rPr>
        <w:t>tésétől (az energiahatékonyság és a higiénia biztosítása, valamint a tanulók közösségi kontaktusainak korlátozása érdekében) az informatikai berendezésekig, biztosítva a távoktatást, a megfelelő készségeket és a hozzáférést a hátrányos helyzetű tanulók szá</w:t>
      </w:r>
      <w:r>
        <w:rPr>
          <w:noProof/>
        </w:rPr>
        <w:t xml:space="preserve">mára. A környezetvédelmi és éghajlatváltozási kihívások kezelése az emberi egészség megőrzése szempontból is fontos. A zöld megállapodáshoz kapcsolódó beruházások döntő fontosságúak a légszennyezés elleni küzdelemben. </w:t>
      </w:r>
    </w:p>
    <w:p w:rsidR="00CA32AB" w:rsidRDefault="00F7544F">
      <w:pPr>
        <w:rPr>
          <w:b/>
          <w:bCs/>
          <w:noProof/>
          <w:szCs w:val="24"/>
          <w:u w:val="single"/>
        </w:rPr>
      </w:pPr>
      <w:r>
        <w:rPr>
          <w:b/>
          <w:noProof/>
        </w:rPr>
        <w:t xml:space="preserve">A digitális technológia kiterjedtebb </w:t>
      </w:r>
      <w:r>
        <w:rPr>
          <w:b/>
          <w:noProof/>
        </w:rPr>
        <w:t>használata zöldebb megoldásokat kínálhat gazdaságaink és társadalmaink megszervezésére.</w:t>
      </w:r>
      <w:r>
        <w:rPr>
          <w:noProof/>
        </w:rPr>
        <w:t xml:space="preserve"> Helyénvaló lehet figyelembe venni a polgárok életmódjának változását és a vállalkozások munkamódszereit, különösen akkor, ha azok csökkentik a környezeti lábnyomot és o</w:t>
      </w:r>
      <w:r>
        <w:rPr>
          <w:noProof/>
        </w:rPr>
        <w:t xml:space="preserve">ptimalizálják a munka és a magánélet közötti egyensúlyt. </w:t>
      </w:r>
    </w:p>
    <w:p w:rsidR="00CA32AB" w:rsidRDefault="00F7544F">
      <w:pPr>
        <w:keepNext/>
        <w:numPr>
          <w:ilvl w:val="0"/>
          <w:numId w:val="2"/>
        </w:numPr>
        <w:spacing w:before="100"/>
        <w:ind w:left="1077" w:hanging="357"/>
        <w:rPr>
          <w:b/>
          <w:noProof/>
        </w:rPr>
      </w:pPr>
      <w:r>
        <w:rPr>
          <w:b/>
          <w:bCs/>
          <w:noProof/>
          <w:szCs w:val="24"/>
          <w:u w:val="single"/>
        </w:rPr>
        <w:t>Termelékenység és versenyképesség</w:t>
      </w:r>
    </w:p>
    <w:p w:rsidR="00CA32AB" w:rsidRDefault="00F7544F">
      <w:pPr>
        <w:spacing w:after="200"/>
        <w:rPr>
          <w:b/>
          <w:noProof/>
        </w:rPr>
      </w:pPr>
      <w:r>
        <w:rPr>
          <w:b/>
          <w:noProof/>
        </w:rPr>
        <w:t xml:space="preserve">Miközben </w:t>
      </w:r>
      <w:r>
        <w:rPr>
          <w:b/>
          <w:bCs/>
          <w:noProof/>
        </w:rPr>
        <w:t>a termelékenység erőteljesebb növekedése meghatározó jelentőségű az európai versenyképesség fokozása és Európa szilárd fellendülési pályára állítása szempo</w:t>
      </w:r>
      <w:r>
        <w:rPr>
          <w:b/>
          <w:bCs/>
          <w:noProof/>
        </w:rPr>
        <w:t>ntjából, a jelenlegi válság középtávon kockázatot jelent a termelékenység növekedésére nézve</w:t>
      </w:r>
      <w:r>
        <w:rPr>
          <w:bCs/>
          <w:noProof/>
        </w:rPr>
        <w:t>, amit tovább súlyosbíthatnak a globális értékláncokban jelentkező fennakadások.</w:t>
      </w:r>
      <w:r>
        <w:rPr>
          <w:noProof/>
        </w:rPr>
        <w:t xml:space="preserve"> A vállalkozások alkalmazkodása pozitívan növelheti a termelékenységet. A digitalizá</w:t>
      </w:r>
      <w:r>
        <w:rPr>
          <w:noProof/>
        </w:rPr>
        <w:t xml:space="preserve">ció, az e-kereskedelem, az e-közigazgatás és az e-egészségügy, az új üzleti modellek kialakítása, valamint a kiterjedtebb otthoni munkavégzés és távmunka szintén javíthatja a termelékenységet. </w:t>
      </w:r>
    </w:p>
    <w:p w:rsidR="00CA32AB" w:rsidRDefault="00F7544F">
      <w:pPr>
        <w:spacing w:after="200"/>
        <w:rPr>
          <w:b/>
          <w:noProof/>
        </w:rPr>
      </w:pPr>
      <w:r>
        <w:rPr>
          <w:b/>
          <w:noProof/>
        </w:rPr>
        <w:t>A megfelelő szakpolitikák elengedhetetlenek rövid távon a gazd</w:t>
      </w:r>
      <w:r>
        <w:rPr>
          <w:b/>
          <w:noProof/>
        </w:rPr>
        <w:t xml:space="preserve">asági recesszióból való kilábaláshoz, valamint annak biztosításához, hogy középtávon ne sérüljön a humán tőke. </w:t>
      </w:r>
      <w:r>
        <w:rPr>
          <w:noProof/>
        </w:rPr>
        <w:t>A termelékenységnövelő mechanizmusok közé tartozik: i. Az innováció és a technológia térnyerésének előmozdítása, például a kutatásba és az innová</w:t>
      </w:r>
      <w:r>
        <w:rPr>
          <w:noProof/>
        </w:rPr>
        <w:t>cióba való beruházás révén; ii. A versenyszabályok hatékony érvényesítése a piaci erővel kapcsolatos kérdések kezelése érdekében; iii. Az emberi kompetenciákba való beruházás jobb oktatási és képzési rendszerek révén; iv. Olyan jól működő munkaerőpiacok bi</w:t>
      </w:r>
      <w:r>
        <w:rPr>
          <w:noProof/>
        </w:rPr>
        <w:t>ztosítása, amelyek elkerülik a készségek és a lehetőségek szegmentálódását és lehetővé teszik a szakmai előmenetelt; v. A megfelelő forráselosztás elősegítése támogató üzleti környezet révén; vi. Az intézmények működésének és az irányításnak a javítása, be</w:t>
      </w:r>
      <w:r>
        <w:rPr>
          <w:noProof/>
        </w:rPr>
        <w:t>leértve a hatékony és független igazságszolgáltatási rendszereket. A digitalizációt előmozdító beruházások támogatása kettős pozitív hatással járhat, ha a közösségi kontaktusok jelenleg alkalmazott korlátozása folytatódik. A távmunka termelékenysége fontos</w:t>
      </w:r>
      <w:r>
        <w:rPr>
          <w:noProof/>
        </w:rPr>
        <w:t xml:space="preserve"> szerepet fog játszani. A szakképzetlen vagy a képzetlen személyek azonban nem feltétlenül részesülnek az előnyökből.</w:t>
      </w:r>
    </w:p>
    <w:p w:rsidR="00CA32AB" w:rsidRDefault="00F7544F">
      <w:pPr>
        <w:spacing w:after="200"/>
        <w:rPr>
          <w:b/>
          <w:noProof/>
        </w:rPr>
      </w:pPr>
      <w:r>
        <w:rPr>
          <w:b/>
          <w:noProof/>
        </w:rPr>
        <w:t>A digitális technológia alapvető fontosságú, és hozzá fog járulni társadalmaink és gazdaságaink erőteljesebb fellendüléséhez.</w:t>
      </w:r>
      <w:r>
        <w:rPr>
          <w:noProof/>
        </w:rPr>
        <w:t xml:space="preserve"> A közösségi </w:t>
      </w:r>
      <w:r>
        <w:rPr>
          <w:noProof/>
        </w:rPr>
        <w:t>kontaktusok korlátozását célzó közelmúltbeli intézkedések rávilágítottak, hogy a modern digitális infrastruktúra milyen nagy szerepet játszik a széles körű internet-hozzáférés biztosítása és a digitális szolgáltatások rendelkezésre állása terén, ami elenge</w:t>
      </w:r>
      <w:r>
        <w:rPr>
          <w:noProof/>
        </w:rPr>
        <w:t>dhetetlen a mindennapi tevékenységekhez. A vállalkozások és a közszféra digitalizálásába való beruházás, valamint digitális adatszolgáltatások fejlesztése az állami és a magánszektorban lehetővé teheti a távmunkát, a virtuális tanulást és az otthoni iskolá</w:t>
      </w:r>
      <w:r>
        <w:rPr>
          <w:noProof/>
        </w:rPr>
        <w:t>ztatást. Ez az átállás az ellenálló képesség és a termelékenység fokozása mellett előmozdíthatja gazdaságaink zöld átalakulását, illetve a veszélyeztetett csoportok gazdasági szereplőként való megjelenését. A fejlett digitális technológiákkal és kompetenci</w:t>
      </w:r>
      <w:r>
        <w:rPr>
          <w:noProof/>
        </w:rPr>
        <w:t xml:space="preserve">ákkal kapcsolatos kutatás-fejlesztésbe történő hosszú távú beruházások elengedhetetlenek Európa technológiai szuverenitásának biztosításához, a közös európai értékek megőrzése mellett. </w:t>
      </w:r>
    </w:p>
    <w:p w:rsidR="00CA32AB" w:rsidRDefault="00F7544F">
      <w:pPr>
        <w:rPr>
          <w:b/>
          <w:noProof/>
        </w:rPr>
      </w:pPr>
      <w:r>
        <w:rPr>
          <w:b/>
          <w:noProof/>
        </w:rPr>
        <w:t>A beruházásoknak figyelembe kell venniük az ellátási láncokat.</w:t>
      </w:r>
      <w:r>
        <w:rPr>
          <w:noProof/>
        </w:rPr>
        <w:t xml:space="preserve"> Számos </w:t>
      </w:r>
      <w:r>
        <w:rPr>
          <w:noProof/>
        </w:rPr>
        <w:t>ipari létesítmény leállította termelését. Másokat átalakítottak. Az ellátási láncban és a keresletben tapasztalt zavarokat követően a rendszer újraindítása valószínűleg új formát fog ölteni (pl. a folyamatok hozzáigazítása a különböző földrajzi eredetű inp</w:t>
      </w:r>
      <w:r>
        <w:rPr>
          <w:noProof/>
        </w:rPr>
        <w:t>utokhoz). Ez egyedülálló lehetőséget kínál arra, hogy megteremtsük Európa nyitott stratégiai autonómiáját, mindenekelőtt az ellátási láncok diverzifikálása és megerősítése révén az egységes piac egészére kiterjedően, továbbá biztosítsuk, hogy soha többé ne</w:t>
      </w:r>
      <w:r>
        <w:rPr>
          <w:noProof/>
        </w:rPr>
        <w:t xml:space="preserve"> kelljen szembesülnünk az alapvető élelmiszeripari és egészségügyi termékek hiányának kockázatával. Az EU és a nemzeti hatóságok által a kkv-k – különösen az innovatív projektekben aktívan részt vevő és növekedési potenciállal rendelkező kkv-k – számára bi</w:t>
      </w:r>
      <w:r>
        <w:rPr>
          <w:noProof/>
        </w:rPr>
        <w:t>ztosított lehetséges tőkefinanszírozási programok megelőzhetik az életképes vállalkozások szükségtelen csődjét, és szakpolitikai eszközként szolgálhatnak az ipar széttöredezettségének kiküszöböléséhez. Az innováció a termelékeny Európa kulcseleme.</w:t>
      </w:r>
    </w:p>
    <w:p w:rsidR="00CA32AB" w:rsidRDefault="00F7544F">
      <w:pPr>
        <w:pStyle w:val="ListNumber2Level4"/>
        <w:ind w:left="0"/>
        <w:rPr>
          <w:rFonts w:eastAsia="SimSun"/>
          <w:b/>
          <w:noProof/>
        </w:rPr>
      </w:pPr>
      <w:r>
        <w:rPr>
          <w:b/>
          <w:noProof/>
        </w:rPr>
        <w:t>A helyre</w:t>
      </w:r>
      <w:r>
        <w:rPr>
          <w:b/>
          <w:noProof/>
        </w:rPr>
        <w:t xml:space="preserve">állítás során figyelembe kell venni az ipari ökoszisztémák és a vállalkozások közötti átfogó, több tagállamra kiterjedő kapcsolatokat. </w:t>
      </w:r>
      <w:r>
        <w:rPr>
          <w:noProof/>
        </w:rPr>
        <w:t xml:space="preserve">A beruházások egyúttal az uniós iparpolitika hatékony eszközét jelentik. </w:t>
      </w:r>
      <w:r>
        <w:rPr>
          <w:b/>
          <w:bCs/>
          <w:noProof/>
        </w:rPr>
        <w:t>Az uniós ellátási láncok helyreállításához törek</w:t>
      </w:r>
      <w:r>
        <w:rPr>
          <w:b/>
          <w:bCs/>
          <w:noProof/>
        </w:rPr>
        <w:t>edni kell a hatékonyságra.</w:t>
      </w:r>
      <w:r>
        <w:rPr>
          <w:noProof/>
        </w:rPr>
        <w:t xml:space="preserve"> A bizonytalanságok, az alacsonyabb kereslet és az értékláncok zavarai növelték a vállalkozások költségeit. A termelékenység és a költség-versenyképesség helyreállítása rövid távon kihívás elé állítja a vállalkozásokat. A költségc</w:t>
      </w:r>
      <w:r>
        <w:rPr>
          <w:noProof/>
        </w:rPr>
        <w:t>sökkentő innovációk vonzóbbá válnak, ugyanakkor a hatékonyság a gazdaság egészében kihívást jelent majd. A nem hatékony közkiadások alternatív társadalmi költségeit meg kell osztani a vállalkozások és a polgárok között. A jobb kormányzás, valamint a közbes</w:t>
      </w:r>
      <w:r>
        <w:rPr>
          <w:noProof/>
        </w:rPr>
        <w:t>zerzési eszközök szakszerű és hatékony használata fontosabb lesz, mint valaha.</w:t>
      </w:r>
    </w:p>
    <w:p w:rsidR="00CA32AB" w:rsidRDefault="00F7544F">
      <w:pPr>
        <w:keepNext/>
        <w:numPr>
          <w:ilvl w:val="0"/>
          <w:numId w:val="4"/>
        </w:numPr>
        <w:ind w:left="714" w:hanging="357"/>
        <w:rPr>
          <w:b/>
          <w:noProof/>
          <w:color w:val="000000"/>
          <w:szCs w:val="24"/>
        </w:rPr>
      </w:pPr>
      <w:r>
        <w:rPr>
          <w:b/>
          <w:noProof/>
        </w:rPr>
        <w:t>AZ UNIÓS INTÉZMÉNYEK ÉS A TAGÁLLAMOK KÖZÖS ERŐFESZÍTÉSE</w:t>
      </w:r>
    </w:p>
    <w:p w:rsidR="00CA32AB" w:rsidRDefault="00F7544F">
      <w:pPr>
        <w:tabs>
          <w:tab w:val="left" w:pos="567"/>
          <w:tab w:val="left" w:pos="2149"/>
        </w:tabs>
        <w:spacing w:before="240"/>
        <w:ind w:left="-22"/>
        <w:rPr>
          <w:b/>
          <w:bCs/>
          <w:noProof/>
          <w:color w:val="000000"/>
          <w:szCs w:val="24"/>
        </w:rPr>
      </w:pPr>
      <w:r>
        <w:rPr>
          <w:b/>
          <w:noProof/>
          <w:color w:val="000000"/>
          <w:szCs w:val="24"/>
        </w:rPr>
        <w:t xml:space="preserve">A példa nélküli helyzet sajátos megközelítés alkalmazását tette szükségessé az idei európai szemeszterben. </w:t>
      </w:r>
      <w:r>
        <w:rPr>
          <w:noProof/>
          <w:color w:val="000000"/>
          <w:szCs w:val="24"/>
        </w:rPr>
        <w:t>Az elmúlt évti</w:t>
      </w:r>
      <w:r>
        <w:rPr>
          <w:noProof/>
          <w:color w:val="000000"/>
          <w:szCs w:val="24"/>
        </w:rPr>
        <w:t>zedben az európai szemeszter a nemzeti gazdaság- és foglalkoztatáspolitikák összehangolásának kulcsfontosságú eszközévé vált. Jelenleg a vírus terjedésének megfékezésére, a nemzeti egészségügyi rendszerek támogatására, az emberéletek védelmére és megmentés</w:t>
      </w:r>
      <w:r>
        <w:rPr>
          <w:noProof/>
          <w:color w:val="000000"/>
          <w:szCs w:val="24"/>
        </w:rPr>
        <w:t>ére, valamint a világjárvány társadalmi és gazdasági hatásainak ellensúlyozására irányuló uniós erőfeszítések szerves részét képezi. Ezért a javasolt ajánlások a koronavírus-válság új társadalmi-gazdasági prioritásaihoz igazított gazdaság- és foglalkoztatá</w:t>
      </w:r>
      <w:r>
        <w:rPr>
          <w:noProof/>
          <w:color w:val="000000"/>
          <w:szCs w:val="24"/>
        </w:rPr>
        <w:t xml:space="preserve">spolitikákat emelik ki a közös érdekű területeken. </w:t>
      </w:r>
    </w:p>
    <w:p w:rsidR="00CA32AB" w:rsidRDefault="00F7544F">
      <w:pPr>
        <w:tabs>
          <w:tab w:val="left" w:pos="567"/>
          <w:tab w:val="left" w:pos="2149"/>
        </w:tabs>
        <w:spacing w:before="240"/>
        <w:ind w:left="-22"/>
        <w:rPr>
          <w:rFonts w:eastAsia="SimSun"/>
          <w:b/>
          <w:noProof/>
        </w:rPr>
      </w:pPr>
      <w:r>
        <w:rPr>
          <w:b/>
          <w:bCs/>
          <w:noProof/>
          <w:color w:val="000000"/>
          <w:szCs w:val="24"/>
        </w:rPr>
        <w:t xml:space="preserve">E megközelítés érvényesítése egyedül a Bizottság és a tagállamok közötti minden eddiginél szorosabb együttműködésnek köszönhetően volt lehetséges. </w:t>
      </w:r>
      <w:r>
        <w:rPr>
          <w:noProof/>
          <w:color w:val="000000"/>
          <w:szCs w:val="24"/>
        </w:rPr>
        <w:t xml:space="preserve">A szoros kapcsolat és az intenzív párbeszéd </w:t>
      </w:r>
      <w:r>
        <w:rPr>
          <w:noProof/>
          <w:color w:val="000000"/>
          <w:szCs w:val="24"/>
        </w:rPr>
        <w:t>kulcsfontosságú volt a vírus társadalmi-gazdasági hatásának enyhítése és kezelése érdekében elfogadott szakpolitikák és bevált gyakorlatok megértéséhez és azonosításához. Ennek eredményeként a Bizottság aktualizálta a 2020. évi országjelentésekben bemutato</w:t>
      </w:r>
      <w:r>
        <w:rPr>
          <w:noProof/>
          <w:color w:val="000000"/>
          <w:szCs w:val="24"/>
        </w:rPr>
        <w:t>tt, a tagállamok társadalmi és gazdasági helyzetére vonatkozó elemzését, hogy az tükrözze az egyes tagállamok jelenlegi gazdasági és társadalmi körülményeit. A Bizottság áprilisban videokonferencia keretében kétoldalú megbeszéléseket tartott a tagállamokka</w:t>
      </w:r>
      <w:r>
        <w:rPr>
          <w:noProof/>
          <w:color w:val="000000"/>
          <w:szCs w:val="24"/>
        </w:rPr>
        <w:t>l, és folyamatos párbeszédet folytatott a tagállamokkal többoldalú és kétoldalú szinten, többek között az illetékes bizottságokon keresztül, valamint a fővárosokban tevékenykedő, európai szemeszterrel foglalkozó tisztviselőkkel.</w:t>
      </w:r>
    </w:p>
    <w:p w:rsidR="00CA32AB" w:rsidRDefault="00F7544F">
      <w:pPr>
        <w:keepNext/>
        <w:numPr>
          <w:ilvl w:val="0"/>
          <w:numId w:val="4"/>
        </w:numPr>
        <w:ind w:left="714" w:hanging="357"/>
        <w:rPr>
          <w:b/>
          <w:noProof/>
        </w:rPr>
      </w:pPr>
      <w:r>
        <w:rPr>
          <w:b/>
          <w:noProof/>
        </w:rPr>
        <w:t>AZ EURÓPAI SZEMESZTER ÉS AZ</w:t>
      </w:r>
      <w:r>
        <w:rPr>
          <w:b/>
          <w:noProof/>
        </w:rPr>
        <w:t xml:space="preserve"> UNIÓS KÖLTSÉGVETÉS</w:t>
      </w:r>
    </w:p>
    <w:p w:rsidR="00CA32AB" w:rsidRDefault="00F7544F">
      <w:pPr>
        <w:rPr>
          <w:b/>
          <w:noProof/>
        </w:rPr>
      </w:pPr>
      <w:r>
        <w:rPr>
          <w:b/>
          <w:noProof/>
        </w:rPr>
        <w:t xml:space="preserve">Az uniós költségvetés az EU gazdasági programjának egyik hajtóereje. </w:t>
      </w:r>
      <w:r>
        <w:rPr>
          <w:noProof/>
        </w:rPr>
        <w:t>A korábban soha nem tapasztalt gazdasági sokkhatás közepette az uniós költségvetés a rövid és hosszú távú kihívások kezelésének alapvető eszköze. A többéves pénzügyi k</w:t>
      </w:r>
      <w:r>
        <w:rPr>
          <w:noProof/>
        </w:rPr>
        <w:t>eret szorosan illeszkedik az európai szemeszterhez. Eszközei nagyobb léptékű pénzügyi támogatást kínálnak majd az olyan kulcsfontosságú beruházások és reformok számára, amelyek tartós hatást gyakorolnak az uniós gazdaság ellenálló képességére. Az uniós köl</w:t>
      </w:r>
      <w:r>
        <w:rPr>
          <w:noProof/>
        </w:rPr>
        <w:t>tségvetés megnyitja az utat az egyidejűleg zajló zöld és digitális átállás előtt, miközben védelmezi a szociális piacgazdaságot és a jóléti rendszereket a fenntartható helyreállítás biztosítása és a konvergencia előmozdítása érdekében.</w:t>
      </w:r>
    </w:p>
    <w:p w:rsidR="00CA32AB" w:rsidRDefault="00F7544F">
      <w:pPr>
        <w:rPr>
          <w:b/>
          <w:noProof/>
        </w:rPr>
      </w:pPr>
      <w:r>
        <w:rPr>
          <w:b/>
          <w:noProof/>
        </w:rPr>
        <w:t>Az uniós források ug</w:t>
      </w:r>
      <w:r>
        <w:rPr>
          <w:b/>
          <w:noProof/>
        </w:rPr>
        <w:t>yan nem elégíthetik ki az összes beruházási igényt, az uniós költségvetés bőséges lehetőségeket kínál az uniós pénzügyi programokon keresztül.</w:t>
      </w:r>
      <w:r>
        <w:rPr>
          <w:noProof/>
        </w:rPr>
        <w:t xml:space="preserve"> Az európai szemeszter országspecifikus ajánlásai iránymutatást nyújtanak a reformokhoz és a beruházásokhoz több e</w:t>
      </w:r>
      <w:r>
        <w:rPr>
          <w:noProof/>
        </w:rPr>
        <w:t>szköz, például a kohéziós politikai alapokhoz kapcsolódó operatív programok tekintetében. Ezek a források támogathatják az európai szemeszter keretében azonosított azon reformokat és beruházásokat, amelyek a tagállamok számára döntő fontosságúak a jelenleg</w:t>
      </w:r>
      <w:r>
        <w:rPr>
          <w:noProof/>
        </w:rPr>
        <w:t>i gazdasági vészhelyzet kezelése és a helyreállítás támogatása szempontjából. A reformoknak és a beruházásoknak ezekre a kritikus szakpolitikai területekre való összpontosítása felgyorsítja a helyreállítást. Az európai szemeszter és az uniós kohéziós polit</w:t>
      </w:r>
      <w:r>
        <w:rPr>
          <w:noProof/>
        </w:rPr>
        <w:t>ikai alapok közötti kapcsolat szorosabbra fűzése jobb és hatékonyabb programozáshoz, következésképpen pedig jobb és célzottabb beruházásokhoz vezet, ami egyúttal a helyreállítást is felgyorsítja. Ez az operatív kapcsolat észszerűsíti a meglévő folyamatokat</w:t>
      </w:r>
      <w:r>
        <w:rPr>
          <w:noProof/>
        </w:rPr>
        <w:t>, és nagyobb koherenciát teremt a gazdaságpolitikák összehangolása és az uniós források felhasználása között. Az európai szemeszter elemzési háttere hatékony iránymutatást adhat a tagállamoknak és a Bizottságnak az alapok programozásáról folytatott párbesz</w:t>
      </w:r>
      <w:r>
        <w:rPr>
          <w:noProof/>
        </w:rPr>
        <w:t>édben.</w:t>
      </w:r>
    </w:p>
    <w:p w:rsidR="00CA32AB" w:rsidRDefault="00F7544F">
      <w:pPr>
        <w:rPr>
          <w:b/>
          <w:smallCaps/>
          <w:noProof/>
          <w:sz w:val="28"/>
        </w:rPr>
      </w:pPr>
      <w:r>
        <w:rPr>
          <w:b/>
          <w:noProof/>
        </w:rPr>
        <w:t xml:space="preserve">Az uniós költségvetés és az európai szemeszter közötti szoros összhang elengedhetetlen a stabilitás, a termelékenység és a méltányos gazdasági helyreállítás biztosításához szerte az EU-ban, amelynek középpontjában a zöld és digitális kettős átállás </w:t>
      </w:r>
      <w:r>
        <w:rPr>
          <w:b/>
          <w:noProof/>
        </w:rPr>
        <w:t>áll.</w:t>
      </w:r>
    </w:p>
    <w:p w:rsidR="00CA32AB" w:rsidRDefault="00F7544F">
      <w:pPr>
        <w:keepNext/>
        <w:rPr>
          <w:b/>
          <w:bCs/>
          <w:noProof/>
          <w:szCs w:val="24"/>
        </w:rPr>
      </w:pPr>
      <w:r>
        <w:rPr>
          <w:b/>
          <w:smallCaps/>
          <w:noProof/>
          <w:sz w:val="28"/>
        </w:rPr>
        <w:t xml:space="preserve">A következő lépések </w:t>
      </w:r>
    </w:p>
    <w:p w:rsidR="00CA32AB" w:rsidRDefault="00F7544F">
      <w:pPr>
        <w:spacing w:before="100" w:after="100"/>
        <w:rPr>
          <w:b/>
          <w:noProof/>
          <w:szCs w:val="24"/>
        </w:rPr>
      </w:pPr>
      <w:r>
        <w:rPr>
          <w:b/>
          <w:noProof/>
          <w:szCs w:val="24"/>
        </w:rPr>
        <w:t>A Bizottság felkéri az Európai Tanácsot, hogy hagyja jóvá, valamint a Tanácsot, hogy fogadja el a 2020–2021 közötti időszakra vonatkozó országspecifikus ajánlásokat.</w:t>
      </w:r>
      <w:r>
        <w:rPr>
          <w:noProof/>
        </w:rPr>
        <w:t xml:space="preserve"> </w:t>
      </w:r>
      <w:r>
        <w:rPr>
          <w:noProof/>
          <w:color w:val="000000"/>
          <w:szCs w:val="24"/>
        </w:rPr>
        <w:t xml:space="preserve">A Bizottság gazdaságpolitikáért felelős tagjai az európai </w:t>
      </w:r>
      <w:r>
        <w:rPr>
          <w:noProof/>
          <w:color w:val="000000"/>
          <w:szCs w:val="24"/>
        </w:rPr>
        <w:t>szemeszter ciklusának minden egyes kulcsfontosságú szakaszában megvitatják ezeket a szakpolitikai ajánlásokat az Európai Parlamenttel.</w:t>
      </w:r>
      <w:r>
        <w:rPr>
          <w:noProof/>
        </w:rPr>
        <w:tab/>
      </w:r>
    </w:p>
    <w:p w:rsidR="00CA32AB" w:rsidRDefault="00F7544F">
      <w:pPr>
        <w:spacing w:before="100" w:after="100"/>
        <w:rPr>
          <w:b/>
          <w:bCs/>
          <w:noProof/>
          <w:szCs w:val="24"/>
        </w:rPr>
      </w:pPr>
      <w:r>
        <w:rPr>
          <w:b/>
          <w:noProof/>
          <w:szCs w:val="24"/>
        </w:rPr>
        <w:t>A Bizottság felszólítja továbbá a tagállamokat, hogy teljes mértékben és kellő időben hajtsák végre az említett ajánláso</w:t>
      </w:r>
      <w:r>
        <w:rPr>
          <w:b/>
          <w:noProof/>
          <w:szCs w:val="24"/>
        </w:rPr>
        <w:t>kat, minden szinten párbeszédet folytatva a szociális partnerekkel, a civil társadalmi szervezetekkel és más érdekelt felekkel.</w:t>
      </w:r>
      <w:r>
        <w:rPr>
          <w:noProof/>
        </w:rPr>
        <w:t xml:space="preserve"> A Bizottság a szemeszter teljes folyamata során továbbra is együttműködik a tagállamokkal és a nemzeti érdekelt felekkel a széle</w:t>
      </w:r>
      <w:r>
        <w:rPr>
          <w:noProof/>
        </w:rPr>
        <w:t xml:space="preserve">s körű felelősségvállaláson alapuló, hatékony nyomon követés és végrehajtás biztosítása érdekében. </w:t>
      </w:r>
    </w:p>
    <w:p w:rsidR="00CA32AB" w:rsidRDefault="00F7544F">
      <w:pPr>
        <w:spacing w:before="100" w:after="100"/>
        <w:rPr>
          <w:noProof/>
        </w:rPr>
      </w:pPr>
      <w:r>
        <w:rPr>
          <w:b/>
          <w:bCs/>
          <w:noProof/>
          <w:szCs w:val="24"/>
        </w:rPr>
        <w:t>Tekintettel a helyreállítás megkezdésének sürgősségére, a Bizottság felszólítja a tagállamokat, hogy haladéktalanul fogadják el az új többéves pénzügyi kere</w:t>
      </w:r>
      <w:r>
        <w:rPr>
          <w:b/>
          <w:bCs/>
          <w:noProof/>
          <w:szCs w:val="24"/>
        </w:rPr>
        <w:t xml:space="preserve">tet, és az országspecifikus ajánlások alapján készítsék el a vonatkozó programokat. </w:t>
      </w:r>
      <w:r>
        <w:rPr>
          <w:noProof/>
        </w:rPr>
        <w:t xml:space="preserve">A Bizottság emellett kérésre reformtámogatást nyújt a tagállamoknak, és segíti a hatóságokat az uniós források lehető legjobb felhasználásában. </w:t>
      </w:r>
    </w:p>
    <w:p w:rsidR="00CA32AB" w:rsidRDefault="00CA32AB">
      <w:pPr>
        <w:pStyle w:val="Footer"/>
        <w:rPr>
          <w:noProof/>
        </w:rPr>
      </w:pPr>
    </w:p>
    <w:p w:rsidR="00CA32AB" w:rsidRDefault="00F7544F">
      <w:pPr>
        <w:pageBreakBefore/>
        <w:rPr>
          <w:b/>
          <w:bCs/>
          <w:noProof/>
        </w:rPr>
      </w:pPr>
      <w:r>
        <w:rPr>
          <w:b/>
          <w:noProof/>
        </w:rPr>
        <w:t>FÜGGELÉK – AZ ORSZÁGSPECIF</w:t>
      </w:r>
      <w:r>
        <w:rPr>
          <w:b/>
          <w:noProof/>
        </w:rPr>
        <w:t>IKUS AJÁNLÁSOK VÉGREHAJTÁSA TERÉN ELÉRT EREDMÉNYEK</w:t>
      </w:r>
    </w:p>
    <w:p w:rsidR="00CA32AB" w:rsidRDefault="00F7544F">
      <w:pPr>
        <w:rPr>
          <w:b/>
          <w:noProof/>
        </w:rPr>
      </w:pPr>
      <w:r>
        <w:rPr>
          <w:b/>
          <w:bCs/>
          <w:noProof/>
        </w:rPr>
        <w:t>A strukturális kihívások változatlanul jelentősek, és kezelésük döntő fontosságú lesz a fenntartható helyreállítás és növekedés szempontjából.</w:t>
      </w:r>
      <w:r>
        <w:rPr>
          <w:noProof/>
        </w:rPr>
        <w:t xml:space="preserve"> A reziliensebb tagállamok az aktuális előrejelzések szerint gy</w:t>
      </w:r>
      <w:r>
        <w:rPr>
          <w:noProof/>
        </w:rPr>
        <w:t xml:space="preserve">orsabban fognak kilábalni, ami rámutat a reformok végrehajtásának fontosságára. </w:t>
      </w:r>
    </w:p>
    <w:p w:rsidR="00CA32AB" w:rsidRDefault="00F7544F">
      <w:pPr>
        <w:tabs>
          <w:tab w:val="left" w:pos="567"/>
          <w:tab w:val="left" w:pos="2149"/>
          <w:tab w:val="center" w:pos="4819"/>
          <w:tab w:val="right" w:pos="9638"/>
        </w:tabs>
        <w:spacing w:before="240"/>
        <w:rPr>
          <w:b/>
          <w:bCs/>
          <w:noProof/>
          <w:u w:val="single"/>
        </w:rPr>
      </w:pPr>
      <w:r>
        <w:rPr>
          <w:b/>
          <w:noProof/>
        </w:rPr>
        <w:t xml:space="preserve">Az európai szemeszter 2011. évi indulása óta az országspecifikus ajánlások több mint kétharmadának végrehajtása terén történt előrelépés. </w:t>
      </w:r>
      <w:r>
        <w:rPr>
          <w:noProof/>
        </w:rPr>
        <w:t>A végrehajtás a korábbi évekhez hason</w:t>
      </w:r>
      <w:r>
        <w:rPr>
          <w:noProof/>
        </w:rPr>
        <w:t>lóan idén is stabil pályán folytatódik (1. ábra). A reformok végrehajtása azonban szakpolitikai területenként számottevő eltéréseket mutat. Egyrészt a tagállamok az elmúlt években a pénzügyi szolgáltatások terén mutatták fel a legtöbb eredményt, amit a fog</w:t>
      </w:r>
      <w:r>
        <w:rPr>
          <w:noProof/>
        </w:rPr>
        <w:t>lalkoztatásvédelmi jogszabályok területe követett. Másrészt viszont az adóalap szélesítését illetően kimondottan lassú volt az előrelépés, csakúgy mint az egészségügy és a tartós ápolás-gondozás terén, most pedig a koronavírus állítja további kihívások elé</w:t>
      </w:r>
      <w:r>
        <w:rPr>
          <w:noProof/>
        </w:rPr>
        <w:t xml:space="preserve"> az egészségügyi rendszereket.</w:t>
      </w:r>
    </w:p>
    <w:p w:rsidR="00CA32AB" w:rsidRDefault="00F7544F">
      <w:pPr>
        <w:pStyle w:val="ListNumber2"/>
        <w:tabs>
          <w:tab w:val="clear" w:pos="2268"/>
        </w:tabs>
        <w:rPr>
          <w:rFonts w:cs="Arial"/>
          <w:i/>
          <w:noProof/>
          <w:sz w:val="20"/>
        </w:rPr>
      </w:pPr>
      <w:r>
        <w:rPr>
          <w:b/>
          <w:bCs/>
          <w:noProof/>
          <w:u w:val="single"/>
        </w:rPr>
        <w:t>1. ábra:</w:t>
      </w:r>
      <w:r>
        <w:rPr>
          <w:b/>
          <w:bCs/>
          <w:noProof/>
        </w:rPr>
        <w:t xml:space="preserve"> A 2011–2019 közötti országspecifikus ajánlások végrehajtásának állása</w:t>
      </w:r>
    </w:p>
    <w:p w:rsidR="00CA32AB" w:rsidRDefault="00F7544F">
      <w:pPr>
        <w:spacing w:after="0" w:line="276" w:lineRule="auto"/>
        <w:jc w:val="center"/>
        <w:rPr>
          <w:rFonts w:cs="Arial"/>
          <w:noProof/>
          <w:sz w:val="20"/>
        </w:rPr>
      </w:pPr>
      <w:r>
        <w:rPr>
          <w:i/>
          <w:noProof/>
        </w:rPr>
        <w:pict>
          <v:shape id="_x0000_i1027" type="#_x0000_t75" style="width:379.4pt;height:361.4pt;mso-left-percent:-10001;mso-top-percent:-10001;mso-position-horizontal:absolute;mso-position-horizontal-relative:char;mso-position-vertical:absolute;mso-position-vertical-relative:line;mso-left-percent:-10001;mso-top-percent:-10001">
            <v:imagedata r:id="rId18" o:title=""/>
          </v:shape>
        </w:pict>
      </w:r>
    </w:p>
    <w:p w:rsidR="00CA32AB" w:rsidRDefault="00F7544F">
      <w:pPr>
        <w:spacing w:after="0" w:line="276" w:lineRule="auto"/>
        <w:rPr>
          <w:rFonts w:cs="Arial"/>
          <w:i/>
          <w:noProof/>
          <w:sz w:val="20"/>
        </w:rPr>
      </w:pPr>
      <w:r>
        <w:rPr>
          <w:i/>
          <w:noProof/>
          <w:sz w:val="20"/>
        </w:rPr>
        <w:t>Megjegyzés: a többéves értékelés a végrehajtást az ajánlások első elfogadásától ennek a közleménynek a 2020. májusi közzétételéig vizsgálja. A fiskális politikával kapcsolatos országspecifikus ajánlások átfogó értékelése kitér a Stabilitási és Növekedési P</w:t>
      </w:r>
      <w:r>
        <w:rPr>
          <w:i/>
          <w:noProof/>
          <w:sz w:val="20"/>
        </w:rPr>
        <w:t xml:space="preserve">aktumnak való megfelelésre. </w:t>
      </w:r>
    </w:p>
    <w:p w:rsidR="00CA32AB" w:rsidRDefault="00CA32AB">
      <w:pPr>
        <w:spacing w:after="0" w:line="276" w:lineRule="auto"/>
        <w:rPr>
          <w:b/>
          <w:noProof/>
        </w:rPr>
      </w:pPr>
    </w:p>
    <w:p w:rsidR="00CA32AB" w:rsidRDefault="00F7544F">
      <w:pPr>
        <w:pStyle w:val="ListNumber2"/>
        <w:tabs>
          <w:tab w:val="clear" w:pos="2268"/>
        </w:tabs>
        <w:rPr>
          <w:b/>
          <w:bCs/>
          <w:noProof/>
          <w:u w:val="single"/>
        </w:rPr>
      </w:pPr>
      <w:r>
        <w:rPr>
          <w:b/>
          <w:noProof/>
        </w:rPr>
        <w:t>A 2019-ben elfogadott ajánlások végrehajtása összességében lassú volt.</w:t>
      </w:r>
      <w:r>
        <w:rPr>
          <w:noProof/>
        </w:rPr>
        <w:t xml:space="preserve"> A tagállamok a 2019. júliusban kapott 10 ajánlás közül 4 esetében értek el legalább „némi haladást” (2. ábra). Ez a teljesítmény az előző évhez képest stab</w:t>
      </w:r>
      <w:r>
        <w:rPr>
          <w:noProof/>
        </w:rPr>
        <w:t xml:space="preserve">il. A különböző szakpolitikai területeket összevetve ugyanakkor továbbra is egyenetlen az előrehaladás. A reformok végrehajtása változatlanul jobb a pénzügyi szolgáltatások és az aktív munkaerőpiaci intézkedések terén; a szolgáltatások terén folyó verseny </w:t>
      </w:r>
      <w:r>
        <w:rPr>
          <w:noProof/>
        </w:rPr>
        <w:t xml:space="preserve">erősítésére és az államháztartás hosszú távú fenntarthatóságára vonatkozó ajánlások tekintetében azonban továbbra is csekély az előrelépés. </w:t>
      </w:r>
    </w:p>
    <w:p w:rsidR="00CA32AB" w:rsidRDefault="00F7544F">
      <w:pPr>
        <w:pStyle w:val="ListNumber2"/>
        <w:keepNext/>
        <w:tabs>
          <w:tab w:val="clear" w:pos="2268"/>
        </w:tabs>
        <w:rPr>
          <w:b/>
          <w:bCs/>
          <w:noProof/>
        </w:rPr>
      </w:pPr>
      <w:r>
        <w:rPr>
          <w:b/>
          <w:bCs/>
          <w:noProof/>
          <w:u w:val="single"/>
        </w:rPr>
        <w:t>2. ábra:</w:t>
      </w:r>
      <w:r>
        <w:rPr>
          <w:noProof/>
        </w:rPr>
        <w:t xml:space="preserve"> </w:t>
      </w:r>
      <w:r>
        <w:rPr>
          <w:b/>
          <w:bCs/>
          <w:noProof/>
        </w:rPr>
        <w:t>Az országspecifikus ajánlások végrehajtása: éves értékelés minden egymást követő évben 2011 óta, illetve a</w:t>
      </w:r>
      <w:r>
        <w:rPr>
          <w:b/>
          <w:bCs/>
          <w:noProof/>
        </w:rPr>
        <w:t xml:space="preserve"> végrehajtás napjainkig</w:t>
      </w:r>
    </w:p>
    <w:p w:rsidR="00CA32AB" w:rsidRDefault="00F7544F">
      <w:pPr>
        <w:pStyle w:val="ListNumber2"/>
        <w:keepNext/>
        <w:tabs>
          <w:tab w:val="clear" w:pos="2268"/>
        </w:tabs>
        <w:rPr>
          <w:rFonts w:cs="Arial"/>
          <w:i/>
          <w:noProof/>
          <w:sz w:val="20"/>
        </w:rPr>
      </w:pPr>
      <w:r>
        <w:rPr>
          <w:i/>
          <w:noProof/>
          <w:sz w:val="20"/>
        </w:rPr>
        <w:pict>
          <v:shape id="_x0000_i1028" type="#_x0000_t75" style="width:444.45pt;height:310.15pt;mso-left-percent:-10001;mso-top-percent:-10001;mso-position-horizontal:absolute;mso-position-horizontal-relative:char;mso-position-vertical:absolute;mso-position-vertical-relative:line;mso-left-percent:-10001;mso-top-percent:-10001">
            <v:imagedata r:id="rId19" o:title=""/>
          </v:shape>
        </w:pict>
      </w:r>
    </w:p>
    <w:p w:rsidR="00CA32AB" w:rsidRDefault="00F7544F">
      <w:pPr>
        <w:spacing w:after="0" w:line="276" w:lineRule="auto"/>
        <w:rPr>
          <w:rFonts w:cs="Arial"/>
          <w:i/>
          <w:noProof/>
          <w:sz w:val="20"/>
        </w:rPr>
      </w:pPr>
      <w:r>
        <w:rPr>
          <w:i/>
          <w:noProof/>
          <w:sz w:val="20"/>
        </w:rPr>
        <w:t>Megjegyzés: a többéves értékelés a végrehajtást az ajánlások első elfogadásától ennek a közleménynek a 2020. májusi közzétételéig vizsgálja. A 2011. és 2012. év vonatkozásában az országspecifikus ajánlások eltérő értékelési kategó</w:t>
      </w:r>
      <w:r>
        <w:rPr>
          <w:i/>
          <w:noProof/>
          <w:sz w:val="20"/>
        </w:rPr>
        <w:t xml:space="preserve">riái miatt nehezebb összehasonlítani az éves értékelést a többéves értékeléssel. </w:t>
      </w:r>
    </w:p>
    <w:p w:rsidR="00CA32AB" w:rsidRDefault="00CA32AB">
      <w:pPr>
        <w:rPr>
          <w:noProof/>
        </w:rPr>
      </w:pPr>
    </w:p>
    <w:sectPr w:rsidR="00CA32AB">
      <w:headerReference w:type="even" r:id="rId20"/>
      <w:headerReference w:type="default" r:id="rId21"/>
      <w:footerReference w:type="even" r:id="rId22"/>
      <w:footerReference w:type="default" r:id="rId23"/>
      <w:headerReference w:type="first" r:id="rId24"/>
      <w:footerReference w:type="first" r:id="rId25"/>
      <w:pgSz w:w="11906" w:h="16838" w:code="9"/>
      <w:pgMar w:top="1418" w:right="1701" w:bottom="1418" w:left="1701" w:header="680" w:footer="68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2AB" w:rsidRDefault="00F7544F">
      <w:pPr>
        <w:spacing w:after="0"/>
      </w:pPr>
      <w:r>
        <w:separator/>
      </w:r>
    </w:p>
  </w:endnote>
  <w:endnote w:type="continuationSeparator" w:id="0">
    <w:p w:rsidR="00CA32AB" w:rsidRDefault="00F754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AB" w:rsidRDefault="00CA3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AB" w:rsidRDefault="00F7544F">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AB" w:rsidRDefault="00CA32A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AB" w:rsidRDefault="00F7544F">
    <w:pPr>
      <w:pStyle w:val="FooterCoverPage"/>
    </w:pPr>
    <w:r>
      <w:rPr>
        <w:rFonts w:ascii="Arial" w:hAnsi="Arial"/>
        <w:b/>
        <w:sz w:val="48"/>
      </w:rPr>
      <w:t>EN</w:t>
    </w:r>
    <w:r>
      <w:tab/>
    </w:r>
    <w:r>
      <w:tab/>
    </w:r>
    <w:r>
      <w:tab/>
    </w:r>
    <w:r>
      <w:rPr>
        <w:rFonts w:ascii="Arial" w:hAnsi="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AB" w:rsidRDefault="00F7544F">
    <w:pPr>
      <w:pStyle w:val="Footer"/>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w:t>
    </w:r>
    <w:r>
      <w:rPr>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AB" w:rsidRDefault="00CA32A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2AB" w:rsidRDefault="00F7544F">
      <w:pPr>
        <w:spacing w:after="0"/>
      </w:pPr>
      <w:r>
        <w:separator/>
      </w:r>
    </w:p>
  </w:footnote>
  <w:footnote w:type="continuationSeparator" w:id="0">
    <w:p w:rsidR="00CA32AB" w:rsidRDefault="00F7544F">
      <w:pPr>
        <w:spacing w:after="0"/>
      </w:pPr>
      <w:r>
        <w:continuationSeparator/>
      </w:r>
    </w:p>
  </w:footnote>
  <w:footnote w:id="1">
    <w:p w:rsidR="00CA32AB" w:rsidRDefault="00F7544F">
      <w:pPr>
        <w:pStyle w:val="FootnoteText"/>
      </w:pPr>
      <w:r>
        <w:rPr>
          <w:rStyle w:val="FootnoteReference"/>
        </w:rPr>
        <w:footnoteRef/>
      </w:r>
      <w:r>
        <w:t xml:space="preserve"> https://ec.europa.eu/info/files/policy-measures-against-spread-coronavirus_en</w:t>
      </w:r>
    </w:p>
  </w:footnote>
  <w:footnote w:id="2">
    <w:p w:rsidR="00CA32AB" w:rsidRDefault="00F7544F">
      <w:pPr>
        <w:pStyle w:val="FootnoteText"/>
      </w:pPr>
      <w:r>
        <w:rPr>
          <w:rStyle w:val="FootnoteReference"/>
        </w:rPr>
        <w:footnoteRef/>
      </w:r>
      <w:r>
        <w:t xml:space="preserve"> </w:t>
      </w:r>
      <w:r>
        <w:tab/>
        <w:t xml:space="preserve">Ebben az évben a preambulumbekezdésekben helyet kap néhány </w:t>
      </w:r>
      <w:r>
        <w:t>lényeges strukturális kérdés. Olyan, középtávon fontos strukturális hatásokkal járó kérdésekről van szó, amelyek továbbra is relevánsak, és a helyreállítással egyre nagyobb jelentőségre tesznek szert.</w:t>
      </w:r>
    </w:p>
  </w:footnote>
  <w:footnote w:id="3">
    <w:p w:rsidR="00CA32AB" w:rsidRDefault="00F7544F">
      <w:pPr>
        <w:pStyle w:val="FootnoteText"/>
      </w:pPr>
      <w:r>
        <w:rPr>
          <w:rStyle w:val="FootnoteReference"/>
        </w:rPr>
        <w:footnoteRef/>
      </w:r>
      <w:r>
        <w:t xml:space="preserve"> </w:t>
      </w:r>
      <w:r>
        <w:rPr>
          <w:rStyle w:val="FootnoteReference"/>
        </w:rPr>
        <w:t xml:space="preserve"> </w:t>
      </w:r>
      <w:r>
        <w:tab/>
        <w:t>COM/2019/650 final.</w:t>
      </w:r>
    </w:p>
  </w:footnote>
  <w:footnote w:id="4">
    <w:p w:rsidR="00CA32AB" w:rsidRDefault="00F7544F">
      <w:pPr>
        <w:pStyle w:val="FootnoteText"/>
      </w:pPr>
      <w:r>
        <w:rPr>
          <w:rStyle w:val="FootnoteReference"/>
        </w:rPr>
        <w:footnoteRef/>
      </w:r>
      <w:r>
        <w:t xml:space="preserve"> </w:t>
      </w:r>
      <w:r>
        <w:tab/>
        <w:t>Covid19 – Az egészség védelm</w:t>
      </w:r>
      <w:r>
        <w:t xml:space="preserve">ét, valamint az áruk és alapvető szolgáltatások rendelkezésre állását biztosító határigazgatási intézkedésekre vonatkozó iránymutatások, COM(2020) 1752; Covid19 – A munkavállalók szabad mozgáshoz való jogának gyakorlására vonatkozó iránymutatások, C(2020) </w:t>
      </w:r>
      <w:r>
        <w:t>2051. Valamennyi iránymutatás áttekinthető ezen a weboldalon: https://ec.europa.eu/info/live-work-travel-eu/health/coronavirus-response/travel-and-transportation-during-coronavirus-pandemic_hu</w:t>
      </w:r>
    </w:p>
  </w:footnote>
  <w:footnote w:id="5">
    <w:p w:rsidR="00CA32AB" w:rsidRDefault="00F7544F">
      <w:pPr>
        <w:pStyle w:val="FootnoteText"/>
        <w:rPr>
          <w:rStyle w:val="FootnoteReference"/>
        </w:rPr>
      </w:pPr>
      <w:r>
        <w:rPr>
          <w:rStyle w:val="FootnoteReference"/>
        </w:rPr>
        <w:footnoteRef/>
      </w:r>
      <w:r>
        <w:tab/>
      </w:r>
      <w:r>
        <w:rPr>
          <w:rStyle w:val="FootnoteReference"/>
        </w:rPr>
        <w:t xml:space="preserve"> </w:t>
      </w:r>
      <w:r>
        <w:t>Februárban három országban (Görögország, Ciprus és Olaszorsz</w:t>
      </w:r>
      <w:r>
        <w:t>ág) túlzott makrogazdasági egyensúlyhiányt, kilenc országban (Horvátország, Franciaország, Németország, Írország, Portugália, Hollandia, Románia, Spanyolország és Svédország) pedig makrogazdasági egyensúlyhiányt állapítottak meg.</w:t>
      </w:r>
    </w:p>
  </w:footnote>
  <w:footnote w:id="6">
    <w:p w:rsidR="00CA32AB" w:rsidRDefault="00F7544F">
      <w:pPr>
        <w:pStyle w:val="FootnoteText"/>
        <w:rPr>
          <w:rStyle w:val="FootnoteReference"/>
        </w:rPr>
      </w:pPr>
      <w:r>
        <w:rPr>
          <w:rStyle w:val="FootnoteReference"/>
        </w:rPr>
        <w:footnoteRef/>
      </w:r>
      <w:r>
        <w:tab/>
        <w:t>COM/2020/113 final.</w:t>
      </w:r>
      <w:r>
        <w:rPr>
          <w:color w:val="444444"/>
        </w:rPr>
        <w:t xml:space="preserve"> </w:t>
      </w:r>
    </w:p>
    <w:p w:rsidR="00CA32AB" w:rsidRDefault="00CA32AB">
      <w:pPr>
        <w:pStyle w:val="FootnoteText"/>
        <w:ind w:left="0" w:firstLine="0"/>
        <w:rPr>
          <w:rStyle w:val="FootnoteReference"/>
        </w:rPr>
      </w:pPr>
    </w:p>
  </w:footnote>
  <w:footnote w:id="7">
    <w:p w:rsidR="00CA32AB" w:rsidRDefault="00F7544F">
      <w:pPr>
        <w:pStyle w:val="FootnoteText"/>
      </w:pPr>
      <w:r>
        <w:rPr>
          <w:rStyle w:val="FootnoteReference"/>
        </w:rPr>
        <w:footnoteRef/>
      </w:r>
      <w:r>
        <w:t xml:space="preserve"> </w:t>
      </w:r>
      <w:r>
        <w:tab/>
        <w:t>Az EU-OSHA által az Európai Bizottsággal együttműködésben készített iránymutatás a munkahelyi biztonsági és egészségvédelmi háromoldalú tanácsadó bizottság és a Vezető Munkaügyi Felügyeleti Tisztviselők Bizottsága észrevételeit is figyelembe veszi.</w:t>
      </w:r>
    </w:p>
  </w:footnote>
  <w:footnote w:id="8">
    <w:p w:rsidR="00CA32AB" w:rsidRDefault="00F7544F">
      <w:pPr>
        <w:pStyle w:val="FootnoteText"/>
        <w:rPr>
          <w:rStyle w:val="FootnoteReference"/>
        </w:rPr>
      </w:pPr>
      <w:r>
        <w:rPr>
          <w:rStyle w:val="FootnoteReference"/>
        </w:rPr>
        <w:footnoteRef/>
      </w:r>
      <w:r>
        <w:tab/>
      </w:r>
      <w:r>
        <w:rPr>
          <w:rStyle w:val="FootnoteReference"/>
        </w:rPr>
        <w:t xml:space="preserve"> </w:t>
      </w:r>
      <w:r>
        <w:t>A t</w:t>
      </w:r>
      <w:r>
        <w:t>ámogatási kezdeményezések közé tartozik az Európai Akkumulátorszövetség, a megalakulóban lévő Tiszta Hidrogén Szövetség és a karbonszegény iparágak szövetsége, a megújuló erőforrások ökoszisztémája és a tengeri megújuló energiára vonatkozó stratégia. A kör</w:t>
      </w:r>
      <w:r>
        <w:t>forgásos gazdaságra vonatkozó cselekvési terv végrehajtása révén megvalósuló fokozott erőforrás-hatékonyság szintén javítani fogja az ellenálló képességet.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AB" w:rsidRDefault="00CA3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AB" w:rsidRDefault="00CA32A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AB" w:rsidRDefault="00CA32A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AB" w:rsidRDefault="00CA32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AB" w:rsidRDefault="00CA32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AB" w:rsidRDefault="00CA32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pStyle w:val="Heading1"/>
      <w:lvlText w:val="Annexe %1"/>
      <w:lvlJc w:val="left"/>
      <w:pPr>
        <w:tabs>
          <w:tab w:val="num" w:pos="2268"/>
        </w:tabs>
        <w:ind w:left="2268" w:hanging="2268"/>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decimal"/>
      <w:pStyle w:val="Heading4"/>
      <w:lvlText w:val="%4.."/>
      <w:lvlJc w:val="left"/>
      <w:pPr>
        <w:tabs>
          <w:tab w:val="num" w:pos="4474"/>
        </w:tabs>
        <w:ind w:left="4474" w:hanging="720"/>
      </w:pPr>
    </w:lvl>
    <w:lvl w:ilvl="4">
      <w:start w:val="1"/>
      <w:numFmt w:val="decimal"/>
      <w:pStyle w:val="Heading5"/>
      <w:lvlText w:val="%5...."/>
      <w:lvlJc w:val="left"/>
      <w:pPr>
        <w:tabs>
          <w:tab w:val="num" w:pos="5432"/>
        </w:tabs>
        <w:ind w:left="6390" w:hanging="958"/>
      </w:pPr>
    </w:lvl>
    <w:lvl w:ilvl="5">
      <w:start w:val="1"/>
      <w:numFmt w:val="decimal"/>
      <w:pStyle w:val="Heading6"/>
      <w:lvlText w:val="%6...."/>
      <w:lvlJc w:val="left"/>
      <w:pPr>
        <w:tabs>
          <w:tab w:val="num" w:pos="5432"/>
        </w:tabs>
        <w:ind w:left="6390" w:hanging="958"/>
      </w:pPr>
    </w:lvl>
    <w:lvl w:ilvl="6">
      <w:start w:val="1"/>
      <w:numFmt w:val="decimal"/>
      <w:pStyle w:val="Heading7"/>
      <w:lvlText w:val="%6.%7..."/>
      <w:lvlJc w:val="left"/>
      <w:pPr>
        <w:tabs>
          <w:tab w:val="num" w:pos="5432"/>
        </w:tabs>
        <w:ind w:left="6390" w:hanging="958"/>
      </w:pPr>
    </w:lvl>
    <w:lvl w:ilvl="7">
      <w:start w:val="1"/>
      <w:numFmt w:val="decimal"/>
      <w:pStyle w:val="Heading8"/>
      <w:lvlText w:val="%5.%6.%7.%8....."/>
      <w:lvlJc w:val="left"/>
      <w:pPr>
        <w:tabs>
          <w:tab w:val="num" w:pos="5432"/>
        </w:tabs>
        <w:ind w:left="6390" w:hanging="958"/>
      </w:pPr>
    </w:lvl>
    <w:lvl w:ilvl="8">
      <w:start w:val="1"/>
      <w:numFmt w:val="decimal"/>
      <w:pStyle w:val="Heading9"/>
      <w:lvlText w:val="%5.%6.%7.%8.%9......"/>
      <w:lvlJc w:val="left"/>
      <w:pPr>
        <w:tabs>
          <w:tab w:val="num" w:pos="5432"/>
        </w:tabs>
        <w:ind w:left="6390" w:hanging="958"/>
      </w:pPr>
    </w:lvl>
  </w:abstractNum>
  <w:abstractNum w:abstractNumId="1" w15:restartNumberingAfterBreak="0">
    <w:nsid w:val="00000002"/>
    <w:multiLevelType w:val="multilevel"/>
    <w:tmpl w:val="00000002"/>
    <w:name w:val="WW8Num2"/>
    <w:lvl w:ilvl="0">
      <w:start w:val="1"/>
      <w:numFmt w:val="decimal"/>
      <w:lvlText w:val="2.%1"/>
      <w:lvlJc w:val="left"/>
      <w:pPr>
        <w:tabs>
          <w:tab w:val="num" w:pos="1080"/>
        </w:tabs>
        <w:ind w:left="1080" w:hanging="360"/>
      </w:pPr>
      <w:rPr>
        <w:b/>
        <w:bCs/>
        <w:i/>
        <w:szCs w:val="24"/>
        <w:lang w:val="en-GB"/>
      </w:rPr>
    </w:lvl>
    <w:lvl w:ilvl="1">
      <w:start w:val="1"/>
      <w:numFmt w:val="decimal"/>
      <w:lvlText w:val="%2."/>
      <w:lvlJc w:val="left"/>
      <w:pPr>
        <w:tabs>
          <w:tab w:val="num" w:pos="1440"/>
        </w:tabs>
        <w:ind w:left="1440" w:hanging="360"/>
      </w:pPr>
    </w:lvl>
    <w:lvl w:ilvl="2">
      <w:start w:val="1"/>
      <w:numFmt w:val="decimal"/>
      <w:lvlText w:val="%2.%3."/>
      <w:lvlJc w:val="left"/>
      <w:pPr>
        <w:tabs>
          <w:tab w:val="num" w:pos="1800"/>
        </w:tabs>
        <w:ind w:left="1800" w:hanging="360"/>
      </w:pPr>
      <w:rPr>
        <w:rFonts w:ascii="Times New Roman" w:hAnsi="Times New Roman" w:cs="Times New Roman"/>
      </w:rPr>
    </w:lvl>
    <w:lvl w:ilvl="3">
      <w:start w:val="1"/>
      <w:numFmt w:val="decimal"/>
      <w:lvlText w:val="%2.%3.%4."/>
      <w:lvlJc w:val="left"/>
      <w:pPr>
        <w:tabs>
          <w:tab w:val="num" w:pos="2160"/>
        </w:tabs>
        <w:ind w:left="2160" w:hanging="360"/>
      </w:pPr>
    </w:lvl>
    <w:lvl w:ilvl="4">
      <w:start w:val="1"/>
      <w:numFmt w:val="decimal"/>
      <w:lvlText w:val="%2.%3.%4.%5."/>
      <w:lvlJc w:val="left"/>
      <w:pPr>
        <w:tabs>
          <w:tab w:val="num" w:pos="2520"/>
        </w:tabs>
        <w:ind w:left="2520" w:hanging="360"/>
      </w:pPr>
    </w:lvl>
    <w:lvl w:ilvl="5">
      <w:start w:val="1"/>
      <w:numFmt w:val="decimal"/>
      <w:lvlText w:val="%2.%3.%4.%5.%6."/>
      <w:lvlJc w:val="left"/>
      <w:pPr>
        <w:tabs>
          <w:tab w:val="num" w:pos="2880"/>
        </w:tabs>
        <w:ind w:left="2880" w:hanging="360"/>
      </w:pPr>
    </w:lvl>
    <w:lvl w:ilvl="6">
      <w:start w:val="1"/>
      <w:numFmt w:val="decimal"/>
      <w:lvlText w:val="%2.%3.%4.%5.%6.%7."/>
      <w:lvlJc w:val="left"/>
      <w:pPr>
        <w:tabs>
          <w:tab w:val="num" w:pos="3240"/>
        </w:tabs>
        <w:ind w:left="3240" w:hanging="360"/>
      </w:pPr>
    </w:lvl>
    <w:lvl w:ilvl="7">
      <w:start w:val="1"/>
      <w:numFmt w:val="decimal"/>
      <w:lvlText w:val="%2.%3.%4.%5.%6.%7.%8."/>
      <w:lvlJc w:val="left"/>
      <w:pPr>
        <w:tabs>
          <w:tab w:val="num" w:pos="3600"/>
        </w:tabs>
        <w:ind w:left="3600" w:hanging="360"/>
      </w:pPr>
    </w:lvl>
    <w:lvl w:ilvl="8">
      <w:start w:val="1"/>
      <w:numFmt w:val="decimal"/>
      <w:lvlText w:val="%2.%3.%4.%5.%6.%7.%8.%9."/>
      <w:lvlJc w:val="left"/>
      <w:pPr>
        <w:tabs>
          <w:tab w:val="num" w:pos="3960"/>
        </w:tabs>
        <w:ind w:left="396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b/>
        <w:bCs/>
        <w:smallCaps/>
        <w:color w:val="000000"/>
        <w:szCs w:val="24"/>
        <w:lang w:val="en-GB"/>
      </w:rPr>
    </w:lvl>
    <w:lvl w:ilvl="1">
      <w:start w:val="1"/>
      <w:numFmt w:val="decimal"/>
      <w:lvlText w:val="%2."/>
      <w:lvlJc w:val="left"/>
      <w:pPr>
        <w:tabs>
          <w:tab w:val="num" w:pos="1080"/>
        </w:tabs>
        <w:ind w:left="1080" w:hanging="360"/>
      </w:pPr>
      <w:rPr>
        <w:rFonts w:ascii="Courier New" w:hAnsi="Courier New" w:cs="Courier New"/>
        <w:lang w:val="en-GB"/>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Times New Roman" w:eastAsia="SimSun" w:hAnsi="Times New Roman" w:cs="Times New Roman"/>
        <w:b/>
        <w:lang w:val="en-GB"/>
      </w:rPr>
    </w:lvl>
    <w:lvl w:ilvl="1">
      <w:start w:val="1"/>
      <w:numFmt w:val="lowerLetter"/>
      <w:lvlText w:val="%2."/>
      <w:lvlJc w:val="left"/>
      <w:pPr>
        <w:tabs>
          <w:tab w:val="num" w:pos="0"/>
        </w:tabs>
        <w:ind w:left="1440" w:hanging="360"/>
      </w:pPr>
      <w:rPr>
        <w:rFonts w:ascii="Courier New" w:hAnsi="Courier New" w:cs="Courier New"/>
        <w:lang w:val="en-GB"/>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isplayBackgroundShape/>
  <w:embedSystemFonts/>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F1666F0C-9526-4E8E-97F8-1EB7CB994251"/>
    <w:docVar w:name="LW_COVERPAGE_TYPE" w:val="1"/>
    <w:docVar w:name="LW_CROSSREFERENCE" w:val="&lt;UNUSED&gt;"/>
    <w:docVar w:name="LW_DocType" w:val="NORMAL"/>
    <w:docVar w:name="LW_EMISSION" w:val="2020.5.20."/>
    <w:docVar w:name="LW_EMISSION_ISODATE" w:val="2020-05-20"/>
    <w:docVar w:name="LW_EMISSION_LOCATION" w:val="BRX"/>
    <w:docVar w:name="LW_EMISSION_PREFIX" w:val="Brüsszel, "/>
    <w:docVar w:name="LW_EMISSION_SUFFIX" w:val=" "/>
    <w:docVar w:name="LW_ID_DOCTYPE_NONLW" w:val="CP-009"/>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0) 5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évi európai szemeszter: országspecifikus ajánlások"/>
    <w:docVar w:name="LW_TYPE.DOC.CP" w:val="A BIZOTTSÁG KÖZLEMÉNYE"/>
    <w:docVar w:name="LW_TYPE.DOC.CP.USERTEXT" w:val="AZ EURÓPAI PARLAMENTNEK, AZ EURÓPAI TANÁCSNAK, A TANÁCSNAK, AZ EURÓPAI KÖZPONTI BANKNAK, AZ EURÓPAI GAZDASÁGI ÉS SZOCIÁLIS BIZOTTSÁGNAK, A RÉGIÓK BIZOTTSÁGÁNAK ÉS AZ EURÓPAI BERUHÁZÁSI BANKNAK"/>
  </w:docVars>
  <w:rsids>
    <w:rsidRoot w:val="00CA32AB"/>
    <w:rsid w:val="00CA32AB"/>
    <w:rsid w:val="00F754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5:docId w15:val="{2158E0CE-A0E3-4270-83F5-1B0167FF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jc w:val="both"/>
    </w:pPr>
    <w:rPr>
      <w:sz w:val="24"/>
      <w:lang w:eastAsia="ar-SA"/>
    </w:rPr>
  </w:style>
  <w:style w:type="paragraph" w:styleId="Heading1">
    <w:name w:val="heading 1"/>
    <w:basedOn w:val="Normal"/>
    <w:next w:val="BodyText"/>
    <w:qFormat/>
    <w:pPr>
      <w:keepNext/>
      <w:numPr>
        <w:numId w:val="1"/>
      </w:numPr>
      <w:spacing w:before="240"/>
      <w:outlineLvl w:val="0"/>
    </w:pPr>
    <w:rPr>
      <w:b/>
      <w:smallCaps/>
    </w:rPr>
  </w:style>
  <w:style w:type="paragraph" w:styleId="Heading2">
    <w:name w:val="heading 2"/>
    <w:basedOn w:val="Normal"/>
    <w:next w:val="BodyText"/>
    <w:qFormat/>
    <w:pPr>
      <w:keepNext/>
      <w:tabs>
        <w:tab w:val="num" w:pos="2268"/>
      </w:tabs>
      <w:ind w:left="2268" w:hanging="2268"/>
      <w:outlineLvl w:val="1"/>
    </w:pPr>
    <w:rPr>
      <w:b/>
    </w:rPr>
  </w:style>
  <w:style w:type="paragraph" w:styleId="Heading3">
    <w:name w:val="heading 3"/>
    <w:basedOn w:val="Normal"/>
    <w:next w:val="BodyText"/>
    <w:qFormat/>
    <w:pPr>
      <w:keepNext/>
      <w:numPr>
        <w:ilvl w:val="2"/>
        <w:numId w:val="1"/>
      </w:numPr>
      <w:tabs>
        <w:tab w:val="left" w:pos="2268"/>
      </w:tabs>
      <w:ind w:left="2268" w:hanging="2268"/>
      <w:outlineLvl w:val="2"/>
    </w:pPr>
    <w:rPr>
      <w:i/>
    </w:rPr>
  </w:style>
  <w:style w:type="paragraph" w:styleId="Heading4">
    <w:name w:val="heading 4"/>
    <w:basedOn w:val="Normal"/>
    <w:next w:val="BodyText"/>
    <w:qFormat/>
    <w:pPr>
      <w:keepNext/>
      <w:numPr>
        <w:ilvl w:val="3"/>
        <w:numId w:val="1"/>
      </w:numPr>
      <w:outlineLvl w:val="3"/>
    </w:pPr>
  </w:style>
  <w:style w:type="paragraph" w:styleId="Heading5">
    <w:name w:val="heading 5"/>
    <w:basedOn w:val="Normal"/>
    <w:next w:val="BodyText"/>
    <w:qFormat/>
    <w:pPr>
      <w:keepNext/>
      <w:numPr>
        <w:ilvl w:val="4"/>
        <w:numId w:val="1"/>
      </w:numPr>
      <w:outlineLvl w:val="4"/>
    </w:pPr>
  </w:style>
  <w:style w:type="paragraph" w:styleId="Heading6">
    <w:name w:val="heading 6"/>
    <w:basedOn w:val="Normal"/>
    <w:next w:val="BodyText"/>
    <w:qFormat/>
    <w:pPr>
      <w:keepNext/>
      <w:numPr>
        <w:ilvl w:val="5"/>
        <w:numId w:val="1"/>
      </w:numPr>
      <w:outlineLvl w:val="5"/>
    </w:pPr>
  </w:style>
  <w:style w:type="paragraph" w:styleId="Heading7">
    <w:name w:val="heading 7"/>
    <w:basedOn w:val="Normal"/>
    <w:next w:val="BodyText"/>
    <w:qFormat/>
    <w:pPr>
      <w:keepNext/>
      <w:numPr>
        <w:ilvl w:val="6"/>
        <w:numId w:val="1"/>
      </w:numPr>
      <w:outlineLvl w:val="6"/>
    </w:pPr>
  </w:style>
  <w:style w:type="paragraph" w:styleId="Heading8">
    <w:name w:val="heading 8"/>
    <w:basedOn w:val="Normal"/>
    <w:next w:val="BodyText"/>
    <w:qFormat/>
    <w:pPr>
      <w:keepNext/>
      <w:numPr>
        <w:ilvl w:val="7"/>
        <w:numId w:val="1"/>
      </w:numPr>
      <w:outlineLvl w:val="7"/>
    </w:pPr>
  </w:style>
  <w:style w:type="paragraph" w:styleId="Heading9">
    <w:name w:val="heading 9"/>
    <w:basedOn w:val="Normal"/>
    <w:next w:val="BodyText"/>
    <w:qFormat/>
    <w:pPr>
      <w:keepNext/>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i/>
      <w:szCs w:val="24"/>
      <w:lang w:val="hu-HU"/>
    </w:rPr>
  </w:style>
  <w:style w:type="character" w:customStyle="1" w:styleId="WW8Num2z1">
    <w:name w:val="WW8Num2z1"/>
  </w:style>
  <w:style w:type="character" w:customStyle="1" w:styleId="WW8Num2z2">
    <w:name w:val="WW8Num2z2"/>
    <w:rPr>
      <w:rFonts w:ascii="Times New Roman" w:hAnsi="Times New Roman" w:cs="Times New Roman"/>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bCs/>
      <w:smallCaps/>
      <w:color w:val="000000"/>
      <w:szCs w:val="24"/>
      <w:lang w:val="hu-HU"/>
    </w:rPr>
  </w:style>
  <w:style w:type="character" w:customStyle="1" w:styleId="WW8Num3z1">
    <w:name w:val="WW8Num3z1"/>
    <w:rPr>
      <w:rFonts w:ascii="Courier New" w:hAnsi="Courier New" w:cs="Courier New"/>
      <w:lang w:val="hu-HU"/>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SimSun" w:hAnsi="Times New Roman" w:cs="Times New Roman"/>
      <w:b/>
      <w:lang w:val="hu-HU"/>
    </w:rPr>
  </w:style>
  <w:style w:type="character" w:customStyle="1" w:styleId="WW8Num4z1">
    <w:name w:val="WW8Num4z1"/>
    <w:rPr>
      <w:rFonts w:ascii="Courier New" w:hAnsi="Courier New" w:cs="Courier New"/>
      <w:lang w:val="hu-HU"/>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
    <w:name w:val="WW-Default Paragraph Font"/>
  </w:style>
  <w:style w:type="character" w:customStyle="1" w:styleId="WW8Num5z0">
    <w:name w:val="WW8Num5z0"/>
    <w:rPr>
      <w:rFonts w:ascii="Times New Roman" w:hAnsi="Times New Roman" w:cs="Times New Roman"/>
      <w:b/>
      <w:lang w:val="hu-HU"/>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Times New Roman" w:hAnsi="Symbol" w:cs="Symbol"/>
      <w:lang w:val="hu-HU"/>
    </w:rPr>
  </w:style>
  <w:style w:type="character" w:customStyle="1" w:styleId="WW8Num7z0">
    <w:name w:val="WW8Num7z0"/>
    <w:rPr>
      <w:rFonts w:ascii="Symbol" w:eastAsia="Times New Roman" w:hAnsi="Symbol" w:cs="OpenSymbol"/>
      <w:lang w:val="hu-HU"/>
    </w:rPr>
  </w:style>
  <w:style w:type="character" w:customStyle="1" w:styleId="WW8Num7z1">
    <w:name w:val="WW8Num7z1"/>
    <w:rPr>
      <w:rFonts w:ascii="OpenSymbol" w:hAnsi="OpenSymbol" w:cs="OpenSymbo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b w:val="0"/>
      <w:bCs w:val="0"/>
      <w:lang w:val="hu-HU"/>
    </w:rPr>
  </w:style>
  <w:style w:type="character" w:customStyle="1" w:styleId="WW8Num8z1">
    <w:name w:val="WW8Num8z1"/>
  </w:style>
  <w:style w:type="character" w:customStyle="1" w:styleId="WW8Num8z2">
    <w:name w:val="WW8Num8z2"/>
  </w:style>
  <w:style w:type="character" w:customStyle="1" w:styleId="WW8Num6z1">
    <w:name w:val="WW8Num6z1"/>
    <w:rPr>
      <w:rFonts w:ascii="Courier New" w:hAnsi="Courier New" w:cs="Courier New"/>
    </w:rPr>
  </w:style>
  <w:style w:type="character" w:customStyle="1" w:styleId="WW8Num9z0">
    <w:name w:val="WW8Num9z0"/>
  </w:style>
  <w:style w:type="character" w:customStyle="1" w:styleId="WW8Num9z1">
    <w:name w:val="WW8Num9z1"/>
  </w:style>
  <w:style w:type="character" w:customStyle="1" w:styleId="WW8Num9z2">
    <w:name w:val="WW8Num9z2"/>
    <w:rPr>
      <w:rFonts w:ascii="Times New Roman" w:hAnsi="Times New Roman" w:cs="Times New Roman"/>
    </w:rPr>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color w:val="1F497D"/>
      <w:szCs w:val="24"/>
      <w:lang w:val="hu-HU"/>
    </w:rPr>
  </w:style>
  <w:style w:type="character" w:customStyle="1" w:styleId="WW8Num11z1">
    <w:name w:val="WW8Num11z1"/>
    <w:rPr>
      <w:rFonts w:ascii="Courier New" w:hAnsi="Courier New" w:cs="Courier New"/>
      <w:szCs w:val="24"/>
      <w:lang w:val="hu-HU"/>
    </w:rPr>
  </w:style>
  <w:style w:type="character" w:customStyle="1" w:styleId="WW8Num11z2">
    <w:name w:val="WW8Num11z2"/>
    <w:rPr>
      <w:rFonts w:ascii="Wingdings" w:hAnsi="Wingdings" w:cs="Wingdings"/>
    </w:rPr>
  </w:style>
  <w:style w:type="character" w:customStyle="1" w:styleId="WW-DefaultParagraphFont1">
    <w:name w:val="WW-Default Paragraph Font1"/>
  </w:style>
  <w:style w:type="character" w:customStyle="1" w:styleId="WW8Num6z2">
    <w:name w:val="WW8Num6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11">
    <w:name w:val="WW-Default Paragraph Font11"/>
  </w:style>
  <w:style w:type="character" w:styleId="PlaceholderText">
    <w:name w:val="Placeholder Text"/>
    <w:rPr>
      <w:color w:val="288061"/>
    </w:rPr>
  </w:style>
  <w:style w:type="character" w:customStyle="1" w:styleId="BodyPlaceholderText">
    <w:name w:val="BodyPlaceholderText"/>
    <w:rPr>
      <w:color w:val="3366CC"/>
    </w:rPr>
  </w:style>
  <w:style w:type="character" w:customStyle="1" w:styleId="MarkingLabel">
    <w:name w:val="MarkingLabel"/>
    <w:rPr>
      <w:b/>
      <w:caps/>
      <w:sz w:val="28"/>
    </w:rPr>
  </w:style>
  <w:style w:type="character" w:customStyle="1" w:styleId="MarkingText">
    <w:name w:val="MarkingText"/>
    <w:rPr>
      <w:i/>
      <w:sz w:val="28"/>
    </w:rPr>
  </w:style>
  <w:style w:type="character" w:customStyle="1" w:styleId="CrossReference">
    <w:name w:val="Cross Reference"/>
    <w:rPr>
      <w:i/>
    </w:rPr>
  </w:style>
  <w:style w:type="character" w:customStyle="1" w:styleId="HeaderChar">
    <w:name w:val="Header Char"/>
    <w:rPr>
      <w:sz w:val="24"/>
    </w:rPr>
  </w:style>
  <w:style w:type="character" w:customStyle="1" w:styleId="Marker">
    <w:name w:val="Marker"/>
    <w:rPr>
      <w:color w:val="0000FF"/>
    </w:rPr>
  </w:style>
  <w:style w:type="character" w:customStyle="1" w:styleId="FooterCoverPageChar">
    <w:name w:val="Footer Cover Page Char"/>
    <w:basedOn w:val="WW-DefaultParagraphFont11"/>
  </w:style>
  <w:style w:type="character" w:customStyle="1" w:styleId="FooterSensitivityChar">
    <w:name w:val="Footer Sensitivity Char"/>
    <w:rPr>
      <w:b/>
      <w:sz w:val="32"/>
    </w:rPr>
  </w:style>
  <w:style w:type="character" w:customStyle="1" w:styleId="HeaderCoverPageChar">
    <w:name w:val="Header Cover Page Char"/>
    <w:basedOn w:val="WW-DefaultParagraphFont11"/>
  </w:style>
  <w:style w:type="character" w:customStyle="1" w:styleId="HeaderSensitivityChar">
    <w:name w:val="Header Sensitivity Char"/>
    <w:rPr>
      <w:b/>
      <w:sz w:val="32"/>
    </w:rPr>
  </w:style>
  <w:style w:type="character" w:customStyle="1" w:styleId="HeaderSensitivityRightChar">
    <w:name w:val="Header Sensitivity Right Char"/>
    <w:rPr>
      <w:sz w:val="28"/>
    </w:rPr>
  </w:style>
  <w:style w:type="character" w:customStyle="1" w:styleId="FooterChar">
    <w:name w:val="Footer Char"/>
    <w:rPr>
      <w:sz w:val="16"/>
    </w:rPr>
  </w:style>
  <w:style w:type="character" w:customStyle="1" w:styleId="BalloonTextChar">
    <w:name w:val="Balloon Text Char"/>
    <w:rPr>
      <w:rFonts w:ascii="Segoe UI" w:hAnsi="Segoe UI" w:cs="Segoe UI"/>
      <w:sz w:val="18"/>
      <w:szCs w:val="18"/>
    </w:rPr>
  </w:style>
  <w:style w:type="character" w:customStyle="1" w:styleId="CommentReference1">
    <w:name w:val="Comment Reference1"/>
    <w:rPr>
      <w:sz w:val="16"/>
      <w:szCs w:val="16"/>
    </w:rPr>
  </w:style>
  <w:style w:type="character" w:customStyle="1" w:styleId="CommentTextChar">
    <w:name w:val="Comment Text Char"/>
    <w:rPr>
      <w:sz w:val="20"/>
    </w:rPr>
  </w:style>
  <w:style w:type="character" w:customStyle="1" w:styleId="CommentSubjectChar">
    <w:name w:val="Comment Subject Char"/>
    <w:rPr>
      <w:b/>
      <w:bCs/>
      <w:sz w:val="20"/>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FootnoteReference1">
    <w:name w:val="Footnote Reference1"/>
    <w:rPr>
      <w:vertAlign w:val="superscript"/>
    </w:rPr>
  </w:style>
  <w:style w:type="character" w:customStyle="1" w:styleId="FootnoteReference2">
    <w:name w:val="Footnote Reference2"/>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Hyperlink">
    <w:name w:val="Hyperlink"/>
    <w:rPr>
      <w:color w:val="000080"/>
      <w:u w:val="single"/>
    </w:rPr>
  </w:style>
  <w:style w:type="character" w:customStyle="1" w:styleId="EndnoteReference1">
    <w:name w:val="Endnote Reference1"/>
    <w:rPr>
      <w:vertAlign w:val="superscript"/>
    </w:rPr>
  </w:style>
  <w:style w:type="character" w:customStyle="1" w:styleId="Bullets">
    <w:name w:val="Bullets"/>
    <w:rPr>
      <w:rFonts w:ascii="OpenSymbol" w:eastAsia="OpenSymbol" w:hAnsi="OpenSymbol" w:cs="OpenSymbol"/>
    </w:rPr>
  </w:style>
  <w:style w:type="character" w:customStyle="1" w:styleId="CommentReference2">
    <w:name w:val="Comment Reference2"/>
    <w:rPr>
      <w:sz w:val="16"/>
      <w:szCs w:val="16"/>
    </w:rPr>
  </w:style>
  <w:style w:type="character" w:customStyle="1" w:styleId="CommentTextChar1">
    <w:name w:val="Comment Text Char1"/>
    <w:rPr>
      <w:lang w:val="hu-HU"/>
    </w:rPr>
  </w:style>
  <w:style w:type="character" w:customStyle="1" w:styleId="CommentTextChar2">
    <w:name w:val="Comment Text Char2"/>
    <w:rPr>
      <w:lang w:val="hu-HU"/>
    </w:rPr>
  </w:style>
  <w:style w:type="character" w:customStyle="1" w:styleId="CommentSubjectChar1">
    <w:name w:val="Comment Subject Char1"/>
    <w:rPr>
      <w:b/>
      <w:bCs/>
      <w:lang w:val="hu-HU"/>
    </w:rPr>
  </w:style>
  <w:style w:type="character" w:customStyle="1" w:styleId="FootnoteTextChar">
    <w:name w:val="Footnote Text Char"/>
    <w:rPr>
      <w:lang w:val="hu-HU"/>
    </w:rPr>
  </w:style>
  <w:style w:type="character" w:customStyle="1" w:styleId="ListLabel3">
    <w:name w:val="ListLabel 3"/>
    <w:rPr>
      <w:lang w:val="hu-HU"/>
    </w:rPr>
  </w:style>
  <w:style w:type="character" w:customStyle="1" w:styleId="ListLabel4">
    <w:name w:val="ListLabel 4"/>
    <w:rPr>
      <w:rFonts w:cs="Times New Roman"/>
    </w:rPr>
  </w:style>
  <w:style w:type="character" w:customStyle="1" w:styleId="ListLabel5">
    <w:name w:val="ListLabel 5"/>
    <w:rPr>
      <w:rFonts w:cs="Symbol"/>
      <w:b/>
      <w:bCs/>
      <w:smallCaps/>
      <w:color w:val="000000"/>
      <w:szCs w:val="24"/>
      <w:lang w:val="hu-HU"/>
    </w:rPr>
  </w:style>
  <w:style w:type="character" w:customStyle="1" w:styleId="ListLabel6">
    <w:name w:val="ListLabel 6"/>
    <w:rPr>
      <w:rFonts w:cs="Courier New"/>
      <w:lang w:val="hu-HU"/>
    </w:rPr>
  </w:style>
  <w:style w:type="character" w:customStyle="1" w:styleId="ListLabel7">
    <w:name w:val="ListLabel 7"/>
    <w:rPr>
      <w:rFonts w:cs="Wingdings"/>
    </w:rPr>
  </w:style>
  <w:style w:type="character" w:customStyle="1" w:styleId="ListLabel8">
    <w:name w:val="ListLabel 8"/>
    <w:rPr>
      <w:rFonts w:cs="Times New Roman"/>
      <w:b/>
      <w:lang w:val="hu-HU"/>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Symbol"/>
      <w:lang w:val="hu-HU"/>
    </w:rPr>
  </w:style>
  <w:style w:type="character" w:customStyle="1" w:styleId="ListLabel12">
    <w:name w:val="ListLabel 12"/>
    <w:rPr>
      <w:rFonts w:eastAsia="Times New Roman" w:cs="OpenSymbol"/>
      <w:lang w:val="hu-HU"/>
    </w:rPr>
  </w:style>
  <w:style w:type="character" w:customStyle="1" w:styleId="FootnoteCharacters">
    <w:name w:val="Footnote Characters"/>
  </w:style>
  <w:style w:type="character" w:styleId="FootnoteReference">
    <w:name w:val="footnote reference"/>
    <w:rPr>
      <w:vertAlign w:val="superscript"/>
    </w:rPr>
  </w:style>
  <w:style w:type="character" w:styleId="EndnoteReference">
    <w:name w:val="endnote reference"/>
    <w:rPr>
      <w:vertAlign w:val="superscript"/>
    </w:rPr>
  </w:style>
  <w:style w:type="character" w:styleId="CommentReference">
    <w:name w:val="annotation reference"/>
    <w:rPr>
      <w:sz w:val="16"/>
      <w:szCs w:val="16"/>
    </w:rPr>
  </w:style>
  <w:style w:type="character" w:customStyle="1" w:styleId="CommentTextChar3">
    <w:name w:val="Comment Text Char3"/>
  </w:style>
  <w:style w:type="character" w:customStyle="1" w:styleId="CommentSubjectChar2">
    <w:name w:val="Comment Subject Char2"/>
    <w:rPr>
      <w:b/>
      <w:bCs/>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customStyle="1" w:styleId="Caption1">
    <w:name w:val="Caption1"/>
    <w:basedOn w:val="Normal"/>
    <w:pPr>
      <w:suppressLineNumbers/>
      <w:spacing w:before="120" w:after="120"/>
    </w:pPr>
    <w:rPr>
      <w:rFonts w:cs="Lucida Sans"/>
      <w:i/>
      <w:iCs/>
      <w:szCs w:val="24"/>
    </w:rPr>
  </w:style>
  <w:style w:type="paragraph" w:customStyle="1" w:styleId="FigureSource">
    <w:name w:val="Figure Source"/>
    <w:basedOn w:val="Normal"/>
    <w:rPr>
      <w:sz w:val="20"/>
    </w:rPr>
  </w:style>
  <w:style w:type="paragraph" w:customStyle="1" w:styleId="FigureNote">
    <w:name w:val="Figure Note"/>
    <w:basedOn w:val="FigureSource"/>
    <w:rPr>
      <w:b/>
    </w:rPr>
  </w:style>
  <w:style w:type="paragraph" w:customStyle="1" w:styleId="FigureBody">
    <w:name w:val="Figure Body"/>
    <w:basedOn w:val="Normal"/>
    <w:pPr>
      <w:keepNext/>
      <w:spacing w:after="40"/>
    </w:pPr>
  </w:style>
  <w:style w:type="paragraph" w:customStyle="1" w:styleId="FigureTitle">
    <w:name w:val="Figure Title"/>
    <w:basedOn w:val="Normal"/>
    <w:pPr>
      <w:keepNext/>
      <w:spacing w:after="180"/>
    </w:pPr>
    <w:rPr>
      <w:b/>
    </w:rPr>
  </w:style>
  <w:style w:type="paragraph" w:customStyle="1" w:styleId="HistTableHeading">
    <w:name w:val="HistTableHeading"/>
    <w:basedOn w:val="Normal"/>
    <w:pPr>
      <w:spacing w:before="240"/>
      <w:jc w:val="center"/>
    </w:pPr>
    <w:rPr>
      <w:rFonts w:ascii="Times New Roman Bold" w:hAnsi="Times New Roman Bold" w:cs="Times New Roman Bold"/>
      <w:b/>
      <w:caps/>
    </w:rPr>
  </w:style>
  <w:style w:type="paragraph" w:customStyle="1" w:styleId="HistoryTable">
    <w:name w:val="HistoryTable"/>
    <w:basedOn w:val="Normal"/>
    <w:pPr>
      <w:spacing w:before="60" w:after="60"/>
      <w:jc w:val="left"/>
    </w:pPr>
    <w:rPr>
      <w:sz w:val="20"/>
    </w:rPr>
  </w:style>
  <w:style w:type="paragraph" w:styleId="Footer">
    <w:name w:val="footer"/>
    <w:basedOn w:val="Normal"/>
    <w:pPr>
      <w:suppressLineNumbers/>
      <w:tabs>
        <w:tab w:val="center" w:pos="4819"/>
        <w:tab w:val="right" w:pos="9638"/>
      </w:tabs>
      <w:spacing w:after="0"/>
      <w:ind w:right="-567"/>
      <w:jc w:val="left"/>
    </w:pPr>
    <w:rPr>
      <w:sz w:val="16"/>
    </w:rPr>
  </w:style>
  <w:style w:type="paragraph" w:customStyle="1" w:styleId="FooterLine">
    <w:name w:val="Footer Line"/>
    <w:basedOn w:val="Footer"/>
    <w:pPr>
      <w:tabs>
        <w:tab w:val="clear" w:pos="4819"/>
        <w:tab w:val="clear" w:pos="9638"/>
        <w:tab w:val="right" w:pos="8646"/>
      </w:tabs>
      <w:spacing w:before="120" w:after="240" w:line="264" w:lineRule="auto"/>
      <w:ind w:right="0"/>
      <w:jc w:val="both"/>
    </w:pPr>
  </w:style>
  <w:style w:type="paragraph" w:customStyle="1" w:styleId="YReferences">
    <w:name w:val="YReferences"/>
    <w:basedOn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pPr>
      <w:jc w:val="center"/>
    </w:pPr>
    <w:rPr>
      <w:b/>
      <w:sz w:val="40"/>
    </w:rPr>
  </w:style>
  <w:style w:type="paragraph" w:styleId="Title">
    <w:name w:val="Title"/>
    <w:basedOn w:val="Normal"/>
    <w:next w:val="Subtitle"/>
    <w:qFormat/>
    <w:pPr>
      <w:spacing w:after="480"/>
      <w:jc w:val="center"/>
    </w:pPr>
    <w:rPr>
      <w:b/>
      <w:bCs/>
      <w:kern w:val="1"/>
      <w:sz w:val="48"/>
      <w:szCs w:val="36"/>
    </w:rPr>
  </w:style>
  <w:style w:type="paragraph" w:styleId="Subtitle">
    <w:name w:val="Subtitle"/>
    <w:basedOn w:val="Heading"/>
    <w:next w:val="BodyText"/>
    <w:qFormat/>
    <w:pPr>
      <w:jc w:val="center"/>
    </w:pPr>
    <w:rPr>
      <w:i/>
      <w:iCs/>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pPr>
      <w:tabs>
        <w:tab w:val="left" w:pos="5102"/>
      </w:tabs>
      <w:spacing w:before="1200" w:after="0"/>
      <w:jc w:val="left"/>
    </w:pPr>
  </w:style>
  <w:style w:type="paragraph" w:customStyle="1" w:styleId="SignatureL">
    <w:name w:val="SignatureL"/>
    <w:basedOn w:val="Normal"/>
    <w:pPr>
      <w:tabs>
        <w:tab w:val="left" w:pos="5102"/>
      </w:tabs>
      <w:spacing w:before="1200" w:after="0"/>
      <w:jc w:val="left"/>
    </w:pPr>
  </w:style>
  <w:style w:type="paragraph" w:styleId="Signature">
    <w:name w:val="Signature"/>
    <w:basedOn w:val="Normal"/>
    <w:pPr>
      <w:suppressLineNumbers/>
      <w:tabs>
        <w:tab w:val="left" w:pos="5102"/>
      </w:tabs>
      <w:spacing w:before="1200" w:after="0"/>
      <w:ind w:left="5102"/>
      <w:jc w:val="center"/>
    </w:pPr>
  </w:style>
  <w:style w:type="paragraph" w:customStyle="1" w:styleId="SectionTitle">
    <w:name w:val="SectionTitle"/>
    <w:basedOn w:val="Normal"/>
    <w:pPr>
      <w:keepNext/>
      <w:spacing w:after="480"/>
      <w:jc w:val="center"/>
    </w:pPr>
    <w:rPr>
      <w:b/>
      <w:smallCaps/>
      <w:sz w:val="28"/>
    </w:rPr>
  </w:style>
  <w:style w:type="paragraph" w:customStyle="1" w:styleId="ChapterTitle">
    <w:name w:val="ChapterTitle"/>
    <w:basedOn w:val="Normal"/>
    <w:pPr>
      <w:keepNext/>
      <w:spacing w:after="480"/>
      <w:jc w:val="center"/>
    </w:pPr>
    <w:rPr>
      <w:b/>
      <w:sz w:val="32"/>
    </w:rPr>
  </w:style>
  <w:style w:type="paragraph" w:customStyle="1" w:styleId="PartTitle">
    <w:name w:val="PartTitle"/>
    <w:basedOn w:val="Normal"/>
    <w:pPr>
      <w:keepNext/>
      <w:pageBreakBefore/>
      <w:spacing w:after="480"/>
      <w:jc w:val="center"/>
    </w:pPr>
    <w:rPr>
      <w:b/>
      <w:sz w:val="36"/>
    </w:rPr>
  </w:style>
  <w:style w:type="paragraph" w:customStyle="1" w:styleId="AddressTR">
    <w:name w:val="AddressTR"/>
    <w:basedOn w:val="Normal"/>
    <w:pPr>
      <w:spacing w:after="720"/>
      <w:ind w:left="5102"/>
      <w:jc w:val="left"/>
    </w:pPr>
  </w:style>
  <w:style w:type="paragraph" w:customStyle="1" w:styleId="AddressTL">
    <w:name w:val="AddressTL"/>
    <w:basedOn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pPr>
      <w:ind w:left="1202"/>
    </w:pPr>
  </w:style>
  <w:style w:type="paragraph" w:customStyle="1" w:styleId="Text3">
    <w:name w:val="Text 3"/>
    <w:basedOn w:val="Normal"/>
    <w:pPr>
      <w:ind w:left="1202"/>
    </w:pPr>
  </w:style>
  <w:style w:type="paragraph" w:customStyle="1" w:styleId="Text2">
    <w:name w:val="Text 2"/>
    <w:basedOn w:val="Normal"/>
    <w:pPr>
      <w:ind w:left="1202"/>
    </w:pPr>
  </w:style>
  <w:style w:type="paragraph" w:customStyle="1" w:styleId="Text1">
    <w:name w:val="Text 1"/>
    <w:basedOn w:val="Normal"/>
    <w:pPr>
      <w:ind w:left="482"/>
    </w:pPr>
  </w:style>
  <w:style w:type="paragraph" w:customStyle="1" w:styleId="ZFlag">
    <w:name w:val="Z_Flag"/>
    <w:basedOn w:val="Normal"/>
    <w:pPr>
      <w:widowControl w:val="0"/>
      <w:spacing w:after="0"/>
      <w:ind w:right="85"/>
    </w:pPr>
  </w:style>
  <w:style w:type="paragraph" w:customStyle="1" w:styleId="ZCom">
    <w:name w:val="Z_Com"/>
    <w:basedOn w:val="Normal"/>
    <w:pPr>
      <w:widowControl w:val="0"/>
      <w:spacing w:before="90" w:after="0"/>
      <w:ind w:right="85"/>
    </w:pPr>
  </w:style>
  <w:style w:type="paragraph" w:customStyle="1" w:styleId="ZDGName">
    <w:name w:val="Z_DGName"/>
    <w:basedOn w:val="Normal"/>
    <w:pPr>
      <w:widowControl w:val="0"/>
      <w:spacing w:after="0"/>
      <w:ind w:right="85"/>
      <w:jc w:val="left"/>
    </w:pPr>
    <w:rPr>
      <w:sz w:val="16"/>
    </w:rPr>
  </w:style>
  <w:style w:type="paragraph" w:customStyle="1" w:styleId="Caption10">
    <w:name w:val="Caption1"/>
    <w:basedOn w:val="Normal"/>
    <w:pPr>
      <w:spacing w:before="160"/>
    </w:pPr>
    <w:rPr>
      <w:i/>
      <w:sz w:val="22"/>
    </w:rPr>
  </w:style>
  <w:style w:type="paragraph" w:customStyle="1" w:styleId="Contact">
    <w:name w:val="Contact"/>
    <w:basedOn w:val="Normal"/>
    <w:pPr>
      <w:spacing w:before="480" w:after="0"/>
      <w:ind w:left="567" w:hanging="567"/>
      <w:jc w:val="left"/>
    </w:pPr>
  </w:style>
  <w:style w:type="paragraph" w:styleId="Date">
    <w:name w:val="Date"/>
    <w:basedOn w:val="Normal"/>
    <w:pPr>
      <w:spacing w:after="0"/>
      <w:ind w:left="5102" w:right="-567"/>
      <w:jc w:val="left"/>
    </w:pPr>
  </w:style>
  <w:style w:type="paragraph" w:customStyle="1" w:styleId="References">
    <w:name w:val="References"/>
    <w:basedOn w:val="Normal"/>
    <w:pPr>
      <w:ind w:left="5102" w:right="-567"/>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rPr>
  </w:style>
  <w:style w:type="paragraph" w:customStyle="1" w:styleId="ConfidentialUE">
    <w:name w:val="Confidential UE"/>
    <w:basedOn w:val="Normal"/>
    <w:pPr>
      <w:spacing w:after="0"/>
      <w:jc w:val="center"/>
    </w:pPr>
    <w:rPr>
      <w:b/>
      <w:caps/>
      <w:sz w:val="32"/>
    </w:rPr>
  </w:style>
  <w:style w:type="paragraph" w:customStyle="1" w:styleId="SecretUE">
    <w:name w:val="Secret UE"/>
    <w:basedOn w:val="Normal"/>
    <w:pPr>
      <w:spacing w:after="0"/>
      <w:jc w:val="center"/>
    </w:pPr>
    <w:rPr>
      <w:b/>
      <w:caps/>
      <w:color w:val="FF0000"/>
      <w:sz w:val="32"/>
    </w:rPr>
  </w:style>
  <w:style w:type="paragraph" w:customStyle="1" w:styleId="TrsSecretUE">
    <w:name w:val="Très Secret UE"/>
    <w:basedOn w:val="Normal"/>
    <w:pPr>
      <w:spacing w:after="0"/>
      <w:jc w:val="center"/>
    </w:pPr>
    <w:rPr>
      <w:b/>
      <w:caps/>
      <w:color w:val="FF0000"/>
      <w:sz w:val="32"/>
    </w:rPr>
  </w:style>
  <w:style w:type="paragraph" w:customStyle="1" w:styleId="EndnoteText1">
    <w:name w:val="Endnote Text1"/>
    <w:basedOn w:val="Normal"/>
    <w:rPr>
      <w:sz w:val="20"/>
    </w:rPr>
  </w:style>
  <w:style w:type="paragraph" w:customStyle="1" w:styleId="FootnoteText1">
    <w:name w:val="Footnote Text1"/>
    <w:basedOn w:val="Normal"/>
    <w:pPr>
      <w:spacing w:after="120"/>
      <w:ind w:left="357" w:hanging="357"/>
    </w:pPr>
    <w:rPr>
      <w:sz w:val="20"/>
    </w:rPr>
  </w:style>
  <w:style w:type="paragraph" w:customStyle="1" w:styleId="MacroText1">
    <w:name w:val="Macro Text1"/>
    <w:basedOn w:val="Normal"/>
    <w:pPr>
      <w:tabs>
        <w:tab w:val="left" w:pos="482"/>
        <w:tab w:val="left" w:pos="958"/>
        <w:tab w:val="left" w:pos="1440"/>
        <w:tab w:val="left" w:pos="1922"/>
        <w:tab w:val="left" w:pos="2398"/>
        <w:tab w:val="left" w:pos="2880"/>
        <w:tab w:val="left" w:pos="3362"/>
        <w:tab w:val="left" w:pos="3838"/>
        <w:tab w:val="left" w:pos="4320"/>
      </w:tabs>
    </w:pPr>
    <w:rPr>
      <w:rFonts w:ascii="Courier New" w:hAnsi="Courier New" w:cs="Courier New"/>
      <w:sz w:val="22"/>
    </w:rPr>
  </w:style>
  <w:style w:type="paragraph" w:customStyle="1" w:styleId="NumPar1">
    <w:name w:val="NumPar 1"/>
    <w:basedOn w:val="Heading1"/>
    <w:pPr>
      <w:keepNext w:val="0"/>
      <w:numPr>
        <w:numId w:val="0"/>
      </w:numPr>
      <w:spacing w:before="0"/>
    </w:pPr>
    <w:rPr>
      <w:b w:val="0"/>
      <w:smallCaps w:val="0"/>
    </w:rPr>
  </w:style>
  <w:style w:type="paragraph" w:customStyle="1" w:styleId="NumPar2">
    <w:name w:val="NumPar 2"/>
    <w:basedOn w:val="Heading2"/>
    <w:pPr>
      <w:keepNext w:val="0"/>
      <w:tabs>
        <w:tab w:val="clear" w:pos="2268"/>
      </w:tabs>
      <w:ind w:left="0" w:firstLine="0"/>
    </w:pPr>
    <w:rPr>
      <w:b w:val="0"/>
    </w:rPr>
  </w:style>
  <w:style w:type="paragraph" w:customStyle="1" w:styleId="NumPar3">
    <w:name w:val="NumPar 3"/>
    <w:basedOn w:val="Heading3"/>
    <w:pPr>
      <w:keepNext w:val="0"/>
      <w:numPr>
        <w:ilvl w:val="0"/>
        <w:numId w:val="0"/>
      </w:numPr>
    </w:pPr>
    <w:rPr>
      <w:i w:val="0"/>
    </w:rPr>
  </w:style>
  <w:style w:type="paragraph" w:customStyle="1" w:styleId="NumPar4">
    <w:name w:val="NumPar 4"/>
    <w:basedOn w:val="Heading4"/>
    <w:pPr>
      <w:keepNext w:val="0"/>
      <w:numPr>
        <w:ilvl w:val="0"/>
        <w:numId w:val="0"/>
      </w:numPr>
    </w:pPr>
  </w:style>
  <w:style w:type="paragraph" w:customStyle="1" w:styleId="AnnexTitle">
    <w:name w:val="AnnexTitle"/>
    <w:basedOn w:val="Normal"/>
    <w:pPr>
      <w:pageBreakBefore/>
      <w:tabs>
        <w:tab w:val="left" w:pos="2268"/>
      </w:tabs>
      <w:spacing w:after="480"/>
      <w:ind w:left="2268" w:hanging="2268"/>
    </w:pPr>
    <w:rPr>
      <w:b/>
      <w:sz w:val="32"/>
    </w:rPr>
  </w:style>
  <w:style w:type="paragraph" w:customStyle="1" w:styleId="ContentsHeading">
    <w:name w:val="Contents Heading"/>
    <w:basedOn w:val="Normal"/>
    <w:pPr>
      <w:suppressLineNumbers/>
      <w:spacing w:before="240"/>
      <w:jc w:val="center"/>
    </w:pPr>
    <w:rPr>
      <w:rFonts w:ascii="Times New Roman Bold" w:hAnsi="Times New Roman Bold" w:cs="Times New Roman Bold"/>
      <w:b/>
      <w:bCs/>
      <w:caps/>
      <w:sz w:val="32"/>
      <w:szCs w:val="32"/>
    </w:rPr>
  </w:style>
  <w:style w:type="paragraph" w:styleId="TOC1">
    <w:name w:val="toc 1"/>
    <w:basedOn w:val="Normal"/>
    <w:pPr>
      <w:tabs>
        <w:tab w:val="right" w:leader="dot" w:pos="8640"/>
      </w:tabs>
      <w:spacing w:before="120" w:after="120"/>
      <w:ind w:left="482" w:right="720" w:hanging="482"/>
    </w:pPr>
    <w:rPr>
      <w:caps/>
    </w:rPr>
  </w:style>
  <w:style w:type="paragraph" w:styleId="TOC2">
    <w:name w:val="toc 2"/>
    <w:basedOn w:val="Normal"/>
    <w:pPr>
      <w:tabs>
        <w:tab w:val="right" w:leader="dot" w:pos="8640"/>
      </w:tabs>
      <w:spacing w:before="60" w:after="60"/>
      <w:ind w:left="1077" w:right="720" w:hanging="595"/>
    </w:pPr>
  </w:style>
  <w:style w:type="paragraph" w:styleId="TOC3">
    <w:name w:val="toc 3"/>
    <w:basedOn w:val="Normal"/>
    <w:pPr>
      <w:tabs>
        <w:tab w:val="right" w:leader="dot" w:pos="8640"/>
      </w:tabs>
      <w:spacing w:before="60" w:after="60"/>
      <w:ind w:left="1916" w:right="720" w:hanging="839"/>
    </w:pPr>
  </w:style>
  <w:style w:type="paragraph" w:styleId="TOC4">
    <w:name w:val="toc 4"/>
    <w:basedOn w:val="Normal"/>
    <w:pPr>
      <w:tabs>
        <w:tab w:val="right" w:leader="dot" w:pos="8640"/>
      </w:tabs>
      <w:spacing w:before="60" w:after="60"/>
      <w:ind w:left="2880" w:right="720" w:hanging="964"/>
    </w:pPr>
  </w:style>
  <w:style w:type="paragraph" w:styleId="TOC5">
    <w:name w:val="toc 5"/>
    <w:basedOn w:val="Normal"/>
    <w:pPr>
      <w:tabs>
        <w:tab w:val="right" w:leader="dot" w:pos="8640"/>
      </w:tabs>
      <w:spacing w:before="240" w:after="120"/>
      <w:ind w:left="1132" w:right="720"/>
    </w:pPr>
    <w:rPr>
      <w:caps/>
    </w:rPr>
  </w:style>
  <w:style w:type="paragraph" w:styleId="TOC6">
    <w:name w:val="toc 6"/>
    <w:basedOn w:val="Normal"/>
    <w:pPr>
      <w:tabs>
        <w:tab w:val="left" w:pos="2880"/>
        <w:tab w:val="right" w:leader="dot" w:pos="8640"/>
      </w:tabs>
      <w:spacing w:before="120" w:after="120"/>
      <w:ind w:left="1916" w:right="720" w:hanging="1916"/>
    </w:pPr>
    <w:rPr>
      <w:caps/>
    </w:rPr>
  </w:style>
  <w:style w:type="paragraph" w:styleId="TOC7">
    <w:name w:val="toc 7"/>
    <w:basedOn w:val="Normal"/>
    <w:pPr>
      <w:tabs>
        <w:tab w:val="right" w:leader="dot" w:pos="8640"/>
      </w:tabs>
      <w:ind w:left="1698"/>
    </w:pPr>
  </w:style>
  <w:style w:type="paragraph" w:styleId="TOC8">
    <w:name w:val="toc 8"/>
    <w:basedOn w:val="Normal"/>
    <w:pPr>
      <w:tabs>
        <w:tab w:val="right" w:leader="dot" w:pos="8640"/>
      </w:tabs>
      <w:ind w:left="1981"/>
    </w:pPr>
  </w:style>
  <w:style w:type="paragraph" w:styleId="TOC9">
    <w:name w:val="toc 9"/>
    <w:basedOn w:val="Normal"/>
    <w:pPr>
      <w:tabs>
        <w:tab w:val="right" w:leader="dot" w:pos="8640"/>
      </w:tabs>
      <w:ind w:left="2264"/>
    </w:pPr>
  </w:style>
  <w:style w:type="paragraph" w:styleId="ListBullet">
    <w:name w:val="List Bullet"/>
    <w:basedOn w:val="Normal"/>
  </w:style>
  <w:style w:type="paragraph" w:customStyle="1" w:styleId="ListBulletLevel2">
    <w:name w:val="List Bullet (Level 2)"/>
    <w:basedOn w:val="Text1"/>
  </w:style>
  <w:style w:type="paragraph" w:customStyle="1" w:styleId="ListBulletLevel3">
    <w:name w:val="List Bullet (Level 3)"/>
    <w:basedOn w:val="Text1"/>
  </w:style>
  <w:style w:type="paragraph" w:customStyle="1" w:styleId="ListBulletLevel4">
    <w:name w:val="List Bullet (Level 4)"/>
    <w:basedOn w:val="Text1"/>
  </w:style>
  <w:style w:type="paragraph" w:customStyle="1" w:styleId="ListBullet1">
    <w:name w:val="List Bullet 1"/>
    <w:basedOn w:val="Text1"/>
  </w:style>
  <w:style w:type="paragraph" w:customStyle="1" w:styleId="ListBullet1Level2">
    <w:name w:val="List Bullet 1 (Level 2)"/>
    <w:basedOn w:val="Text1"/>
  </w:style>
  <w:style w:type="paragraph" w:customStyle="1" w:styleId="ListBullet1Level3">
    <w:name w:val="List Bullet 1 (Level 3)"/>
    <w:basedOn w:val="Text1"/>
  </w:style>
  <w:style w:type="paragraph" w:customStyle="1" w:styleId="ListBullet1Level4">
    <w:name w:val="List Bullet 1 (Level 4)"/>
    <w:basedOn w:val="Text1"/>
  </w:style>
  <w:style w:type="paragraph" w:styleId="ListBullet2">
    <w:name w:val="List Bullet 2"/>
    <w:basedOn w:val="Text2"/>
  </w:style>
  <w:style w:type="paragraph" w:customStyle="1" w:styleId="ListBullet2Level2">
    <w:name w:val="List Bullet 2 (Level 2)"/>
    <w:basedOn w:val="Text2"/>
  </w:style>
  <w:style w:type="paragraph" w:customStyle="1" w:styleId="ListBullet2Level3">
    <w:name w:val="List Bullet 2 (Level 3)"/>
    <w:basedOn w:val="Text2"/>
  </w:style>
  <w:style w:type="paragraph" w:customStyle="1" w:styleId="ListBullet2Level4">
    <w:name w:val="List Bullet 2 (Level 4)"/>
    <w:basedOn w:val="Text2"/>
  </w:style>
  <w:style w:type="paragraph" w:styleId="ListBullet3">
    <w:name w:val="List Bullet 3"/>
    <w:basedOn w:val="Text3"/>
  </w:style>
  <w:style w:type="paragraph" w:customStyle="1" w:styleId="ListBullet3Level2">
    <w:name w:val="List Bullet 3 (Level 2)"/>
    <w:basedOn w:val="Text3"/>
  </w:style>
  <w:style w:type="paragraph" w:customStyle="1" w:styleId="ListBullet3Level3">
    <w:name w:val="List Bullet 3 (Level 3)"/>
    <w:basedOn w:val="Text3"/>
  </w:style>
  <w:style w:type="paragraph" w:customStyle="1" w:styleId="ListBullet3Level4">
    <w:name w:val="List Bullet 3 (Level 4)"/>
    <w:basedOn w:val="Text3"/>
  </w:style>
  <w:style w:type="paragraph" w:styleId="ListBullet4">
    <w:name w:val="List Bullet 4"/>
    <w:basedOn w:val="Text4"/>
  </w:style>
  <w:style w:type="paragraph" w:customStyle="1" w:styleId="ListBullet4Level2">
    <w:name w:val="List Bullet 4 (Level 2)"/>
    <w:basedOn w:val="Text4"/>
  </w:style>
  <w:style w:type="paragraph" w:customStyle="1" w:styleId="ListBullet4Level3">
    <w:name w:val="List Bullet 4 (Level 3)"/>
    <w:basedOn w:val="Text4"/>
  </w:style>
  <w:style w:type="paragraph" w:customStyle="1" w:styleId="ListBullet4Level4">
    <w:name w:val="List Bullet 4 (Level 4)"/>
    <w:basedOn w:val="Text4"/>
  </w:style>
  <w:style w:type="paragraph" w:customStyle="1" w:styleId="ListDash">
    <w:name w:val="List Dash"/>
    <w:basedOn w:val="Normal"/>
  </w:style>
  <w:style w:type="paragraph" w:customStyle="1" w:styleId="ListDashLevel2">
    <w:name w:val="List Dash (Level 2)"/>
    <w:basedOn w:val="Normal"/>
  </w:style>
  <w:style w:type="paragraph" w:customStyle="1" w:styleId="ListDashLevel3">
    <w:name w:val="List Dash (Level 3)"/>
    <w:basedOn w:val="Normal"/>
  </w:style>
  <w:style w:type="paragraph" w:customStyle="1" w:styleId="ListDashLevel4">
    <w:name w:val="List Dash (Level 4)"/>
    <w:basedOn w:val="Normal"/>
  </w:style>
  <w:style w:type="paragraph" w:customStyle="1" w:styleId="ListDash1">
    <w:name w:val="List Dash 1"/>
    <w:basedOn w:val="Text1"/>
  </w:style>
  <w:style w:type="paragraph" w:customStyle="1" w:styleId="ListDash1Level2">
    <w:name w:val="List Dash 1 (Level 2)"/>
    <w:basedOn w:val="Text1"/>
  </w:style>
  <w:style w:type="paragraph" w:customStyle="1" w:styleId="ListDash1Level3">
    <w:name w:val="List Dash 1 (Level 3)"/>
    <w:basedOn w:val="Text1"/>
  </w:style>
  <w:style w:type="paragraph" w:customStyle="1" w:styleId="ListDash1Level4">
    <w:name w:val="List Dash 1 (Level 4)"/>
    <w:basedOn w:val="Text1"/>
  </w:style>
  <w:style w:type="paragraph" w:customStyle="1" w:styleId="ListDash2">
    <w:name w:val="List Dash 2"/>
    <w:basedOn w:val="Text2"/>
  </w:style>
  <w:style w:type="paragraph" w:customStyle="1" w:styleId="ListDash2Level2">
    <w:name w:val="List Dash 2 (Level 2)"/>
    <w:basedOn w:val="Text2"/>
  </w:style>
  <w:style w:type="paragraph" w:customStyle="1" w:styleId="ListDash2Level3">
    <w:name w:val="List Dash 2 (Level 3)"/>
    <w:basedOn w:val="Text2"/>
  </w:style>
  <w:style w:type="paragraph" w:customStyle="1" w:styleId="ListDash2Level4">
    <w:name w:val="List Dash 2 (Level 4)"/>
    <w:basedOn w:val="Text2"/>
  </w:style>
  <w:style w:type="paragraph" w:customStyle="1" w:styleId="ListDash3">
    <w:name w:val="List Dash 3"/>
    <w:basedOn w:val="Text3"/>
  </w:style>
  <w:style w:type="paragraph" w:customStyle="1" w:styleId="ListDash3Level2">
    <w:name w:val="List Dash 3 (Level 2)"/>
    <w:basedOn w:val="Text3"/>
  </w:style>
  <w:style w:type="paragraph" w:customStyle="1" w:styleId="ListDash3Level3">
    <w:name w:val="List Dash 3 (Level 3)"/>
    <w:basedOn w:val="Text3"/>
  </w:style>
  <w:style w:type="paragraph" w:customStyle="1" w:styleId="ListDash3Level4">
    <w:name w:val="List Dash 3 (Level 4)"/>
    <w:basedOn w:val="Text3"/>
  </w:style>
  <w:style w:type="paragraph" w:customStyle="1" w:styleId="ListDash4">
    <w:name w:val="List Dash 4"/>
    <w:basedOn w:val="Text4"/>
  </w:style>
  <w:style w:type="paragraph" w:customStyle="1" w:styleId="ListDash4Level2">
    <w:name w:val="List Dash 4 (Level 2)"/>
    <w:basedOn w:val="Text4"/>
  </w:style>
  <w:style w:type="paragraph" w:customStyle="1" w:styleId="ListDash4Level3">
    <w:name w:val="List Dash 4 (Level 3)"/>
    <w:basedOn w:val="Text4"/>
  </w:style>
  <w:style w:type="paragraph" w:customStyle="1" w:styleId="ListDash4Level4">
    <w:name w:val="List Dash 4 (Level 4)"/>
    <w:basedOn w:val="Text4"/>
  </w:style>
  <w:style w:type="paragraph" w:styleId="ListNumber">
    <w:name w:val="List Number"/>
    <w:basedOn w:val="Normal"/>
    <w:pPr>
      <w:tabs>
        <w:tab w:val="left" w:pos="2268"/>
      </w:tabs>
      <w:ind w:left="2268" w:hanging="2268"/>
    </w:pPr>
  </w:style>
  <w:style w:type="paragraph" w:customStyle="1" w:styleId="ListNumberLevel2">
    <w:name w:val="List Number (Level 2)"/>
    <w:basedOn w:val="Normal"/>
    <w:pPr>
      <w:tabs>
        <w:tab w:val="left" w:pos="2268"/>
      </w:tabs>
      <w:ind w:left="2268" w:hanging="2268"/>
    </w:pPr>
  </w:style>
  <w:style w:type="paragraph" w:customStyle="1" w:styleId="ListNumberLevel3">
    <w:name w:val="List Number (Level 3)"/>
    <w:basedOn w:val="Normal"/>
  </w:style>
  <w:style w:type="paragraph" w:customStyle="1" w:styleId="ListNumberLevel4">
    <w:name w:val="List Number (Level 4)"/>
    <w:basedOn w:val="Normal"/>
  </w:style>
  <w:style w:type="paragraph" w:customStyle="1" w:styleId="ListNumber1">
    <w:name w:val="List Number 1"/>
    <w:basedOn w:val="Text1"/>
    <w:pPr>
      <w:tabs>
        <w:tab w:val="left" w:pos="2268"/>
      </w:tabs>
      <w:ind w:left="2268" w:hanging="2268"/>
    </w:pPr>
  </w:style>
  <w:style w:type="paragraph" w:customStyle="1" w:styleId="ListNumber1Level2">
    <w:name w:val="List Number 1 (Level 2)"/>
    <w:basedOn w:val="Text1"/>
    <w:pPr>
      <w:tabs>
        <w:tab w:val="left" w:pos="2268"/>
      </w:tabs>
      <w:ind w:left="2268" w:hanging="2268"/>
    </w:pPr>
  </w:style>
  <w:style w:type="paragraph" w:customStyle="1" w:styleId="ListNumber1Level3">
    <w:name w:val="List Number 1 (Level 3)"/>
    <w:basedOn w:val="Text1"/>
  </w:style>
  <w:style w:type="paragraph" w:customStyle="1" w:styleId="ListNumber1Level4">
    <w:name w:val="List Number 1 (Level 4)"/>
    <w:basedOn w:val="Text1"/>
  </w:style>
  <w:style w:type="paragraph" w:styleId="ListNumber2">
    <w:name w:val="List Number 2"/>
    <w:basedOn w:val="Text2"/>
    <w:pPr>
      <w:tabs>
        <w:tab w:val="left" w:pos="2268"/>
      </w:tabs>
      <w:ind w:left="0"/>
    </w:pPr>
  </w:style>
  <w:style w:type="paragraph" w:customStyle="1" w:styleId="ListNumber2Level2">
    <w:name w:val="List Number 2 (Level 2)"/>
    <w:basedOn w:val="Text2"/>
    <w:pPr>
      <w:tabs>
        <w:tab w:val="left" w:pos="2268"/>
      </w:tabs>
      <w:ind w:left="2268" w:hanging="2268"/>
    </w:pPr>
  </w:style>
  <w:style w:type="paragraph" w:customStyle="1" w:styleId="ListNumber2Level3">
    <w:name w:val="List Number 2 (Level 3)"/>
    <w:basedOn w:val="Text2"/>
  </w:style>
  <w:style w:type="paragraph" w:customStyle="1" w:styleId="ListNumber2Level4">
    <w:name w:val="List Number 2 (Level 4)"/>
    <w:basedOn w:val="Text2"/>
  </w:style>
  <w:style w:type="paragraph" w:styleId="ListNumber3">
    <w:name w:val="List Number 3"/>
    <w:basedOn w:val="Text3"/>
    <w:pPr>
      <w:tabs>
        <w:tab w:val="left" w:pos="2268"/>
      </w:tabs>
      <w:ind w:left="2268" w:hanging="2268"/>
    </w:pPr>
  </w:style>
  <w:style w:type="paragraph" w:customStyle="1" w:styleId="ListNumber3Level2">
    <w:name w:val="List Number 3 (Level 2)"/>
    <w:basedOn w:val="Text3"/>
    <w:pPr>
      <w:tabs>
        <w:tab w:val="left" w:pos="2268"/>
      </w:tabs>
      <w:ind w:left="2268" w:hanging="2268"/>
    </w:pPr>
  </w:style>
  <w:style w:type="paragraph" w:customStyle="1" w:styleId="ListNumber3Level3">
    <w:name w:val="List Number 3 (Level 3)"/>
    <w:basedOn w:val="Text3"/>
  </w:style>
  <w:style w:type="paragraph" w:customStyle="1" w:styleId="ListNumber3Level4">
    <w:name w:val="List Number 3 (Level 4)"/>
    <w:basedOn w:val="Text3"/>
  </w:style>
  <w:style w:type="paragraph" w:styleId="ListNumber4">
    <w:name w:val="List Number 4"/>
    <w:basedOn w:val="Text4"/>
    <w:pPr>
      <w:tabs>
        <w:tab w:val="left" w:pos="2268"/>
      </w:tabs>
      <w:ind w:left="2268" w:hanging="2268"/>
    </w:pPr>
  </w:style>
  <w:style w:type="paragraph" w:customStyle="1" w:styleId="ListNumber4Level2">
    <w:name w:val="List Number 4 (Level 2)"/>
    <w:basedOn w:val="Text4"/>
    <w:pPr>
      <w:tabs>
        <w:tab w:val="left" w:pos="2268"/>
      </w:tabs>
      <w:ind w:left="2268" w:hanging="2268"/>
    </w:pPr>
  </w:style>
  <w:style w:type="paragraph" w:customStyle="1" w:styleId="ListNumber4Level3">
    <w:name w:val="List Number 4 (Level 3)"/>
    <w:basedOn w:val="Text4"/>
  </w:style>
  <w:style w:type="paragraph" w:customStyle="1" w:styleId="ListNumber4Level4">
    <w:name w:val="List Number 4 (Level 4)"/>
    <w:basedOn w:val="Text4"/>
  </w:style>
  <w:style w:type="paragraph" w:customStyle="1" w:styleId="Marking">
    <w:name w:val="Marking"/>
    <w:basedOn w:val="Normal"/>
    <w:pPr>
      <w:spacing w:line="276" w:lineRule="auto"/>
      <w:ind w:left="5102" w:right="-567"/>
      <w:jc w:val="left"/>
    </w:pPr>
    <w:rPr>
      <w:sz w:val="28"/>
    </w:rPr>
  </w:style>
  <w:style w:type="paragraph" w:customStyle="1" w:styleId="LegalNumPar">
    <w:name w:val="LegalNumPar"/>
    <w:basedOn w:val="Normal"/>
    <w:pPr>
      <w:tabs>
        <w:tab w:val="left" w:pos="2268"/>
      </w:tabs>
      <w:spacing w:line="360" w:lineRule="auto"/>
      <w:ind w:left="2268" w:hanging="2268"/>
    </w:pPr>
  </w:style>
  <w:style w:type="paragraph" w:customStyle="1" w:styleId="LegalNumPar2">
    <w:name w:val="LegalNumPar2"/>
    <w:basedOn w:val="Normal"/>
    <w:pPr>
      <w:tabs>
        <w:tab w:val="left" w:pos="2268"/>
      </w:tabs>
      <w:spacing w:line="360" w:lineRule="auto"/>
      <w:ind w:left="2268" w:hanging="2268"/>
    </w:pPr>
  </w:style>
  <w:style w:type="paragraph" w:customStyle="1" w:styleId="LegalNumPar3">
    <w:name w:val="LegalNumPar3"/>
    <w:basedOn w:val="Normal"/>
    <w:pPr>
      <w:tabs>
        <w:tab w:val="left" w:pos="2268"/>
      </w:tabs>
      <w:spacing w:line="360" w:lineRule="auto"/>
      <w:ind w:left="2268" w:hanging="2268"/>
    </w:pPr>
  </w:style>
  <w:style w:type="paragraph" w:styleId="Header">
    <w:name w:val="header"/>
    <w:basedOn w:val="Normal"/>
    <w:pPr>
      <w:suppressLineNumbers/>
      <w:tabs>
        <w:tab w:val="center" w:pos="4150"/>
        <w:tab w:val="right" w:pos="8306"/>
      </w:tabs>
      <w:spacing w:after="0"/>
    </w:pPr>
  </w:style>
  <w:style w:type="paragraph" w:customStyle="1" w:styleId="Pagedecouverture">
    <w:name w:val="Page de couverture"/>
    <w:basedOn w:val="Normal"/>
    <w:pPr>
      <w:spacing w:after="0"/>
    </w:pPr>
    <w:rPr>
      <w:rFonts w:cs="Calibri"/>
      <w:szCs w:val="22"/>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HeaderCoverPage">
    <w:name w:val="Header Cover Page"/>
    <w:basedOn w:val="Normal"/>
    <w:pPr>
      <w:tabs>
        <w:tab w:val="center" w:pos="4535"/>
        <w:tab w:val="right" w:pos="9071"/>
      </w:tabs>
      <w:spacing w:after="12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styleId="ListParagraph">
    <w:name w:val="List Paragraph"/>
    <w:basedOn w:val="Normal"/>
    <w:qFormat/>
    <w:pPr>
      <w:ind w:left="720"/>
    </w:pPr>
  </w:style>
  <w:style w:type="paragraph" w:styleId="BalloonText">
    <w:name w:val="Balloon Text"/>
    <w:basedOn w:val="Normal"/>
    <w:pPr>
      <w:spacing w:after="0"/>
    </w:pPr>
    <w:rPr>
      <w:rFonts w:ascii="Segoe UI" w:hAnsi="Segoe UI" w:cs="Segoe UI"/>
      <w:sz w:val="18"/>
      <w:szCs w:val="18"/>
    </w:rPr>
  </w:style>
  <w:style w:type="paragraph" w:customStyle="1" w:styleId="CommentText1">
    <w:name w:val="Comment Text1"/>
    <w:basedOn w:val="Normal"/>
    <w:rPr>
      <w:sz w:val="20"/>
    </w:rPr>
  </w:style>
  <w:style w:type="paragraph" w:customStyle="1" w:styleId="CommentSubject1">
    <w:name w:val="Comment Subject1"/>
    <w:basedOn w:val="CommentText1"/>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ootnoteText2">
    <w:name w:val="Footnote Text2"/>
    <w:basedOn w:val="Normal"/>
    <w:pPr>
      <w:suppressLineNumbers/>
      <w:ind w:left="283" w:hanging="283"/>
    </w:pPr>
    <w:rPr>
      <w:sz w:val="20"/>
    </w:rPr>
  </w:style>
  <w:style w:type="paragraph" w:customStyle="1" w:styleId="CommentText2">
    <w:name w:val="Comment Text2"/>
    <w:basedOn w:val="Normal"/>
    <w:pPr>
      <w:suppressAutoHyphens w:val="0"/>
    </w:pPr>
    <w:rPr>
      <w:sz w:val="20"/>
    </w:rPr>
  </w:style>
  <w:style w:type="paragraph" w:customStyle="1" w:styleId="5Normal">
    <w:name w:val="5 Normal"/>
    <w:basedOn w:val="Normal"/>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pPr>
    <w:rPr>
      <w:rFonts w:eastAsia="SimSun" w:cs="Lucida Sans"/>
      <w:spacing w:val="-2"/>
      <w:kern w:val="1"/>
      <w:szCs w:val="24"/>
      <w:lang w:eastAsia="hi-IN" w:bidi="hi-IN"/>
    </w:rPr>
  </w:style>
  <w:style w:type="paragraph" w:customStyle="1" w:styleId="CommentSubject2">
    <w:name w:val="Comment Subject2"/>
    <w:basedOn w:val="CommentText2"/>
    <w:pPr>
      <w:suppressAutoHyphens/>
    </w:pPr>
    <w:rPr>
      <w:b/>
      <w:bCs/>
    </w:rPr>
  </w:style>
  <w:style w:type="paragraph" w:styleId="Revision">
    <w:name w:val="Revision"/>
    <w:pPr>
      <w:suppressAutoHyphens/>
    </w:pPr>
    <w:rPr>
      <w:sz w:val="24"/>
      <w:lang w:eastAsia="ar-SA"/>
    </w:rPr>
  </w:style>
  <w:style w:type="paragraph" w:styleId="NormalWeb">
    <w:name w:val="Normal (Web)"/>
    <w:basedOn w:val="Normal"/>
    <w:pPr>
      <w:suppressAutoHyphens w:val="0"/>
      <w:spacing w:before="100" w:after="100"/>
      <w:jc w:val="left"/>
    </w:pPr>
    <w:rPr>
      <w:szCs w:val="24"/>
    </w:rPr>
  </w:style>
  <w:style w:type="paragraph" w:styleId="FootnoteText">
    <w:name w:val="footnote text"/>
    <w:basedOn w:val="Normal"/>
    <w:pPr>
      <w:suppressLineNumbers/>
      <w:ind w:left="283" w:hanging="283"/>
    </w:pPr>
    <w:rPr>
      <w:sz w:val="20"/>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4077">
      <w:bodyDiv w:val="1"/>
      <w:marLeft w:val="0"/>
      <w:marRight w:val="0"/>
      <w:marTop w:val="0"/>
      <w:marBottom w:val="0"/>
      <w:divBdr>
        <w:top w:val="none" w:sz="0" w:space="0" w:color="auto"/>
        <w:left w:val="none" w:sz="0" w:space="0" w:color="auto"/>
        <w:bottom w:val="none" w:sz="0" w:space="0" w:color="auto"/>
        <w:right w:val="none" w:sz="0" w:space="0" w:color="auto"/>
      </w:divBdr>
    </w:div>
    <w:div w:id="457065676">
      <w:bodyDiv w:val="1"/>
      <w:marLeft w:val="0"/>
      <w:marRight w:val="0"/>
      <w:marTop w:val="0"/>
      <w:marBottom w:val="0"/>
      <w:divBdr>
        <w:top w:val="none" w:sz="0" w:space="0" w:color="auto"/>
        <w:left w:val="none" w:sz="0" w:space="0" w:color="auto"/>
        <w:bottom w:val="none" w:sz="0" w:space="0" w:color="auto"/>
        <w:right w:val="none" w:sz="0" w:space="0" w:color="auto"/>
      </w:divBdr>
    </w:div>
    <w:div w:id="1217664161">
      <w:bodyDiv w:val="1"/>
      <w:marLeft w:val="0"/>
      <w:marRight w:val="0"/>
      <w:marTop w:val="0"/>
      <w:marBottom w:val="0"/>
      <w:divBdr>
        <w:top w:val="none" w:sz="0" w:space="0" w:color="auto"/>
        <w:left w:val="none" w:sz="0" w:space="0" w:color="auto"/>
        <w:bottom w:val="none" w:sz="0" w:space="0" w:color="auto"/>
        <w:right w:val="none" w:sz="0" w:space="0" w:color="auto"/>
      </w:divBdr>
    </w:div>
    <w:div w:id="200516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x-apple-data-detectors://5"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x-apple-data-detectors://4"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2AC9CBD-7BAA-464B-913B-6004AB05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6919</Words>
  <Characters>51756</Characters>
  <Application>Microsoft Office Word</Application>
  <DocSecurity>0</DocSecurity>
  <Lines>784</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58566</CharactersWithSpaces>
  <SharedDoc>false</SharedDoc>
  <HLinks>
    <vt:vector size="24" baseType="variant">
      <vt:variant>
        <vt:i4>6881314</vt:i4>
      </vt:variant>
      <vt:variant>
        <vt:i4>3</vt:i4>
      </vt:variant>
      <vt:variant>
        <vt:i4>0</vt:i4>
      </vt:variant>
      <vt:variant>
        <vt:i4>5</vt:i4>
      </vt:variant>
      <vt:variant>
        <vt:lpwstr>x-apple-data-detectors://5/</vt:lpwstr>
      </vt:variant>
      <vt:variant>
        <vt:lpwstr/>
      </vt:variant>
      <vt:variant>
        <vt:i4>6815778</vt:i4>
      </vt:variant>
      <vt:variant>
        <vt:i4>0</vt:i4>
      </vt:variant>
      <vt:variant>
        <vt:i4>0</vt:i4>
      </vt:variant>
      <vt:variant>
        <vt:i4>5</vt:i4>
      </vt:variant>
      <vt:variant>
        <vt:lpwstr>x-apple-data-detectors://4/</vt:lpwstr>
      </vt:variant>
      <vt:variant>
        <vt:lpwstr/>
      </vt:variant>
      <vt:variant>
        <vt:i4>262167</vt:i4>
      </vt:variant>
      <vt:variant>
        <vt:i4>3</vt:i4>
      </vt:variant>
      <vt:variant>
        <vt:i4>0</vt:i4>
      </vt:variant>
      <vt:variant>
        <vt:i4>5</vt:i4>
      </vt:variant>
      <vt:variant>
        <vt:lpwstr>https://eur-lex.europa.eu/legal-content/EN/TXT/?uri=CELEX:52020XC0330(03)</vt:lpwstr>
      </vt:variant>
      <vt:variant>
        <vt:lpwstr/>
      </vt:variant>
      <vt:variant>
        <vt:i4>1048666</vt:i4>
      </vt:variant>
      <vt:variant>
        <vt:i4>0</vt:i4>
      </vt:variant>
      <vt:variant>
        <vt:i4>0</vt:i4>
      </vt:variant>
      <vt:variant>
        <vt:i4>5</vt:i4>
      </vt:variant>
      <vt:variant>
        <vt:lpwstr>https://eur-lex.europa.eu/legal-content/EN/TXT/PDF/?uri=CELEX:52020XC0316(03)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HEILEMANN Stefanie (SG)</cp:lastModifiedBy>
  <cp:revision>22</cp:revision>
  <cp:lastPrinted>1900-12-31T22:00:00Z</cp:lastPrinted>
  <dcterms:created xsi:type="dcterms:W3CDTF">2020-05-20T08:29:00Z</dcterms:created>
  <dcterms:modified xsi:type="dcterms:W3CDTF">2020-06-04T08:52:00Z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CP-009</vt:lpwstr>
  </property>
  <property fmtid="{D5CDD505-2E9C-101B-9397-08002B2CF9AE}" pid="14" name="Last edited using">
    <vt:lpwstr>LW 7.0.1, Build 20190916</vt:lpwstr>
  </property>
  <property fmtid="{D5CDD505-2E9C-101B-9397-08002B2CF9AE}" pid="15" name="Created using">
    <vt:lpwstr>LW 7.0, Build 20190717</vt:lpwstr>
  </property>
</Properties>
</file>