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93B4AFD0-9A33-4CDE-B3DC-BD4534C98CE8" style="width:450.75pt;height:334.5pt">
            <v:imagedata r:id="rId12" o:title=""/>
          </v:shape>
        </w:pict>
      </w:r>
    </w:p>
    <w:bookmarkEnd w:id="0"/>
    <w:p>
      <w:pPr>
        <w:spacing w:line="240" w:lineRule="auto"/>
        <w:rPr>
          <w:rFonts w:ascii="Times New Roman" w:hAnsi="Times New Roman" w:cs="Times New Roman"/>
          <w:noProof/>
          <w:sz w:val="24"/>
          <w:szCs w:val="24"/>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26"/>
        </w:sectPr>
      </w:pPr>
    </w:p>
    <w:p>
      <w:pPr>
        <w:pStyle w:val="Title"/>
        <w:spacing w:after="200" w:line="240" w:lineRule="auto"/>
        <w:jc w:val="both"/>
        <w:rPr>
          <w:rFonts w:ascii="Times New Roman" w:hAnsi="Times New Roman" w:cs="Times New Roman"/>
          <w:noProof/>
          <w:sz w:val="24"/>
          <w:szCs w:val="24"/>
          <w:lang w:val="sv-SE"/>
        </w:rPr>
      </w:pPr>
      <w:bookmarkStart w:id="1" w:name="_GoBack"/>
      <w:bookmarkEnd w:id="1"/>
      <w:r>
        <w:rPr>
          <w:rFonts w:ascii="Times New Roman" w:hAnsi="Times New Roman"/>
          <w:noProof/>
          <w:sz w:val="24"/>
          <w:szCs w:val="24"/>
          <w:lang w:val="sv-SE"/>
        </w:rPr>
        <w:lastRenderedPageBreak/>
        <w:t xml:space="preserve">INLEDNING </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I denna tionde upplaga av rapporten om hinder för handel och investeringar görs en genomgång både av nya hinder som EU:s företag mött under 2019 och av de hinder som försvunnit för dem under året tack vare EU:s partnerskap för marknadstillträde (ett samarbetsforum för kommissionen, medlemsstaterna och EU:s näringsliv)</w:t>
      </w:r>
      <w:r>
        <w:rPr>
          <w:rFonts w:ascii="Times New Roman" w:hAnsi="Times New Roman" w:cs="Times New Roman"/>
          <w:noProof/>
          <w:sz w:val="24"/>
          <w:szCs w:val="24"/>
          <w:vertAlign w:val="superscript"/>
        </w:rPr>
        <w:footnoteReference w:id="2"/>
      </w:r>
      <w:r>
        <w:rPr>
          <w:rFonts w:ascii="Times New Roman" w:hAnsi="Times New Roman"/>
          <w:noProof/>
          <w:sz w:val="24"/>
          <w:szCs w:val="24"/>
          <w:lang w:val="sv-SE"/>
        </w:rPr>
        <w:t xml:space="preserve">. Partnerskapet har till syfte att identifiera vilka hinder som finns för EU:s företag i tredjeländer och att utforma – och genomföra – en gemensam strategi för att undanröja dessa hinder. </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Den ökade protektionismen har lett till att kommissionen nu framför allt prioriterar efterlevnad samt lägger ökad vikt vid att de handelsavtal som ingåtts verkligen genomförs. När det gäller de traditionella hindren för marknadstillträde har vi förstärkt vårt arbete genom att förbättra samordningen mellan EU-institutionerna och berörda aktörer och prioritera bland hindren på ett bättre sätt. Ett annat viktigt inslag är att kommissionen dessutom har ökat sina insatser för att förklara, särskilt för små och medelstora företag, hur de kan använda partnerskapet för marknadstillträde för att undanröja de olika hinder som de möter. I detta sammanhang har man haft nytta av initiativet med marknadstillträdesdagar, där möten för företag under 2019 hölls i Nederländerna, Litauen, Portugal, Frankrike och Lettland.</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Sedan 2016 har förbättringar gjorts av rapporten varje år. I årets upplaga av rapporten görs en mycket mer detaljerad analys av vilken typ av hinder som orsakar störst problem för våra företag, med särskild inriktning på den sektor som har visat bäst resultat, den jordbruksbaserade livsmedelsindustrin.</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Precis som i förra årets rapport analyserar vi först de sammanlagt 438 aktiva</w:t>
      </w:r>
      <w:r>
        <w:rPr>
          <w:rFonts w:ascii="Times New Roman" w:hAnsi="Times New Roman" w:cs="Times New Roman"/>
          <w:noProof/>
          <w:sz w:val="24"/>
          <w:szCs w:val="24"/>
          <w:vertAlign w:val="superscript"/>
        </w:rPr>
        <w:footnoteReference w:id="3"/>
      </w:r>
      <w:r>
        <w:rPr>
          <w:rFonts w:ascii="Times New Roman" w:hAnsi="Times New Roman"/>
          <w:noProof/>
          <w:sz w:val="24"/>
          <w:szCs w:val="24"/>
          <w:lang w:val="sv-SE"/>
        </w:rPr>
        <w:t xml:space="preserve"> handels- och investeringshindren per land och typ av hinder enligt vad som rapporterats av kommissionen och registrerats i EU:s databas med information om marknadstillträde</w:t>
      </w:r>
      <w:r>
        <w:rPr>
          <w:rFonts w:ascii="Times New Roman" w:hAnsi="Times New Roman" w:cs="Times New Roman"/>
          <w:noProof/>
          <w:sz w:val="24"/>
          <w:szCs w:val="24"/>
          <w:vertAlign w:val="superscript"/>
        </w:rPr>
        <w:footnoteReference w:id="4"/>
      </w:r>
      <w:r>
        <w:rPr>
          <w:rFonts w:ascii="Times New Roman" w:hAnsi="Times New Roman"/>
          <w:noProof/>
          <w:sz w:val="24"/>
          <w:szCs w:val="24"/>
          <w:lang w:val="sv-SE"/>
        </w:rPr>
        <w:t>.</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Därefter redovisar vi en mer detaljerad analys av de 43 nya hinder som rapporterats under 2019, med en beskrivning av specifika trender i olika länder och sektorer och en bedömning av vilka handelsflöden som potentiellt påverkas.</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I nästa avsnitt behandlas de verktyg som använts för att åtgärda de 40 hinder som undanröjts under 2019, med en översikt per land, typ av åtgärd och sektor. I årets upplaga av rapporten inriktar vi oss särskilt på Medelhavsområdet och Mellanöstern, och förklarar hur riktade insatser har bidragit till att undanröja några av de många handelshinder som finns i dessa länder.</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Därefter följer ett avsnitt där vi mer i detalj går in på några av de hinder med störst inverkan som undanröjts och redovisar vilka ekonomiska vinster som vårt partnerskap för marknadstillträde lett till under 2019, beräknade på grundval av ekonomisk modellering. </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Det sista avsnittet ägnas åt förbindelserna med Förenta staterna, eftersom vi fortsätter att bekämpa de betydande hinder som har uppstått i denna jurisdiktion.</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I rapporten uppmärksammar vi inte bara de partner som har infört flest nya eller undanröjt flest handelshinder, utan lägger även tyngdpunkten på de handelshinder som har störst inverkan på handelsflödet från EU:s exportörer, för att ge en bild av hur betydelsefulla dessa hinder är.</w:t>
      </w:r>
    </w:p>
    <w:p>
      <w:pPr>
        <w:pStyle w:val="NormalLinespacingMultiple12li"/>
        <w:spacing w:line="240" w:lineRule="auto"/>
        <w:jc w:val="both"/>
        <w:rPr>
          <w:rFonts w:ascii="Times New Roman" w:hAnsi="Times New Roman" w:cs="Times New Roman"/>
          <w:noProof/>
          <w:sz w:val="24"/>
          <w:szCs w:val="24"/>
          <w:lang w:val="sv-SE"/>
        </w:rPr>
      </w:pPr>
    </w:p>
    <w:tbl>
      <w:tblPr>
        <w:tblStyle w:val="TableGrid"/>
        <w:tblW w:w="0" w:type="auto"/>
        <w:tblInd w:w="425" w:type="dxa"/>
        <w:shd w:val="clear" w:color="auto" w:fill="D9D9D9" w:themeFill="background1" w:themeFillShade="D9"/>
        <w:tblLook w:val="04A0" w:firstRow="1" w:lastRow="0" w:firstColumn="1" w:lastColumn="0" w:noHBand="0" w:noVBand="1"/>
      </w:tblPr>
      <w:tblGrid>
        <w:gridCol w:w="8183"/>
      </w:tblGrid>
      <w:tr>
        <w:tc>
          <w:tcPr>
            <w:tcW w:w="8183" w:type="dxa"/>
            <w:shd w:val="clear" w:color="auto" w:fill="D9D9D9" w:themeFill="background1" w:themeFillShade="D9"/>
          </w:tcPr>
          <w:p>
            <w:pPr>
              <w:pStyle w:val="NormalLinespacingMultiple12li"/>
              <w:spacing w:line="240" w:lineRule="auto"/>
              <w:rPr>
                <w:rFonts w:ascii="Times New Roman" w:hAnsi="Times New Roman" w:cs="Times New Roman"/>
                <w:b/>
                <w:bCs/>
                <w:noProof/>
                <w:sz w:val="24"/>
                <w:szCs w:val="24"/>
                <w:lang w:val="sv-SE"/>
              </w:rPr>
            </w:pPr>
            <w:r>
              <w:rPr>
                <w:rFonts w:ascii="Times New Roman" w:hAnsi="Times New Roman"/>
                <w:b/>
                <w:bCs/>
                <w:noProof/>
                <w:sz w:val="24"/>
                <w:szCs w:val="24"/>
                <w:lang w:val="sv-SE"/>
              </w:rPr>
              <w:t>Ruta 1 – Metodbeskrivning för förteckningen över handelshinder</w:t>
            </w:r>
          </w:p>
          <w:p>
            <w:pPr>
              <w:pStyle w:val="NormalLinespacingMultiple12li"/>
              <w:spacing w:line="240" w:lineRule="auto"/>
              <w:rPr>
                <w:rFonts w:ascii="Times New Roman" w:hAnsi="Times New Roman" w:cs="Times New Roman"/>
                <w:bCs/>
                <w:noProof/>
                <w:sz w:val="24"/>
                <w:szCs w:val="24"/>
                <w:lang w:val="sv-SE"/>
              </w:rPr>
            </w:pPr>
            <w:r>
              <w:rPr>
                <w:rFonts w:ascii="Times New Roman" w:hAnsi="Times New Roman"/>
                <w:noProof/>
                <w:sz w:val="24"/>
                <w:szCs w:val="24"/>
                <w:lang w:val="sv-SE"/>
              </w:rPr>
              <w:t>Eftersom vårt tillvägagångssätt är inriktat på berörda aktörer behandlar vi i vår rapport endast de hinder som rapporterats av företagen. Rapporten inriktas på de rapporterade hinder som EU:s företag möter i tredjeländer, utvecklingen vad gäller dessa och de åtgärder som vidtagits för att undanröja dem inom ramen för EU:s partnerskap för marknadstillträde. I databasen och denna rapport görs visserligen ingen bedömning av huruvida de registrerade åtgärderna är lagliga eller ej, men samtliga hinder har identifierats som problematiska för EU:s företag och prioriterats för vidare åtgärder inom ramen för våra insatser för marknadstillträde, eftersom de kan vara diskriminerande, oproportionerliga eller på andra sätt handelsbegränsande.</w:t>
            </w:r>
          </w:p>
        </w:tc>
      </w:tr>
    </w:tbl>
    <w:p>
      <w:pPr>
        <w:pStyle w:val="NormalLinespacingMultiple12li"/>
        <w:spacing w:line="240" w:lineRule="auto"/>
        <w:jc w:val="both"/>
        <w:rPr>
          <w:rFonts w:ascii="Times New Roman" w:hAnsi="Times New Roman" w:cs="Times New Roman"/>
          <w:noProof/>
          <w:sz w:val="24"/>
          <w:szCs w:val="24"/>
          <w:lang w:val="sv-SE"/>
        </w:rPr>
      </w:pP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Läsaren kommer att notera att det finns flera viktiga röda trådar i rapporten. För det första tyder den fortsatta ökningen av antalet hinder, de nya typer av hinder som har uppstått och det faktum att de blir allt svårare att undanröja, på att ett nytt paradigm håller på att växa fram, där protektionismen blir djupt inrotad i våra strukturella handelsförbindelser. För det andra påverkar hindren alltmer sektorer som är kopplade till EU:s teknologiska suveränitet och strategiska oberoende. För det tredje ser vi att det blir allt svårare att åtgärda hinder inom industri- och tjänstesektorerna. För det fjärde sprider sig protektionistiska åtgärder inom vissa regioner.</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Denna situation kräver ett radikalt nytt grepp för att försvara EU:s handelsintressen, vilket är en av von der Leyen-kommissionens främsta prioriteringar.</w:t>
      </w:r>
    </w:p>
    <w:p>
      <w:pPr>
        <w:spacing w:line="240" w:lineRule="auto"/>
        <w:rPr>
          <w:rFonts w:ascii="Times New Roman" w:hAnsi="Times New Roman" w:cs="Times New Roman"/>
          <w:b/>
          <w:noProof/>
          <w:sz w:val="24"/>
          <w:szCs w:val="24"/>
          <w:lang w:val="sv-SE"/>
        </w:rPr>
      </w:pPr>
    </w:p>
    <w:p>
      <w:pPr>
        <w:spacing w:line="240" w:lineRule="auto"/>
        <w:rPr>
          <w:rFonts w:ascii="Times New Roman" w:hAnsi="Times New Roman" w:cs="Times New Roman"/>
          <w:b/>
          <w:noProof/>
          <w:sz w:val="24"/>
          <w:szCs w:val="24"/>
          <w:lang w:val="sv-SE"/>
        </w:rPr>
      </w:pPr>
      <w:r>
        <w:rPr>
          <w:noProof/>
          <w:sz w:val="24"/>
          <w:szCs w:val="24"/>
          <w:lang w:val="sv-SE"/>
        </w:rPr>
        <w:br w:type="page"/>
      </w:r>
    </w:p>
    <w:p>
      <w:pPr>
        <w:pStyle w:val="NormalLinespacingMultiple12li"/>
        <w:numPr>
          <w:ilvl w:val="0"/>
          <w:numId w:val="40"/>
        </w:numPr>
        <w:spacing w:line="240" w:lineRule="auto"/>
        <w:jc w:val="both"/>
        <w:rPr>
          <w:rFonts w:ascii="Times New Roman" w:hAnsi="Times New Roman" w:cs="Times New Roman"/>
          <w:b/>
          <w:noProof/>
          <w:sz w:val="24"/>
          <w:szCs w:val="24"/>
        </w:rPr>
      </w:pPr>
      <w:r>
        <w:rPr>
          <w:rFonts w:ascii="Times New Roman" w:hAnsi="Times New Roman"/>
          <w:b/>
          <w:noProof/>
          <w:sz w:val="24"/>
          <w:szCs w:val="24"/>
        </w:rPr>
        <w:t xml:space="preserve">ÖVERSIKT AV HANDELS- OCH INVESTERINGSHINDER </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I slutet av 2019 fanns det 438 aktiva handels- och investeringshinder i 58 tredjeländer</w:t>
      </w:r>
      <w:r>
        <w:rPr>
          <w:rFonts w:ascii="Times New Roman" w:hAnsi="Times New Roman" w:cs="Times New Roman"/>
          <w:noProof/>
          <w:sz w:val="24"/>
          <w:szCs w:val="24"/>
          <w:vertAlign w:val="superscript"/>
        </w:rPr>
        <w:footnoteReference w:id="5"/>
      </w:r>
      <w:r>
        <w:rPr>
          <w:rFonts w:ascii="Times New Roman" w:hAnsi="Times New Roman"/>
          <w:noProof/>
          <w:sz w:val="24"/>
          <w:szCs w:val="24"/>
          <w:lang w:val="sv-SE"/>
        </w:rPr>
        <w:t xml:space="preserve"> upptagna i EU:s databas med information om marknadstillträde</w:t>
      </w:r>
      <w:r>
        <w:rPr>
          <w:rFonts w:ascii="Times New Roman" w:hAnsi="Times New Roman" w:cs="Times New Roman"/>
          <w:noProof/>
          <w:sz w:val="24"/>
          <w:szCs w:val="24"/>
          <w:vertAlign w:val="superscript"/>
        </w:rPr>
        <w:footnoteReference w:id="6"/>
      </w:r>
      <w:r>
        <w:rPr>
          <w:rFonts w:ascii="Times New Roman" w:hAnsi="Times New Roman"/>
          <w:noProof/>
          <w:sz w:val="24"/>
          <w:szCs w:val="24"/>
          <w:lang w:val="sv-SE"/>
        </w:rPr>
        <w:t>. Denna rekordsiffra, kombinerat med den omständigheten att ett antal hinder kvarstår längre, tyder inte bara på ökad protektionism, utan även på att protektionismen strukturellt sett rotar sig allt djupare i våra handelsförbindelser med många partner.</w:t>
      </w:r>
    </w:p>
    <w:p>
      <w:pPr>
        <w:pStyle w:val="NormalLinespacingMultiple12li"/>
        <w:spacing w:line="240" w:lineRule="auto"/>
        <w:jc w:val="both"/>
        <w:rPr>
          <w:rFonts w:ascii="Times New Roman" w:hAnsi="Times New Roman" w:cs="Times New Roman"/>
          <w:b/>
          <w:noProof/>
          <w:sz w:val="24"/>
          <w:szCs w:val="24"/>
          <w:lang w:val="sv-SE"/>
        </w:rPr>
      </w:pPr>
      <w:r>
        <w:rPr>
          <w:rFonts w:ascii="Times New Roman" w:hAnsi="Times New Roman"/>
          <w:b/>
          <w:noProof/>
          <w:sz w:val="24"/>
          <w:szCs w:val="24"/>
          <w:lang w:val="sv-SE"/>
        </w:rPr>
        <w:t>A.</w:t>
      </w:r>
      <w:r>
        <w:rPr>
          <w:rFonts w:ascii="Times New Roman" w:hAnsi="Times New Roman"/>
          <w:b/>
          <w:noProof/>
          <w:sz w:val="24"/>
          <w:szCs w:val="24"/>
          <w:lang w:val="sv-SE"/>
        </w:rPr>
        <w:tab/>
        <w:t>TOTALT ANTAL HANDELS- OCH INVESTERINGSHINDER PER TREDJELAND</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Om man jämför med 2018 ligger samma fem länder i topp när det gäller antalet hinder. Kina är fortsatt det land som har högst antal registrerade hinder, 38 hinder för EU:s export och investeringsmöjligheter. Ryssland kom på andra plats med 31 befintliga hinder, följt av Indonesien (25) och Förenta staterna (24). Indien och Turkiet delar på femteplatsen, med 23 rapporterade åtgärder. </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Andra tredjeländer som har minst tio befintliga hinder är Brasilien (19), Sydkorea (19), Australien (14), Algeriet (12), Thailand (12), Mexiko (11), Egypten (10) och Malaysia (10). I diagram 1 ges en mer detaljerad fördelning av handelshindren i världen.</w:t>
      </w:r>
    </w:p>
    <w:p>
      <w:pPr>
        <w:pStyle w:val="NormalLinespacingMultiple12li"/>
        <w:spacing w:line="240" w:lineRule="auto"/>
        <w:jc w:val="both"/>
        <w:rPr>
          <w:rFonts w:ascii="Times New Roman" w:hAnsi="Times New Roman" w:cs="Times New Roman"/>
          <w:noProof/>
          <w:sz w:val="24"/>
          <w:szCs w:val="24"/>
          <w:lang w:val="sv-SE"/>
        </w:rPr>
      </w:pPr>
    </w:p>
    <w:p>
      <w:pPr>
        <w:pStyle w:val="NormalLinespacingMultiple12li"/>
        <w:spacing w:line="240" w:lineRule="auto"/>
        <w:rPr>
          <w:rFonts w:ascii="Times New Roman" w:hAnsi="Times New Roman" w:cs="Times New Roman"/>
          <w:noProof/>
          <w:sz w:val="24"/>
          <w:szCs w:val="24"/>
          <w:lang w:val="sv-SE"/>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p>
    <w:tbl>
      <w:tblPr>
        <w:tblStyle w:val="TableGrid"/>
        <w:tblW w:w="1621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13524"/>
      </w:tblGrid>
      <w:tr>
        <w:trPr>
          <w:trHeight w:val="8129"/>
        </w:trPr>
        <w:tc>
          <w:tcPr>
            <w:tcW w:w="2686" w:type="dxa"/>
            <w:shd w:val="clear" w:color="auto" w:fill="auto"/>
          </w:tcPr>
          <w:p>
            <w:pPr>
              <w:tabs>
                <w:tab w:val="left" w:pos="4921"/>
              </w:tabs>
              <w:spacing w:line="240" w:lineRule="auto"/>
              <w:jc w:val="center"/>
              <w:rPr>
                <w:rFonts w:ascii="Times New Roman" w:hAnsi="Times New Roman" w:cs="Times New Roman"/>
                <w:bCs/>
                <w:noProof/>
                <w:sz w:val="24"/>
                <w:szCs w:val="24"/>
              </w:rPr>
            </w:pPr>
            <w:r>
              <w:rPr>
                <w:rFonts w:ascii="Times New Roman" w:hAnsi="Times New Roman" w:cs="Times New Roman"/>
                <w:bCs/>
                <w:noProof/>
                <w:sz w:val="24"/>
                <w:szCs w:val="24"/>
                <w:lang w:eastAsia="en-GB"/>
              </w:rPr>
              <w:drawing>
                <wp:inline distT="0" distB="0" distL="0" distR="0">
                  <wp:extent cx="1514409" cy="544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2211" cy="5512344"/>
                          </a:xfrm>
                          <a:prstGeom prst="rect">
                            <a:avLst/>
                          </a:prstGeom>
                          <a:noFill/>
                          <a:ln>
                            <a:noFill/>
                          </a:ln>
                        </pic:spPr>
                      </pic:pic>
                    </a:graphicData>
                  </a:graphic>
                </wp:inline>
              </w:drawing>
            </w:r>
          </w:p>
        </w:tc>
        <w:tc>
          <w:tcPr>
            <w:tcW w:w="13524" w:type="dxa"/>
            <w:shd w:val="clear" w:color="auto" w:fill="auto"/>
          </w:tcPr>
          <w:p>
            <w:pPr>
              <w:tabs>
                <w:tab w:val="left" w:pos="4921"/>
              </w:tabs>
              <w:spacing w:line="240" w:lineRule="auto"/>
              <w:jc w:val="right"/>
              <w:rPr>
                <w:rFonts w:ascii="Times New Roman" w:hAnsi="Times New Roman" w:cs="Times New Roman"/>
                <w:bCs/>
                <w:noProof/>
                <w:sz w:val="24"/>
                <w:szCs w:val="24"/>
              </w:rPr>
            </w:pPr>
          </w:p>
          <w:p>
            <w:pPr>
              <w:tabs>
                <w:tab w:val="left" w:pos="4921"/>
              </w:tabs>
              <w:spacing w:after="0" w:line="240" w:lineRule="auto"/>
              <w:jc w:val="right"/>
              <w:rPr>
                <w:rFonts w:ascii="Times New Roman" w:hAnsi="Times New Roman" w:cs="Times New Roman"/>
                <w:bCs/>
                <w:noProof/>
                <w:sz w:val="24"/>
                <w:szCs w:val="24"/>
              </w:rPr>
            </w:pPr>
            <w:r>
              <w:rPr>
                <w:rFonts w:ascii="Times New Roman" w:hAnsi="Times New Roman"/>
                <w:i/>
                <w:noProof/>
                <w:lang w:eastAsia="en-GB"/>
              </w:rPr>
              <mc:AlternateContent>
                <mc:Choice Requires="wps">
                  <w:drawing>
                    <wp:anchor distT="45720" distB="45720" distL="114300" distR="114300" simplePos="0" relativeHeight="251657216" behindDoc="0" locked="0" layoutInCell="1" allowOverlap="1">
                      <wp:simplePos x="0" y="0"/>
                      <wp:positionH relativeFrom="column">
                        <wp:posOffset>389659</wp:posOffset>
                      </wp:positionH>
                      <wp:positionV relativeFrom="paragraph">
                        <wp:posOffset>2451100</wp:posOffset>
                      </wp:positionV>
                      <wp:extent cx="320633" cy="2137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33" cy="2137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6"/>
                                    </w:rPr>
                                  </w:pPr>
                                  <w:r>
                                    <w:rPr>
                                      <w:sz w:val="16"/>
                                    </w:rPr>
                                    <w:t>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7pt;margin-top:193pt;width:25.25pt;height:16.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" filled="f" stroked="f">
                      <v:textbox>
                        <w:txbxContent>
                          <w:p>
                            <w:pPr>
                              <w:rPr>
                                <w:sz w:val="16"/>
                              </w:rPr>
                            </w:pPr>
                            <w:r>
                              <w:rPr>
                                <w:sz w:val="16"/>
                              </w:rPr>
                              <w:t>EU</w:t>
                            </w:r>
                          </w:p>
                        </w:txbxContent>
                      </v:textbox>
                    </v:shape>
                  </w:pict>
                </mc:Fallback>
              </mc:AlternateContent>
            </w:r>
            <w:r>
              <w:rPr>
                <w:rFonts w:ascii="Times New Roman" w:hAnsi="Times New Roman"/>
                <w:bCs/>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-57288</wp:posOffset>
                      </wp:positionH>
                      <wp:positionV relativeFrom="paragraph">
                        <wp:posOffset>2646542</wp:posOffset>
                      </wp:positionV>
                      <wp:extent cx="1015340" cy="213756"/>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0" cy="21375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b/>
                                      <w:sz w:val="16"/>
                                    </w:rPr>
                                  </w:pPr>
                                  <w:r>
                                    <w:rPr>
                                      <w:b/>
                                      <w:sz w:val="16"/>
                                    </w:rPr>
                                    <w:t>Antal hinder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5pt;margin-top:208.4pt;width:79.95pt;height:16.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" filled="f" stroked="f">
                      <v:textbox>
                        <w:txbxContent>
                          <w:p>
                            <w:pPr>
                              <w:rPr>
                                <w:b/>
                                <w:sz w:val="16"/>
                              </w:rPr>
                            </w:pPr>
                            <w:r>
                              <w:rPr>
                                <w:b/>
                                <w:sz w:val="16"/>
                              </w:rPr>
                              <w:t>Antal hinder</w:t>
                            </w:r>
                          </w:p>
                        </w:txbxContent>
                      </v:textbox>
                    </v:shape>
                  </w:pict>
                </mc:Fallback>
              </mc:AlternateContent>
            </w:r>
            <w:r>
              <w:rPr>
                <w:rFonts w:ascii="Times New Roman" w:hAnsi="Times New Roman"/>
                <w:noProof/>
                <w:lang w:eastAsia="en-GB"/>
              </w:rPr>
              <w:drawing>
                <wp:inline distT="0" distB="0" distL="0" distR="0">
                  <wp:extent cx="8284191" cy="4586593"/>
                  <wp:effectExtent l="0" t="0" r="3175" b="5080"/>
                  <wp:docPr id="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8320413" cy="4606648"/>
                          </a:xfrm>
                          <a:prstGeom prst="rect">
                            <a:avLst/>
                          </a:prstGeom>
                        </pic:spPr>
                      </pic:pic>
                    </a:graphicData>
                  </a:graphic>
                </wp:inline>
              </w:drawing>
            </w:r>
          </w:p>
          <w:p>
            <w:pPr>
              <w:tabs>
                <w:tab w:val="left" w:pos="4921"/>
              </w:tabs>
              <w:spacing w:after="0" w:line="240" w:lineRule="auto"/>
              <w:rPr>
                <w:rFonts w:ascii="Times New Roman" w:hAnsi="Times New Roman" w:cs="Times New Roman"/>
                <w:b/>
                <w:bCs/>
                <w:noProof/>
                <w:sz w:val="24"/>
                <w:szCs w:val="24"/>
                <w:lang w:val="sv-SE"/>
              </w:rPr>
            </w:pPr>
            <w:r>
              <w:rPr>
                <w:rFonts w:ascii="Times New Roman" w:hAnsi="Times New Roman"/>
                <w:b/>
                <w:i/>
                <w:noProof/>
                <w:lang w:val="sv-SE"/>
              </w:rPr>
              <w:t>Diagram 1</w:t>
            </w:r>
            <w:r>
              <w:rPr>
                <w:rStyle w:val="FootnoteReference"/>
                <w:rFonts w:ascii="Times New Roman" w:hAnsi="Times New Roman" w:cs="Times New Roman"/>
                <w:b/>
                <w:i/>
                <w:noProof/>
              </w:rPr>
              <w:footnoteReference w:id="7"/>
            </w:r>
            <w:r>
              <w:rPr>
                <w:rFonts w:ascii="Times New Roman" w:hAnsi="Times New Roman"/>
                <w:b/>
                <w:i/>
                <w:noProof/>
                <w:lang w:val="sv-SE"/>
              </w:rPr>
              <w:t>: Geografisk fördelning av handels- och investeringshinder i databasen med information om marknadstillträde</w:t>
            </w:r>
          </w:p>
        </w:tc>
      </w:tr>
    </w:tbl>
    <w:p>
      <w:pPr>
        <w:tabs>
          <w:tab w:val="left" w:pos="4921"/>
        </w:tabs>
        <w:spacing w:line="240" w:lineRule="auto"/>
        <w:rPr>
          <w:rFonts w:ascii="Times New Roman" w:hAnsi="Times New Roman" w:cs="Times New Roman"/>
          <w:b/>
          <w:noProof/>
          <w:sz w:val="24"/>
          <w:szCs w:val="24"/>
          <w:lang w:val="sv-SE"/>
        </w:rPr>
        <w:sectPr>
          <w:headerReference w:type="even" r:id="rId27"/>
          <w:headerReference w:type="default" r:id="rId28"/>
          <w:footerReference w:type="even" r:id="rId29"/>
          <w:footerReference w:type="default" r:id="rId30"/>
          <w:headerReference w:type="first" r:id="rId31"/>
          <w:footerReference w:type="first" r:id="rId32"/>
          <w:pgSz w:w="16838" w:h="11906" w:orient="landscape"/>
          <w:pgMar w:top="568" w:right="720" w:bottom="426" w:left="720" w:header="284" w:footer="0" w:gutter="0"/>
          <w:cols w:space="720"/>
          <w:titlePg/>
          <w:docGrid w:linePitch="299"/>
        </w:sectPr>
      </w:pPr>
    </w:p>
    <w:p>
      <w:pPr>
        <w:pStyle w:val="NormalLinespacingMultiple12li"/>
        <w:spacing w:line="240" w:lineRule="auto"/>
        <w:jc w:val="both"/>
        <w:rPr>
          <w:rFonts w:ascii="Times New Roman" w:hAnsi="Times New Roman" w:cs="Times New Roman"/>
          <w:b/>
          <w:noProof/>
          <w:sz w:val="24"/>
          <w:szCs w:val="24"/>
          <w:lang w:val="sv-SE"/>
        </w:rPr>
      </w:pPr>
      <w:r>
        <w:rPr>
          <w:rFonts w:ascii="Times New Roman" w:hAnsi="Times New Roman"/>
          <w:b/>
          <w:noProof/>
          <w:sz w:val="24"/>
          <w:szCs w:val="24"/>
          <w:lang w:val="sv-SE"/>
        </w:rPr>
        <w:t>B. TOTALT ANTAL HANDELS- OCH INVESTERINGSHINDER PER TYP AV ÅTGÄRD</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Diagram 2 visar att åtgärder vid gränsen (229 eller 52 %) 2019 för första gången var fler än åtgärder bakom gränsen (188 eller 43 %)</w:t>
      </w:r>
      <w:r>
        <w:rPr>
          <w:rStyle w:val="FootnoteReference"/>
          <w:rFonts w:ascii="Times New Roman" w:hAnsi="Times New Roman" w:cs="Times New Roman"/>
          <w:noProof/>
          <w:sz w:val="24"/>
          <w:szCs w:val="24"/>
        </w:rPr>
        <w:footnoteReference w:id="8"/>
      </w:r>
      <w:r>
        <w:rPr>
          <w:rFonts w:ascii="Times New Roman" w:hAnsi="Times New Roman"/>
          <w:noProof/>
          <w:sz w:val="24"/>
          <w:szCs w:val="24"/>
          <w:lang w:val="sv-SE"/>
        </w:rPr>
        <w:t xml:space="preserve">. Detta är ett tecken på att våra partner använder sig av fler olika </w:t>
      </w:r>
      <w:r>
        <w:rPr>
          <w:rFonts w:ascii="Times New Roman" w:hAnsi="Times New Roman"/>
          <w:i/>
          <w:iCs/>
          <w:noProof/>
          <w:sz w:val="24"/>
          <w:szCs w:val="24"/>
          <w:lang w:val="sv-SE"/>
        </w:rPr>
        <w:t>typer</w:t>
      </w:r>
      <w:r>
        <w:rPr>
          <w:rFonts w:ascii="Times New Roman" w:hAnsi="Times New Roman"/>
          <w:noProof/>
          <w:sz w:val="24"/>
          <w:szCs w:val="24"/>
          <w:lang w:val="sv-SE"/>
        </w:rPr>
        <w:t xml:space="preserve"> av hinder för att uppnå protektionistiska mål.</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Åtgärder vid gränsen är begränsningar som direkt påverkar import och export, vare sig genom sanitära och fytosanitära åtgärder (102 hinder), tullhöjningar och kvantitativa begränsningar (73), administrativa förfaranden och importlicenser (38), exportskatter och exportbegränsningar (16), eller handelspolitiska skyddsinstrument som inte överensstämmer med internationella skyldigheter (14).</w:t>
      </w:r>
    </w:p>
    <w:p>
      <w:pPr>
        <w:spacing w:line="240" w:lineRule="auto"/>
        <w:jc w:val="both"/>
        <w:rPr>
          <w:rFonts w:ascii="Times New Roman" w:hAnsi="Times New Roman" w:cs="Times New Roman"/>
          <w:noProof/>
          <w:sz w:val="24"/>
          <w:szCs w:val="24"/>
          <w:highlight w:val="yellow"/>
          <w:lang w:val="sv-SE"/>
        </w:rPr>
      </w:pPr>
      <w:r>
        <w:rPr>
          <w:rFonts w:ascii="Times New Roman" w:hAnsi="Times New Roman"/>
          <w:noProof/>
          <w:sz w:val="24"/>
          <w:szCs w:val="24"/>
          <w:lang w:val="sv-SE"/>
        </w:rPr>
        <w:t>Åtgärder bakom gränsen påverkar produkter efter import genom begränsningar i fråga om omotiverade tekniska handelshinder i varuhandeln (78), immateriella rättigheter (34), offentlig upphandling (25), tjänster (22 hinder) och investeringar (15).</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Tack vare den mycket mer detaljerade kategoriseringen av handelshinder kan vi för första gången presentera en uppdelning per typ av hinder som påverkar våra företag.</w:t>
      </w:r>
    </w:p>
    <w:p>
      <w:pPr>
        <w:spacing w:line="240" w:lineRule="auto"/>
        <w:jc w:val="both"/>
        <w:rPr>
          <w:rFonts w:ascii="Times New Roman" w:hAnsi="Times New Roman" w:cs="Times New Roman"/>
          <w:noProof/>
          <w:sz w:val="24"/>
          <w:szCs w:val="24"/>
          <w:lang w:val="sv-SE"/>
        </w:rPr>
      </w:pPr>
    </w:p>
    <w:p>
      <w:pPr>
        <w:spacing w:line="240" w:lineRule="auto"/>
        <w:jc w:val="center"/>
        <w:rPr>
          <w:rFonts w:ascii="Times New Roman" w:hAnsi="Times New Roman" w:cs="Times New Roman"/>
          <w:b/>
          <w:i/>
          <w:noProof/>
          <w:sz w:val="24"/>
          <w:szCs w:val="24"/>
          <w:lang w:val="sv-SE"/>
        </w:rPr>
      </w:pPr>
      <w:r>
        <w:rPr>
          <w:noProof/>
          <w:lang w:eastAsia="en-GB"/>
        </w:rPr>
        <w:drawing>
          <wp:inline distT="0" distB="0" distL="0" distR="0">
            <wp:extent cx="4497573" cy="4606656"/>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1278" cy="4641178"/>
                    </a:xfrm>
                    <a:prstGeom prst="rect">
                      <a:avLst/>
                    </a:prstGeom>
                    <a:noFill/>
                    <a:ln>
                      <a:noFill/>
                    </a:ln>
                  </pic:spPr>
                </pic:pic>
              </a:graphicData>
            </a:graphic>
          </wp:inline>
        </w:drawing>
      </w:r>
      <w:r>
        <w:rPr>
          <w:rFonts w:ascii="Times New Roman" w:hAnsi="Times New Roman"/>
          <w:b/>
          <w:i/>
          <w:noProof/>
          <w:lang w:val="sv-SE"/>
        </w:rPr>
        <w:br/>
        <w:t xml:space="preserve">Diagram 2: Fördelning av handels- och investeringshinder som registrerats i databasen med information om marknadstillträde per typ av åtgärd, i procent av det totala antalet hinder </w:t>
      </w:r>
      <w:r>
        <w:rPr>
          <w:rFonts w:ascii="Times New Roman" w:hAnsi="Times New Roman"/>
          <w:b/>
          <w:i/>
          <w:noProof/>
          <w:lang w:val="sv-SE"/>
        </w:rPr>
        <w:br/>
      </w:r>
      <w:r>
        <w:rPr>
          <w:rFonts w:ascii="Times New Roman" w:hAnsi="Times New Roman"/>
          <w:bCs/>
          <w:i/>
          <w:noProof/>
          <w:lang w:val="sv-SE"/>
        </w:rPr>
        <w:t>(Åtgärder vid gränsen visas i bruna nyanser, åtgärder bakom gränsen i blå nyanser.)</w:t>
      </w:r>
    </w:p>
    <w:p>
      <w:pPr>
        <w:spacing w:after="240" w:line="240" w:lineRule="auto"/>
        <w:rPr>
          <w:rFonts w:ascii="Times New Roman" w:hAnsi="Times New Roman" w:cs="Times New Roman"/>
          <w:noProof/>
          <w:sz w:val="24"/>
          <w:szCs w:val="24"/>
          <w:lang w:val="sv-SE"/>
        </w:rPr>
      </w:pPr>
    </w:p>
    <w:tbl>
      <w:tblPr>
        <w:tblStyle w:val="TableGrid"/>
        <w:tblW w:w="0" w:type="auto"/>
        <w:tblInd w:w="-5" w:type="dxa"/>
        <w:shd w:val="clear" w:color="auto" w:fill="D9D9D9" w:themeFill="background1" w:themeFillShade="D9"/>
        <w:tblLook w:val="04A0" w:firstRow="1" w:lastRow="0" w:firstColumn="1" w:lastColumn="0" w:noHBand="0" w:noVBand="1"/>
      </w:tblPr>
      <w:tblGrid>
        <w:gridCol w:w="8600"/>
      </w:tblGrid>
      <w:tr>
        <w:trPr>
          <w:trHeight w:val="2883"/>
        </w:trPr>
        <w:tc>
          <w:tcPr>
            <w:tcW w:w="8600" w:type="dxa"/>
            <w:shd w:val="clear" w:color="auto" w:fill="D9D9D9" w:themeFill="background1" w:themeFillShade="D9"/>
          </w:tcPr>
          <w:p>
            <w:pPr>
              <w:pStyle w:val="NormalLinespacingMultiple12li"/>
              <w:spacing w:after="240" w:line="240" w:lineRule="auto"/>
              <w:rPr>
                <w:rFonts w:ascii="Times New Roman" w:hAnsi="Times New Roman" w:cs="Times New Roman"/>
                <w:b/>
                <w:bCs/>
                <w:noProof/>
                <w:sz w:val="24"/>
                <w:szCs w:val="24"/>
                <w:lang w:val="sv-SE"/>
              </w:rPr>
            </w:pPr>
            <w:r>
              <w:rPr>
                <w:rFonts w:ascii="Times New Roman" w:hAnsi="Times New Roman"/>
                <w:b/>
                <w:bCs/>
                <w:noProof/>
                <w:sz w:val="24"/>
                <w:szCs w:val="24"/>
                <w:lang w:val="sv-SE"/>
              </w:rPr>
              <w:t>Ruta 2 – Krav på lokalt innehåll</w:t>
            </w:r>
          </w:p>
          <w:p>
            <w:pPr>
              <w:pStyle w:val="NormalLinespacingMultiple12li"/>
              <w:spacing w:after="240"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Krav på lokalt innehåll innebär att utländska företag måste använda en viss mängd varor eller tjänster som tillverkas eller tillhandahålls lokalt. Krav på lokalt innehåll är integrerade i många typer av hinder, och inverkar exempelvis på förmånliga lån, offentlig upphandling eller förhållanden som påverkar utländska direktinvesteringar. För att identifiera dessa ytterst snedvridna bestämmelser har databasen med information om marknadstillträde förbättrats så att lokalt innehåll i alla hinder enkelt kan kontrolleras. Tack vare detta tillvägagångssätt kan vi nu bekräfta att i slutet av 2019 hade en mycket stor andel (7 %) av alla hinder inslag av lokalt innehåll. Detta innebär att EU bör vara mycket uppmärksamt på sådana metoder.</w:t>
            </w:r>
          </w:p>
        </w:tc>
      </w:tr>
    </w:tbl>
    <w:p>
      <w:pPr>
        <w:spacing w:after="240" w:line="240" w:lineRule="auto"/>
        <w:rPr>
          <w:rFonts w:ascii="Times New Roman" w:hAnsi="Times New Roman" w:cs="Times New Roman"/>
          <w:b/>
          <w:noProof/>
          <w:sz w:val="24"/>
          <w:szCs w:val="24"/>
          <w:lang w:val="sv-SE"/>
        </w:rPr>
      </w:pPr>
    </w:p>
    <w:p>
      <w:pPr>
        <w:spacing w:line="240" w:lineRule="auto"/>
        <w:rPr>
          <w:rFonts w:ascii="Times New Roman" w:hAnsi="Times New Roman" w:cs="Times New Roman"/>
          <w:b/>
          <w:noProof/>
          <w:sz w:val="24"/>
          <w:szCs w:val="24"/>
          <w:lang w:val="sv-SE"/>
        </w:rPr>
      </w:pPr>
      <w:r>
        <w:rPr>
          <w:noProof/>
          <w:lang w:val="sv-SE"/>
        </w:rPr>
        <w:br w:type="page"/>
      </w:r>
    </w:p>
    <w:p>
      <w:pPr>
        <w:pStyle w:val="NormalLinespacingMultiple12li"/>
        <w:numPr>
          <w:ilvl w:val="0"/>
          <w:numId w:val="40"/>
        </w:numPr>
        <w:spacing w:line="240" w:lineRule="auto"/>
        <w:rPr>
          <w:rFonts w:ascii="Times New Roman" w:hAnsi="Times New Roman" w:cs="Times New Roman"/>
          <w:b/>
          <w:noProof/>
          <w:sz w:val="24"/>
          <w:szCs w:val="24"/>
          <w:lang w:val="sv-SE"/>
        </w:rPr>
      </w:pPr>
      <w:r>
        <w:rPr>
          <w:rFonts w:ascii="Times New Roman" w:hAnsi="Times New Roman"/>
          <w:b/>
          <w:noProof/>
          <w:sz w:val="24"/>
          <w:szCs w:val="24"/>
          <w:lang w:val="sv-SE"/>
        </w:rPr>
        <w:t>NYA HANDELS- OCH INVESTERINGSHINDER SOM RAPPORTERATS 2019</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Antalet nya åtgärder fortsätter tyvärr att öka snabbt. Under 2019 registrerades 43 nya hinder i 22 tredjeländer</w:t>
      </w:r>
      <w:r>
        <w:rPr>
          <w:rFonts w:ascii="Times New Roman" w:hAnsi="Times New Roman" w:cs="Times New Roman"/>
          <w:noProof/>
          <w:sz w:val="24"/>
          <w:szCs w:val="24"/>
          <w:vertAlign w:val="superscript"/>
        </w:rPr>
        <w:footnoteReference w:id="9"/>
      </w:r>
      <w:r>
        <w:rPr>
          <w:rFonts w:ascii="Times New Roman" w:hAnsi="Times New Roman"/>
          <w:noProof/>
          <w:sz w:val="24"/>
          <w:szCs w:val="24"/>
          <w:lang w:val="sv-SE"/>
        </w:rPr>
        <w:t>, vilket nästan är lika många som 2018, då 45 hinder rapporterades. Denna fortsatta och betydande ökning tyder på att protektionism har blivit en del av själva strukturen i de internationella handelsförbindelserna. Denna nya verklighet kan sätta djupa spår i våra handelsflöden.</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De handelsflöden som påverkas av de nya hinder som rapporterats 2019 är export från EU-27 till ett värde av omkring 35,1 miljarder euro (se ruta 3).</w:t>
      </w:r>
    </w:p>
    <w:p>
      <w:pPr>
        <w:spacing w:line="240" w:lineRule="auto"/>
        <w:jc w:val="both"/>
        <w:rPr>
          <w:rFonts w:ascii="Times New Roman" w:hAnsi="Times New Roman" w:cs="Times New Roman"/>
          <w:noProof/>
          <w:sz w:val="24"/>
          <w:szCs w:val="24"/>
          <w:lang w:val="sv-SE"/>
        </w:rPr>
      </w:pP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b/>
          <w:noProof/>
          <w:sz w:val="24"/>
          <w:szCs w:val="24"/>
          <w:lang w:val="sv-SE"/>
        </w:rPr>
      </w:pPr>
      <w:r>
        <w:rPr>
          <w:rFonts w:ascii="Times New Roman" w:hAnsi="Times New Roman"/>
          <w:b/>
          <w:noProof/>
          <w:sz w:val="24"/>
          <w:szCs w:val="24"/>
          <w:lang w:val="sv-SE"/>
        </w:rPr>
        <w:t>Ruta 3 – Metodbeskrivning för kvantifiering av potentiellt påverkad handel</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De handelsflöden som potentiellt påverkas kvantifieras baserat på EU:s exportsiffror för relevanta HS-nummer (Harmoniserade systemet), vilket ger en bild av den handel som sker trots hindret. </w:t>
      </w:r>
      <w:r>
        <w:rPr>
          <w:rFonts w:ascii="Times New Roman" w:hAnsi="Times New Roman"/>
          <w:bCs/>
          <w:noProof/>
          <w:sz w:val="24"/>
          <w:szCs w:val="24"/>
          <w:lang w:val="sv-SE"/>
        </w:rPr>
        <w:t>Alla kvantitativa data avser de 27 nuvarande EU-medlemsstaterna.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Hindrens effekter är dock sannolikt något underskattade eftersom</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siffrorna inte omfattar tjänstehinder eller sådana hinder där det inte är lätt att identifiera vilka produkter som drabbas,</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en del varor och tjänster som påverkas av åtgärderna kan vara kritiska insatsvaror för andra sektorer (exempelvis högteknologisektorn).</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Mer allmänt är det  svårt att analysera icke-tariffära hinder och deras verkningar. Detta beror framför allt på att de icke-tariffära hindren inte alla är lika restriktiva. Bortsett från direkta förbud leder de flesta handelsbegränsande åtgärder inte till att handeln upphör helt och hållet, utan till att den minskar. Dessutom kan begränsningar som avser samma produkter eller samma tjänster överlappa varandra. Detta betyder att ytterligare hinder inte nödvändigtvis behöver innebära en ytterligare effekt, precis som att undanröjandet av ett hinder inte automatiskt innebär ett förbättrat marknadstillträde.</w:t>
      </w:r>
    </w:p>
    <w:p>
      <w:pPr>
        <w:spacing w:line="240" w:lineRule="auto"/>
        <w:jc w:val="both"/>
        <w:rPr>
          <w:rFonts w:ascii="Times New Roman" w:hAnsi="Times New Roman" w:cs="Times New Roman"/>
          <w:noProof/>
          <w:sz w:val="24"/>
          <w:szCs w:val="24"/>
          <w:lang w:val="sv-SE"/>
        </w:rPr>
      </w:pPr>
    </w:p>
    <w:p>
      <w:pPr>
        <w:pStyle w:val="NormalLinespacingMultiple12li"/>
        <w:spacing w:line="240" w:lineRule="auto"/>
        <w:jc w:val="both"/>
        <w:rPr>
          <w:rFonts w:ascii="Times New Roman" w:hAnsi="Times New Roman" w:cs="Times New Roman"/>
          <w:b/>
          <w:noProof/>
          <w:sz w:val="24"/>
          <w:szCs w:val="24"/>
          <w:lang w:val="sv-SE"/>
        </w:rPr>
      </w:pPr>
      <w:r>
        <w:rPr>
          <w:rFonts w:ascii="Times New Roman" w:hAnsi="Times New Roman"/>
          <w:b/>
          <w:noProof/>
          <w:sz w:val="24"/>
          <w:szCs w:val="24"/>
          <w:lang w:val="sv-SE"/>
        </w:rPr>
        <w:t>A.</w:t>
      </w:r>
      <w:r>
        <w:rPr>
          <w:rFonts w:ascii="Times New Roman" w:hAnsi="Times New Roman"/>
          <w:b/>
          <w:noProof/>
          <w:sz w:val="24"/>
          <w:szCs w:val="24"/>
          <w:lang w:val="sv-SE"/>
        </w:rPr>
        <w:tab/>
        <w:t xml:space="preserve"> NYA HINDER SOM RAPPORTERATS 2019 PER TREDJELAND</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I tabell 1 och diagram 3 ges en översikt över den geografiska fördelningen av de nya hinder som rapporterats 2019. Det största antalet nya hinder rapporterades i våra handels- och investeringsförbindelser med Saudiarabien och Libanon, för vilka det registrerades fem nya hinder för var och en. Tätt därefter kommer Kina och Algeriet, för vilka det registrerades fyra respektive tre nya hinder. Två hinder har rapporterats för vart och ett av länderna Singapore, Sydkorea. Malaysia, Kazakstan, Egypten, Marocko, Turkiet och Australien. De återstående tio hindren registrerades för andra tredjeländer. När det gäller utvecklingen sett till region kan det konstateras att en majoritet av de nya hindren 2019 infördes i Medelhavsområdet och Mellanöstern</w:t>
      </w:r>
      <w:r>
        <w:rPr>
          <w:rStyle w:val="FootnoteReference"/>
          <w:rFonts w:ascii="Times New Roman" w:hAnsi="Times New Roman" w:cs="Times New Roman"/>
          <w:bCs/>
          <w:noProof/>
          <w:sz w:val="24"/>
          <w:szCs w:val="24"/>
        </w:rPr>
        <w:footnoteReference w:id="10"/>
      </w:r>
      <w:r>
        <w:rPr>
          <w:rFonts w:ascii="Times New Roman" w:hAnsi="Times New Roman"/>
          <w:noProof/>
          <w:sz w:val="24"/>
          <w:szCs w:val="24"/>
          <w:lang w:val="sv-SE"/>
        </w:rPr>
        <w:t xml:space="preserve"> (20) samt i Asien (17).</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Jämfört med 2018 framstår två faktorer extra tydligt: en spridningseffekt håller på att utvecklas i Medelhavsområdet och Mellanöstern, och Kina behåller förstaplatsen på listan, vilket avspeglar en långsiktig negativ trend.</w:t>
      </w:r>
    </w:p>
    <w:p>
      <w:pPr>
        <w:spacing w:line="240" w:lineRule="auto"/>
        <w:jc w:val="center"/>
        <w:rPr>
          <w:rFonts w:ascii="Times New Roman" w:hAnsi="Times New Roman" w:cs="Times New Roman"/>
          <w:b/>
          <w:i/>
          <w:noProof/>
          <w:sz w:val="24"/>
          <w:szCs w:val="24"/>
          <w:lang w:val="sv-SE"/>
        </w:rPr>
      </w:pPr>
      <w:r>
        <w:rPr>
          <w:noProof/>
          <w:lang w:eastAsia="en-GB"/>
        </w:rPr>
        <w:drawing>
          <wp:inline distT="0" distB="0" distL="0" distR="0">
            <wp:extent cx="5562600" cy="2513596"/>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2600" cy="2513596"/>
                    </a:xfrm>
                    <a:prstGeom prst="rect">
                      <a:avLst/>
                    </a:prstGeom>
                    <a:noFill/>
                    <a:ln>
                      <a:noFill/>
                    </a:ln>
                  </pic:spPr>
                </pic:pic>
              </a:graphicData>
            </a:graphic>
          </wp:inline>
        </w:drawing>
      </w:r>
      <w:r>
        <w:rPr>
          <w:rFonts w:ascii="Times New Roman" w:hAnsi="Times New Roman"/>
          <w:b/>
          <w:i/>
          <w:noProof/>
          <w:sz w:val="24"/>
          <w:szCs w:val="24"/>
          <w:lang w:val="sv-SE"/>
        </w:rPr>
        <w:t>Tabell 1: Geografisk fördelning av de nya hinder som rapporterats 2019</w:t>
      </w:r>
    </w:p>
    <w:p>
      <w:pPr>
        <w:spacing w:line="240" w:lineRule="auto"/>
        <w:jc w:val="center"/>
        <w:rPr>
          <w:rFonts w:ascii="Times New Roman" w:hAnsi="Times New Roman" w:cs="Times New Roman"/>
          <w:b/>
          <w:i/>
          <w:noProof/>
          <w:sz w:val="24"/>
          <w:szCs w:val="24"/>
          <w:lang w:val="sv-SE"/>
        </w:rPr>
      </w:pPr>
    </w:p>
    <w:p>
      <w:pPr>
        <w:spacing w:line="240" w:lineRule="auto"/>
        <w:jc w:val="center"/>
        <w:rPr>
          <w:rFonts w:ascii="Times New Roman" w:hAnsi="Times New Roman" w:cs="Times New Roman"/>
          <w:b/>
          <w:i/>
          <w:noProof/>
          <w:sz w:val="24"/>
          <w:szCs w:val="24"/>
          <w:lang w:val="sv-SE"/>
        </w:rPr>
      </w:pPr>
      <w:r>
        <w:rPr>
          <w:noProof/>
          <w:lang w:eastAsia="en-GB"/>
        </w:rPr>
        <w:drawing>
          <wp:inline distT="0" distB="0" distL="0" distR="0">
            <wp:extent cx="5079242" cy="39433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7999" cy="3981203"/>
                    </a:xfrm>
                    <a:prstGeom prst="rect">
                      <a:avLst/>
                    </a:prstGeom>
                    <a:noFill/>
                    <a:ln>
                      <a:noFill/>
                    </a:ln>
                  </pic:spPr>
                </pic:pic>
              </a:graphicData>
            </a:graphic>
          </wp:inline>
        </w:drawing>
      </w:r>
      <w:r>
        <w:rPr>
          <w:rFonts w:ascii="Times New Roman" w:hAnsi="Times New Roman"/>
          <w:i/>
          <w:noProof/>
          <w:lang w:val="sv-SE"/>
        </w:rPr>
        <w:br/>
      </w:r>
      <w:r>
        <w:rPr>
          <w:rFonts w:ascii="Times New Roman" w:hAnsi="Times New Roman"/>
          <w:b/>
          <w:i/>
          <w:noProof/>
          <w:sz w:val="24"/>
          <w:szCs w:val="24"/>
          <w:lang w:val="sv-SE"/>
        </w:rPr>
        <w:t>Diagram 3: Geografisk fördelning av de nya hinder som rapporterats 2019 per region</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Med betoning på de nya hindrens ekonomiska tyngd visar diagram 4 de uppskattade påverkade handelsflödena och antalet handelshinder som registrerats 2019 för varje partnerland och region. Det framgår att Asien – främst Kina, men även Sydkorea – samt Medelhavsområdet och Mellanöstern kommer högst upp, både vad gäller antal nya hinder och omfattningen av de handelsflöden som påverkades 2019. Dessa två regioner svarar för nästan 30 miljarder euro av handeln på 35,1 miljarder euro som påverkades av nya hinder (85 % av all handel som påverkades), och för 35 hinder (över 80 % av alla hinder).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Australien kommer på tredje plats, med ett hinder med stor inverkan för motorfordon.</w:t>
      </w:r>
    </w:p>
    <w:p>
      <w:pPr>
        <w:spacing w:line="240" w:lineRule="auto"/>
        <w:jc w:val="both"/>
        <w:rPr>
          <w:rFonts w:ascii="Times New Roman" w:hAnsi="Times New Roman" w:cs="Times New Roman"/>
          <w:b/>
          <w:i/>
          <w:noProof/>
          <w:sz w:val="24"/>
          <w:szCs w:val="24"/>
          <w:lang w:val="sv-SE"/>
        </w:rPr>
      </w:pPr>
      <w:r>
        <w:rPr>
          <w:noProof/>
          <w:lang w:eastAsia="en-GB"/>
        </w:rPr>
        <w:drawing>
          <wp:inline distT="0" distB="0" distL="0" distR="0">
            <wp:extent cx="5562600" cy="2032007"/>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2600" cy="2032007"/>
                    </a:xfrm>
                    <a:prstGeom prst="rect">
                      <a:avLst/>
                    </a:prstGeom>
                    <a:noFill/>
                    <a:ln>
                      <a:noFill/>
                    </a:ln>
                  </pic:spPr>
                </pic:pic>
              </a:graphicData>
            </a:graphic>
          </wp:inline>
        </w:drawing>
      </w:r>
      <w:r>
        <w:rPr>
          <w:rFonts w:ascii="Times New Roman" w:hAnsi="Times New Roman"/>
          <w:b/>
          <w:i/>
          <w:noProof/>
          <w:sz w:val="24"/>
          <w:szCs w:val="24"/>
          <w:lang w:val="sv-SE"/>
        </w:rPr>
        <w:t>Diagram 4: Antal nya hinder som rapporterats och handel som påverkas, valda partnerländer och regioner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I tabell 2 visas de handelsflöden som påverkas för alla de 22 partnerländer som införde nya hinder under 2019. Bedömningen av de ekonomiska effekterna av de nya hindren för marknadstillträde motsvarar i alla fall eventuellt inte till fullo hindrens verkliga effekt. Detta kan vara fallet när det gäller tjänstehinder eller hinder av en horisontell art, vilka är svåra att kvantifiera, och när det gäller begränsningar som överlappar varandra för samma produkter.</w:t>
      </w:r>
    </w:p>
    <w:p>
      <w:pPr>
        <w:spacing w:line="240" w:lineRule="auto"/>
        <w:rPr>
          <w:rFonts w:ascii="Times New Roman" w:hAnsi="Times New Roman" w:cs="Times New Roman"/>
          <w:noProof/>
          <w:sz w:val="24"/>
          <w:szCs w:val="24"/>
        </w:rPr>
      </w:pPr>
      <w:r>
        <w:rPr>
          <w:noProof/>
          <w:lang w:eastAsia="en-GB"/>
        </w:rPr>
        <w:drawing>
          <wp:inline distT="0" distB="0" distL="0" distR="0">
            <wp:extent cx="5562600" cy="26167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2600" cy="2616738"/>
                    </a:xfrm>
                    <a:prstGeom prst="rect">
                      <a:avLst/>
                    </a:prstGeom>
                    <a:noFill/>
                    <a:ln>
                      <a:noFill/>
                    </a:ln>
                  </pic:spPr>
                </pic:pic>
              </a:graphicData>
            </a:graphic>
          </wp:inline>
        </w:drawing>
      </w:r>
    </w:p>
    <w:p>
      <w:pPr>
        <w:pStyle w:val="Caption"/>
        <w:keepNext/>
        <w:spacing w:line="240" w:lineRule="auto"/>
        <w:jc w:val="center"/>
        <w:rPr>
          <w:rFonts w:ascii="Times New Roman" w:hAnsi="Times New Roman" w:cs="Times New Roman"/>
          <w:i/>
          <w:noProof/>
          <w:sz w:val="24"/>
          <w:szCs w:val="24"/>
          <w:lang w:val="sv-SE"/>
        </w:rPr>
      </w:pPr>
      <w:r>
        <w:rPr>
          <w:rFonts w:ascii="Times New Roman" w:hAnsi="Times New Roman"/>
          <w:i/>
          <w:noProof/>
          <w:sz w:val="24"/>
          <w:szCs w:val="24"/>
          <w:lang w:val="sv-SE"/>
        </w:rPr>
        <w:t>Tabell 2: EU-27-handelsflöden som påverkas av de nya hinder som rapporterats under 2019 av partnerländer (i miljarder euro)</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Med tanke på den kinesiska ekonomins storlek och de viktiga sektorer som påverkas (däribland sektorer som är strategiska för EU) är följderna av Kinas handelspolitik omedelbart uppenbara, och kan eventuellt hindra EU-handel på över 15,5 miljarder euro. </w:t>
      </w:r>
    </w:p>
    <w:p>
      <w:pPr>
        <w:spacing w:line="240" w:lineRule="auto"/>
        <w:jc w:val="both"/>
        <w:rPr>
          <w:rFonts w:ascii="Times New Roman" w:hAnsi="Times New Roman" w:cs="Times New Roman"/>
          <w:noProof/>
          <w:sz w:val="24"/>
          <w:szCs w:val="24"/>
          <w:lang w:val="sv-SE"/>
        </w:rPr>
      </w:pPr>
    </w:p>
    <w:p>
      <w:pPr>
        <w:pStyle w:val="NormalLinespacingMultiple12li"/>
        <w:spacing w:line="240" w:lineRule="auto"/>
        <w:jc w:val="both"/>
        <w:rPr>
          <w:rFonts w:ascii="Times New Roman" w:hAnsi="Times New Roman" w:cs="Times New Roman"/>
          <w:b/>
          <w:noProof/>
          <w:sz w:val="24"/>
          <w:szCs w:val="24"/>
          <w:lang w:val="sv-SE"/>
        </w:rPr>
      </w:pPr>
      <w:r>
        <w:rPr>
          <w:rFonts w:ascii="Times New Roman" w:hAnsi="Times New Roman"/>
          <w:b/>
          <w:noProof/>
          <w:sz w:val="24"/>
          <w:szCs w:val="24"/>
          <w:lang w:val="sv-SE"/>
        </w:rPr>
        <w:t>B.</w:t>
      </w:r>
      <w:r>
        <w:rPr>
          <w:rFonts w:ascii="Times New Roman" w:hAnsi="Times New Roman"/>
          <w:b/>
          <w:noProof/>
          <w:sz w:val="24"/>
          <w:szCs w:val="24"/>
          <w:lang w:val="sv-SE"/>
        </w:rPr>
        <w:tab/>
        <w:t>NYA HINDER SOM RAPPORTERATS UNDER 2019 PER TYP AV ÅTGÄRD</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Om man ser till fördelningen av de 43 nya hindren per typ av åtgärd framgår det att nya åtgärder vid gränsen (65 %) dominerar framför åtgärder bakom gränsen (28 %) och att alltfler olika protektionistiska åtgärder används. </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En viktig aspekt under 2019 är att sanitära och fytosanitära åtgärder ensamma står för en tredjedel av alla nya hinder. En mer detaljerad analys visar att djurskyddsskäl är vanligast (fem hinder)</w:t>
      </w:r>
      <w:r>
        <w:rPr>
          <w:rStyle w:val="FootnoteReference"/>
          <w:rFonts w:ascii="Times New Roman" w:hAnsi="Times New Roman" w:cs="Times New Roman"/>
          <w:noProof/>
          <w:sz w:val="24"/>
          <w:szCs w:val="24"/>
        </w:rPr>
        <w:footnoteReference w:id="11"/>
      </w:r>
      <w:r>
        <w:rPr>
          <w:rFonts w:ascii="Times New Roman" w:hAnsi="Times New Roman"/>
          <w:noProof/>
          <w:sz w:val="24"/>
          <w:szCs w:val="24"/>
          <w:lang w:val="sv-SE"/>
        </w:rPr>
        <w:t>, följt av växtskyddsskäl och folkhälsoskäl (två vardera). Ibland kombineras flera av dessa inslag i de sanitära och fytosanitära begränsningarna (4).</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Andra åtgärder vid gränsen avser främst tull- och kvothöjningar (7 hinder) och administrativa förfaranden (7). I år rapporterades även ett nytt hinder på området för exportbegränsningar (1).</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Åtgärderna bakom gränsen utgörs framför allt av tekniska handelshinder (9), även med vissa fall av immateriell äganderätt (1), handelspolitiska skyddsinstrument som inte överensstämmer med internationella skyldigheter (1) och förhindrat tillträde till offentliga upphandlingar för EU-företag (1).</w:t>
      </w:r>
    </w:p>
    <w:p>
      <w:pPr>
        <w:spacing w:line="240" w:lineRule="auto"/>
        <w:ind w:left="-284"/>
        <w:jc w:val="center"/>
        <w:rPr>
          <w:rFonts w:ascii="Times New Roman" w:hAnsi="Times New Roman" w:cs="Times New Roman"/>
          <w:b/>
          <w:i/>
          <w:noProof/>
          <w:sz w:val="24"/>
          <w:szCs w:val="24"/>
          <w:lang w:val="sv-SE"/>
        </w:rPr>
      </w:pPr>
      <w:r>
        <w:rPr>
          <w:noProof/>
          <w:lang w:eastAsia="en-GB"/>
        </w:rPr>
        <w:drawing>
          <wp:inline distT="0" distB="0" distL="0" distR="0">
            <wp:extent cx="5562600" cy="3025274"/>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2600" cy="3025274"/>
                    </a:xfrm>
                    <a:prstGeom prst="rect">
                      <a:avLst/>
                    </a:prstGeom>
                    <a:noFill/>
                    <a:ln>
                      <a:noFill/>
                    </a:ln>
                  </pic:spPr>
                </pic:pic>
              </a:graphicData>
            </a:graphic>
          </wp:inline>
        </w:drawing>
      </w:r>
      <w:r>
        <w:rPr>
          <w:rFonts w:ascii="Times New Roman" w:hAnsi="Times New Roman"/>
          <w:b/>
          <w:i/>
          <w:noProof/>
          <w:sz w:val="24"/>
          <w:szCs w:val="24"/>
          <w:lang w:val="sv-SE"/>
        </w:rPr>
        <w:t xml:space="preserve">Diagram 5: Fördelning av de nya handels- och investeringshinder som rapporterats under 2019 per typ av åtgärd, i procent av antalet nya hinder </w:t>
      </w:r>
      <w:r>
        <w:rPr>
          <w:rFonts w:ascii="Times New Roman" w:hAnsi="Times New Roman"/>
          <w:b/>
          <w:i/>
          <w:noProof/>
          <w:sz w:val="24"/>
          <w:szCs w:val="24"/>
          <w:lang w:val="sv-SE"/>
        </w:rPr>
        <w:br/>
      </w:r>
      <w:r>
        <w:rPr>
          <w:rFonts w:ascii="Times New Roman" w:hAnsi="Times New Roman"/>
          <w:bCs/>
          <w:i/>
          <w:noProof/>
          <w:sz w:val="24"/>
          <w:szCs w:val="24"/>
          <w:lang w:val="sv-SE"/>
        </w:rPr>
        <w:t>(Åtgärder vid gränsen visas i bruna nyanser, åtgärder bakom gränsen i blå nyanser.)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Denna uppdelning tyder på att hårdare, mindre sofistikerade åtgärder vid gränsen används för att hindra handel. Stick i stäv mot trenden på längre sikt verkar våra partner föredra sådana flagranta protektionistiska åtgärder i stället för att enbart förlita sig till mer diskreta åtgärder bakom gränsen, vilket visar att ett sådant beteende blir alltmer strukturellt inrotat i många länders handelspolitik.</w:t>
      </w:r>
    </w:p>
    <w:p>
      <w:pPr>
        <w:spacing w:line="240" w:lineRule="auto"/>
        <w:jc w:val="both"/>
        <w:rPr>
          <w:rFonts w:ascii="Times New Roman" w:hAnsi="Times New Roman" w:cs="Times New Roman"/>
          <w:noProof/>
          <w:sz w:val="24"/>
          <w:szCs w:val="24"/>
          <w:lang w:val="sv-SE"/>
        </w:rPr>
      </w:pPr>
    </w:p>
    <w:p>
      <w:pPr>
        <w:pStyle w:val="NormalLinespacingMultiple12li"/>
        <w:spacing w:line="240" w:lineRule="auto"/>
        <w:jc w:val="both"/>
        <w:rPr>
          <w:rFonts w:ascii="Times New Roman" w:hAnsi="Times New Roman" w:cs="Times New Roman"/>
          <w:b/>
          <w:noProof/>
          <w:sz w:val="24"/>
          <w:szCs w:val="24"/>
          <w:lang w:val="sv-SE"/>
        </w:rPr>
      </w:pPr>
      <w:r>
        <w:rPr>
          <w:rFonts w:ascii="Times New Roman" w:hAnsi="Times New Roman"/>
          <w:b/>
          <w:noProof/>
          <w:sz w:val="24"/>
          <w:szCs w:val="24"/>
          <w:lang w:val="sv-SE"/>
        </w:rPr>
        <w:t>C.</w:t>
      </w:r>
      <w:r>
        <w:rPr>
          <w:rFonts w:ascii="Times New Roman" w:hAnsi="Times New Roman"/>
          <w:b/>
          <w:noProof/>
          <w:sz w:val="24"/>
          <w:szCs w:val="24"/>
          <w:lang w:val="sv-SE"/>
        </w:rPr>
        <w:tab/>
        <w:t>NYA HINDER SOM RAPPORTERATS UNDER 2019 PER SEKTOR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De nya hinder som rapporterats under 2019 påverkade EU:s handel inom 17 ekonomiska sektorer, varav några berördes av sektorsövergripande hinder.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Flest nya hinder registrerades inom </w:t>
      </w:r>
      <w:r>
        <w:rPr>
          <w:rFonts w:ascii="Times New Roman" w:hAnsi="Times New Roman"/>
          <w:i/>
          <w:noProof/>
          <w:sz w:val="24"/>
          <w:szCs w:val="24"/>
          <w:lang w:val="sv-SE"/>
        </w:rPr>
        <w:t>jordbruk och fiske</w:t>
      </w:r>
      <w:r>
        <w:rPr>
          <w:rFonts w:ascii="Times New Roman" w:hAnsi="Times New Roman"/>
          <w:noProof/>
          <w:sz w:val="24"/>
          <w:szCs w:val="24"/>
          <w:lang w:val="sv-SE"/>
        </w:rPr>
        <w:t xml:space="preserve"> (16), följt av 9 </w:t>
      </w:r>
      <w:r>
        <w:rPr>
          <w:rFonts w:ascii="Times New Roman" w:hAnsi="Times New Roman"/>
          <w:i/>
          <w:noProof/>
          <w:sz w:val="24"/>
          <w:szCs w:val="24"/>
          <w:lang w:val="sv-SE"/>
        </w:rPr>
        <w:t>horisontella</w:t>
      </w:r>
      <w:r>
        <w:rPr>
          <w:rFonts w:ascii="Times New Roman" w:hAnsi="Times New Roman"/>
          <w:noProof/>
          <w:sz w:val="24"/>
          <w:szCs w:val="24"/>
          <w:lang w:val="sv-SE"/>
        </w:rPr>
        <w:t xml:space="preserve"> eller </w:t>
      </w:r>
      <w:r>
        <w:rPr>
          <w:rFonts w:ascii="Times New Roman" w:hAnsi="Times New Roman"/>
          <w:i/>
          <w:noProof/>
          <w:sz w:val="24"/>
          <w:szCs w:val="24"/>
          <w:lang w:val="sv-SE"/>
        </w:rPr>
        <w:t>sektorsövergripande</w:t>
      </w:r>
      <w:r>
        <w:rPr>
          <w:rFonts w:ascii="Times New Roman" w:hAnsi="Times New Roman"/>
          <w:noProof/>
          <w:sz w:val="24"/>
          <w:szCs w:val="24"/>
          <w:lang w:val="sv-SE"/>
        </w:rPr>
        <w:t xml:space="preserve"> åtgärder. </w:t>
      </w:r>
      <w:r>
        <w:rPr>
          <w:rFonts w:ascii="Times New Roman" w:hAnsi="Times New Roman"/>
          <w:i/>
          <w:noProof/>
          <w:sz w:val="24"/>
          <w:szCs w:val="24"/>
          <w:lang w:val="sv-SE"/>
        </w:rPr>
        <w:t>IKT-sektorn</w:t>
      </w:r>
      <w:r>
        <w:rPr>
          <w:rFonts w:ascii="Times New Roman" w:hAnsi="Times New Roman"/>
          <w:noProof/>
          <w:sz w:val="24"/>
          <w:szCs w:val="24"/>
          <w:lang w:val="sv-SE"/>
        </w:rPr>
        <w:t xml:space="preserve"> och </w:t>
      </w:r>
      <w:r>
        <w:rPr>
          <w:rFonts w:ascii="Times New Roman" w:hAnsi="Times New Roman"/>
          <w:i/>
          <w:noProof/>
          <w:sz w:val="24"/>
          <w:szCs w:val="24"/>
          <w:lang w:val="sv-SE"/>
        </w:rPr>
        <w:t>fordonssektorn</w:t>
      </w:r>
      <w:r>
        <w:rPr>
          <w:rFonts w:ascii="Times New Roman" w:hAnsi="Times New Roman"/>
          <w:noProof/>
          <w:sz w:val="24"/>
          <w:szCs w:val="24"/>
          <w:lang w:val="sv-SE"/>
        </w:rPr>
        <w:t xml:space="preserve"> drabbades av tre nya hinder 2019, medan </w:t>
      </w:r>
      <w:r>
        <w:rPr>
          <w:rFonts w:ascii="Times New Roman" w:hAnsi="Times New Roman"/>
          <w:i/>
          <w:noProof/>
          <w:sz w:val="24"/>
          <w:szCs w:val="24"/>
          <w:lang w:val="sv-SE"/>
        </w:rPr>
        <w:t>läkemedelsindustrin</w:t>
      </w:r>
      <w:r>
        <w:rPr>
          <w:rFonts w:ascii="Times New Roman" w:hAnsi="Times New Roman"/>
          <w:noProof/>
          <w:sz w:val="24"/>
          <w:szCs w:val="24"/>
          <w:lang w:val="sv-SE"/>
        </w:rPr>
        <w:t xml:space="preserve"> och </w:t>
      </w:r>
      <w:r>
        <w:rPr>
          <w:rFonts w:ascii="Times New Roman" w:hAnsi="Times New Roman"/>
          <w:i/>
          <w:noProof/>
          <w:sz w:val="24"/>
          <w:szCs w:val="24"/>
          <w:lang w:val="sv-SE"/>
        </w:rPr>
        <w:t>pappers-, trä- och massaindustrin</w:t>
      </w:r>
      <w:r>
        <w:rPr>
          <w:rFonts w:ascii="Times New Roman" w:hAnsi="Times New Roman"/>
          <w:noProof/>
          <w:sz w:val="24"/>
          <w:szCs w:val="24"/>
          <w:lang w:val="sv-SE"/>
        </w:rPr>
        <w:t xml:space="preserve"> mötte två nya hinder vardera. Flera andra sektorer påverkades dessutom var och en av ett nytt handelshinder, dvs. sektorerna </w:t>
      </w:r>
      <w:r>
        <w:rPr>
          <w:rFonts w:ascii="Times New Roman" w:hAnsi="Times New Roman"/>
          <w:i/>
          <w:noProof/>
          <w:sz w:val="24"/>
          <w:szCs w:val="24"/>
          <w:lang w:val="sv-SE"/>
        </w:rPr>
        <w:t>mineralprodukter, järn, stål och icke-järnmetaller, textilier och läder, keramik och glas, kosmetika, varvsindustri, vin och sprit</w:t>
      </w:r>
      <w:r>
        <w:rPr>
          <w:rFonts w:ascii="Times New Roman" w:hAnsi="Times New Roman"/>
          <w:noProof/>
          <w:sz w:val="24"/>
          <w:szCs w:val="24"/>
          <w:lang w:val="sv-SE"/>
        </w:rPr>
        <w:t xml:space="preserve"> samt </w:t>
      </w:r>
      <w:r>
        <w:rPr>
          <w:rFonts w:ascii="Times New Roman" w:hAnsi="Times New Roman"/>
          <w:i/>
          <w:noProof/>
          <w:sz w:val="24"/>
          <w:szCs w:val="24"/>
          <w:lang w:val="sv-SE"/>
        </w:rPr>
        <w:t>andra näringsgrenar.</w:t>
      </w:r>
    </w:p>
    <w:p>
      <w:pPr>
        <w:spacing w:line="240" w:lineRule="auto"/>
        <w:jc w:val="center"/>
        <w:rPr>
          <w:rFonts w:ascii="Times New Roman" w:hAnsi="Times New Roman" w:cs="Times New Roman"/>
          <w:b/>
          <w:i/>
          <w:noProof/>
          <w:sz w:val="24"/>
          <w:szCs w:val="24"/>
          <w:lang w:val="sv-SE"/>
        </w:rPr>
      </w:pPr>
      <w:r>
        <w:rPr>
          <w:noProof/>
          <w:lang w:eastAsia="en-GB"/>
        </w:rPr>
        <w:drawing>
          <wp:inline distT="0" distB="0" distL="0" distR="0">
            <wp:extent cx="5562600" cy="2488676"/>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2600" cy="2488676"/>
                    </a:xfrm>
                    <a:prstGeom prst="rect">
                      <a:avLst/>
                    </a:prstGeom>
                    <a:noFill/>
                    <a:ln>
                      <a:noFill/>
                    </a:ln>
                  </pic:spPr>
                </pic:pic>
              </a:graphicData>
            </a:graphic>
          </wp:inline>
        </w:drawing>
      </w:r>
      <w:r>
        <w:rPr>
          <w:rFonts w:ascii="Times New Roman" w:hAnsi="Times New Roman"/>
          <w:noProof/>
          <w:lang w:val="sv-SE"/>
        </w:rPr>
        <w:t xml:space="preserve"> </w:t>
      </w:r>
      <w:r>
        <w:rPr>
          <w:rFonts w:ascii="Times New Roman" w:hAnsi="Times New Roman"/>
          <w:b/>
          <w:i/>
          <w:noProof/>
          <w:sz w:val="24"/>
          <w:szCs w:val="24"/>
          <w:lang w:val="sv-SE"/>
        </w:rPr>
        <w:t>Diagram 6: Sektorsvis uppdelning av handels- och investeringshinder som rapporterats 2019</w:t>
      </w:r>
      <w:r>
        <w:rPr>
          <w:rFonts w:ascii="Times New Roman" w:hAnsi="Times New Roman"/>
          <w:b/>
          <w:i/>
          <w:noProof/>
          <w:sz w:val="24"/>
          <w:szCs w:val="24"/>
          <w:lang w:val="sv-SE"/>
        </w:rPr>
        <w:br/>
        <w:t xml:space="preserve"> (antal hinder)</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Förutom antalet åtgärder ger en analys av hur stor den handel är som påverkas ännu bättre information om hur tungt varje hinder verkligen väger. Såsom framgår av diagram 7 var ungefär 85 % av den påverkade handeln att hänföra till industrisektorer, varvid hinder inom </w:t>
      </w:r>
      <w:r>
        <w:rPr>
          <w:rFonts w:ascii="Times New Roman" w:hAnsi="Times New Roman"/>
          <w:i/>
          <w:noProof/>
          <w:sz w:val="24"/>
          <w:szCs w:val="24"/>
          <w:lang w:val="sv-SE"/>
        </w:rPr>
        <w:t>IKT-sektorn</w:t>
      </w:r>
      <w:r>
        <w:rPr>
          <w:rFonts w:ascii="Times New Roman" w:hAnsi="Times New Roman"/>
          <w:noProof/>
          <w:sz w:val="24"/>
          <w:szCs w:val="24"/>
          <w:lang w:val="sv-SE"/>
        </w:rPr>
        <w:t xml:space="preserve"> (15 miljarder euro), </w:t>
      </w:r>
      <w:r>
        <w:rPr>
          <w:rFonts w:ascii="Times New Roman" w:hAnsi="Times New Roman"/>
          <w:i/>
          <w:noProof/>
          <w:sz w:val="24"/>
          <w:szCs w:val="24"/>
          <w:lang w:val="sv-SE"/>
        </w:rPr>
        <w:t>fordonssektorn</w:t>
      </w:r>
      <w:r>
        <w:rPr>
          <w:rFonts w:ascii="Times New Roman" w:hAnsi="Times New Roman"/>
          <w:noProof/>
          <w:sz w:val="24"/>
          <w:szCs w:val="24"/>
          <w:lang w:val="sv-SE"/>
        </w:rPr>
        <w:t xml:space="preserve"> (5,7 miljarder euro) och </w:t>
      </w:r>
      <w:r>
        <w:rPr>
          <w:rFonts w:ascii="Times New Roman" w:hAnsi="Times New Roman"/>
          <w:i/>
          <w:noProof/>
          <w:sz w:val="24"/>
          <w:szCs w:val="24"/>
          <w:lang w:val="sv-SE"/>
        </w:rPr>
        <w:t>elektroniksektorn</w:t>
      </w:r>
      <w:r>
        <w:rPr>
          <w:rFonts w:ascii="Times New Roman" w:hAnsi="Times New Roman"/>
          <w:noProof/>
          <w:sz w:val="24"/>
          <w:szCs w:val="24"/>
          <w:lang w:val="sv-SE"/>
        </w:rPr>
        <w:t xml:space="preserve"> (2,6 miljarder euro) svarar för två tredjedelar av all export från EU-27 som påverkas av nya rapporterade hinder. Dessa sektorer är direkt kopplade till EU:s teknologiska suveränitet och strategiska oberoende.</w:t>
      </w:r>
    </w:p>
    <w:p>
      <w:pPr>
        <w:spacing w:line="240" w:lineRule="auto"/>
        <w:jc w:val="center"/>
        <w:rPr>
          <w:rFonts w:ascii="Times New Roman" w:hAnsi="Times New Roman" w:cs="Times New Roman"/>
          <w:b/>
          <w:i/>
          <w:noProof/>
          <w:sz w:val="24"/>
          <w:szCs w:val="24"/>
          <w:lang w:val="sv-SE"/>
        </w:rPr>
      </w:pPr>
      <w:r>
        <w:rPr>
          <w:noProof/>
          <w:lang w:eastAsia="en-GB"/>
        </w:rPr>
        <w:drawing>
          <wp:inline distT="0" distB="0" distL="0" distR="0">
            <wp:extent cx="5562600" cy="25972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600" cy="2597262"/>
                    </a:xfrm>
                    <a:prstGeom prst="rect">
                      <a:avLst/>
                    </a:prstGeom>
                    <a:noFill/>
                    <a:ln>
                      <a:noFill/>
                    </a:ln>
                  </pic:spPr>
                </pic:pic>
              </a:graphicData>
            </a:graphic>
          </wp:inline>
        </w:drawing>
      </w:r>
      <w:r>
        <w:rPr>
          <w:b/>
          <w:i/>
          <w:noProof/>
          <w:sz w:val="24"/>
          <w:szCs w:val="24"/>
          <w:lang w:val="sv-SE"/>
        </w:rPr>
        <w:t>Diagram 7:</w:t>
      </w:r>
      <w:r>
        <w:rPr>
          <w:rFonts w:ascii="Times New Roman" w:hAnsi="Times New Roman"/>
          <w:b/>
          <w:i/>
          <w:noProof/>
          <w:sz w:val="24"/>
          <w:szCs w:val="24"/>
          <w:lang w:val="sv-SE"/>
        </w:rPr>
        <w:t xml:space="preserve"> EU-27-handelsflöden som påverkas av de hinder som rapporterats under 2019, per sektor</w:t>
      </w:r>
      <w:r>
        <w:rPr>
          <w:rStyle w:val="FootnoteReference"/>
          <w:rFonts w:ascii="Times New Roman" w:hAnsi="Times New Roman" w:cs="Times New Roman"/>
          <w:b/>
          <w:i/>
          <w:noProof/>
          <w:sz w:val="24"/>
          <w:szCs w:val="24"/>
        </w:rPr>
        <w:footnoteReference w:id="12"/>
      </w:r>
      <w:r>
        <w:rPr>
          <w:rFonts w:ascii="Times New Roman" w:hAnsi="Times New Roman"/>
          <w:b/>
          <w:i/>
          <w:noProof/>
          <w:sz w:val="24"/>
          <w:szCs w:val="24"/>
          <w:lang w:val="sv-SE"/>
        </w:rPr>
        <w:br/>
        <w:t xml:space="preserve"> (i miljarder euro och procentenheter)</w:t>
      </w:r>
    </w:p>
    <w:p>
      <w:pPr>
        <w:spacing w:line="240" w:lineRule="auto"/>
        <w:jc w:val="both"/>
        <w:rPr>
          <w:rFonts w:ascii="Times New Roman" w:hAnsi="Times New Roman" w:cs="Times New Roman"/>
          <w:noProof/>
          <w:sz w:val="24"/>
          <w:szCs w:val="24"/>
          <w:highlight w:val="yellow"/>
          <w:lang w:val="sv-SE"/>
        </w:rPr>
      </w:pPr>
      <w:r>
        <w:rPr>
          <w:rFonts w:ascii="Times New Roman" w:hAnsi="Times New Roman"/>
          <w:noProof/>
          <w:sz w:val="24"/>
          <w:szCs w:val="24"/>
          <w:lang w:val="sv-SE"/>
        </w:rPr>
        <w:t xml:space="preserve">Protektionistiska tendenser som påverkar våra högteknologiska sektorer upptäcktes redan förra året och höll i sig under 2019. Om dessa hinder inte åtgärdas utgör de ett objektivt hot, inte bara mot EU-företagens konkurrenskraft utan mot även EU:s ställning som global ledare på teknikområdet. </w:t>
      </w:r>
    </w:p>
    <w:p>
      <w:pPr>
        <w:spacing w:line="240" w:lineRule="auto"/>
        <w:rPr>
          <w:rFonts w:ascii="Times New Roman" w:hAnsi="Times New Roman" w:cs="Times New Roman"/>
          <w:b/>
          <w:noProof/>
          <w:sz w:val="24"/>
          <w:szCs w:val="24"/>
          <w:lang w:val="sv-SE"/>
        </w:rPr>
      </w:pPr>
      <w:r>
        <w:rPr>
          <w:noProof/>
          <w:lang w:val="sv-SE"/>
        </w:rPr>
        <w:br w:type="page"/>
      </w:r>
    </w:p>
    <w:p>
      <w:pPr>
        <w:pStyle w:val="NormalLinespacingMultiple12li"/>
        <w:numPr>
          <w:ilvl w:val="0"/>
          <w:numId w:val="40"/>
        </w:numPr>
        <w:spacing w:line="240" w:lineRule="auto"/>
        <w:rPr>
          <w:rFonts w:ascii="Times New Roman" w:hAnsi="Times New Roman" w:cs="Times New Roman"/>
          <w:b/>
          <w:noProof/>
          <w:sz w:val="24"/>
          <w:szCs w:val="24"/>
          <w:lang w:val="sv-SE"/>
        </w:rPr>
      </w:pPr>
      <w:r>
        <w:rPr>
          <w:rFonts w:ascii="Times New Roman" w:hAnsi="Times New Roman"/>
          <w:b/>
          <w:noProof/>
          <w:sz w:val="24"/>
          <w:szCs w:val="24"/>
          <w:lang w:val="sv-SE"/>
        </w:rPr>
        <w:t>KVALITATIV ANALYS AV NYA HINDER SOM RAPPORTERATS UNDER 2019</w:t>
      </w:r>
    </w:p>
    <w:p>
      <w:pPr>
        <w:pStyle w:val="NormalLinespacingMultiple12li"/>
        <w:spacing w:line="240" w:lineRule="auto"/>
        <w:jc w:val="both"/>
        <w:rPr>
          <w:rFonts w:ascii="Times New Roman" w:hAnsi="Times New Roman" w:cs="Times New Roman"/>
          <w:bCs/>
          <w:noProof/>
          <w:sz w:val="24"/>
          <w:szCs w:val="24"/>
          <w:lang w:val="sv-SE"/>
        </w:rPr>
      </w:pPr>
    </w:p>
    <w:p>
      <w:pPr>
        <w:pStyle w:val="ListParagraph"/>
        <w:numPr>
          <w:ilvl w:val="0"/>
          <w:numId w:val="35"/>
        </w:numPr>
        <w:spacing w:line="240" w:lineRule="auto"/>
        <w:rPr>
          <w:rFonts w:ascii="Times New Roman" w:hAnsi="Times New Roman" w:cs="Times New Roman"/>
          <w:b/>
          <w:noProof/>
          <w:sz w:val="24"/>
          <w:szCs w:val="24"/>
        </w:rPr>
      </w:pPr>
      <w:r>
        <w:rPr>
          <w:rFonts w:ascii="Times New Roman" w:hAnsi="Times New Roman"/>
          <w:b/>
          <w:noProof/>
          <w:sz w:val="24"/>
          <w:szCs w:val="24"/>
        </w:rPr>
        <w:t>KINA</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Under 2019 fortsatte Kina att införa ett stort antal handelsbegränsningar inom högteknologiska industrier, vars effekter även sprider sig till många andra sektorer – vilket innebär att den uppskattade siffran på 15 miljarder euro för den handel som potentiellt kan påverkas således utgör en underskattning av omfattningen av detta hinder. Precis som de tidigare åtgärderna för att genomföra Kinas politik på it-säkerhetsområdet har dessa åtgärder en stark koppling till Kinas andra politiska mål, nämligen att skydda hemmamarknaden och utveckla kapacitet och tekniker inom ramen för strategin Made in China 2025. Det finns inga omedelbara tecken på att denna tendens kommer att avta inom den närmaste framtiden. </w:t>
      </w:r>
    </w:p>
    <w:p>
      <w:pPr>
        <w:spacing w:line="240" w:lineRule="auto"/>
        <w:jc w:val="both"/>
        <w:rPr>
          <w:rFonts w:ascii="Times New Roman" w:hAnsi="Times New Roman" w:cs="Times New Roman"/>
          <w:noProof/>
          <w:sz w:val="24"/>
          <w:szCs w:val="24"/>
          <w:lang w:val="sv-SE"/>
        </w:rPr>
      </w:pPr>
      <w:r>
        <w:rPr>
          <w:rFonts w:ascii="Times New Roman" w:hAnsi="Times New Roman"/>
          <w:b/>
          <w:noProof/>
          <w:sz w:val="24"/>
          <w:szCs w:val="24"/>
          <w:lang w:val="sv-SE"/>
        </w:rPr>
        <w:t>Utkastet till granskningsmekanism på it-säkerhetsområdet</w:t>
      </w:r>
      <w:r>
        <w:rPr>
          <w:rFonts w:ascii="Times New Roman" w:hAnsi="Times New Roman"/>
          <w:noProof/>
          <w:sz w:val="24"/>
          <w:szCs w:val="24"/>
          <w:lang w:val="sv-SE"/>
        </w:rPr>
        <w:t xml:space="preserve"> offentliggjordes i maj 2019. Enligt utkastet kan det bli ett villkor i kommersiella avtal att berörda parter godkänns i granskningen. Eftersom det inte anges i utkastet vilka typer av uppgifter och material som kommer att bli föremål för granskning och inspektion krävs stränga bestämmelser för att säkerställa ett fullständigt skydd av de immateriella rättigheterna och för att undvika överföring av känsliga affärsuppgifter.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I juni 2019 offentliggjordes ett utkast till åtgärder för säkerhetsbedömning av </w:t>
      </w:r>
      <w:r>
        <w:rPr>
          <w:rFonts w:ascii="Times New Roman" w:hAnsi="Times New Roman"/>
          <w:b/>
          <w:noProof/>
          <w:sz w:val="24"/>
          <w:szCs w:val="24"/>
          <w:lang w:val="sv-SE"/>
        </w:rPr>
        <w:t>gränsöverskridande överföring av personuppgifter och administrativa åtgärder avseende datasäkerhet</w:t>
      </w:r>
      <w:r>
        <w:rPr>
          <w:rFonts w:ascii="Times New Roman" w:hAnsi="Times New Roman"/>
          <w:noProof/>
          <w:sz w:val="24"/>
          <w:szCs w:val="24"/>
          <w:lang w:val="sv-SE"/>
        </w:rPr>
        <w:t>. Åtgärderna förefaller att gå längre än den rättsliga grund i it-säkerhetslagen som de bygger på, eftersom omfattningen av datalokaliseringskravet utökas. Det står inte heller klart hur dataöverföringar inom (multinationella) företagskoncerner kommer att behandlas. De viktigaste bestämmelserna i utkastet är fortfarande vagt utformade och det står inte klart hur de föreslagna åtgärderna kommer att tillämpas i förhållande till andra åtgärder/riktlinjer/normer för data.</w:t>
      </w:r>
    </w:p>
    <w:p>
      <w:pPr>
        <w:spacing w:line="240" w:lineRule="auto"/>
        <w:jc w:val="both"/>
        <w:rPr>
          <w:rFonts w:ascii="Times New Roman" w:hAnsi="Times New Roman" w:cs="Times New Roman"/>
          <w:noProof/>
          <w:color w:val="000000" w:themeColor="text1"/>
          <w:sz w:val="24"/>
          <w:szCs w:val="24"/>
          <w:lang w:val="sv-SE"/>
        </w:rPr>
      </w:pPr>
      <w:r>
        <w:rPr>
          <w:rFonts w:ascii="Times New Roman" w:hAnsi="Times New Roman"/>
          <w:b/>
          <w:noProof/>
          <w:sz w:val="24"/>
          <w:szCs w:val="24"/>
          <w:lang w:val="sv-SE"/>
        </w:rPr>
        <w:t>Marknadstillträdet till Kinas telekomnät</w:t>
      </w:r>
      <w:r>
        <w:rPr>
          <w:rFonts w:ascii="Times New Roman" w:hAnsi="Times New Roman"/>
          <w:noProof/>
          <w:sz w:val="24"/>
          <w:szCs w:val="24"/>
          <w:lang w:val="sv-SE"/>
        </w:rPr>
        <w:t xml:space="preserve"> är en fråga som väcker allt större oro och är också mycket viktig för EU eftersom femte generationens nät (5G) håller på att införas. Baserat på tillgänglig information om de tidiga upphandlingsresultaten gynnas kinesiska nätleverantörer till överväldigande del. Resultaten förefaller inte avspegla EU-säljarnas konkurrensmässiga fördelar, vilket tyder på att det finns skadliga hinder för marknadstillträdet inom denna sektor.</w:t>
      </w:r>
    </w:p>
    <w:p>
      <w:pPr>
        <w:spacing w:line="240" w:lineRule="auto"/>
        <w:jc w:val="both"/>
        <w:rPr>
          <w:rFonts w:ascii="Times New Roman" w:hAnsi="Times New Roman" w:cs="Times New Roman"/>
          <w:noProof/>
          <w:color w:val="000000" w:themeColor="text1"/>
          <w:sz w:val="24"/>
          <w:szCs w:val="24"/>
          <w:lang w:val="sv-SE"/>
        </w:rPr>
      </w:pPr>
      <w:r>
        <w:rPr>
          <w:rFonts w:ascii="Times New Roman" w:hAnsi="Times New Roman"/>
          <w:noProof/>
          <w:sz w:val="24"/>
          <w:szCs w:val="24"/>
          <w:lang w:val="sv-SE"/>
        </w:rPr>
        <w:t>Under 2019 bildades China Shipbuilding Group med hjälp av statliga subventioner och krav på lokalt innehåll. I linje med planen Made in China 2025 är Kinas mål att bli dominerande på området för högteknologiska fartyg och högteknologisk marin utrustning.</w:t>
      </w:r>
    </w:p>
    <w:p>
      <w:pPr>
        <w:spacing w:line="240" w:lineRule="auto"/>
        <w:jc w:val="both"/>
        <w:rPr>
          <w:rFonts w:ascii="Times New Roman" w:eastAsia="Times New Roman" w:hAnsi="Times New Roman" w:cs="Times New Roman"/>
          <w:noProof/>
          <w:sz w:val="24"/>
          <w:szCs w:val="24"/>
          <w:lang w:val="sv-SE"/>
        </w:rPr>
      </w:pPr>
      <w:r>
        <w:rPr>
          <w:rFonts w:ascii="Times New Roman" w:hAnsi="Times New Roman"/>
          <w:noProof/>
          <w:sz w:val="24"/>
          <w:szCs w:val="24"/>
          <w:lang w:val="sv-SE"/>
        </w:rPr>
        <w:t xml:space="preserve">Vad gäller </w:t>
      </w:r>
      <w:r>
        <w:rPr>
          <w:rFonts w:ascii="Times New Roman" w:hAnsi="Times New Roman"/>
          <w:b/>
          <w:noProof/>
          <w:sz w:val="24"/>
          <w:szCs w:val="24"/>
          <w:lang w:val="sv-SE"/>
        </w:rPr>
        <w:t>sanitära och fytosanitära åtgärder</w:t>
      </w:r>
      <w:r>
        <w:rPr>
          <w:rFonts w:ascii="Times New Roman" w:hAnsi="Times New Roman"/>
          <w:noProof/>
          <w:sz w:val="24"/>
          <w:szCs w:val="24"/>
          <w:lang w:val="sv-SE"/>
        </w:rPr>
        <w:t xml:space="preserve"> (även kallade </w:t>
      </w:r>
      <w:r>
        <w:rPr>
          <w:rFonts w:ascii="Times New Roman" w:hAnsi="Times New Roman"/>
          <w:i/>
          <w:iCs/>
          <w:noProof/>
          <w:sz w:val="24"/>
          <w:szCs w:val="24"/>
          <w:lang w:val="sv-SE"/>
        </w:rPr>
        <w:t>SFS</w:t>
      </w:r>
      <w:r>
        <w:rPr>
          <w:rFonts w:ascii="Times New Roman" w:hAnsi="Times New Roman"/>
          <w:noProof/>
          <w:sz w:val="24"/>
          <w:szCs w:val="24"/>
          <w:lang w:val="sv-SE"/>
        </w:rPr>
        <w:t xml:space="preserve"> i diagram) har Kina infört begränsningar för </w:t>
      </w:r>
      <w:r>
        <w:rPr>
          <w:rFonts w:ascii="Times New Roman" w:hAnsi="Times New Roman"/>
          <w:b/>
          <w:noProof/>
          <w:sz w:val="24"/>
          <w:szCs w:val="24"/>
          <w:lang w:val="sv-SE"/>
        </w:rPr>
        <w:t>askträprodukter</w:t>
      </w:r>
      <w:r>
        <w:rPr>
          <w:rFonts w:ascii="Times New Roman" w:hAnsi="Times New Roman"/>
          <w:noProof/>
          <w:sz w:val="24"/>
          <w:szCs w:val="24"/>
          <w:lang w:val="sv-SE"/>
        </w:rPr>
        <w:t xml:space="preserve"> (virke och timmer) från Europa på grund av risken för att få in den svamp som orsakar askskottsjuka i Europa. Importbegränsningarna saknar en tydlig fytosanitär grund och effektiva riskbegränsningsåtgärder finns.</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EU följer nära tillämpningen av </w:t>
      </w:r>
      <w:r>
        <w:rPr>
          <w:rFonts w:ascii="Times New Roman" w:hAnsi="Times New Roman"/>
          <w:b/>
          <w:bCs/>
          <w:noProof/>
          <w:sz w:val="24"/>
          <w:szCs w:val="24"/>
          <w:lang w:val="sv-SE"/>
        </w:rPr>
        <w:t>systemet med sociala krediter</w:t>
      </w:r>
      <w:r>
        <w:rPr>
          <w:rFonts w:ascii="Times New Roman" w:hAnsi="Times New Roman"/>
          <w:noProof/>
          <w:sz w:val="24"/>
          <w:szCs w:val="24"/>
          <w:lang w:val="sv-SE"/>
        </w:rPr>
        <w:t xml:space="preserve"> på det ekonomiska området. Syftet med sociala krediter är att skapa ett enhetligt system där varje person och varje företag tilldelas en poäng. Systemet är fortfarande under utveckling, men kan bli ett mycket allvarligt och horisontellt hinder för EU-företagens marknadstillträde eftersom företagen kan få svårt att uppfylla de krav som följer av en skärpt kontroll av efterlevnaden av lagstiftningen och vissa poängkrav utöver kontrollen av efterlevnaden av lagstiftningen, särskilt med tanke på att det kan vara svårare för utländska företag att uppfylla kraven (även i praktiken). Systemet med sociala krediter kan även få återverkningar utöver handeln.</w:t>
      </w:r>
    </w:p>
    <w:p>
      <w:pPr>
        <w:spacing w:line="240" w:lineRule="auto"/>
        <w:rPr>
          <w:rFonts w:ascii="Times New Roman" w:hAnsi="Times New Roman" w:cs="Times New Roman"/>
          <w:noProof/>
          <w:sz w:val="24"/>
          <w:szCs w:val="24"/>
          <w:lang w:val="sv-SE"/>
        </w:rPr>
      </w:pP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spacing w:line="240" w:lineRule="auto"/>
              <w:jc w:val="both"/>
              <w:rPr>
                <w:rFonts w:ascii="Times New Roman" w:hAnsi="Times New Roman" w:cs="Times New Roman"/>
                <w:b/>
                <w:noProof/>
                <w:sz w:val="24"/>
                <w:szCs w:val="24"/>
                <w:lang w:val="sv-SE"/>
              </w:rPr>
            </w:pPr>
            <w:r>
              <w:rPr>
                <w:rFonts w:ascii="Times New Roman" w:hAnsi="Times New Roman"/>
                <w:b/>
                <w:noProof/>
                <w:sz w:val="24"/>
                <w:szCs w:val="24"/>
                <w:lang w:val="sv-SE"/>
              </w:rPr>
              <w:t>Ruta 4 – Bakgrund om Kina: en systemrival och ekonomisk konkurrent</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Uppfattningen om Kina förändras i EU, eftersom man blir alltmer medveten om de utmaningar som Kina och landets statsledda modell innebär och de ojämlika villkoren i de ekonomiska förbindelserna. Detta framgår av det gemensamma meddelandet (från kommissionen och den höga representanten) som antogs den 12 mars 2019, där EU för första gången talar om Kina som en ”systemrival och ekonomisk konkurrent”. Meddelandet innehåller förslag på konkreta åtgärder för att nå en ny balans i våra förbindelser med Kina genom fortsatt engagemang, men även med hjälp av interna åtgärder (bland annat att återuppta det internationella upphandlingsinstrumentet, identifiera luckor i vårt regelverk och genomföra mekanismen för granskning av utländska direktinvesteringar). Arbetet med att genomföra de tio åtgärder som stakas ut i meddelandet pågår inom kommissionen.</w:t>
            </w:r>
          </w:p>
          <w:p>
            <w:pPr>
              <w:pStyle w:val="Briefingheading1"/>
              <w:spacing w:before="0" w:after="200" w:line="240" w:lineRule="auto"/>
              <w:rPr>
                <w:rFonts w:ascii="Times New Roman" w:hAnsi="Times New Roman" w:cs="Times New Roman"/>
                <w:noProof/>
                <w:sz w:val="24"/>
                <w:szCs w:val="24"/>
                <w:lang w:val="sv-SE"/>
              </w:rPr>
            </w:pPr>
            <w:r>
              <w:rPr>
                <w:rFonts w:ascii="Times New Roman" w:hAnsi="Times New Roman"/>
                <w:b w:val="0"/>
                <w:noProof/>
                <w:sz w:val="24"/>
                <w:szCs w:val="24"/>
                <w:u w:val="none"/>
                <w:lang w:val="sv-SE"/>
              </w:rPr>
              <w:t xml:space="preserve">Det gemensamma uttalandet från toppmötet mellan EU och Kina i Bryssel den 9 april 2019 innehåller viktiga utfästelser när det gäller reformen av Världshandelsorganisationen (WTO) (skärpta regler för industrisubventioner), avgörande framsteg i förhandlingarna om ett allmänt avtal om investeringar under 2019 så att de kan avslutas 2020, och om att Kina ska göra snabbare framsteg för att ansluta sig till WTO-avtalet om offentlig upphandling. En viktig punkt i det gemensamma avtalet är att man uttryckligen efterlyser konkreta resultat i fråga om undanröjandet av hinder. </w:t>
            </w:r>
          </w:p>
        </w:tc>
      </w:tr>
    </w:tbl>
    <w:p>
      <w:pPr>
        <w:spacing w:line="240" w:lineRule="auto"/>
        <w:jc w:val="both"/>
        <w:rPr>
          <w:rFonts w:ascii="Times New Roman" w:hAnsi="Times New Roman" w:cs="Times New Roman"/>
          <w:b/>
          <w:noProof/>
          <w:sz w:val="24"/>
          <w:szCs w:val="24"/>
          <w:lang w:val="sv-SE"/>
        </w:rPr>
      </w:pPr>
    </w:p>
    <w:p>
      <w:pPr>
        <w:pStyle w:val="ListParagraph"/>
        <w:numPr>
          <w:ilvl w:val="0"/>
          <w:numId w:val="35"/>
        </w:numPr>
        <w:spacing w:line="240" w:lineRule="auto"/>
        <w:rPr>
          <w:rFonts w:ascii="Times New Roman" w:hAnsi="Times New Roman" w:cs="Times New Roman"/>
          <w:b/>
          <w:noProof/>
          <w:sz w:val="24"/>
          <w:szCs w:val="24"/>
        </w:rPr>
      </w:pPr>
      <w:r>
        <w:rPr>
          <w:rFonts w:ascii="Times New Roman" w:hAnsi="Times New Roman"/>
          <w:b/>
          <w:noProof/>
          <w:sz w:val="24"/>
          <w:szCs w:val="24"/>
        </w:rPr>
        <w:t>MEDELHAVSOMRÅDET OCH MELLANÖSTERN</w:t>
      </w:r>
    </w:p>
    <w:p>
      <w:pPr>
        <w:spacing w:line="240" w:lineRule="auto"/>
        <w:jc w:val="both"/>
        <w:rPr>
          <w:rFonts w:ascii="Times New Roman" w:hAnsi="Times New Roman" w:cs="Times New Roman"/>
          <w:iCs/>
          <w:noProof/>
          <w:sz w:val="24"/>
          <w:szCs w:val="24"/>
          <w:lang w:val="sv-SE"/>
        </w:rPr>
      </w:pPr>
      <w:r>
        <w:rPr>
          <w:rFonts w:ascii="Times New Roman" w:hAnsi="Times New Roman"/>
          <w:noProof/>
          <w:sz w:val="24"/>
          <w:szCs w:val="24"/>
          <w:lang w:val="sv-SE"/>
        </w:rPr>
        <w:t>Den geografiska närheten, de historiska banden och de sammankopplade värdekedjorna med EU, som i många fall omfattar små och medelstora företag, innebär att det är mycket viktigt att vi har en smidig handel med denna region. Såsom redan rapporterades 2018 ökade de protektionistiska tendenserna tyvärr i denna region till följd av ekonomisk instabilitet eller strukturella problem.</w:t>
      </w:r>
      <w:r>
        <w:rPr>
          <w:rFonts w:ascii="Times New Roman" w:hAnsi="Times New Roman"/>
          <w:iCs/>
          <w:noProof/>
          <w:sz w:val="24"/>
          <w:szCs w:val="24"/>
          <w:lang w:val="sv-SE"/>
        </w:rPr>
        <w:t xml:space="preserve"> Algeriet införde återigen nya åtgärder och protektionistiska attityder spred sig till Libanon och Marocko, samtidigt som de förvärrades i Turkiet och Saudiarabien</w:t>
      </w:r>
      <w:r>
        <w:rPr>
          <w:rStyle w:val="FootnoteReference"/>
          <w:rFonts w:ascii="Times New Roman" w:hAnsi="Times New Roman" w:cs="Times New Roman"/>
          <w:iCs/>
          <w:noProof/>
          <w:sz w:val="24"/>
          <w:szCs w:val="24"/>
        </w:rPr>
        <w:footnoteReference w:id="13"/>
      </w:r>
      <w:r>
        <w:rPr>
          <w:rFonts w:ascii="Times New Roman" w:hAnsi="Times New Roman"/>
          <w:iCs/>
          <w:noProof/>
          <w:sz w:val="24"/>
          <w:szCs w:val="24"/>
          <w:lang w:val="sv-SE"/>
        </w:rPr>
        <w:t>.</w:t>
      </w:r>
    </w:p>
    <w:p>
      <w:pPr>
        <w:pStyle w:val="ListParagraph"/>
        <w:numPr>
          <w:ilvl w:val="0"/>
          <w:numId w:val="39"/>
        </w:numPr>
        <w:spacing w:line="240" w:lineRule="auto"/>
        <w:jc w:val="both"/>
        <w:rPr>
          <w:rFonts w:ascii="Times New Roman" w:hAnsi="Times New Roman" w:cs="Times New Roman"/>
          <w:b/>
          <w:iCs/>
          <w:noProof/>
          <w:sz w:val="24"/>
          <w:szCs w:val="24"/>
        </w:rPr>
      </w:pPr>
      <w:r>
        <w:rPr>
          <w:rFonts w:ascii="Times New Roman" w:hAnsi="Times New Roman"/>
          <w:b/>
          <w:iCs/>
          <w:noProof/>
          <w:sz w:val="24"/>
          <w:szCs w:val="24"/>
        </w:rPr>
        <w:t xml:space="preserve">Algeriet </w:t>
      </w:r>
    </w:p>
    <w:p>
      <w:pPr>
        <w:spacing w:line="240" w:lineRule="auto"/>
        <w:jc w:val="both"/>
        <w:rPr>
          <w:rFonts w:ascii="Times New Roman" w:hAnsi="Times New Roman" w:cs="Times New Roman"/>
          <w:iCs/>
          <w:noProof/>
          <w:sz w:val="24"/>
          <w:szCs w:val="24"/>
          <w:lang w:val="sv-SE"/>
        </w:rPr>
      </w:pPr>
      <w:r>
        <w:rPr>
          <w:rFonts w:ascii="Times New Roman" w:hAnsi="Times New Roman"/>
          <w:iCs/>
          <w:noProof/>
          <w:sz w:val="24"/>
          <w:szCs w:val="24"/>
          <w:lang w:val="sv-SE"/>
        </w:rPr>
        <w:t>Sedan 2015 har Algeriets myndigheter infört ett betydande antal exportbegränsande åtgärder med mycket negativa verkningar för EU:s export och i strid mot deras skyldigheter enligt det bilaterala associeringsavtalet. Denna trend fortsatte under 2019, då tre nya hinder infördes.</w:t>
      </w:r>
    </w:p>
    <w:p>
      <w:pPr>
        <w:spacing w:line="240" w:lineRule="auto"/>
        <w:jc w:val="both"/>
        <w:rPr>
          <w:rFonts w:ascii="Times New Roman" w:hAnsi="Times New Roman" w:cs="Times New Roman"/>
          <w:iCs/>
          <w:noProof/>
          <w:sz w:val="24"/>
          <w:szCs w:val="24"/>
          <w:lang w:val="sv-SE"/>
        </w:rPr>
      </w:pPr>
      <w:r>
        <w:rPr>
          <w:rFonts w:ascii="Times New Roman" w:hAnsi="Times New Roman"/>
          <w:iCs/>
          <w:noProof/>
          <w:sz w:val="24"/>
          <w:szCs w:val="24"/>
          <w:lang w:val="sv-SE"/>
        </w:rPr>
        <w:t xml:space="preserve">I september 2019 utfärdade myndigheterna, utöver tidigare handelsbegränsande åtgärder, anvisningar till kommersiella banker om att </w:t>
      </w:r>
      <w:r>
        <w:rPr>
          <w:rFonts w:ascii="Times New Roman" w:hAnsi="Times New Roman"/>
          <w:b/>
          <w:iCs/>
          <w:noProof/>
          <w:sz w:val="24"/>
          <w:szCs w:val="24"/>
          <w:lang w:val="sv-SE"/>
        </w:rPr>
        <w:t>remburser</w:t>
      </w:r>
      <w:r>
        <w:rPr>
          <w:rFonts w:ascii="Times New Roman" w:hAnsi="Times New Roman"/>
          <w:iCs/>
          <w:noProof/>
          <w:sz w:val="24"/>
          <w:szCs w:val="24"/>
          <w:lang w:val="sv-SE"/>
        </w:rPr>
        <w:t xml:space="preserve"> för viss import (mobiltelefoner, hushållsapparater) </w:t>
      </w:r>
      <w:r>
        <w:rPr>
          <w:rFonts w:ascii="Times New Roman" w:hAnsi="Times New Roman"/>
          <w:b/>
          <w:iCs/>
          <w:noProof/>
          <w:sz w:val="24"/>
          <w:szCs w:val="24"/>
          <w:lang w:val="sv-SE"/>
        </w:rPr>
        <w:t>endast får utfärdas enligt betungande villkor</w:t>
      </w:r>
      <w:r>
        <w:rPr>
          <w:rFonts w:ascii="Times New Roman" w:hAnsi="Times New Roman"/>
          <w:iCs/>
          <w:noProof/>
          <w:sz w:val="24"/>
          <w:szCs w:val="24"/>
          <w:lang w:val="sv-SE"/>
        </w:rPr>
        <w:t xml:space="preserve">. Samma cirkulär föreskrev att dessa regler skulle utvidgas till att omfatta all import till årsslutet 2019. Tack vare samordnade åtgärder från alla EU-aktörer (se ruta 8) utfärdade de behöriga myndigheterna nya cirkulär den 25 december 2019 med vissa lättnader i tillämpningen av dessa åtgärder. </w:t>
      </w:r>
    </w:p>
    <w:p>
      <w:pPr>
        <w:spacing w:line="240" w:lineRule="auto"/>
        <w:jc w:val="both"/>
        <w:rPr>
          <w:rFonts w:ascii="Times New Roman" w:hAnsi="Times New Roman" w:cs="Times New Roman"/>
          <w:iCs/>
          <w:noProof/>
          <w:sz w:val="24"/>
          <w:szCs w:val="24"/>
          <w:lang w:val="sv-SE"/>
        </w:rPr>
      </w:pPr>
      <w:r>
        <w:rPr>
          <w:rFonts w:ascii="Times New Roman" w:hAnsi="Times New Roman"/>
          <w:iCs/>
          <w:noProof/>
          <w:sz w:val="24"/>
          <w:szCs w:val="24"/>
          <w:lang w:val="sv-SE"/>
        </w:rPr>
        <w:t xml:space="preserve">En </w:t>
      </w:r>
      <w:r>
        <w:rPr>
          <w:rFonts w:ascii="Times New Roman" w:hAnsi="Times New Roman"/>
          <w:b/>
          <w:bCs/>
          <w:iCs/>
          <w:noProof/>
          <w:sz w:val="24"/>
          <w:szCs w:val="24"/>
          <w:lang w:val="sv-SE"/>
        </w:rPr>
        <w:t>speciell tilläggstull (DAPS)</w:t>
      </w:r>
      <w:r>
        <w:rPr>
          <w:rFonts w:ascii="Times New Roman" w:hAnsi="Times New Roman"/>
          <w:iCs/>
          <w:noProof/>
          <w:sz w:val="24"/>
          <w:szCs w:val="24"/>
          <w:lang w:val="sv-SE"/>
        </w:rPr>
        <w:t xml:space="preserve"> tillämpades genom ett dekret undertecknat av handelsministern i december 2019 på en lång förteckning över varor (mellan 30 och 200 % av varornas värde). Förteckningen kan komma att ändras ofta alltefter den inhemska industrins föränderliga behov.</w:t>
      </w:r>
    </w:p>
    <w:p>
      <w:pPr>
        <w:spacing w:line="240" w:lineRule="auto"/>
        <w:jc w:val="both"/>
        <w:rPr>
          <w:rFonts w:ascii="Times New Roman" w:hAnsi="Times New Roman" w:cs="Times New Roman"/>
          <w:iCs/>
          <w:noProof/>
          <w:sz w:val="24"/>
          <w:szCs w:val="24"/>
          <w:lang w:val="sv-SE"/>
        </w:rPr>
      </w:pPr>
      <w:r>
        <w:rPr>
          <w:rFonts w:ascii="Times New Roman" w:hAnsi="Times New Roman"/>
          <w:iCs/>
          <w:noProof/>
          <w:sz w:val="24"/>
          <w:szCs w:val="24"/>
          <w:lang w:val="sv-SE"/>
        </w:rPr>
        <w:t xml:space="preserve">I maj 2019 informerade det algeriska industriministeriet biltillverkare med monteringsverksamhet i landet om att en värdebaserad </w:t>
      </w:r>
      <w:r>
        <w:rPr>
          <w:rFonts w:ascii="Times New Roman" w:hAnsi="Times New Roman"/>
          <w:b/>
          <w:bCs/>
          <w:iCs/>
          <w:noProof/>
          <w:sz w:val="24"/>
          <w:szCs w:val="24"/>
          <w:lang w:val="sv-SE"/>
        </w:rPr>
        <w:t>kvot för import av bildelar</w:t>
      </w:r>
      <w:r>
        <w:rPr>
          <w:rFonts w:ascii="Times New Roman" w:hAnsi="Times New Roman"/>
          <w:iCs/>
          <w:noProof/>
          <w:sz w:val="24"/>
          <w:szCs w:val="24"/>
          <w:lang w:val="sv-SE"/>
        </w:rPr>
        <w:t xml:space="preserve"> skulle införas omedelbart och med retroaktiv verkan. Beslutet kan leda till avbrott i monteringsverksamheten på grund av brist på delar.</w:t>
      </w:r>
    </w:p>
    <w:p>
      <w:pPr>
        <w:pStyle w:val="Text2"/>
        <w:numPr>
          <w:ilvl w:val="0"/>
          <w:numId w:val="39"/>
        </w:numPr>
        <w:spacing w:line="240" w:lineRule="auto"/>
        <w:jc w:val="both"/>
        <w:rPr>
          <w:rFonts w:ascii="Times New Roman" w:hAnsi="Times New Roman" w:cs="Times New Roman"/>
          <w:b/>
          <w:iCs/>
          <w:noProof/>
          <w:sz w:val="24"/>
          <w:szCs w:val="24"/>
        </w:rPr>
      </w:pPr>
      <w:r>
        <w:rPr>
          <w:rFonts w:ascii="Times New Roman" w:hAnsi="Times New Roman"/>
          <w:b/>
          <w:iCs/>
          <w:noProof/>
          <w:sz w:val="24"/>
          <w:szCs w:val="24"/>
        </w:rPr>
        <w:t xml:space="preserve">Marocko </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EU har nära övervakat situationen för att bedöma de faktiska verkningarna av införandet av kravet på </w:t>
      </w:r>
      <w:r>
        <w:rPr>
          <w:rFonts w:ascii="Times New Roman" w:hAnsi="Times New Roman"/>
          <w:b/>
          <w:noProof/>
          <w:sz w:val="24"/>
          <w:szCs w:val="24"/>
          <w:lang w:val="sv-SE"/>
        </w:rPr>
        <w:t>märkning om överensstämmelse</w:t>
      </w:r>
      <w:r>
        <w:rPr>
          <w:rFonts w:ascii="Times New Roman" w:hAnsi="Times New Roman"/>
          <w:noProof/>
          <w:sz w:val="24"/>
          <w:szCs w:val="24"/>
          <w:lang w:val="sv-SE"/>
        </w:rPr>
        <w:t xml:space="preserve"> för EU-export. På vårt initiativ hölls en konstruktiv dialog mellan EU och marockanska experter. Efter dialogen klargjorde de marockanska myndigheterna för EU-aktörerna hur kraven tillämpas, vilket undanröjde en stor del av deras farhågor gällande marknadstillträdet. Under mötena tog vi även upp andra problem, exempelvis de </w:t>
      </w:r>
      <w:r>
        <w:rPr>
          <w:rFonts w:ascii="Times New Roman" w:hAnsi="Times New Roman"/>
          <w:b/>
          <w:noProof/>
          <w:sz w:val="24"/>
          <w:szCs w:val="24"/>
          <w:lang w:val="sv-SE"/>
        </w:rPr>
        <w:t>nya kraven för läkemedelsprodukter</w:t>
      </w:r>
      <w:r>
        <w:rPr>
          <w:rFonts w:ascii="Times New Roman" w:hAnsi="Times New Roman"/>
          <w:noProof/>
          <w:sz w:val="24"/>
          <w:szCs w:val="24"/>
          <w:lang w:val="sv-SE"/>
        </w:rPr>
        <w:t xml:space="preserve"> och externaliseringen av förfarandena för bedömning av överensstämmelse.</w:t>
      </w:r>
    </w:p>
    <w:p>
      <w:pPr>
        <w:pStyle w:val="Text2"/>
        <w:numPr>
          <w:ilvl w:val="0"/>
          <w:numId w:val="39"/>
        </w:numPr>
        <w:spacing w:line="240" w:lineRule="auto"/>
        <w:jc w:val="both"/>
        <w:rPr>
          <w:rFonts w:ascii="Times New Roman" w:hAnsi="Times New Roman" w:cs="Times New Roman"/>
          <w:b/>
          <w:iCs/>
          <w:noProof/>
          <w:sz w:val="24"/>
          <w:szCs w:val="24"/>
        </w:rPr>
      </w:pPr>
      <w:r>
        <w:rPr>
          <w:rFonts w:ascii="Times New Roman" w:hAnsi="Times New Roman"/>
          <w:b/>
          <w:iCs/>
          <w:noProof/>
          <w:sz w:val="24"/>
          <w:szCs w:val="24"/>
        </w:rPr>
        <w:t>Libanon</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Nya handelshinder har införts till följd av den socioekonomiska, finansiella och politiska krisen, särskilt en </w:t>
      </w:r>
      <w:r>
        <w:rPr>
          <w:rFonts w:ascii="Times New Roman" w:hAnsi="Times New Roman"/>
          <w:b/>
          <w:noProof/>
          <w:sz w:val="24"/>
          <w:szCs w:val="24"/>
          <w:lang w:val="sv-SE"/>
        </w:rPr>
        <w:t>tillfällig skatt på 3 % på nästan all import</w:t>
      </w:r>
      <w:r>
        <w:rPr>
          <w:rFonts w:ascii="Times New Roman" w:hAnsi="Times New Roman"/>
          <w:noProof/>
          <w:sz w:val="24"/>
          <w:szCs w:val="24"/>
          <w:lang w:val="sv-SE"/>
        </w:rPr>
        <w:t xml:space="preserve"> och </w:t>
      </w:r>
      <w:r>
        <w:rPr>
          <w:rFonts w:ascii="Times New Roman" w:hAnsi="Times New Roman"/>
          <w:b/>
          <w:noProof/>
          <w:sz w:val="24"/>
          <w:szCs w:val="24"/>
          <w:lang w:val="sv-SE"/>
        </w:rPr>
        <w:t>tilläggstullar</w:t>
      </w:r>
      <w:r>
        <w:rPr>
          <w:rFonts w:ascii="Times New Roman" w:hAnsi="Times New Roman"/>
          <w:noProof/>
          <w:sz w:val="24"/>
          <w:szCs w:val="24"/>
          <w:lang w:val="sv-SE"/>
        </w:rPr>
        <w:t xml:space="preserve"> (7–20 %) </w:t>
      </w:r>
      <w:r>
        <w:rPr>
          <w:rFonts w:ascii="Times New Roman" w:hAnsi="Times New Roman"/>
          <w:b/>
          <w:noProof/>
          <w:sz w:val="24"/>
          <w:szCs w:val="24"/>
          <w:lang w:val="sv-SE"/>
        </w:rPr>
        <w:t>på import av vissa utvalda produkter</w:t>
      </w:r>
      <w:r>
        <w:rPr>
          <w:rFonts w:ascii="Times New Roman" w:hAnsi="Times New Roman"/>
          <w:noProof/>
          <w:sz w:val="24"/>
          <w:szCs w:val="24"/>
          <w:lang w:val="sv-SE"/>
        </w:rPr>
        <w:t xml:space="preserve"> som marmor, livsmedelskonserver och möbler. Ett tvingande krav på </w:t>
      </w:r>
      <w:r>
        <w:rPr>
          <w:rFonts w:ascii="Times New Roman" w:hAnsi="Times New Roman"/>
          <w:b/>
          <w:bCs/>
          <w:noProof/>
          <w:sz w:val="24"/>
          <w:szCs w:val="24"/>
          <w:lang w:val="sv-SE"/>
        </w:rPr>
        <w:t>registrering av fabriker</w:t>
      </w:r>
      <w:r>
        <w:rPr>
          <w:rFonts w:ascii="Times New Roman" w:hAnsi="Times New Roman"/>
          <w:noProof/>
          <w:sz w:val="24"/>
          <w:szCs w:val="24"/>
          <w:lang w:val="sv-SE"/>
        </w:rPr>
        <w:t xml:space="preserve"> för vissa produkter, bland annat textilier, infördes också och de libanesiska myndigheterna vidtog inte korrigerande åtgärder under 2019 avseende en åtgärd för att införa </w:t>
      </w:r>
      <w:r>
        <w:rPr>
          <w:rFonts w:ascii="Times New Roman" w:hAnsi="Times New Roman"/>
          <w:b/>
          <w:bCs/>
          <w:noProof/>
          <w:sz w:val="24"/>
          <w:szCs w:val="24"/>
          <w:lang w:val="sv-SE"/>
        </w:rPr>
        <w:t>tullar på import av olje-/petroleumprodukter från EU</w:t>
      </w:r>
      <w:r>
        <w:rPr>
          <w:rFonts w:ascii="Times New Roman" w:hAnsi="Times New Roman"/>
          <w:noProof/>
          <w:sz w:val="24"/>
          <w:szCs w:val="24"/>
          <w:lang w:val="sv-SE"/>
        </w:rPr>
        <w:t>.</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En ny horisontell åtgärd i fråga om </w:t>
      </w:r>
      <w:r>
        <w:rPr>
          <w:rFonts w:ascii="Times New Roman" w:hAnsi="Times New Roman"/>
          <w:b/>
          <w:bCs/>
          <w:noProof/>
          <w:sz w:val="24"/>
          <w:szCs w:val="24"/>
          <w:lang w:val="sv-SE"/>
        </w:rPr>
        <w:t>legalisering av fakturor</w:t>
      </w:r>
      <w:r>
        <w:rPr>
          <w:rFonts w:ascii="Times New Roman" w:hAnsi="Times New Roman"/>
          <w:noProof/>
          <w:sz w:val="24"/>
          <w:szCs w:val="24"/>
          <w:lang w:val="sv-SE"/>
        </w:rPr>
        <w:t xml:space="preserve"> skapade ett ytterligare hinder för marknadstillträdet. Dessa åtgärder har föranlett intensiva diskussioner och skriftväxling med de libanesiska myndigheterna. Till sist avskaffade Libanon det dubbla tullcertifieringskravet för import som infördes 2019 och som EU upprepade gånger hade uttryckt sina farhågor om.</w:t>
      </w:r>
    </w:p>
    <w:p>
      <w:pPr>
        <w:pStyle w:val="Text2"/>
        <w:numPr>
          <w:ilvl w:val="0"/>
          <w:numId w:val="39"/>
        </w:numPr>
        <w:spacing w:line="240" w:lineRule="auto"/>
        <w:jc w:val="both"/>
        <w:rPr>
          <w:rFonts w:ascii="Times New Roman" w:hAnsi="Times New Roman" w:cs="Times New Roman"/>
          <w:b/>
          <w:iCs/>
          <w:noProof/>
          <w:sz w:val="24"/>
          <w:szCs w:val="24"/>
        </w:rPr>
      </w:pPr>
      <w:r>
        <w:rPr>
          <w:rFonts w:ascii="Times New Roman" w:hAnsi="Times New Roman"/>
          <w:b/>
          <w:iCs/>
          <w:noProof/>
          <w:sz w:val="24"/>
          <w:szCs w:val="24"/>
        </w:rPr>
        <w:t xml:space="preserve">Turkiet </w:t>
      </w:r>
    </w:p>
    <w:p>
      <w:pPr>
        <w:pStyle w:val="Text2"/>
        <w:spacing w:line="240" w:lineRule="auto"/>
        <w:ind w:left="0"/>
        <w:jc w:val="both"/>
        <w:rPr>
          <w:rFonts w:ascii="Times New Roman" w:hAnsi="Times New Roman" w:cs="Times New Roman"/>
          <w:iCs/>
          <w:noProof/>
          <w:sz w:val="24"/>
          <w:szCs w:val="24"/>
          <w:lang w:val="sv-SE"/>
        </w:rPr>
      </w:pPr>
      <w:r>
        <w:rPr>
          <w:rFonts w:ascii="Times New Roman" w:hAnsi="Times New Roman"/>
          <w:iCs/>
          <w:noProof/>
          <w:sz w:val="24"/>
          <w:szCs w:val="24"/>
          <w:lang w:val="sv-SE"/>
        </w:rPr>
        <w:t>Under 2019 orsakade tilläggstullar som tillämpades av Turkiet allvarliga störningar i tullunionens funktion, eftersom EU-tillverkarna tvingades lämna in ursprungsintyg. Turkiet fortsatte att utvidga dessa tullar till att omfatta fler produkter, vilket ledde till en kraftig ökning av antalet intyg som utfärdades av de ansvariga myndigheterna. Detta orsakade både direkta kostnader och stor osäkerhet för alla berörda aktörer.</w:t>
      </w:r>
    </w:p>
    <w:p>
      <w:pPr>
        <w:pStyle w:val="Text2"/>
        <w:spacing w:line="240" w:lineRule="auto"/>
        <w:ind w:left="0"/>
        <w:jc w:val="both"/>
        <w:rPr>
          <w:rFonts w:ascii="Times New Roman" w:hAnsi="Times New Roman" w:cs="Times New Roman"/>
          <w:iCs/>
          <w:noProof/>
          <w:sz w:val="24"/>
          <w:szCs w:val="24"/>
          <w:lang w:val="sv-SE"/>
        </w:rPr>
      </w:pPr>
      <w:r>
        <w:rPr>
          <w:rFonts w:ascii="Times New Roman" w:hAnsi="Times New Roman"/>
          <w:iCs/>
          <w:noProof/>
          <w:sz w:val="24"/>
          <w:szCs w:val="24"/>
          <w:lang w:val="sv-SE"/>
        </w:rPr>
        <w:t xml:space="preserve">I april 2019 återinförde Turkiet </w:t>
      </w:r>
      <w:r>
        <w:rPr>
          <w:rFonts w:ascii="Times New Roman" w:hAnsi="Times New Roman"/>
          <w:b/>
          <w:bCs/>
          <w:iCs/>
          <w:noProof/>
          <w:sz w:val="24"/>
          <w:szCs w:val="24"/>
          <w:lang w:val="sv-SE"/>
        </w:rPr>
        <w:t>exportbegränsningen för kopparskrot</w:t>
      </w:r>
      <w:r>
        <w:rPr>
          <w:rFonts w:ascii="Times New Roman" w:hAnsi="Times New Roman"/>
          <w:iCs/>
          <w:noProof/>
          <w:sz w:val="24"/>
          <w:szCs w:val="24"/>
          <w:lang w:val="sv-SE"/>
        </w:rPr>
        <w:t>. Den nuvarande tillämpningen av exportlicenssystemet innebär i praktiken ett förbud, eftersom villkoren är svåra att uppfylla och inte överensstämmer med Turkiets skyldigheter enligt tullunionen.</w:t>
      </w:r>
    </w:p>
    <w:p>
      <w:pPr>
        <w:spacing w:line="240" w:lineRule="auto"/>
        <w:jc w:val="both"/>
        <w:rPr>
          <w:rFonts w:ascii="Times New Roman" w:hAnsi="Times New Roman" w:cs="Times New Roman"/>
          <w:iCs/>
          <w:noProof/>
          <w:sz w:val="24"/>
          <w:szCs w:val="24"/>
        </w:rPr>
      </w:pPr>
      <w:r>
        <w:rPr>
          <w:rFonts w:ascii="Times New Roman" w:hAnsi="Times New Roman"/>
          <w:iCs/>
          <w:noProof/>
          <w:sz w:val="24"/>
          <w:szCs w:val="24"/>
          <w:lang w:val="sv-SE"/>
        </w:rPr>
        <w:t xml:space="preserve">Ett annat nytt hinder som infördes rörde en ändring av Turkiets </w:t>
      </w:r>
      <w:r>
        <w:rPr>
          <w:rFonts w:ascii="Times New Roman" w:hAnsi="Times New Roman"/>
          <w:b/>
          <w:bCs/>
          <w:iCs/>
          <w:noProof/>
          <w:sz w:val="24"/>
          <w:szCs w:val="24"/>
          <w:lang w:val="sv-SE"/>
        </w:rPr>
        <w:t>lagstiftning om kosmetika</w:t>
      </w:r>
      <w:r>
        <w:rPr>
          <w:rFonts w:ascii="Times New Roman" w:hAnsi="Times New Roman"/>
          <w:iCs/>
          <w:noProof/>
          <w:sz w:val="24"/>
          <w:szCs w:val="24"/>
          <w:lang w:val="sv-SE"/>
        </w:rPr>
        <w:t xml:space="preserve">, vilket innebar att inriktningen för det turkiska regleringssystemet för kosmetiska produkter förändrades från marknadskontroll till förhandsregistrering. En detaljerad säkerhetsbedömning – inbegripet utlämnande av känsliga uppgifter – krävdes för att saluföra kosmetiska produkter i Turkiet. </w:t>
      </w:r>
      <w:r>
        <w:rPr>
          <w:rFonts w:ascii="Times New Roman" w:hAnsi="Times New Roman"/>
          <w:iCs/>
          <w:noProof/>
          <w:sz w:val="24"/>
          <w:szCs w:val="24"/>
        </w:rPr>
        <w:t>Detta strider mot Turkiets skyldigheter enligt avtalet om tullunionen.</w:t>
      </w: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pStyle w:val="Text2"/>
              <w:spacing w:line="240" w:lineRule="auto"/>
              <w:ind w:left="0"/>
              <w:jc w:val="both"/>
              <w:rPr>
                <w:rFonts w:ascii="Times New Roman" w:hAnsi="Times New Roman" w:cs="Times New Roman"/>
                <w:b/>
                <w:bCs/>
                <w:iCs/>
                <w:noProof/>
                <w:sz w:val="24"/>
                <w:szCs w:val="24"/>
                <w:lang w:val="sv-SE"/>
              </w:rPr>
            </w:pPr>
            <w:r>
              <w:rPr>
                <w:rFonts w:ascii="Times New Roman" w:hAnsi="Times New Roman"/>
                <w:b/>
                <w:bCs/>
                <w:iCs/>
                <w:noProof/>
                <w:sz w:val="24"/>
                <w:szCs w:val="24"/>
                <w:lang w:val="sv-SE"/>
              </w:rPr>
              <w:t>Ruta 5 – Bakgrund om Turkiet</w:t>
            </w:r>
          </w:p>
          <w:p>
            <w:pPr>
              <w:pStyle w:val="Text2"/>
              <w:spacing w:line="240" w:lineRule="auto"/>
              <w:ind w:left="0"/>
              <w:jc w:val="both"/>
              <w:rPr>
                <w:rFonts w:ascii="Times New Roman" w:hAnsi="Times New Roman" w:cs="Times New Roman"/>
                <w:iCs/>
                <w:noProof/>
                <w:sz w:val="24"/>
                <w:szCs w:val="24"/>
                <w:lang w:val="sv-SE"/>
              </w:rPr>
            </w:pPr>
            <w:r>
              <w:rPr>
                <w:rFonts w:ascii="Times New Roman" w:hAnsi="Times New Roman"/>
                <w:iCs/>
                <w:noProof/>
                <w:sz w:val="24"/>
                <w:szCs w:val="24"/>
                <w:lang w:val="sv-SE"/>
              </w:rPr>
              <w:t>Under 2019 behöll Turkiet sin plats som EU:s femte största handelspartner totalt sett, medan EU förblev Turkiets absolut viktigaste handelspartner. Ikraftträdandet av avtalet om en tullunion mellan EU och Turkiet 1996 har i synnerhet lett till en betydande ökning av handeln mellan EU och Turkiet under de senaste årtiondena. Avtalet säkerställer fri rörlighet för alla industriprodukter och vissa bearbetade jordbruksprodukter mellan EU och Turkiet. Enligt avtalet ska Turkiet också anpassa sina bestämmelser till EU:s externa tullar och regler för import från tredjeländer samt till EU:s handelspolitik, konkurrenspolitik, immateriella rättigheter och den tekniska lagstiftning som är relevant för tullunionens tillämpningsområde. Problem har börjat hopas de senaste åren. Kommissionen fortsätter naturligtvis att insistera på att Turkiet ska följa de överenskomna reglerna för tullunionen och att landet ska genomföra tilläggsprotokollet till associeringsavtalet på ett icke-diskriminerande sätt gentemot samtliga medlemsstater, inbegripet Republiken Cypern.</w:t>
            </w:r>
          </w:p>
          <w:p>
            <w:pPr>
              <w:spacing w:line="240" w:lineRule="auto"/>
              <w:jc w:val="both"/>
              <w:rPr>
                <w:rFonts w:ascii="Times New Roman" w:hAnsi="Times New Roman" w:cs="Times New Roman"/>
                <w:iCs/>
                <w:noProof/>
                <w:sz w:val="24"/>
                <w:szCs w:val="24"/>
                <w:lang w:val="sv-SE"/>
              </w:rPr>
            </w:pPr>
            <w:r>
              <w:rPr>
                <w:rFonts w:ascii="Times New Roman" w:hAnsi="Times New Roman"/>
                <w:iCs/>
                <w:noProof/>
                <w:sz w:val="24"/>
                <w:szCs w:val="24"/>
                <w:lang w:val="sv-SE"/>
              </w:rPr>
              <w:t xml:space="preserve">Under 2019 fortsatte kommissionen även att utnyttja alla tillgängliga kanaler för att ta upp dessa farhågor med Turkiet, bland annat inom tullunionens gemensamma kommitté och under andra bilaterala möten. När det gällde Turkiets fortsatta politik för </w:t>
            </w:r>
            <w:r>
              <w:rPr>
                <w:rFonts w:ascii="Times New Roman" w:hAnsi="Times New Roman"/>
                <w:b/>
                <w:iCs/>
                <w:noProof/>
                <w:sz w:val="24"/>
                <w:szCs w:val="24"/>
                <w:lang w:val="sv-SE"/>
              </w:rPr>
              <w:t>påtvingad lokalisering</w:t>
            </w:r>
            <w:r>
              <w:rPr>
                <w:rFonts w:ascii="Times New Roman" w:hAnsi="Times New Roman"/>
                <w:iCs/>
                <w:noProof/>
                <w:sz w:val="24"/>
                <w:szCs w:val="24"/>
                <w:lang w:val="sv-SE"/>
              </w:rPr>
              <w:t xml:space="preserve"> inom läkemedelssektorn inledde EU för första gången någonsin ett WTO-ärende mot ett kandidatland. </w:t>
            </w:r>
          </w:p>
        </w:tc>
      </w:tr>
    </w:tbl>
    <w:p>
      <w:pPr>
        <w:spacing w:line="240" w:lineRule="auto"/>
        <w:jc w:val="both"/>
        <w:rPr>
          <w:rFonts w:ascii="Times New Roman" w:hAnsi="Times New Roman" w:cs="Times New Roman"/>
          <w:iCs/>
          <w:noProof/>
          <w:sz w:val="24"/>
          <w:szCs w:val="24"/>
          <w:lang w:val="sv-SE"/>
        </w:rPr>
      </w:pPr>
    </w:p>
    <w:p>
      <w:pPr>
        <w:pStyle w:val="ListParagraph"/>
        <w:numPr>
          <w:ilvl w:val="0"/>
          <w:numId w:val="39"/>
        </w:numPr>
        <w:spacing w:line="240" w:lineRule="auto"/>
        <w:jc w:val="both"/>
        <w:rPr>
          <w:rFonts w:ascii="Times New Roman" w:hAnsi="Times New Roman" w:cs="Times New Roman"/>
          <w:b/>
          <w:noProof/>
          <w:sz w:val="24"/>
          <w:szCs w:val="24"/>
        </w:rPr>
      </w:pPr>
      <w:r>
        <w:rPr>
          <w:rFonts w:ascii="Times New Roman" w:hAnsi="Times New Roman"/>
          <w:b/>
          <w:noProof/>
          <w:sz w:val="24"/>
          <w:szCs w:val="24"/>
        </w:rPr>
        <w:t>Saudiarabien</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I Saudiarabien möter EU:s företag en rad handelshinder för marknadstillträde, bland annat förfarandet för att erhålla den </w:t>
      </w:r>
      <w:r>
        <w:rPr>
          <w:rFonts w:ascii="Times New Roman" w:hAnsi="Times New Roman"/>
          <w:b/>
          <w:bCs/>
          <w:noProof/>
          <w:sz w:val="24"/>
          <w:szCs w:val="24"/>
          <w:lang w:val="sv-SE"/>
        </w:rPr>
        <w:t>saudiarabiska kvalitetsmärkningen</w:t>
      </w:r>
      <w:r>
        <w:rPr>
          <w:rFonts w:ascii="Times New Roman" w:hAnsi="Times New Roman"/>
          <w:noProof/>
          <w:sz w:val="24"/>
          <w:szCs w:val="24"/>
          <w:lang w:val="sv-SE"/>
        </w:rPr>
        <w:t xml:space="preserve"> (särskilt för keramiska plattor). Nya importvillkor på det sanitära och fytosanitära området för EU:s </w:t>
      </w:r>
      <w:r>
        <w:rPr>
          <w:rFonts w:ascii="Times New Roman" w:hAnsi="Times New Roman"/>
          <w:b/>
          <w:bCs/>
          <w:noProof/>
          <w:sz w:val="24"/>
          <w:szCs w:val="24"/>
          <w:lang w:val="sv-SE"/>
        </w:rPr>
        <w:t>export av frukt och grönsaker</w:t>
      </w:r>
      <w:r>
        <w:rPr>
          <w:rFonts w:ascii="Times New Roman" w:hAnsi="Times New Roman"/>
          <w:noProof/>
          <w:sz w:val="24"/>
          <w:szCs w:val="24"/>
          <w:lang w:val="sv-SE"/>
        </w:rPr>
        <w:t xml:space="preserve"> skapar också onödiga administrativa bördor och kostnader. Kommissionen tar systematiskt upp dessa hinder i WTO och vid bilaterala kontakter med Saudiarabien, och dessa frågor står även fortsatt högt upp på dagordningen för dialogen om handel och investeringar inom EU och Gulfstaternas samarbetsråd.</w:t>
      </w:r>
    </w:p>
    <w:p>
      <w:pPr>
        <w:spacing w:line="240" w:lineRule="auto"/>
        <w:jc w:val="both"/>
        <w:rPr>
          <w:rFonts w:ascii="Times New Roman" w:hAnsi="Times New Roman" w:cs="Times New Roman"/>
          <w:b/>
          <w:noProof/>
          <w:sz w:val="24"/>
          <w:szCs w:val="24"/>
          <w:lang w:val="sv-SE"/>
        </w:rPr>
      </w:pPr>
      <w:r>
        <w:rPr>
          <w:rFonts w:ascii="Times New Roman" w:hAnsi="Times New Roman"/>
          <w:noProof/>
          <w:sz w:val="24"/>
          <w:szCs w:val="24"/>
          <w:lang w:val="sv-SE"/>
        </w:rPr>
        <w:t xml:space="preserve">Två utkast till tekniska föreskrifter om </w:t>
      </w:r>
      <w:r>
        <w:rPr>
          <w:rFonts w:ascii="Times New Roman" w:hAnsi="Times New Roman"/>
          <w:b/>
          <w:bCs/>
          <w:noProof/>
          <w:sz w:val="24"/>
          <w:szCs w:val="24"/>
          <w:lang w:val="sv-SE"/>
        </w:rPr>
        <w:t>övre gränser för tillsatt socker</w:t>
      </w:r>
      <w:r>
        <w:rPr>
          <w:rFonts w:ascii="Times New Roman" w:hAnsi="Times New Roman"/>
          <w:noProof/>
          <w:sz w:val="24"/>
          <w:szCs w:val="24"/>
          <w:lang w:val="sv-SE"/>
        </w:rPr>
        <w:t xml:space="preserve"> i vissa livsmedelsprodukter respektive </w:t>
      </w:r>
      <w:r>
        <w:rPr>
          <w:rFonts w:ascii="Times New Roman" w:hAnsi="Times New Roman"/>
          <w:b/>
          <w:bCs/>
          <w:noProof/>
          <w:sz w:val="24"/>
          <w:szCs w:val="24"/>
          <w:lang w:val="sv-SE"/>
        </w:rPr>
        <w:t>trafikljusmärkning av livsmedel</w:t>
      </w:r>
      <w:r>
        <w:rPr>
          <w:rFonts w:ascii="Times New Roman" w:hAnsi="Times New Roman"/>
          <w:noProof/>
          <w:sz w:val="24"/>
          <w:szCs w:val="24"/>
          <w:lang w:val="sv-SE"/>
        </w:rPr>
        <w:t xml:space="preserve"> uppstod som nya hinder under 2019. Tack vare snabba insatser innan de hann träda i kraft kunde dessa problem lösas samma år. Vissa framsteg för några medlemsstater rapporterades under 2019, men Saudiarabien vidhåller sina </w:t>
      </w:r>
      <w:r>
        <w:rPr>
          <w:rFonts w:ascii="Times New Roman" w:hAnsi="Times New Roman"/>
          <w:b/>
          <w:bCs/>
          <w:noProof/>
          <w:sz w:val="24"/>
          <w:szCs w:val="24"/>
          <w:lang w:val="sv-SE"/>
        </w:rPr>
        <w:t>tillfälliga landsomfattande förbud mot import av levande djur</w:t>
      </w:r>
      <w:r>
        <w:rPr>
          <w:rFonts w:ascii="Times New Roman" w:hAnsi="Times New Roman"/>
          <w:noProof/>
          <w:sz w:val="24"/>
          <w:szCs w:val="24"/>
          <w:lang w:val="sv-SE"/>
        </w:rPr>
        <w:t xml:space="preserve"> i händelse av utbrott av djursjukdomar, vilket strider mot OIE:s</w:t>
      </w:r>
      <w:r>
        <w:rPr>
          <w:rStyle w:val="FootnoteReference"/>
          <w:rFonts w:ascii="Times New Roman" w:hAnsi="Times New Roman" w:cs="Times New Roman"/>
          <w:noProof/>
          <w:sz w:val="24"/>
          <w:szCs w:val="24"/>
        </w:rPr>
        <w:footnoteReference w:id="14"/>
      </w:r>
      <w:r>
        <w:rPr>
          <w:rFonts w:ascii="Times New Roman" w:hAnsi="Times New Roman"/>
          <w:noProof/>
          <w:sz w:val="24"/>
          <w:szCs w:val="24"/>
          <w:lang w:val="sv-SE"/>
        </w:rPr>
        <w:t xml:space="preserve"> internationella normer. </w:t>
      </w:r>
    </w:p>
    <w:p>
      <w:pPr>
        <w:pStyle w:val="ListParagraph"/>
        <w:numPr>
          <w:ilvl w:val="0"/>
          <w:numId w:val="35"/>
        </w:numPr>
        <w:spacing w:line="240" w:lineRule="auto"/>
        <w:rPr>
          <w:rFonts w:ascii="Times New Roman" w:hAnsi="Times New Roman" w:cs="Times New Roman"/>
          <w:b/>
          <w:noProof/>
          <w:sz w:val="24"/>
          <w:szCs w:val="24"/>
        </w:rPr>
      </w:pPr>
      <w:r>
        <w:rPr>
          <w:rFonts w:ascii="Times New Roman" w:hAnsi="Times New Roman"/>
          <w:b/>
          <w:noProof/>
          <w:sz w:val="24"/>
          <w:szCs w:val="24"/>
        </w:rPr>
        <w:t>AUSTRALIEN</w:t>
      </w:r>
    </w:p>
    <w:p>
      <w:pPr>
        <w:spacing w:line="240" w:lineRule="auto"/>
        <w:jc w:val="both"/>
        <w:rPr>
          <w:rFonts w:ascii="Times New Roman" w:hAnsi="Times New Roman" w:cs="Times New Roman"/>
          <w:iCs/>
          <w:noProof/>
          <w:sz w:val="24"/>
          <w:szCs w:val="24"/>
          <w:lang w:val="sv-SE"/>
        </w:rPr>
      </w:pPr>
      <w:r>
        <w:rPr>
          <w:rFonts w:ascii="Times New Roman" w:hAnsi="Times New Roman"/>
          <w:iCs/>
          <w:noProof/>
          <w:sz w:val="24"/>
          <w:szCs w:val="24"/>
          <w:lang w:val="sv-SE"/>
        </w:rPr>
        <w:t xml:space="preserve">Kvaliteten på det australiska bränslet hör till det sämsta inom OECD, och landet hamnar på 70:e plats på världslistan. </w:t>
      </w:r>
      <w:r>
        <w:rPr>
          <w:rFonts w:ascii="Times New Roman" w:hAnsi="Times New Roman"/>
          <w:b/>
          <w:bCs/>
          <w:iCs/>
          <w:noProof/>
          <w:sz w:val="24"/>
          <w:szCs w:val="24"/>
          <w:lang w:val="sv-SE"/>
        </w:rPr>
        <w:t>Svavelhalten</w:t>
      </w:r>
      <w:r>
        <w:rPr>
          <w:rFonts w:ascii="Times New Roman" w:hAnsi="Times New Roman"/>
          <w:iCs/>
          <w:noProof/>
          <w:sz w:val="24"/>
          <w:szCs w:val="24"/>
          <w:lang w:val="sv-SE"/>
        </w:rPr>
        <w:t xml:space="preserve"> i blyfri bensin är för närvarande femton gånger så hög som EU-normen. Denna dåliga bränslekvalitet är i själva verket </w:t>
      </w:r>
      <w:r>
        <w:rPr>
          <w:rFonts w:ascii="Times New Roman" w:hAnsi="Times New Roman"/>
          <w:b/>
          <w:bCs/>
          <w:iCs/>
          <w:noProof/>
          <w:sz w:val="24"/>
          <w:szCs w:val="24"/>
          <w:lang w:val="sv-SE"/>
        </w:rPr>
        <w:t>oförenlig med de senaste högeffektiva Euro 6-motorerna</w:t>
      </w:r>
      <w:r>
        <w:rPr>
          <w:rFonts w:ascii="Times New Roman" w:hAnsi="Times New Roman"/>
          <w:iCs/>
          <w:noProof/>
          <w:sz w:val="24"/>
          <w:szCs w:val="24"/>
          <w:lang w:val="sv-SE"/>
        </w:rPr>
        <w:t>, vilket innebär att vissa EU-tillverkare måste förenkla motorerna eller till och med byta ut motorerna i vissa modeller mot äldre, mer förorenande motorer.</w:t>
      </w:r>
    </w:p>
    <w:p>
      <w:pPr>
        <w:spacing w:line="240" w:lineRule="auto"/>
        <w:jc w:val="both"/>
        <w:rPr>
          <w:rFonts w:ascii="Times New Roman" w:hAnsi="Times New Roman" w:cs="Times New Roman"/>
          <w:iCs/>
          <w:noProof/>
          <w:sz w:val="24"/>
          <w:szCs w:val="24"/>
          <w:lang w:val="sv-SE"/>
        </w:rPr>
      </w:pPr>
      <w:r>
        <w:rPr>
          <w:rFonts w:ascii="Times New Roman" w:hAnsi="Times New Roman"/>
          <w:iCs/>
          <w:noProof/>
          <w:sz w:val="24"/>
          <w:szCs w:val="24"/>
          <w:lang w:val="sv-SE"/>
        </w:rPr>
        <w:t xml:space="preserve">Normerna skulle löpa ut 2019, men de australiska myndigheterna har inga konkreta planer för att hantera bränsleeffektiviteten. Detta verkar vara förknippat med kostnaderna för att uppgradera Australiens bensinraffineringskapacitet till erforderlig standard. Den berörda industrin verkar inte vara villig att göra den investeringen utan statligt stöd. </w:t>
      </w:r>
    </w:p>
    <w:p>
      <w:pPr>
        <w:pStyle w:val="ListParagraph"/>
        <w:numPr>
          <w:ilvl w:val="0"/>
          <w:numId w:val="35"/>
        </w:numPr>
        <w:spacing w:line="240" w:lineRule="auto"/>
        <w:jc w:val="both"/>
        <w:rPr>
          <w:rFonts w:ascii="Times New Roman" w:hAnsi="Times New Roman" w:cs="Times New Roman"/>
          <w:b/>
          <w:iCs/>
          <w:noProof/>
          <w:sz w:val="24"/>
          <w:szCs w:val="24"/>
        </w:rPr>
      </w:pPr>
      <w:r>
        <w:rPr>
          <w:rFonts w:ascii="Times New Roman" w:hAnsi="Times New Roman"/>
          <w:b/>
          <w:iCs/>
          <w:noProof/>
          <w:sz w:val="24"/>
          <w:szCs w:val="24"/>
        </w:rPr>
        <w:t>SYDKOREA</w:t>
      </w:r>
    </w:p>
    <w:p>
      <w:pPr>
        <w:spacing w:line="240" w:lineRule="auto"/>
        <w:jc w:val="both"/>
        <w:rPr>
          <w:rFonts w:ascii="Times New Roman" w:hAnsi="Times New Roman" w:cs="Times New Roman"/>
          <w:iCs/>
          <w:noProof/>
          <w:sz w:val="24"/>
          <w:szCs w:val="24"/>
          <w:lang w:val="sv-SE"/>
        </w:rPr>
      </w:pPr>
      <w:r>
        <w:rPr>
          <w:rFonts w:ascii="Times New Roman" w:hAnsi="Times New Roman"/>
          <w:iCs/>
          <w:noProof/>
          <w:sz w:val="24"/>
          <w:szCs w:val="24"/>
          <w:lang w:val="sv-SE"/>
        </w:rPr>
        <w:t xml:space="preserve">Sedan tidigt 2019 har EU-leverantörer av </w:t>
      </w:r>
      <w:r>
        <w:rPr>
          <w:rFonts w:ascii="Times New Roman" w:hAnsi="Times New Roman"/>
          <w:b/>
          <w:bCs/>
          <w:iCs/>
          <w:noProof/>
          <w:sz w:val="24"/>
          <w:szCs w:val="24"/>
          <w:lang w:val="sv-SE"/>
        </w:rPr>
        <w:t>system för hantering av barlastvatten</w:t>
      </w:r>
      <w:r>
        <w:rPr>
          <w:rFonts w:ascii="Times New Roman" w:hAnsi="Times New Roman"/>
          <w:iCs/>
          <w:noProof/>
          <w:sz w:val="24"/>
          <w:szCs w:val="24"/>
          <w:lang w:val="sv-SE"/>
        </w:rPr>
        <w:t xml:space="preserve"> mött ett nytt hinder till följd av att provningar som utförs utanför Sydkorea inom ramen för typgodkännandeförfarandet för installation av sådana system på koreanskflaggade fartyg inte erkänns. Eftersom alla fartyg från och med september 2018 måste vara utrustade med system för hantering av barlastvatten och alla befintliga fartyg senast 2024 måste eftermonteras med ett sådant system är marknaden mycket stor. Asymmetrin i certifieringsförfarandena mellan EU och Sydkorea har tagits upp bilateralt med landet.</w:t>
      </w:r>
    </w:p>
    <w:p>
      <w:pPr>
        <w:spacing w:line="240" w:lineRule="auto"/>
        <w:jc w:val="both"/>
        <w:rPr>
          <w:rFonts w:ascii="Times New Roman" w:hAnsi="Times New Roman" w:cs="Times New Roman"/>
          <w:iCs/>
          <w:noProof/>
          <w:sz w:val="24"/>
          <w:szCs w:val="24"/>
          <w:lang w:val="sv-SE"/>
        </w:rPr>
      </w:pPr>
      <w:r>
        <w:rPr>
          <w:rFonts w:ascii="Times New Roman" w:hAnsi="Times New Roman"/>
          <w:iCs/>
          <w:noProof/>
          <w:sz w:val="24"/>
          <w:szCs w:val="24"/>
          <w:lang w:val="sv-SE"/>
        </w:rPr>
        <w:t xml:space="preserve">För det andra blev det allt svårare att importera </w:t>
      </w:r>
      <w:r>
        <w:rPr>
          <w:rFonts w:ascii="Times New Roman" w:hAnsi="Times New Roman"/>
          <w:b/>
          <w:bCs/>
          <w:iCs/>
          <w:noProof/>
          <w:sz w:val="24"/>
          <w:szCs w:val="24"/>
          <w:lang w:val="sv-SE"/>
        </w:rPr>
        <w:t>babykläder</w:t>
      </w:r>
      <w:r>
        <w:rPr>
          <w:rFonts w:ascii="Times New Roman" w:hAnsi="Times New Roman"/>
          <w:iCs/>
          <w:noProof/>
          <w:sz w:val="24"/>
          <w:szCs w:val="24"/>
          <w:lang w:val="sv-SE"/>
        </w:rPr>
        <w:t xml:space="preserve"> under 2019. Genom en ny uppsättning riktlinjer, ”Uppdaterade kriterier för bekräftelse av säkerheten för textilprodukter avsedda för barn”, införs ytterst stränga förfaranden, som inte anmälts via WTO-plattformen. Detta har lett till många extra omcertifierings- och provningsförfaranden, vilket i sin tur har gett upphov till exponentiella omprövningskostnader. De sydkoreanska tullmyndigheterna samtyckte till att följa upp skriftliga synpunkter från EU, och kommissionen kommer att arbeta för att undanröja detta hinder.</w:t>
      </w:r>
    </w:p>
    <w:p>
      <w:pPr>
        <w:spacing w:line="240" w:lineRule="auto"/>
        <w:jc w:val="both"/>
        <w:rPr>
          <w:rFonts w:ascii="Times New Roman" w:hAnsi="Times New Roman" w:cs="Times New Roman"/>
          <w:iCs/>
          <w:noProof/>
          <w:sz w:val="24"/>
          <w:szCs w:val="24"/>
          <w:lang w:val="sv-SE"/>
        </w:rPr>
      </w:pPr>
    </w:p>
    <w:p>
      <w:pPr>
        <w:spacing w:line="240" w:lineRule="auto"/>
        <w:jc w:val="both"/>
        <w:rPr>
          <w:rFonts w:ascii="Times New Roman" w:hAnsi="Times New Roman" w:cs="Times New Roman"/>
          <w:noProof/>
          <w:sz w:val="24"/>
          <w:szCs w:val="24"/>
          <w:lang w:val="sv-SE"/>
        </w:rPr>
      </w:pPr>
      <w:r>
        <w:rPr>
          <w:rFonts w:ascii="Times New Roman" w:hAnsi="Times New Roman"/>
          <w:iCs/>
          <w:noProof/>
          <w:sz w:val="24"/>
          <w:szCs w:val="24"/>
          <w:lang w:val="sv-SE"/>
        </w:rPr>
        <w:t xml:space="preserve"> </w:t>
      </w:r>
      <w:r>
        <w:rPr>
          <w:rFonts w:ascii="Times New Roman" w:hAnsi="Times New Roman"/>
          <w:noProof/>
          <w:sz w:val="24"/>
          <w:szCs w:val="24"/>
          <w:lang w:val="sv-SE"/>
        </w:rPr>
        <w:br w:type="page"/>
      </w:r>
    </w:p>
    <w:p>
      <w:pPr>
        <w:pStyle w:val="NormalLinespacingMultiple12li"/>
        <w:numPr>
          <w:ilvl w:val="0"/>
          <w:numId w:val="40"/>
        </w:numPr>
        <w:spacing w:line="240" w:lineRule="auto"/>
        <w:jc w:val="both"/>
        <w:rPr>
          <w:rFonts w:ascii="Times New Roman" w:hAnsi="Times New Roman" w:cs="Times New Roman"/>
          <w:b/>
          <w:noProof/>
          <w:sz w:val="24"/>
          <w:szCs w:val="24"/>
          <w:lang w:val="sv-SE"/>
        </w:rPr>
      </w:pPr>
      <w:r>
        <w:rPr>
          <w:rFonts w:ascii="Times New Roman" w:hAnsi="Times New Roman"/>
          <w:b/>
          <w:noProof/>
          <w:sz w:val="24"/>
          <w:szCs w:val="24"/>
          <w:lang w:val="sv-SE"/>
        </w:rPr>
        <w:t>HANDELS- OCH INVESTERINGSHINDER SOM UNDANRÖJDES 2019</w:t>
      </w:r>
    </w:p>
    <w:p>
      <w:pPr>
        <w:spacing w:line="240" w:lineRule="auto"/>
        <w:jc w:val="both"/>
        <w:rPr>
          <w:rFonts w:ascii="Times New Roman" w:hAnsi="Times New Roman" w:cs="Times New Roman"/>
          <w:noProof/>
          <w:sz w:val="24"/>
          <w:szCs w:val="24"/>
          <w:lang w:val="sv-SE"/>
        </w:rPr>
      </w:pPr>
    </w:p>
    <w:p>
      <w:pPr>
        <w:pStyle w:val="ListParagraph"/>
        <w:numPr>
          <w:ilvl w:val="0"/>
          <w:numId w:val="36"/>
        </w:numPr>
        <w:spacing w:line="240" w:lineRule="auto"/>
        <w:contextualSpacing w:val="0"/>
        <w:jc w:val="both"/>
        <w:rPr>
          <w:rFonts w:ascii="Times New Roman" w:hAnsi="Times New Roman" w:cs="Times New Roman"/>
          <w:b/>
          <w:noProof/>
          <w:sz w:val="24"/>
          <w:szCs w:val="24"/>
          <w:lang w:val="sv-SE"/>
        </w:rPr>
      </w:pPr>
      <w:r>
        <w:rPr>
          <w:rFonts w:ascii="Times New Roman" w:hAnsi="Times New Roman"/>
          <w:b/>
          <w:noProof/>
          <w:sz w:val="24"/>
          <w:szCs w:val="24"/>
          <w:lang w:val="sv-SE"/>
        </w:rPr>
        <w:t>EU:s STRATEGI FÖR ATT ÅTGÄRDA HINDER FÖR HANDEL OCH INVESTERINGAR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Via sin strategi för marknadstillträde förfogar EU över en stor uppsättning verktyg för att undanröja handelshinder.</w:t>
      </w:r>
    </w:p>
    <w:p>
      <w:pPr>
        <w:spacing w:line="240" w:lineRule="auto"/>
        <w:jc w:val="both"/>
        <w:rPr>
          <w:rFonts w:ascii="Times New Roman" w:hAnsi="Times New Roman" w:cs="Times New Roman"/>
          <w:noProof/>
          <w:sz w:val="24"/>
          <w:szCs w:val="24"/>
          <w:lang w:val="sv-SE"/>
        </w:rPr>
      </w:pPr>
      <w:r>
        <w:rPr>
          <w:rFonts w:ascii="Times New Roman" w:hAnsi="Times New Roman"/>
          <w:b/>
          <w:noProof/>
          <w:sz w:val="24"/>
          <w:szCs w:val="24"/>
          <w:lang w:val="sv-SE"/>
        </w:rPr>
        <w:t>Verktyg 1: Diplomatiska insatser</w:t>
      </w:r>
      <w:r>
        <w:rPr>
          <w:rFonts w:ascii="Times New Roman" w:hAnsi="Times New Roman"/>
          <w:noProof/>
          <w:sz w:val="24"/>
          <w:szCs w:val="24"/>
          <w:lang w:val="sv-SE"/>
        </w:rPr>
        <w:t xml:space="preserve"> Det finns en ström av diplomatiskt arbete där kommissionen, Europeiska utrikestjänsten, EU:s medlemsstater och näringslivet har ett nära samarbete genom nätverket av EU:s delegationer och medlemsstaternas ambassader i tredjeländer. Det rör sig om många olika typer av aktiviteter, från tekniska handelsprojekt till formella démarcher såsom högnivåbesök av kommissionsledamöter till insatser på minister- eller presidentnivå. Vi samordnar oss med de insatser som företas av våra likasinnade partner om detta kan göra vårt arbete effektivare.</w:t>
      </w:r>
    </w:p>
    <w:p>
      <w:pPr>
        <w:spacing w:line="240" w:lineRule="auto"/>
        <w:jc w:val="both"/>
        <w:rPr>
          <w:rFonts w:ascii="Times New Roman" w:hAnsi="Times New Roman" w:cs="Times New Roman"/>
          <w:noProof/>
          <w:sz w:val="24"/>
          <w:szCs w:val="24"/>
          <w:lang w:val="sv-SE"/>
        </w:rPr>
      </w:pPr>
      <w:r>
        <w:rPr>
          <w:rFonts w:ascii="Times New Roman" w:hAnsi="Times New Roman"/>
          <w:b/>
          <w:noProof/>
          <w:sz w:val="24"/>
          <w:szCs w:val="24"/>
          <w:lang w:val="sv-SE"/>
        </w:rPr>
        <w:t>Verktyg 2: Tvistlösning</w:t>
      </w:r>
      <w:r>
        <w:rPr>
          <w:rFonts w:ascii="Times New Roman" w:hAnsi="Times New Roman"/>
          <w:noProof/>
          <w:sz w:val="24"/>
          <w:szCs w:val="24"/>
          <w:lang w:val="sv-SE"/>
        </w:rPr>
        <w:t xml:space="preserve"> Förutom det ordinarie arbetet i WTO:s kommittéer har kommissionen även varit mycket aktiv även på andra sätt på tvistlösningsområdet. Vidare har EU även sett till att tredjeländer efterlever WTO-utslag på ett korrekt sätt och EU följer uppmärksamt situationen för att se till att dessa utslag verkligen efterlevs på ett korrekt sätt. Under 2019 inleddes förfaranden mot Ukraina inom ramen för associeringsavtalet (förbudet mot virkesexport), mot den sydafrikanska tullunionen (fjäderfän) samt ett WTO:s tvistlösningsförfarande mot Indonesien (exportbegränsningar för råvaror) och ett mot Förenta staterna (handelspolitiska skyddsåtgärder avseende mogna oliver). Detta visar att kommissionen inte tvekar att använda sig av den möjlighet till bilateral tvistlösning som ges i dess frihandelsavtal eller av multilateral tvistlösning. Kommissionen har dessutom kommit med ett formellt förslag för att stärka genomdrivandeförordningen</w:t>
      </w:r>
      <w:r>
        <w:rPr>
          <w:rStyle w:val="FootnoteReference"/>
          <w:rFonts w:ascii="Times New Roman" w:hAnsi="Times New Roman" w:cs="Times New Roman"/>
          <w:noProof/>
          <w:sz w:val="24"/>
          <w:szCs w:val="24"/>
        </w:rPr>
        <w:footnoteReference w:id="15"/>
      </w:r>
      <w:r>
        <w:rPr>
          <w:rFonts w:ascii="Times New Roman" w:hAnsi="Times New Roman"/>
          <w:noProof/>
          <w:sz w:val="24"/>
          <w:szCs w:val="24"/>
          <w:lang w:val="sv-SE"/>
        </w:rPr>
        <w:t>, som ger EU möjlighet att vidta vissa motåtgärder om det finns hinder mot en välfungerande bilateral eller multilateral tvistlösning. Som ett ytterligare verktyg kan kommissionen även, på exportörernas begäran, tillämpa det förfarande som anges i förordningen om handelshinder.</w:t>
      </w:r>
    </w:p>
    <w:p>
      <w:pPr>
        <w:spacing w:line="240" w:lineRule="auto"/>
        <w:jc w:val="both"/>
        <w:rPr>
          <w:rFonts w:ascii="Times New Roman" w:hAnsi="Times New Roman" w:cs="Times New Roman"/>
          <w:noProof/>
          <w:sz w:val="24"/>
          <w:szCs w:val="24"/>
          <w:lang w:val="sv-SE"/>
        </w:rPr>
      </w:pPr>
      <w:r>
        <w:rPr>
          <w:rFonts w:ascii="Times New Roman" w:hAnsi="Times New Roman"/>
          <w:b/>
          <w:noProof/>
          <w:sz w:val="24"/>
          <w:szCs w:val="24"/>
          <w:lang w:val="sv-SE"/>
        </w:rPr>
        <w:t>Verktyg 3: EU:s frihandelsavtal</w:t>
      </w:r>
      <w:r>
        <w:rPr>
          <w:rFonts w:ascii="Times New Roman" w:hAnsi="Times New Roman"/>
          <w:noProof/>
          <w:sz w:val="24"/>
          <w:szCs w:val="24"/>
          <w:lang w:val="sv-SE"/>
        </w:rPr>
        <w:t xml:space="preserve"> Hinder som upptäcks till följd av vårt arbete på marknadstillträdesområdet tas direkt upp i handelsförhandlingar – eller om det redan finns ett frihandelsavtal, i relevanta genomförandemekanismer – i syfte att se till att prioriterade marknadstillträdesfrågor åtgärdas. Kommissionen har dessutom ökat sina insatser för att förbättra genomförandet och efterlevnaden av befintliga åtaganden för att företagen, särskilt de små och medelstora företagen, ska kunna dra full nytta av dessa åtaganden. EU har de verktyg som behövs och använder sig också av dem för att undanröja handelshinder, förbättra skyddet av immateriella rättigheter och säkerställandet av detta skydd, inleda tvistlösningsförfaranden och införa handelspolitiska skyddsåtgärder vid illojal handel, och har även förbättrat samordningen mellan dessa olika pelare i arbetet med att säkra efterlevnad.</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Det är viktigt att påpeka att vårt marknadstillträdespartnerskap även fungerar som ett varningssystem som hjälper oss att förhindra hinder redan innan de uppstår.</w:t>
      </w:r>
    </w:p>
    <w:p>
      <w:pPr>
        <w:spacing w:line="240" w:lineRule="auto"/>
        <w:jc w:val="both"/>
        <w:rPr>
          <w:rFonts w:ascii="Times New Roman" w:hAnsi="Times New Roman" w:cs="Times New Roman"/>
          <w:noProof/>
          <w:sz w:val="24"/>
          <w:szCs w:val="24"/>
          <w:lang w:val="sv-SE"/>
        </w:rPr>
      </w:pPr>
    </w:p>
    <w:p>
      <w:pPr>
        <w:spacing w:line="240" w:lineRule="auto"/>
        <w:jc w:val="both"/>
        <w:rPr>
          <w:rFonts w:ascii="Times New Roman" w:hAnsi="Times New Roman" w:cs="Times New Roman"/>
          <w:noProof/>
          <w:sz w:val="24"/>
          <w:szCs w:val="24"/>
          <w:lang w:val="sv-SE"/>
        </w:rPr>
      </w:pPr>
    </w:p>
    <w:p>
      <w:pPr>
        <w:pStyle w:val="ListParagraph"/>
        <w:numPr>
          <w:ilvl w:val="0"/>
          <w:numId w:val="36"/>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UNDANRÖJDA HINDER 2019 PER TREDJELAND</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Tack vare de gemensamma insatserna från alla aktörer i vårt partnerskap för marknadstillträde kunde totalt 40 hinder helt eller delvis undanröjas under 2019 i 22 olika länder och inom nio ekonomiska sektorer samt även horisontellt. Om man ser till alla kvantifierbara hinder berörde de handelshinder som undanröjdes 2019 EU-export till ett värde av 19,4 miljarder euro för EU-27.</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I diagram 8 visas de tredjeländer där hinder undanröjts. Saudiarabien kommer på första plats med fem undanröjda hinder 2019, följt av Egypten, Singapore och Ryssland (tre vardera). Två hinder vardera undanröjdes i Australien, Kanada, Kina, Japan, Sydkorea, Mexiko, Ecuador och Förenade Arabemiraten. Dessutom undanröjdes ytterligare tio handelshinder för EU-företag i tio andra tredjeländer under 2019. </w:t>
      </w:r>
    </w:p>
    <w:p>
      <w:pPr>
        <w:spacing w:line="240" w:lineRule="auto"/>
        <w:jc w:val="center"/>
        <w:rPr>
          <w:rFonts w:ascii="Times New Roman" w:hAnsi="Times New Roman" w:cs="Times New Roman"/>
          <w:i/>
          <w:noProof/>
          <w:sz w:val="24"/>
          <w:szCs w:val="24"/>
          <w:lang w:val="sv-SE"/>
        </w:rPr>
      </w:pPr>
      <w:r>
        <w:rPr>
          <w:noProof/>
          <w:lang w:eastAsia="en-GB"/>
        </w:rPr>
        <w:drawing>
          <wp:inline distT="0" distB="0" distL="0" distR="0">
            <wp:extent cx="5295900" cy="37339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4040" cy="3739695"/>
                    </a:xfrm>
                    <a:prstGeom prst="rect">
                      <a:avLst/>
                    </a:prstGeom>
                    <a:noFill/>
                    <a:ln>
                      <a:noFill/>
                    </a:ln>
                  </pic:spPr>
                </pic:pic>
              </a:graphicData>
            </a:graphic>
          </wp:inline>
        </w:drawing>
      </w:r>
      <w:r>
        <w:rPr>
          <w:rFonts w:ascii="Times New Roman" w:hAnsi="Times New Roman"/>
          <w:b/>
          <w:i/>
          <w:noProof/>
          <w:sz w:val="24"/>
          <w:szCs w:val="24"/>
          <w:lang w:val="sv-SE"/>
        </w:rPr>
        <w:t>Diagram 8: Geografisk fördelning av hinder undanröjda under 2019</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Sett till värdet av den handel (tabell 3) som påverkas av de undanröjda hindren undanröjdes de största hindren i Kina, vilka stod för 63 % av alla berörda handelsflöden, följt av Förenade Arabemiraten, som stod för omkring 17 %. Det är dock värt att notera att handelsflödena i vissa länder eller regioner kan vara underskattade i det här sammanhanget, eftersom undanröjda hinder med horisontell produktomfattning är svårare att bedöma.</w:t>
      </w:r>
    </w:p>
    <w:p>
      <w:pPr>
        <w:spacing w:line="240" w:lineRule="auto"/>
        <w:jc w:val="both"/>
        <w:rPr>
          <w:rFonts w:ascii="Times New Roman" w:hAnsi="Times New Roman" w:cs="Times New Roman"/>
          <w:b/>
          <w:bCs/>
          <w:i/>
          <w:noProof/>
          <w:sz w:val="24"/>
          <w:szCs w:val="24"/>
          <w:lang w:val="sv-SE"/>
        </w:rPr>
      </w:pPr>
      <w:r>
        <w:rPr>
          <w:noProof/>
          <w:lang w:eastAsia="en-GB"/>
        </w:rPr>
        <w:drawing>
          <wp:inline distT="0" distB="0" distL="0" distR="0">
            <wp:extent cx="5562600" cy="2148566"/>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2600" cy="2148566"/>
                    </a:xfrm>
                    <a:prstGeom prst="rect">
                      <a:avLst/>
                    </a:prstGeom>
                    <a:noFill/>
                    <a:ln>
                      <a:noFill/>
                    </a:ln>
                  </pic:spPr>
                </pic:pic>
              </a:graphicData>
            </a:graphic>
          </wp:inline>
        </w:drawing>
      </w:r>
      <w:r>
        <w:rPr>
          <w:rFonts w:ascii="Times New Roman" w:hAnsi="Times New Roman"/>
          <w:b/>
          <w:bCs/>
          <w:i/>
          <w:noProof/>
          <w:sz w:val="24"/>
          <w:szCs w:val="24"/>
          <w:lang w:val="sv-SE"/>
        </w:rPr>
        <w:t xml:space="preserve">Tabell 3: EU-27-handelsflöden som påverkas av de hinder som undanröjts under 2019 av partnerländer </w:t>
      </w:r>
      <w:r>
        <w:rPr>
          <w:rFonts w:ascii="Times New Roman" w:hAnsi="Times New Roman"/>
          <w:b/>
          <w:bCs/>
          <w:i/>
          <w:noProof/>
          <w:sz w:val="24"/>
          <w:szCs w:val="24"/>
          <w:lang w:val="sv-SE"/>
        </w:rPr>
        <w:br/>
        <w:t>(miljarder euro)</w:t>
      </w:r>
      <w:r>
        <w:rPr>
          <w:rStyle w:val="FootnoteReference"/>
          <w:rFonts w:ascii="Times New Roman" w:hAnsi="Times New Roman" w:cs="Times New Roman"/>
          <w:b/>
          <w:bCs/>
          <w:i/>
          <w:noProof/>
          <w:sz w:val="24"/>
          <w:szCs w:val="24"/>
        </w:rPr>
        <w:footnoteReference w:id="16"/>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Även i de länder eller regioner där handelsförhållandena för närvarande är mest problematiska, såsom Kina, Medelhavsområdet och Mellanöstern, kan vår strategi ge konkreta resultat för EU:s exportörer, särskilt för små och medelstora företag inom den jordbruksbaserade livsmedelsindustrin</w:t>
      </w:r>
    </w:p>
    <w:p>
      <w:pPr>
        <w:spacing w:line="240" w:lineRule="auto"/>
        <w:rPr>
          <w:rFonts w:ascii="Times New Roman" w:hAnsi="Times New Roman" w:cs="Times New Roman"/>
          <w:noProof/>
          <w:sz w:val="24"/>
          <w:szCs w:val="24"/>
          <w:lang w:val="sv-SE"/>
        </w:rPr>
      </w:pPr>
    </w:p>
    <w:p>
      <w:pPr>
        <w:pStyle w:val="ListParagraph"/>
        <w:numPr>
          <w:ilvl w:val="0"/>
          <w:numId w:val="36"/>
        </w:numPr>
        <w:spacing w:line="240" w:lineRule="auto"/>
        <w:jc w:val="both"/>
        <w:rPr>
          <w:rFonts w:ascii="Times New Roman" w:hAnsi="Times New Roman" w:cs="Times New Roman"/>
          <w:b/>
          <w:noProof/>
          <w:sz w:val="24"/>
          <w:szCs w:val="24"/>
          <w:lang w:val="sv-SE"/>
        </w:rPr>
      </w:pPr>
      <w:r>
        <w:rPr>
          <w:rFonts w:ascii="Times New Roman" w:hAnsi="Times New Roman"/>
          <w:b/>
          <w:noProof/>
          <w:sz w:val="24"/>
          <w:szCs w:val="24"/>
          <w:lang w:val="sv-SE"/>
        </w:rPr>
        <w:t>UNDANRÖJDA HINDER 2019 PER TYP AV ÅTGÄRD</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Våra insatser inom ramen för vårt partnerskap för marknadstillträde har bidragit betydligt mer till att undanröja hinder avseende sanitära och fytosanitära frågor (24) inom jordbruks- och fiskerisektorn. Andra åtgärder vid gränsen undanröjdes också, nämligen importtullåtgärder (3), tullmyndigheters administrativa förfaranden (2) och exportbegränsningar (2).</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De hinder bakom gränsen som åtgärdades påverkade EU:s företag i form av tekniska handelshinder (6 åtgärder) och immateriella rättigheter (1 hinder). Ett hinder inom handel med tjänster undanröjdes också under 2019.</w:t>
      </w:r>
    </w:p>
    <w:p>
      <w:pPr>
        <w:spacing w:line="240" w:lineRule="auto"/>
        <w:jc w:val="center"/>
        <w:rPr>
          <w:rFonts w:ascii="Times New Roman" w:hAnsi="Times New Roman" w:cs="Times New Roman"/>
          <w:b/>
          <w:i/>
          <w:noProof/>
          <w:sz w:val="24"/>
          <w:szCs w:val="24"/>
          <w:lang w:val="sv-SE"/>
        </w:rPr>
      </w:pPr>
      <w:r>
        <w:rPr>
          <w:noProof/>
          <w:lang w:eastAsia="en-GB"/>
        </w:rPr>
        <w:drawing>
          <wp:inline distT="0" distB="0" distL="0" distR="0">
            <wp:extent cx="5562600" cy="27104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600" cy="2710439"/>
                    </a:xfrm>
                    <a:prstGeom prst="rect">
                      <a:avLst/>
                    </a:prstGeom>
                    <a:noFill/>
                    <a:ln>
                      <a:noFill/>
                    </a:ln>
                  </pic:spPr>
                </pic:pic>
              </a:graphicData>
            </a:graphic>
          </wp:inline>
        </w:drawing>
      </w:r>
      <w:r>
        <w:rPr>
          <w:rFonts w:ascii="Times New Roman" w:hAnsi="Times New Roman"/>
          <w:b/>
          <w:i/>
          <w:noProof/>
          <w:sz w:val="24"/>
          <w:szCs w:val="24"/>
          <w:lang w:val="sv-SE"/>
        </w:rPr>
        <w:t>Diagram 9: Fördelning av de hinder som undanröjts under 2019 per typ av åtgärd (antal åtgärder)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Under 2019 gjordes avsevärda framsteg med att undanröja sanitära och fytosanitära hinder. Däremot visade sig det vara problematiskt att undanröja typer av åtgärder som vanligen är tillämpliga på industrisektorer eller tjänster. Därför behövs ett mer kraftfullt agerande från vår sida och ökat fokus under de närmaste åren.</w:t>
      </w:r>
    </w:p>
    <w:p>
      <w:pPr>
        <w:spacing w:line="240" w:lineRule="auto"/>
        <w:jc w:val="both"/>
        <w:rPr>
          <w:rFonts w:ascii="Times New Roman" w:hAnsi="Times New Roman" w:cs="Times New Roman"/>
          <w:noProof/>
          <w:sz w:val="24"/>
          <w:szCs w:val="24"/>
          <w:lang w:val="sv-SE"/>
        </w:rPr>
      </w:pPr>
    </w:p>
    <w:p>
      <w:pPr>
        <w:pStyle w:val="ListParagraph"/>
        <w:numPr>
          <w:ilvl w:val="0"/>
          <w:numId w:val="36"/>
        </w:numPr>
        <w:spacing w:line="240" w:lineRule="auto"/>
        <w:jc w:val="both"/>
        <w:rPr>
          <w:rFonts w:ascii="Times New Roman" w:hAnsi="Times New Roman" w:cs="Times New Roman"/>
          <w:b/>
          <w:noProof/>
          <w:sz w:val="24"/>
          <w:szCs w:val="24"/>
        </w:rPr>
      </w:pPr>
      <w:r>
        <w:rPr>
          <w:rFonts w:ascii="Times New Roman" w:hAnsi="Times New Roman"/>
          <w:b/>
          <w:noProof/>
          <w:sz w:val="24"/>
          <w:szCs w:val="24"/>
        </w:rPr>
        <w:t>UNDANRÖJDA HINDER 2019 PER SEKTOR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I diagram 10 ges en översikt över antalet undanröjda hinder inom de olika ekonomiska sektorerna. Jordbruks- och fiskerisektorn var den sektor som uppvisade flest antal undanröjda hinder (26). Hindren omfattar de sanitära och fytosanitära frågor som undanröjdes helt eller fullständigt (24) och två tekniska föreskrifter (särskilt en om trafikljusmärkning av livsmedel).</w:t>
      </w:r>
    </w:p>
    <w:p>
      <w:pPr>
        <w:spacing w:line="240" w:lineRule="auto"/>
        <w:jc w:val="both"/>
        <w:rPr>
          <w:rFonts w:ascii="Times New Roman" w:hAnsi="Times New Roman" w:cs="Times New Roman"/>
          <w:noProof/>
          <w:sz w:val="24"/>
          <w:szCs w:val="24"/>
          <w:lang w:val="sv-SE"/>
        </w:rPr>
      </w:pPr>
      <w:r>
        <w:rPr>
          <w:rFonts w:ascii="Times New Roman" w:hAnsi="Times New Roman"/>
          <w:i/>
          <w:noProof/>
          <w:sz w:val="24"/>
          <w:szCs w:val="24"/>
          <w:lang w:val="sv-SE"/>
        </w:rPr>
        <w:t>Vin- och spritsektorn</w:t>
      </w:r>
      <w:r>
        <w:rPr>
          <w:rFonts w:ascii="Times New Roman" w:hAnsi="Times New Roman"/>
          <w:noProof/>
          <w:sz w:val="24"/>
          <w:szCs w:val="24"/>
          <w:lang w:val="sv-SE"/>
        </w:rPr>
        <w:t xml:space="preserve"> stod för tre undanröjda hinder och kosmetikasektorn för två. Enstaka hinder undanröjdes inom </w:t>
      </w:r>
      <w:r>
        <w:rPr>
          <w:rFonts w:ascii="Times New Roman" w:hAnsi="Times New Roman"/>
          <w:i/>
          <w:noProof/>
          <w:sz w:val="24"/>
          <w:szCs w:val="24"/>
          <w:lang w:val="sv-SE"/>
        </w:rPr>
        <w:t>IKT-sektorn, sektorn för kommunikationstjänster, textil- och lädersektorn, trä-, pappers- och massasektorn samt järn- och stålsektorn.</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Dessutom åtgärdades totalt åtta hinder som var antingen helt </w:t>
      </w:r>
      <w:r>
        <w:rPr>
          <w:rFonts w:ascii="Times New Roman" w:hAnsi="Times New Roman"/>
          <w:i/>
          <w:noProof/>
          <w:sz w:val="24"/>
          <w:szCs w:val="24"/>
          <w:lang w:val="sv-SE"/>
        </w:rPr>
        <w:t>horisontella</w:t>
      </w:r>
      <w:r>
        <w:rPr>
          <w:rFonts w:ascii="Times New Roman" w:hAnsi="Times New Roman"/>
          <w:noProof/>
          <w:sz w:val="24"/>
          <w:szCs w:val="24"/>
          <w:lang w:val="sv-SE"/>
        </w:rPr>
        <w:t xml:space="preserve"> hinder eller påverkade </w:t>
      </w:r>
      <w:r>
        <w:rPr>
          <w:rFonts w:ascii="Times New Roman" w:hAnsi="Times New Roman"/>
          <w:i/>
          <w:noProof/>
          <w:sz w:val="24"/>
          <w:szCs w:val="24"/>
          <w:lang w:val="sv-SE"/>
        </w:rPr>
        <w:t>flera olika näringsgrenar</w:t>
      </w:r>
      <w:r>
        <w:rPr>
          <w:rFonts w:ascii="Times New Roman" w:hAnsi="Times New Roman"/>
          <w:noProof/>
          <w:sz w:val="24"/>
          <w:szCs w:val="24"/>
          <w:lang w:val="sv-SE"/>
        </w:rPr>
        <w:t>.</w:t>
      </w:r>
    </w:p>
    <w:p>
      <w:pPr>
        <w:spacing w:line="240" w:lineRule="auto"/>
        <w:jc w:val="center"/>
        <w:rPr>
          <w:rFonts w:ascii="Times New Roman" w:hAnsi="Times New Roman" w:cs="Times New Roman"/>
          <w:b/>
          <w:i/>
          <w:noProof/>
          <w:sz w:val="24"/>
          <w:szCs w:val="24"/>
          <w:lang w:val="sv-SE"/>
        </w:rPr>
      </w:pPr>
      <w:r>
        <w:rPr>
          <w:noProof/>
          <w:lang w:eastAsia="en-GB"/>
        </w:rPr>
        <w:drawing>
          <wp:inline distT="0" distB="0" distL="0" distR="0">
            <wp:extent cx="5667375" cy="3448017"/>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1899" cy="3462938"/>
                    </a:xfrm>
                    <a:prstGeom prst="rect">
                      <a:avLst/>
                    </a:prstGeom>
                    <a:noFill/>
                    <a:ln>
                      <a:noFill/>
                    </a:ln>
                  </pic:spPr>
                </pic:pic>
              </a:graphicData>
            </a:graphic>
          </wp:inline>
        </w:drawing>
      </w:r>
      <w:r>
        <w:rPr>
          <w:rFonts w:ascii="Times New Roman" w:hAnsi="Times New Roman"/>
          <w:b/>
          <w:i/>
          <w:noProof/>
          <w:lang w:val="sv-SE"/>
        </w:rPr>
        <w:br/>
      </w:r>
      <w:r>
        <w:rPr>
          <w:rFonts w:ascii="Times New Roman" w:hAnsi="Times New Roman"/>
          <w:b/>
          <w:i/>
          <w:noProof/>
          <w:sz w:val="24"/>
          <w:szCs w:val="24"/>
          <w:lang w:val="sv-SE"/>
        </w:rPr>
        <w:t>Diagram 10: Sektorsfördelning av de hinder som undanröjts under 2019 enligt registreringen i databasen med information om marknadstillträde (antal hinder)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I diagram 11 visas, beräknat på grundval av påverkade handelsflöden, vilken ekonomisk tyngd de undanröjda hindren har per sektor. Det framgår av detta att undanröjandet under 2019 främst haft positiva verkningar för EU:s export inom </w:t>
      </w:r>
      <w:r>
        <w:rPr>
          <w:rFonts w:ascii="Times New Roman" w:hAnsi="Times New Roman"/>
          <w:i/>
          <w:noProof/>
          <w:sz w:val="24"/>
          <w:szCs w:val="24"/>
          <w:lang w:val="sv-SE"/>
        </w:rPr>
        <w:t>jordbruks- och fiskerisektorn</w:t>
      </w:r>
      <w:r>
        <w:rPr>
          <w:rFonts w:ascii="Times New Roman" w:hAnsi="Times New Roman"/>
          <w:noProof/>
          <w:sz w:val="24"/>
          <w:szCs w:val="24"/>
          <w:lang w:val="sv-SE"/>
        </w:rPr>
        <w:t xml:space="preserve">, vilken svarar för 72 % procent av de totala potentiellt påverkade handelsflödena, vilka uppgår till 14,1 miljarder euro. Även </w:t>
      </w:r>
      <w:r>
        <w:rPr>
          <w:rFonts w:ascii="Times New Roman" w:hAnsi="Times New Roman"/>
          <w:i/>
          <w:noProof/>
          <w:sz w:val="24"/>
          <w:szCs w:val="24"/>
          <w:lang w:val="sv-SE"/>
        </w:rPr>
        <w:t>vin- och spritsektorn</w:t>
      </w:r>
      <w:r>
        <w:rPr>
          <w:rFonts w:ascii="Times New Roman" w:hAnsi="Times New Roman"/>
          <w:noProof/>
          <w:sz w:val="24"/>
          <w:szCs w:val="24"/>
          <w:lang w:val="sv-SE"/>
        </w:rPr>
        <w:t xml:space="preserve"> (2,5 miljarder euro) och </w:t>
      </w:r>
      <w:r>
        <w:rPr>
          <w:rFonts w:ascii="Times New Roman" w:hAnsi="Times New Roman"/>
          <w:i/>
          <w:noProof/>
          <w:sz w:val="24"/>
          <w:szCs w:val="24"/>
          <w:lang w:val="sv-SE"/>
        </w:rPr>
        <w:t>kosmetikasektorn</w:t>
      </w:r>
      <w:r>
        <w:rPr>
          <w:rFonts w:ascii="Times New Roman" w:hAnsi="Times New Roman"/>
          <w:noProof/>
          <w:sz w:val="24"/>
          <w:szCs w:val="24"/>
          <w:lang w:val="sv-SE"/>
        </w:rPr>
        <w:t xml:space="preserve"> (1,5 miljarder euro) har dragit stor fördel av undanröjandet av hinder.</w:t>
      </w:r>
    </w:p>
    <w:p>
      <w:pPr>
        <w:spacing w:line="240" w:lineRule="auto"/>
        <w:jc w:val="center"/>
        <w:rPr>
          <w:rFonts w:ascii="Times New Roman" w:hAnsi="Times New Roman" w:cs="Times New Roman"/>
          <w:b/>
          <w:i/>
          <w:noProof/>
          <w:sz w:val="24"/>
          <w:szCs w:val="24"/>
          <w:lang w:val="sv-SE"/>
        </w:rPr>
      </w:pPr>
      <w:r>
        <w:rPr>
          <w:noProof/>
          <w:lang w:eastAsia="en-GB"/>
        </w:rPr>
        <w:drawing>
          <wp:inline distT="0" distB="0" distL="0" distR="0">
            <wp:extent cx="5880312" cy="360997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87442" cy="3614352"/>
                    </a:xfrm>
                    <a:prstGeom prst="rect">
                      <a:avLst/>
                    </a:prstGeom>
                    <a:noFill/>
                    <a:ln>
                      <a:noFill/>
                    </a:ln>
                  </pic:spPr>
                </pic:pic>
              </a:graphicData>
            </a:graphic>
          </wp:inline>
        </w:drawing>
      </w:r>
      <w:r>
        <w:rPr>
          <w:rFonts w:ascii="Times New Roman" w:hAnsi="Times New Roman"/>
          <w:noProof/>
          <w:lang w:val="sv-SE"/>
        </w:rPr>
        <w:br/>
      </w:r>
      <w:r>
        <w:rPr>
          <w:rFonts w:ascii="Times New Roman" w:hAnsi="Times New Roman"/>
          <w:b/>
          <w:i/>
          <w:noProof/>
          <w:sz w:val="24"/>
          <w:szCs w:val="24"/>
          <w:lang w:val="sv-SE"/>
        </w:rPr>
        <w:t>Diagram 11: EU-27-handelsflöden som påverkas av de hinder som undanröjts under 2019, per sektor</w:t>
      </w:r>
      <w:r>
        <w:rPr>
          <w:rStyle w:val="FootnoteReference"/>
          <w:rFonts w:ascii="Times New Roman" w:hAnsi="Times New Roman" w:cs="Times New Roman"/>
          <w:b/>
          <w:i/>
          <w:noProof/>
          <w:sz w:val="24"/>
          <w:szCs w:val="24"/>
        </w:rPr>
        <w:footnoteReference w:id="17"/>
      </w:r>
      <w:r>
        <w:rPr>
          <w:rFonts w:ascii="Times New Roman" w:hAnsi="Times New Roman"/>
          <w:b/>
          <w:i/>
          <w:noProof/>
          <w:sz w:val="24"/>
          <w:szCs w:val="24"/>
          <w:lang w:val="sv-SE"/>
        </w:rPr>
        <w:br/>
        <w:t>(i miljarder euro och procentenheter)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EU-strategins kvantifierbara effektivitet för att undanröja sanitära och fytosanitära hinder och ge EU-export marknadstillträde bygger på ett brett tillvägagångssätt. Förutom de åtgärder som nämns i avsnitt V beskrivs några av våra framgångar med detta tillvägagångssätt i ruta 6.</w:t>
      </w:r>
    </w:p>
    <w:p>
      <w:pPr>
        <w:spacing w:line="240" w:lineRule="auto"/>
        <w:jc w:val="both"/>
        <w:rPr>
          <w:rFonts w:ascii="Times New Roman" w:hAnsi="Times New Roman" w:cs="Times New Roman"/>
          <w:noProof/>
          <w:sz w:val="24"/>
          <w:szCs w:val="24"/>
          <w:lang w:val="sv-SE"/>
        </w:rPr>
      </w:pP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spacing w:line="240" w:lineRule="auto"/>
              <w:jc w:val="both"/>
              <w:rPr>
                <w:rFonts w:ascii="Times New Roman" w:hAnsi="Times New Roman" w:cs="Times New Roman"/>
                <w:b/>
                <w:bCs/>
                <w:noProof/>
                <w:sz w:val="24"/>
                <w:szCs w:val="24"/>
                <w:lang w:val="sv-SE"/>
              </w:rPr>
            </w:pPr>
            <w:r>
              <w:rPr>
                <w:rFonts w:ascii="Times New Roman" w:hAnsi="Times New Roman"/>
                <w:b/>
                <w:bCs/>
                <w:noProof/>
                <w:sz w:val="24"/>
                <w:szCs w:val="24"/>
                <w:lang w:val="sv-SE"/>
              </w:rPr>
              <w:t>Ruta 6 – Undanröja sanitära och fytosanitära hinder – några framgångshistorier</w:t>
            </w:r>
          </w:p>
          <w:p>
            <w:pPr>
              <w:pStyle w:val="ListParagraph"/>
              <w:numPr>
                <w:ilvl w:val="0"/>
                <w:numId w:val="33"/>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Japan – den jordbruksbaserade livsmedelsindustrin</w:t>
            </w:r>
          </w:p>
          <w:p>
            <w:pPr>
              <w:spacing w:line="240" w:lineRule="auto"/>
              <w:jc w:val="both"/>
              <w:rPr>
                <w:rFonts w:ascii="Times New Roman" w:hAnsi="Times New Roman" w:cs="Times New Roman"/>
                <w:noProof/>
                <w:sz w:val="24"/>
                <w:szCs w:val="24"/>
                <w:u w:val="single"/>
                <w:lang w:val="sv-SE"/>
              </w:rPr>
            </w:pPr>
            <w:r>
              <w:rPr>
                <w:rFonts w:ascii="Times New Roman" w:hAnsi="Times New Roman"/>
                <w:noProof/>
                <w:sz w:val="24"/>
                <w:szCs w:val="24"/>
                <w:u w:val="single"/>
                <w:lang w:val="sv-SE"/>
              </w:rPr>
              <w:t>Förbud mot import av nötkött på grund av BSE</w:t>
            </w:r>
            <w:r>
              <w:rPr>
                <w:rStyle w:val="FootnoteReference"/>
                <w:rFonts w:ascii="Times New Roman" w:hAnsi="Times New Roman" w:cs="Times New Roman"/>
                <w:noProof/>
                <w:sz w:val="24"/>
                <w:szCs w:val="24"/>
                <w:u w:val="single"/>
              </w:rPr>
              <w:footnoteReference w:id="18"/>
            </w:r>
          </w:p>
          <w:p>
            <w:pPr>
              <w:autoSpaceDE w:val="0"/>
              <w:autoSpaceDN w:val="0"/>
              <w:adjustRightInd w:val="0"/>
              <w:spacing w:after="0"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Japan har sedan över 20 år sedan ett förbud mot import av nötkött från länder som har anmält BSE-utbrott. Sådana åtgärder anses vara oproportionella, och Japan har inte tillhandahållit en vetenskapligt baserad riskbedömning för att motivera strängare åtgärder än OIE-normen. Under de senaste åren har dialogen med de japanska myndigheterna lett till att det BSE-relaterade förbudet har hävts för flera EU-medlemsstater. Efter flera års diskussioner hävde Japan förbudet mot nötkött från Kroatien 2019, och godkände nötkött från djur äldre än 30 månader från Irland. De nya bilaterala strukturer som har inrättats enligt avtalet om ekonomiskt partnerskap mellan EU och Japan öppnar ytterligare möjligheter för kommissionen att begära mer påtagliga resultat från Japan i den här frågan och häva kvarstående hinder.</w:t>
            </w:r>
          </w:p>
          <w:p>
            <w:pPr>
              <w:spacing w:line="240" w:lineRule="auto"/>
              <w:jc w:val="both"/>
              <w:rPr>
                <w:rFonts w:ascii="Times New Roman" w:hAnsi="Times New Roman" w:cs="Times New Roman"/>
                <w:noProof/>
                <w:sz w:val="24"/>
                <w:szCs w:val="24"/>
                <w:u w:val="single"/>
                <w:lang w:val="sv-SE"/>
              </w:rPr>
            </w:pPr>
            <w:r>
              <w:rPr>
                <w:rFonts w:ascii="Times New Roman" w:hAnsi="Times New Roman"/>
                <w:noProof/>
                <w:sz w:val="24"/>
                <w:szCs w:val="24"/>
                <w:u w:val="single"/>
                <w:lang w:val="sv-SE"/>
              </w:rPr>
              <w:t>Landsomfattande förbud i händelse av utbrott av HPAI (högpatogen aviär influensa)</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I OIE:s internationella normer för infektioner med aviära influensavirus definieras de fall av utbrott där inga handelsbegränsande åtgärder bör vidtas och fall där handelsbegränsande åtgärder bör begränsas till de definierade smittoområdena i det berörda landet (i stället för att gälla hela landet). Japan tillämpar landsomfattande förbud vid utbrott av patogen aviär influensa, trots EU:s effektiva och stränga regionaliseringsåtgärder som överensstämmer med den internationella normen, och som bör möjliggöra att handeln fortsätter under säkra förhållanden.</w:t>
            </w:r>
          </w:p>
          <w:p>
            <w:pPr>
              <w:spacing w:line="240" w:lineRule="auto"/>
              <w:jc w:val="both"/>
              <w:rPr>
                <w:rFonts w:ascii="Times New Roman" w:hAnsi="Times New Roman" w:cs="Times New Roman"/>
                <w:noProof/>
                <w:color w:val="000000" w:themeColor="text1"/>
                <w:sz w:val="24"/>
                <w:szCs w:val="24"/>
                <w:lang w:val="sv-SE"/>
              </w:rPr>
            </w:pPr>
            <w:r>
              <w:rPr>
                <w:rFonts w:ascii="Times New Roman" w:hAnsi="Times New Roman"/>
                <w:noProof/>
                <w:sz w:val="24"/>
                <w:szCs w:val="24"/>
                <w:lang w:val="sv-SE"/>
              </w:rPr>
              <w:t xml:space="preserve">Vissa framsteg gjordes ändå, eftersom kläckägg och dagsgamla kycklingar från Nederländerna får exporteras från frizoner i händelse av utbrott av aviär influensa. Kommissionen har ett bredare samarbete med Japan, även inom ramen för de nya bilaterala strukturerna enligt avtalet mellan EU och Japan, för att införa regionaliseringsåtgärder för ömsesidigt erkännande när det gäller djurhälsa. </w:t>
            </w:r>
            <w:r>
              <w:rPr>
                <w:rFonts w:ascii="Times New Roman" w:hAnsi="Times New Roman"/>
                <w:iCs/>
                <w:noProof/>
                <w:sz w:val="24"/>
                <w:szCs w:val="24"/>
                <w:lang w:val="sv-SE"/>
              </w:rPr>
              <w:t>Konkreta resultat i detta projekt förväntas inom en godtagbar försening.</w:t>
            </w:r>
          </w:p>
          <w:p>
            <w:pPr>
              <w:pStyle w:val="ListParagraph"/>
              <w:numPr>
                <w:ilvl w:val="0"/>
                <w:numId w:val="33"/>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Kanada – den jordbruksbaserade livsmedelsindustrin</w:t>
            </w:r>
          </w:p>
          <w:p>
            <w:pPr>
              <w:spacing w:line="240" w:lineRule="auto"/>
              <w:jc w:val="both"/>
              <w:rPr>
                <w:rFonts w:ascii="Times New Roman" w:hAnsi="Times New Roman" w:cs="Times New Roman"/>
                <w:noProof/>
                <w:sz w:val="24"/>
                <w:szCs w:val="24"/>
                <w:u w:val="single"/>
              </w:rPr>
            </w:pPr>
            <w:r>
              <w:rPr>
                <w:rFonts w:ascii="Times New Roman" w:hAnsi="Times New Roman"/>
                <w:noProof/>
                <w:sz w:val="24"/>
                <w:szCs w:val="24"/>
                <w:u w:val="single"/>
              </w:rPr>
              <w:t>Fytosanitära importvillkor för färska tomater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Under 2016 trädde Kanadas fytosanitära importkrav i kraft för </w:t>
            </w:r>
            <w:r>
              <w:rPr>
                <w:rFonts w:ascii="Times New Roman" w:hAnsi="Times New Roman"/>
                <w:i/>
                <w:noProof/>
                <w:sz w:val="24"/>
                <w:szCs w:val="24"/>
                <w:lang w:val="sv-SE"/>
              </w:rPr>
              <w:t>Tuta absoluta</w:t>
            </w:r>
            <w:r>
              <w:rPr>
                <w:rFonts w:ascii="Times New Roman" w:hAnsi="Times New Roman"/>
                <w:noProof/>
                <w:sz w:val="24"/>
                <w:szCs w:val="24"/>
                <w:lang w:val="sv-SE"/>
              </w:rPr>
              <w:t xml:space="preserve"> (bladminerare hos tomater) i fråga om färska tomater, vilket innebär att tomaternas gröna delar ska avlägsnas om de importeras från ett land som har drabbats av </w:t>
            </w:r>
            <w:r>
              <w:rPr>
                <w:rFonts w:ascii="Times New Roman" w:hAnsi="Times New Roman"/>
                <w:i/>
                <w:noProof/>
                <w:sz w:val="24"/>
                <w:szCs w:val="24"/>
                <w:lang w:val="sv-SE"/>
              </w:rPr>
              <w:t>Tuta absoluta</w:t>
            </w:r>
            <w:r>
              <w:rPr>
                <w:rFonts w:ascii="Times New Roman" w:hAnsi="Times New Roman"/>
                <w:noProof/>
                <w:sz w:val="24"/>
                <w:szCs w:val="24"/>
                <w:lang w:val="sv-SE"/>
              </w:rPr>
              <w:t>. Under 2019 var Spanien det första landet som fick tillstånd att certifiera transporter av färska tomater utan gröna delar. Det finns även intresse för att exportera tomater med gröna delar, och en ansökan har lämnats till Kanada med kontrollvillkor som garanterar att handeln kan ske under säkra förhållanden. Kanada håller fortfarande på att bedöma ansökan.</w:t>
            </w:r>
          </w:p>
          <w:p>
            <w:pPr>
              <w:spacing w:line="240" w:lineRule="auto"/>
              <w:jc w:val="both"/>
              <w:rPr>
                <w:rFonts w:ascii="Times New Roman" w:hAnsi="Times New Roman" w:cs="Times New Roman"/>
                <w:noProof/>
                <w:sz w:val="24"/>
                <w:szCs w:val="24"/>
                <w:u w:val="single"/>
                <w:lang w:val="sv-SE"/>
              </w:rPr>
            </w:pPr>
            <w:r>
              <w:rPr>
                <w:rFonts w:ascii="Times New Roman" w:hAnsi="Times New Roman"/>
                <w:noProof/>
                <w:sz w:val="24"/>
                <w:szCs w:val="24"/>
                <w:u w:val="single"/>
                <w:lang w:val="sv-SE"/>
              </w:rPr>
              <w:t>Omotiverade handelsbegränsningar på grund av att EU-medlemsstater inte erkänns som länder och områden som är fria från skallbaggearterna citruslånghorning och asiatisk långhorning (CLB och ALB)</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Under 2013 införde Kanada ett omotiverat förbud mot import av växter med en stjälkdiameter på över 10 mm från hela EU eftersom man ansåg att sådan handel medförde en risk för överföring av ALB och CLB. Dessa skadegörare är i själva verket väl reglerade i EU och omfattas av stränga kontrollåtgärder, och våra handelspartner bör följaktligen erkänna de sjukdomsfria områdena.</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Efter en begäran från kommissionen erkände Kanada 21 EU-medlemsstater som fria från CLB och ALB. Kommissionen fortsätter att diskutera med Kanada, med målet att även de sjukdomsfria områdena i de drabbade EU-medlemsstaterna ska erkännas.</w:t>
            </w:r>
          </w:p>
          <w:p>
            <w:pPr>
              <w:pStyle w:val="ListParagraph"/>
              <w:numPr>
                <w:ilvl w:val="0"/>
                <w:numId w:val="33"/>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Mexiko – den jordbruksbaserade livsmedelsindustrin</w:t>
            </w:r>
          </w:p>
          <w:p>
            <w:pPr>
              <w:spacing w:line="240" w:lineRule="auto"/>
              <w:jc w:val="both"/>
              <w:rPr>
                <w:rFonts w:ascii="Times New Roman" w:hAnsi="Times New Roman" w:cs="Times New Roman"/>
                <w:noProof/>
                <w:sz w:val="24"/>
                <w:szCs w:val="24"/>
                <w:u w:val="single"/>
                <w:lang w:val="sv-SE"/>
              </w:rPr>
            </w:pPr>
            <w:r>
              <w:rPr>
                <w:rFonts w:ascii="Times New Roman" w:hAnsi="Times New Roman"/>
                <w:noProof/>
                <w:sz w:val="24"/>
                <w:szCs w:val="24"/>
                <w:u w:val="single"/>
                <w:lang w:val="sv-SE"/>
              </w:rPr>
              <w:t>Importbegränsningar för färsk frukt och grönsaker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EU:s export av frukt och grönsaker till Mexiko hindras av importprotokoll som omfattar en oproportionerlig begränsningsåtgärd (kylbehandling) och inspektion som ska betalas av industrin i ursprungslandet före transport (förklarering) Mexiko har ännu inte tillhandahållit grunden för riskbedömningen för att tillämpa detta omfång av åtgärder. Åtgärderna för att begränsa karantänskadegörare för citrusfrukter, äpplen, päron, kiwi och persikor är dessutom många och betungande. Varje produkt genomgår en individuell bedömning för att få komma in i Mexiko. </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Under 2019 gjordes framsteg med detta hinder när Mexiko godkände import av päron från Belgien. Mexiko anmälde även fytosanitära villkor för import av kiwi från Italien (begäran är från 2006) och under andra halvåret 2019 offentliggjorde landet importvillkoren på sin webbplats, vilket innebär att marknaden för kiwi från Italien är öppen.</w:t>
            </w:r>
          </w:p>
          <w:p>
            <w:pPr>
              <w:spacing w:line="240" w:lineRule="auto"/>
              <w:jc w:val="both"/>
              <w:rPr>
                <w:rFonts w:ascii="Times New Roman" w:hAnsi="Times New Roman" w:cs="Times New Roman"/>
                <w:noProof/>
                <w:sz w:val="24"/>
                <w:szCs w:val="24"/>
                <w:u w:val="single"/>
                <w:lang w:val="sv-SE"/>
              </w:rPr>
            </w:pPr>
            <w:r>
              <w:rPr>
                <w:rFonts w:ascii="Times New Roman" w:hAnsi="Times New Roman"/>
                <w:noProof/>
                <w:sz w:val="24"/>
                <w:szCs w:val="24"/>
                <w:u w:val="single"/>
                <w:lang w:val="sv-SE"/>
              </w:rPr>
              <w:t>Utdragna godkännandeförfaranden för import av svinkött</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Mexiko har utdragna godkännandeförfaranden för import av svinkött. Framsteg har gjorts under de senaste åren, och under 2019 tilläts Nederländerna exportera svinkött. Mexiko har också åtagit sig att gradvis införa förlistning för godkända medlemsstater, vilket undanröjer behovet av framtida granskningar av företagen.</w:t>
            </w:r>
          </w:p>
        </w:tc>
      </w:tr>
    </w:tbl>
    <w:p>
      <w:pPr>
        <w:spacing w:line="240" w:lineRule="auto"/>
        <w:jc w:val="both"/>
        <w:rPr>
          <w:rFonts w:ascii="Times New Roman" w:hAnsi="Times New Roman" w:cs="Times New Roman"/>
          <w:noProof/>
          <w:sz w:val="24"/>
          <w:szCs w:val="24"/>
          <w:lang w:val="sv-SE"/>
        </w:rPr>
      </w:pPr>
    </w:p>
    <w:p>
      <w:pPr>
        <w:spacing w:line="240" w:lineRule="auto"/>
        <w:jc w:val="both"/>
        <w:rPr>
          <w:rFonts w:ascii="Times New Roman" w:hAnsi="Times New Roman" w:cs="Times New Roman"/>
          <w:bCs/>
          <w:noProof/>
          <w:sz w:val="24"/>
          <w:szCs w:val="24"/>
          <w:lang w:val="sv-SE"/>
        </w:rPr>
      </w:pPr>
      <w:r>
        <w:rPr>
          <w:rFonts w:ascii="Times New Roman" w:hAnsi="Times New Roman"/>
          <w:bCs/>
          <w:noProof/>
          <w:sz w:val="24"/>
          <w:szCs w:val="24"/>
          <w:lang w:val="sv-SE"/>
        </w:rPr>
        <w:t>Ett bevis på framgångarna på det sanitära och fytosanitära området är att de hinder för industri- och tjänstesektorer som undanröjdes 2019 påverkade en mycket lägre mängd av EU:s export. Så är inte minst fallet inom branscher som högteknologisektorn, som är av grundläggande betydelse för EU:s tekniska suveränitet och strategiska oberoende. Detta tyder på att protektionismen på dessa områden blir mer genomgripande, vilket i sin tur kräver att EU anlägger ett nytt kvalitativt grepp för att befästa vår ställning som världens största handelsblock och global ledare på teknikområdet.</w:t>
      </w:r>
    </w:p>
    <w:p>
      <w:pPr>
        <w:spacing w:line="240" w:lineRule="auto"/>
        <w:jc w:val="both"/>
        <w:rPr>
          <w:rFonts w:ascii="Times New Roman" w:hAnsi="Times New Roman" w:cs="Times New Roman"/>
          <w:bCs/>
          <w:noProof/>
          <w:sz w:val="24"/>
          <w:szCs w:val="24"/>
          <w:lang w:val="sv-SE"/>
        </w:rPr>
      </w:pPr>
    </w:p>
    <w:p>
      <w:pPr>
        <w:spacing w:line="240" w:lineRule="auto"/>
        <w:rPr>
          <w:rFonts w:ascii="Times New Roman" w:hAnsi="Times New Roman" w:cs="Times New Roman"/>
          <w:b/>
          <w:noProof/>
          <w:sz w:val="24"/>
          <w:szCs w:val="24"/>
          <w:lang w:val="sv-SE"/>
        </w:rPr>
      </w:pPr>
      <w:r>
        <w:rPr>
          <w:noProof/>
          <w:lang w:val="sv-SE"/>
        </w:rPr>
        <w:br w:type="page"/>
      </w:r>
    </w:p>
    <w:p>
      <w:pPr>
        <w:pStyle w:val="NormalLinespacingMultiple12li"/>
        <w:numPr>
          <w:ilvl w:val="0"/>
          <w:numId w:val="40"/>
        </w:numPr>
        <w:spacing w:line="240" w:lineRule="auto"/>
        <w:rPr>
          <w:rFonts w:ascii="Times New Roman" w:hAnsi="Times New Roman" w:cs="Times New Roman"/>
          <w:b/>
          <w:noProof/>
          <w:sz w:val="24"/>
          <w:szCs w:val="24"/>
          <w:lang w:val="sv-SE"/>
        </w:rPr>
      </w:pPr>
      <w:r>
        <w:rPr>
          <w:rFonts w:ascii="Times New Roman" w:hAnsi="Times New Roman"/>
          <w:b/>
          <w:noProof/>
          <w:sz w:val="24"/>
          <w:szCs w:val="24"/>
          <w:lang w:val="sv-SE"/>
        </w:rPr>
        <w:t>KVALITATIV ANALYS AV DE HINDER SOM UNDANRÖJTS UNDER 2019</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I detta kapitel gör vi en mer djupgående analys av ett utvalt antal hinder som åtgärdades 2019, med tyngdpunkten på de länder där de undanröjda åtgärderna har de största potentiellt påverkade handelsflödena. Analysen omfattar Kina, Medelhavsområdet och Mellanöstern (Tunisien, Egypten, Libanon, Turkiet, Förenade Arabemiraten och Saudiarabien) samt Ryssland, Australien och Sydkorea. Dessa partner svarar för 98 % av de handelsflöden som potentiellt påverkas av de hinder som undanröjdes under 2019.</w:t>
      </w:r>
    </w:p>
    <w:p>
      <w:pPr>
        <w:pStyle w:val="ListParagraph"/>
        <w:numPr>
          <w:ilvl w:val="0"/>
          <w:numId w:val="37"/>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KINA</w:t>
      </w:r>
    </w:p>
    <w:p>
      <w:pPr>
        <w:spacing w:line="240" w:lineRule="auto"/>
        <w:jc w:val="both"/>
        <w:rPr>
          <w:rFonts w:ascii="Times New Roman" w:hAnsi="Times New Roman" w:cs="Times New Roman"/>
          <w:noProof/>
          <w:sz w:val="24"/>
          <w:szCs w:val="24"/>
          <w:u w:val="single"/>
          <w:lang w:val="sv-SE"/>
        </w:rPr>
      </w:pPr>
      <w:r>
        <w:rPr>
          <w:rFonts w:ascii="Times New Roman" w:hAnsi="Times New Roman"/>
          <w:noProof/>
          <w:sz w:val="24"/>
          <w:szCs w:val="24"/>
          <w:u w:val="single"/>
          <w:lang w:val="sv-SE"/>
        </w:rPr>
        <w:t>Certifieringskrav för livsmedelsprodukter med låg risk</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Förslaget till certifieringskrav för livsmedel med låg risk lades fram 2015, och skulle ha krävt ett ytterligare intyg förutom det officiella intyget. Den officiella certifieringen eller attesteringen av alla produkter som omfattades av den föreslagna åtgärden grundade sig inte på en vetenskaplig bedömning av de risker som dessa produkter medförde och var därför oproportionerlig. I mars 2019 uppgav Kina att det anmälda certifieringskravet skulle skjutas upp i väntan på en multilateralt överenskommen lösning i den elektroniska arbetsgruppen Codex Committee </w:t>
      </w:r>
      <w:r>
        <w:rPr>
          <w:rFonts w:ascii="Times New Roman" w:hAnsi="Times New Roman"/>
          <w:noProof/>
          <w:sz w:val="24"/>
          <w:szCs w:val="24"/>
          <w:u w:val="single"/>
          <w:lang w:val="sv-SE"/>
        </w:rPr>
        <w:t>on Food Import and Export Inspection</w:t>
      </w:r>
      <w:r>
        <w:rPr>
          <w:rFonts w:ascii="Times New Roman" w:hAnsi="Times New Roman"/>
          <w:noProof/>
          <w:sz w:val="24"/>
          <w:szCs w:val="24"/>
          <w:lang w:val="sv-SE"/>
        </w:rPr>
        <w:t xml:space="preserve"> and Certification Systems (Codexkommittén för system för inspektion och certifiering vid import och export av livsmedel) (CCFICS).</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Sent i december 2019 inledde Kina emellertid ett nationellt samråd om ett förslag till bestämmelse om registrering av utländska producenter av importerade livsmedel. Om bestämmelsen genomförs kommer den att medföra ett mycket betungande administrativt registreringsförfarande för EU-företag som exporterar livsmedel till Kina, oavsett om livsmedlen är förknippade med risker. Förfarandet skulle skapa flaskhalsar och i praktiken utgöra ett icke-tariffärt handelshinder.</w:t>
      </w:r>
    </w:p>
    <w:p>
      <w:pPr>
        <w:spacing w:line="240" w:lineRule="auto"/>
        <w:jc w:val="both"/>
        <w:rPr>
          <w:rFonts w:ascii="Times New Roman" w:hAnsi="Times New Roman" w:cs="Times New Roman"/>
          <w:noProof/>
          <w:sz w:val="24"/>
          <w:szCs w:val="24"/>
          <w:u w:val="single"/>
          <w:lang w:val="sv-SE"/>
        </w:rPr>
      </w:pPr>
      <w:r>
        <w:rPr>
          <w:rFonts w:ascii="Times New Roman" w:hAnsi="Times New Roman"/>
          <w:noProof/>
          <w:sz w:val="24"/>
          <w:szCs w:val="24"/>
          <w:u w:val="single"/>
          <w:lang w:val="sv-SE"/>
        </w:rPr>
        <w:t xml:space="preserve">Långvariga och omotiverade förbud mot import av nötkreatur och får och produkter därav från EU </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År 2000 införde Kina ett förbud mot import av nötkreatur och får och produkter därav från EU på grund av bovin spongiform encefalopati och överförbar spongiform encefalopati (mera kända som BSE respektive TSE). Begränsningarna började långsamt hävas först 2014, medlemsstat för medlemsstat. Under 2019 godkändes import av nötkött från Frankrike, Irland och Nederländerna, dock med begränsningar avseende djurens ålder, produktkategorier och antalet företag med importtillstånd. Kommissionen fortsätter att följa upp denna fråga med Kina i syfte att häva de återstående begränsningarna för de tre medlemsstater som har beviljats tillstånd och för att erhålla tillstånd för alla EU-medlemsstater som vill exportera nötkreatur/får till Kina.</w:t>
      </w:r>
    </w:p>
    <w:p>
      <w:pPr>
        <w:spacing w:line="240" w:lineRule="auto"/>
        <w:jc w:val="both"/>
        <w:rPr>
          <w:rFonts w:ascii="Times New Roman" w:hAnsi="Times New Roman" w:cs="Times New Roman"/>
          <w:noProof/>
          <w:sz w:val="24"/>
          <w:szCs w:val="24"/>
          <w:lang w:val="sv-SE"/>
        </w:rPr>
      </w:pPr>
    </w:p>
    <w:p>
      <w:pPr>
        <w:pStyle w:val="ListParagraph"/>
        <w:numPr>
          <w:ilvl w:val="0"/>
          <w:numId w:val="37"/>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MEDELHAVSOMRÅDET OCH MELLANÖSTERN</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Under senare år har EU ökat sitt engagemang i Medelhavsområdet och Mellanöstern för att undanröja hinder (se ruta 7). Under de senaste åren, och särskilt under 2019, har därför flera hinder undanröjts eller minskats.</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Tunisien</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Under 2018 infördes helt oväntat en ny </w:t>
      </w:r>
      <w:r>
        <w:rPr>
          <w:rFonts w:ascii="Times New Roman" w:hAnsi="Times New Roman"/>
          <w:b/>
          <w:noProof/>
          <w:sz w:val="24"/>
          <w:szCs w:val="24"/>
          <w:lang w:val="sv-SE"/>
        </w:rPr>
        <w:t>begränsande åtgärd rörande importtillstånd för en mycket lång varuförteckning</w:t>
      </w:r>
      <w:r>
        <w:rPr>
          <w:rFonts w:ascii="Times New Roman" w:hAnsi="Times New Roman"/>
          <w:noProof/>
          <w:sz w:val="24"/>
          <w:szCs w:val="24"/>
          <w:lang w:val="sv-SE"/>
        </w:rPr>
        <w:t xml:space="preserve"> (kläder, kosmetika, jordbruksbaserade livsmedel, rengöringsprodukter, leksaker, textilier), vilken påverkade EU-handelsflöden på 350 miljoner euro. Dessa åtgärder ledde i praktiken till att icke-automatiska importlicenser infördes, vilket är en kvantitativ begränsning som är förbjuden enligt frihandelsavtalet mellan EU och Tunisien. Åtgärderna hade inte anmälts till WTO och föreföll också bryta mot multilaterala regler. I juli 2019, efter ytterligare enträgna uppmaningar att dra tillbaka åtgärderna, meddelade de tunisiska myndigheterna att de beslutat att avskaffa dessa importbegränsande tillståndsåtgärder.</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Egypten</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Under 2019 och efter ett nära samarbete upphävde Egypten kravet på </w:t>
      </w:r>
      <w:r>
        <w:rPr>
          <w:rFonts w:ascii="Times New Roman" w:hAnsi="Times New Roman"/>
          <w:b/>
          <w:bCs/>
          <w:noProof/>
          <w:sz w:val="24"/>
          <w:szCs w:val="24"/>
          <w:lang w:val="sv-SE"/>
        </w:rPr>
        <w:t>veterinärkontroller av levande djur</w:t>
      </w:r>
      <w:r>
        <w:rPr>
          <w:rFonts w:ascii="Times New Roman" w:hAnsi="Times New Roman"/>
          <w:noProof/>
          <w:sz w:val="24"/>
          <w:szCs w:val="24"/>
          <w:lang w:val="sv-SE"/>
        </w:rPr>
        <w:t xml:space="preserve"> i EU före export, lovade att anpassa sina BSE-relaterade krav för kött till OIE:s rekommendationer, godtog EU-normer för de flesta av kraven för </w:t>
      </w:r>
      <w:r>
        <w:rPr>
          <w:rFonts w:ascii="Times New Roman" w:hAnsi="Times New Roman"/>
          <w:b/>
          <w:bCs/>
          <w:noProof/>
          <w:sz w:val="24"/>
          <w:szCs w:val="24"/>
          <w:lang w:val="sv-SE"/>
        </w:rPr>
        <w:t>utsädespotatis</w:t>
      </w:r>
      <w:r>
        <w:rPr>
          <w:rFonts w:ascii="Times New Roman" w:hAnsi="Times New Roman"/>
          <w:noProof/>
          <w:sz w:val="24"/>
          <w:szCs w:val="24"/>
          <w:lang w:val="sv-SE"/>
        </w:rPr>
        <w:t xml:space="preserve"> och förenklade förfarandet för import av </w:t>
      </w:r>
      <w:r>
        <w:rPr>
          <w:rFonts w:ascii="Times New Roman" w:hAnsi="Times New Roman"/>
          <w:b/>
          <w:bCs/>
          <w:noProof/>
          <w:sz w:val="24"/>
          <w:szCs w:val="24"/>
          <w:lang w:val="sv-SE"/>
        </w:rPr>
        <w:t>modersmjölksersättning</w:t>
      </w:r>
      <w:r>
        <w:rPr>
          <w:rFonts w:ascii="Times New Roman" w:hAnsi="Times New Roman"/>
          <w:noProof/>
          <w:sz w:val="24"/>
          <w:szCs w:val="24"/>
          <w:lang w:val="sv-SE"/>
        </w:rPr>
        <w:t xml:space="preserve"> från EU-medlemsstater som är klassificerade som ”icke-referensländer”.</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Libanon</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Efter flera ingripanden i samband med den planerade </w:t>
      </w:r>
      <w:r>
        <w:rPr>
          <w:rFonts w:ascii="Times New Roman" w:hAnsi="Times New Roman"/>
          <w:b/>
          <w:noProof/>
          <w:sz w:val="24"/>
          <w:szCs w:val="24"/>
          <w:lang w:val="sv-SE"/>
        </w:rPr>
        <w:t>obligatoriska registreringen av fabriker för vissa produkter</w:t>
      </w:r>
      <w:r>
        <w:rPr>
          <w:rFonts w:ascii="Times New Roman" w:hAnsi="Times New Roman"/>
          <w:noProof/>
          <w:sz w:val="24"/>
          <w:szCs w:val="24"/>
          <w:lang w:val="sv-SE"/>
        </w:rPr>
        <w:t xml:space="preserve"> som skulle ha genomförts 2019, informerade Libanon EU om att beslutet inte skulle genomföras. Libanon avskaffade likaså det dubbla tullcertifieringskravet för import som infördes 2019 och som EU upprepade gånger hade uttryckt sina farhågor om.</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Turkiet</w:t>
      </w:r>
    </w:p>
    <w:p>
      <w:pPr>
        <w:pStyle w:val="Text2"/>
        <w:spacing w:line="240" w:lineRule="auto"/>
        <w:ind w:left="0"/>
        <w:jc w:val="both"/>
        <w:rPr>
          <w:rFonts w:ascii="Times New Roman" w:hAnsi="Times New Roman" w:cs="Times New Roman"/>
          <w:iCs/>
          <w:noProof/>
          <w:sz w:val="24"/>
          <w:szCs w:val="24"/>
          <w:lang w:val="sv-SE"/>
        </w:rPr>
      </w:pPr>
      <w:r>
        <w:rPr>
          <w:rFonts w:ascii="Times New Roman" w:hAnsi="Times New Roman"/>
          <w:iCs/>
          <w:noProof/>
          <w:sz w:val="24"/>
          <w:szCs w:val="24"/>
          <w:lang w:val="sv-SE"/>
        </w:rPr>
        <w:t xml:space="preserve">Enligt avtalet om en tullunion mellan EU och Turkiet ska import från EU med ett A.TR-dokument i princip vara undantagen från riskbedömning. På grund av den begränsade information som finns tillgänglig om detta förfarande omfattas en stor del av denna import för närvarande av kravet på ursprungsintyg. Detta utgör både en direkt kostnad och skapar stor osäkerhet för alla berörda aktörer. Kommissionen lyckades dock upphäva ett hinder för kategorin elektronikprodukter tillverkade i EU-medlemsstater som omfattades av </w:t>
      </w:r>
      <w:r>
        <w:rPr>
          <w:rFonts w:ascii="Times New Roman" w:hAnsi="Times New Roman"/>
          <w:b/>
          <w:bCs/>
          <w:iCs/>
          <w:noProof/>
          <w:sz w:val="24"/>
          <w:szCs w:val="24"/>
          <w:lang w:val="sv-SE"/>
        </w:rPr>
        <w:t>Turkiets ordning för tilläggstullar</w:t>
      </w:r>
      <w:r>
        <w:rPr>
          <w:rFonts w:ascii="Times New Roman" w:hAnsi="Times New Roman"/>
          <w:iCs/>
          <w:noProof/>
          <w:sz w:val="24"/>
          <w:szCs w:val="24"/>
          <w:lang w:val="sv-SE"/>
        </w:rPr>
        <w:t>.</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Saudiarabien</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Efter att ha övervägt EU:s skriftliga synpunkter drog Saudiarabien tillbaka </w:t>
      </w:r>
      <w:r>
        <w:rPr>
          <w:rFonts w:ascii="Times New Roman" w:hAnsi="Times New Roman"/>
          <w:b/>
          <w:noProof/>
          <w:sz w:val="24"/>
          <w:szCs w:val="24"/>
          <w:lang w:val="sv-SE"/>
        </w:rPr>
        <w:t>utkastet till bestämmelse om en övre gräns för tillsatt socker</w:t>
      </w:r>
      <w:r>
        <w:rPr>
          <w:rFonts w:ascii="Times New Roman" w:hAnsi="Times New Roman"/>
          <w:noProof/>
          <w:sz w:val="24"/>
          <w:szCs w:val="24"/>
          <w:lang w:val="sv-SE"/>
        </w:rPr>
        <w:t xml:space="preserve"> i vissa livsmedelsprodukter. Saudiarabien meddelade också att den </w:t>
      </w:r>
      <w:r>
        <w:rPr>
          <w:rFonts w:ascii="Times New Roman" w:hAnsi="Times New Roman"/>
          <w:b/>
          <w:noProof/>
          <w:sz w:val="24"/>
          <w:szCs w:val="24"/>
          <w:lang w:val="sv-SE"/>
        </w:rPr>
        <w:t>trafikljusmärkning av livsmedel</w:t>
      </w:r>
      <w:r>
        <w:rPr>
          <w:rFonts w:ascii="Times New Roman" w:hAnsi="Times New Roman"/>
          <w:noProof/>
          <w:sz w:val="24"/>
          <w:szCs w:val="24"/>
          <w:lang w:val="sv-SE"/>
        </w:rPr>
        <w:t xml:space="preserve"> som planerades enligt utkastet till bestämmelse om näringsvärdesdeklarationer för de flesta förpackade livsmedelsprodukter skulle vara frivillig, inte obligatorisk, vilket var den ursprungliga avsikten. Vissa framsteg gjordes också på det sanitära och fytosanitära området, där tre hinder åtgärdades helt eller delvis: omotiverade </w:t>
      </w:r>
      <w:r>
        <w:rPr>
          <w:rFonts w:ascii="Times New Roman" w:hAnsi="Times New Roman"/>
          <w:b/>
          <w:bCs/>
          <w:noProof/>
          <w:sz w:val="24"/>
          <w:szCs w:val="24"/>
          <w:lang w:val="sv-SE"/>
        </w:rPr>
        <w:t>begränsningar för import av nöt- och fårkött</w:t>
      </w:r>
      <w:r>
        <w:rPr>
          <w:rFonts w:ascii="Times New Roman" w:hAnsi="Times New Roman"/>
          <w:noProof/>
          <w:sz w:val="24"/>
          <w:szCs w:val="24"/>
          <w:lang w:val="sv-SE"/>
        </w:rPr>
        <w:t xml:space="preserve"> till följd av BSE samt </w:t>
      </w:r>
      <w:r>
        <w:rPr>
          <w:rFonts w:ascii="Times New Roman" w:hAnsi="Times New Roman"/>
          <w:b/>
          <w:bCs/>
          <w:noProof/>
          <w:sz w:val="24"/>
          <w:szCs w:val="24"/>
          <w:lang w:val="sv-SE"/>
        </w:rPr>
        <w:t>landsomfattande förbud mot import av levande djur</w:t>
      </w:r>
      <w:r>
        <w:rPr>
          <w:rFonts w:ascii="Times New Roman" w:hAnsi="Times New Roman"/>
          <w:noProof/>
          <w:sz w:val="24"/>
          <w:szCs w:val="24"/>
          <w:lang w:val="sv-SE"/>
        </w:rPr>
        <w:t xml:space="preserve"> på grund av anmälan till OIE om utbrott av djursjukdomar upphävdes för några medlemsstater. Bilaterala intyg infördes för </w:t>
      </w:r>
      <w:r>
        <w:rPr>
          <w:rFonts w:ascii="Times New Roman" w:hAnsi="Times New Roman"/>
          <w:b/>
          <w:bCs/>
          <w:noProof/>
          <w:sz w:val="24"/>
          <w:szCs w:val="24"/>
          <w:lang w:val="sv-SE"/>
        </w:rPr>
        <w:t>export av fisk, kräftdjur och skaldjur</w:t>
      </w:r>
      <w:r>
        <w:rPr>
          <w:rFonts w:ascii="Times New Roman" w:hAnsi="Times New Roman"/>
          <w:noProof/>
          <w:sz w:val="24"/>
          <w:szCs w:val="24"/>
          <w:lang w:val="sv-SE"/>
        </w:rPr>
        <w:t xml:space="preserve"> till Saudiarabien, vilket i praktiken innebar att marknaden åter öppnades för godkända aktörer.</w:t>
      </w:r>
    </w:p>
    <w:p>
      <w:pPr>
        <w:pStyle w:val="ListParagraph"/>
        <w:numPr>
          <w:ilvl w:val="0"/>
          <w:numId w:val="38"/>
        </w:numPr>
        <w:spacing w:line="240" w:lineRule="auto"/>
        <w:jc w:val="both"/>
        <w:rPr>
          <w:rFonts w:ascii="Times New Roman" w:hAnsi="Times New Roman" w:cs="Times New Roman"/>
          <w:b/>
          <w:noProof/>
          <w:sz w:val="24"/>
          <w:szCs w:val="24"/>
        </w:rPr>
      </w:pPr>
      <w:r>
        <w:rPr>
          <w:rFonts w:ascii="Times New Roman" w:hAnsi="Times New Roman"/>
          <w:b/>
          <w:noProof/>
          <w:sz w:val="24"/>
          <w:szCs w:val="24"/>
        </w:rPr>
        <w:t>Förenade Arabemiraten</w:t>
      </w:r>
    </w:p>
    <w:p>
      <w:pPr>
        <w:autoSpaceDE w:val="0"/>
        <w:autoSpaceDN w:val="0"/>
        <w:spacing w:line="240" w:lineRule="auto"/>
        <w:jc w:val="both"/>
        <w:rPr>
          <w:rFonts w:ascii="Times New Roman" w:hAnsi="Times New Roman" w:cs="Times New Roman"/>
          <w:noProof/>
          <w:color w:val="000000"/>
          <w:sz w:val="24"/>
          <w:szCs w:val="24"/>
          <w:lang w:val="sv-SE"/>
        </w:rPr>
      </w:pPr>
      <w:r>
        <w:rPr>
          <w:rFonts w:ascii="Times New Roman" w:hAnsi="Times New Roman"/>
          <w:noProof/>
          <w:sz w:val="24"/>
          <w:szCs w:val="24"/>
          <w:lang w:val="sv-SE"/>
        </w:rPr>
        <w:t>Kommissionen och EU:s delegation i Förenade Arabemiraten har genomfört riktade insatser och har lyckats undanröja några av de största hindren för marknadstillträde 2019, inom fordonssektorn och den jordbruksbaserade livsmedelssektorn: nya godkännandeförfaranden med dyra tredjepartsgranskningar, provning och märkning av produkterna, vilket gäller alla enskilda bildelar och vissa livsmedelsprodukter samt fruktjuice.</w:t>
      </w:r>
    </w:p>
    <w:p>
      <w:pPr>
        <w:autoSpaceDE w:val="0"/>
        <w:autoSpaceDN w:val="0"/>
        <w:spacing w:line="240" w:lineRule="auto"/>
        <w:jc w:val="both"/>
        <w:rPr>
          <w:rFonts w:ascii="Times New Roman" w:hAnsi="Times New Roman" w:cs="Times New Roman"/>
          <w:noProof/>
          <w:color w:val="000000"/>
          <w:sz w:val="24"/>
          <w:szCs w:val="24"/>
          <w:lang w:val="sv-SE"/>
        </w:rPr>
      </w:pPr>
      <w:r>
        <w:rPr>
          <w:rFonts w:ascii="Times New Roman" w:hAnsi="Times New Roman"/>
          <w:noProof/>
          <w:sz w:val="24"/>
          <w:szCs w:val="24"/>
          <w:lang w:val="sv-SE"/>
        </w:rPr>
        <w:t xml:space="preserve">Till följd av EU:s utåtriktade verksamhet bekräftade Emiratets myndighet för standardisering och metrologi (ESMA) att i stället för </w:t>
      </w:r>
      <w:r>
        <w:rPr>
          <w:rFonts w:ascii="Times New Roman" w:hAnsi="Times New Roman"/>
          <w:b/>
          <w:noProof/>
          <w:sz w:val="24"/>
          <w:szCs w:val="24"/>
          <w:lang w:val="sv-SE"/>
        </w:rPr>
        <w:t>registrering och provning av enskilda bildelar</w:t>
      </w:r>
      <w:r>
        <w:rPr>
          <w:rFonts w:ascii="Times New Roman" w:hAnsi="Times New Roman"/>
          <w:noProof/>
          <w:sz w:val="24"/>
          <w:szCs w:val="24"/>
          <w:lang w:val="sv-SE"/>
        </w:rPr>
        <w:t xml:space="preserve"> skulle dessa kostnadskrävande krav kunna uppfyllas per bildelsgrupp. Detta minskade dramatiskt kostnaderna och den administrativa bördan.</w:t>
      </w:r>
    </w:p>
    <w:p>
      <w:pPr>
        <w:autoSpaceDE w:val="0"/>
        <w:autoSpaceDN w:val="0"/>
        <w:spacing w:line="240" w:lineRule="auto"/>
        <w:jc w:val="both"/>
        <w:rPr>
          <w:rFonts w:ascii="Times New Roman" w:hAnsi="Times New Roman" w:cs="Times New Roman"/>
          <w:noProof/>
          <w:color w:val="000000"/>
          <w:sz w:val="24"/>
          <w:szCs w:val="24"/>
          <w:lang w:val="sv-SE"/>
        </w:rPr>
      </w:pPr>
      <w:r>
        <w:rPr>
          <w:rFonts w:ascii="Times New Roman" w:hAnsi="Times New Roman"/>
          <w:noProof/>
          <w:sz w:val="24"/>
          <w:szCs w:val="24"/>
          <w:lang w:val="sv-SE"/>
        </w:rPr>
        <w:t xml:space="preserve">Förenade Arabemiraten underlättade </w:t>
      </w:r>
      <w:r>
        <w:rPr>
          <w:rFonts w:ascii="Times New Roman" w:hAnsi="Times New Roman"/>
          <w:b/>
          <w:noProof/>
          <w:sz w:val="24"/>
          <w:szCs w:val="24"/>
          <w:lang w:val="sv-SE"/>
        </w:rPr>
        <w:t>import av mejeriprodukter och fruktjuicer</w:t>
      </w:r>
      <w:r>
        <w:rPr>
          <w:rFonts w:ascii="Times New Roman" w:hAnsi="Times New Roman"/>
          <w:noProof/>
          <w:sz w:val="24"/>
          <w:szCs w:val="24"/>
          <w:lang w:val="sv-SE"/>
        </w:rPr>
        <w:t xml:space="preserve"> från EU. ESMA erkände EU:s livsmedelssäkerhetssystem så att dessa produkter inte måste kontrolleras i Europa, utan kan godkännas endast på grundval av dokumentkontroller. Detta har betydligt minskat godkännandekostnaderna, eftersom företagen inte måste betala kostnaden för märkning som utförs av tredjeman i EU. Förenade Arabemiraten erkände också EU-godkännanden för livsmedelstillsatser och växtskyddsmedel, vilket innebär att EU-företagen kan hänvisa till EU:s lagstiftning på sina jordbruksbaserade livsmedelsprodukter. </w:t>
      </w:r>
    </w:p>
    <w:p>
      <w:pPr>
        <w:autoSpaceDE w:val="0"/>
        <w:autoSpaceDN w:val="0"/>
        <w:spacing w:line="240" w:lineRule="auto"/>
        <w:jc w:val="both"/>
        <w:rPr>
          <w:rFonts w:ascii="Times New Roman" w:hAnsi="Times New Roman" w:cs="Times New Roman"/>
          <w:noProof/>
          <w:color w:val="000000"/>
          <w:sz w:val="24"/>
          <w:szCs w:val="24"/>
          <w:lang w:val="sv-SE"/>
        </w:rPr>
      </w:pP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autoSpaceDE w:val="0"/>
              <w:autoSpaceDN w:val="0"/>
              <w:spacing w:line="240" w:lineRule="auto"/>
              <w:jc w:val="both"/>
              <w:rPr>
                <w:rFonts w:ascii="Times New Roman" w:hAnsi="Times New Roman" w:cs="Times New Roman"/>
                <w:b/>
                <w:noProof/>
                <w:color w:val="000000"/>
                <w:sz w:val="24"/>
                <w:szCs w:val="24"/>
                <w:lang w:val="sv-SE"/>
              </w:rPr>
            </w:pPr>
            <w:r>
              <w:rPr>
                <w:rFonts w:ascii="Times New Roman" w:hAnsi="Times New Roman"/>
                <w:b/>
                <w:noProof/>
                <w:sz w:val="24"/>
                <w:szCs w:val="24"/>
                <w:lang w:val="sv-SE"/>
              </w:rPr>
              <w:t>Ruta 7: Medelhavsområdet och Mellanöstern: ett exempel på EU:s insatser för att undanröja handelshinder</w:t>
            </w:r>
          </w:p>
          <w:p>
            <w:pPr>
              <w:autoSpaceDE w:val="0"/>
              <w:autoSpaceDN w:val="0"/>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EU har använt en bred uppsättning instrument: </w:t>
            </w:r>
          </w:p>
          <w:p>
            <w:pPr>
              <w:autoSpaceDE w:val="0"/>
              <w:autoSpaceDN w:val="0"/>
              <w:spacing w:line="240" w:lineRule="auto"/>
              <w:jc w:val="both"/>
              <w:rPr>
                <w:rFonts w:ascii="Times New Roman" w:hAnsi="Times New Roman" w:cs="Times New Roman"/>
                <w:noProof/>
                <w:color w:val="000000"/>
                <w:sz w:val="24"/>
                <w:szCs w:val="24"/>
                <w:lang w:val="sv-SE"/>
              </w:rPr>
            </w:pPr>
            <w:r>
              <w:rPr>
                <w:rFonts w:ascii="Times New Roman" w:hAnsi="Times New Roman"/>
                <w:noProof/>
                <w:sz w:val="24"/>
                <w:szCs w:val="24"/>
                <w:lang w:val="sv-SE"/>
              </w:rPr>
              <w:t>Ständigt diplomatiskt engagemang: formella demarcher på hög nivå och skriftväxlingar med lokala myndigheter (Algeriet, Tunisien, Saudiarabien), högnivåbesök.</w:t>
            </w:r>
          </w:p>
          <w:p>
            <w:pPr>
              <w:autoSpaceDE w:val="0"/>
              <w:autoSpaceDN w:val="0"/>
              <w:spacing w:line="240" w:lineRule="auto"/>
              <w:jc w:val="both"/>
              <w:rPr>
                <w:rFonts w:ascii="Times New Roman" w:hAnsi="Times New Roman" w:cs="Times New Roman"/>
                <w:noProof/>
                <w:color w:val="000000"/>
                <w:sz w:val="24"/>
                <w:szCs w:val="24"/>
                <w:lang w:val="sv-SE"/>
              </w:rPr>
            </w:pPr>
            <w:r>
              <w:rPr>
                <w:rFonts w:ascii="Times New Roman" w:hAnsi="Times New Roman"/>
                <w:noProof/>
                <w:sz w:val="24"/>
                <w:szCs w:val="24"/>
                <w:lang w:val="sv-SE"/>
              </w:rPr>
              <w:t>Målmedveten inriktning för viktiga bilaterala möten: Möte i associeringskommittén (Tunisien), dialog inom de bilaterala underkommittéerna för handel (Tunisien, Egypten), serier av tekniska möten (Egypten, Saudiarabien), studieresor till EU (Förenade Arabemiraten).</w:t>
            </w:r>
          </w:p>
          <w:p>
            <w:pPr>
              <w:autoSpaceDE w:val="0"/>
              <w:autoSpaceDN w:val="0"/>
              <w:spacing w:line="240" w:lineRule="auto"/>
              <w:jc w:val="both"/>
              <w:rPr>
                <w:rFonts w:ascii="Times New Roman" w:hAnsi="Times New Roman" w:cs="Times New Roman"/>
                <w:noProof/>
                <w:color w:val="000000"/>
                <w:sz w:val="24"/>
                <w:szCs w:val="24"/>
                <w:lang w:val="sv-SE"/>
              </w:rPr>
            </w:pPr>
            <w:r>
              <w:rPr>
                <w:rFonts w:ascii="Times New Roman" w:hAnsi="Times New Roman"/>
                <w:noProof/>
                <w:sz w:val="24"/>
                <w:szCs w:val="24"/>
                <w:lang w:val="sv-SE"/>
              </w:rPr>
              <w:t>Insatser som kommissionen och EU-delegationerna samordnat med medlemsstater, EU-företag och i förekommande fall likasinnade partner och lokala intressenter.</w:t>
            </w:r>
          </w:p>
          <w:p>
            <w:pPr>
              <w:autoSpaceDE w:val="0"/>
              <w:autoSpaceDN w:val="0"/>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Konsekvent ta upp aktuella frågor i WTO. Kommittén för importlicenser (Tunisien), kommentarer inom ramen för kommittén för tekniska handelshinder, samarbete med andra WTO-medlemmar (Saudiarabien). </w:t>
            </w:r>
          </w:p>
          <w:p>
            <w:pPr>
              <w:autoSpaceDE w:val="0"/>
              <w:autoSpaceDN w:val="0"/>
              <w:spacing w:line="240" w:lineRule="auto"/>
              <w:jc w:val="both"/>
              <w:rPr>
                <w:rFonts w:ascii="Times New Roman" w:hAnsi="Times New Roman" w:cs="Times New Roman"/>
                <w:noProof/>
                <w:color w:val="000000"/>
                <w:sz w:val="24"/>
                <w:szCs w:val="24"/>
                <w:lang w:val="sv-SE"/>
              </w:rPr>
            </w:pPr>
          </w:p>
        </w:tc>
      </w:tr>
    </w:tbl>
    <w:p>
      <w:pPr>
        <w:autoSpaceDE w:val="0"/>
        <w:autoSpaceDN w:val="0"/>
        <w:spacing w:line="240" w:lineRule="auto"/>
        <w:jc w:val="both"/>
        <w:rPr>
          <w:rFonts w:ascii="Times New Roman" w:hAnsi="Times New Roman" w:cs="Times New Roman"/>
          <w:noProof/>
          <w:color w:val="000000"/>
          <w:sz w:val="24"/>
          <w:szCs w:val="24"/>
          <w:lang w:val="sv-SE"/>
        </w:rPr>
      </w:pPr>
    </w:p>
    <w:p>
      <w:pPr>
        <w:pStyle w:val="ListParagraph"/>
        <w:numPr>
          <w:ilvl w:val="0"/>
          <w:numId w:val="37"/>
        </w:numPr>
        <w:spacing w:line="240" w:lineRule="auto"/>
        <w:contextualSpacing w:val="0"/>
        <w:jc w:val="both"/>
        <w:rPr>
          <w:rFonts w:ascii="Times New Roman" w:hAnsi="Times New Roman" w:cs="Times New Roman"/>
          <w:b/>
          <w:iCs/>
          <w:noProof/>
          <w:sz w:val="24"/>
          <w:szCs w:val="24"/>
        </w:rPr>
      </w:pPr>
      <w:r>
        <w:rPr>
          <w:rFonts w:ascii="Times New Roman" w:hAnsi="Times New Roman"/>
          <w:b/>
          <w:iCs/>
          <w:noProof/>
          <w:sz w:val="24"/>
          <w:szCs w:val="24"/>
        </w:rPr>
        <w:t>RYSSLAND</w:t>
      </w:r>
    </w:p>
    <w:p>
      <w:pPr>
        <w:pStyle w:val="Text2"/>
        <w:tabs>
          <w:tab w:val="num" w:pos="1146"/>
        </w:tabs>
        <w:spacing w:line="240" w:lineRule="auto"/>
        <w:ind w:left="0"/>
        <w:jc w:val="both"/>
        <w:rPr>
          <w:rFonts w:ascii="Times New Roman" w:hAnsi="Times New Roman" w:cs="Times New Roman"/>
          <w:iCs/>
          <w:noProof/>
          <w:sz w:val="24"/>
          <w:szCs w:val="24"/>
          <w:lang w:val="sv-SE"/>
        </w:rPr>
      </w:pPr>
      <w:r>
        <w:rPr>
          <w:rFonts w:ascii="Times New Roman" w:hAnsi="Times New Roman"/>
          <w:iCs/>
          <w:noProof/>
          <w:sz w:val="24"/>
          <w:szCs w:val="24"/>
          <w:lang w:val="sv-SE"/>
        </w:rPr>
        <w:t xml:space="preserve">De politiska händelserna 2014 har påverkat förbindelserna mellan EU och Ryssland, även på handelsområdet, där kontakterna är begränsade till teknisk nivå och utbyten inom ramen för WTO. Kommissionen fortsätter att försvara EU:s intressen med alla tillgängliga instrument, bland annat via WTO:s tvistlösningspaneler, samtidigt som den fortsätter att ta upp handelsstörningar i de tekniska kontakterna. </w:t>
      </w:r>
    </w:p>
    <w:p>
      <w:pPr>
        <w:spacing w:line="240" w:lineRule="auto"/>
        <w:jc w:val="both"/>
        <w:rPr>
          <w:rFonts w:ascii="Times New Roman" w:eastAsia="Times New Roman" w:hAnsi="Times New Roman" w:cs="Times New Roman"/>
          <w:iCs/>
          <w:noProof/>
          <w:sz w:val="24"/>
          <w:szCs w:val="24"/>
          <w:lang w:val="sv-SE"/>
        </w:rPr>
      </w:pPr>
      <w:r>
        <w:rPr>
          <w:rFonts w:ascii="Times New Roman" w:hAnsi="Times New Roman"/>
          <w:iCs/>
          <w:noProof/>
          <w:sz w:val="24"/>
          <w:szCs w:val="24"/>
          <w:lang w:val="sv-SE"/>
        </w:rPr>
        <w:t>På så sätt undanröjdes tre handelshinder under 2019:</w:t>
      </w:r>
    </w:p>
    <w:p>
      <w:pPr>
        <w:pStyle w:val="ListParagraph"/>
        <w:numPr>
          <w:ilvl w:val="0"/>
          <w:numId w:val="34"/>
        </w:numPr>
        <w:spacing w:line="240" w:lineRule="auto"/>
        <w:contextualSpacing w:val="0"/>
        <w:jc w:val="both"/>
        <w:rPr>
          <w:rFonts w:ascii="Times New Roman" w:eastAsia="Times New Roman" w:hAnsi="Times New Roman" w:cs="Times New Roman"/>
          <w:iCs/>
          <w:noProof/>
          <w:sz w:val="24"/>
          <w:szCs w:val="24"/>
          <w:lang w:val="sv-SE"/>
        </w:rPr>
      </w:pPr>
      <w:r>
        <w:rPr>
          <w:rFonts w:ascii="Times New Roman" w:hAnsi="Times New Roman"/>
          <w:iCs/>
          <w:noProof/>
          <w:sz w:val="24"/>
          <w:szCs w:val="24"/>
          <w:lang w:val="sv-SE"/>
        </w:rPr>
        <w:t xml:space="preserve">Ryssland införde ett </w:t>
      </w:r>
      <w:r>
        <w:rPr>
          <w:rFonts w:ascii="Times New Roman" w:hAnsi="Times New Roman"/>
          <w:b/>
          <w:iCs/>
          <w:noProof/>
          <w:sz w:val="24"/>
          <w:szCs w:val="24"/>
          <w:lang w:val="sv-SE"/>
        </w:rPr>
        <w:t>exportförbud som påverkade oberedda hudar och skinn</w:t>
      </w:r>
      <w:r>
        <w:rPr>
          <w:rFonts w:ascii="Times New Roman" w:hAnsi="Times New Roman"/>
          <w:iCs/>
          <w:noProof/>
          <w:sz w:val="24"/>
          <w:szCs w:val="24"/>
          <w:lang w:val="sv-SE"/>
        </w:rPr>
        <w:t xml:space="preserve"> 2014. Under 2019 infördes exportkvoter för vissa kategorier av </w:t>
      </w:r>
      <w:r>
        <w:rPr>
          <w:rFonts w:ascii="Times New Roman" w:hAnsi="Times New Roman"/>
          <w:b/>
          <w:iCs/>
          <w:noProof/>
          <w:sz w:val="24"/>
          <w:szCs w:val="24"/>
          <w:lang w:val="sv-SE"/>
        </w:rPr>
        <w:t>björkstockar</w:t>
      </w:r>
      <w:r>
        <w:rPr>
          <w:rFonts w:ascii="Times New Roman" w:hAnsi="Times New Roman"/>
          <w:iCs/>
          <w:noProof/>
          <w:sz w:val="24"/>
          <w:szCs w:val="24"/>
          <w:lang w:val="sv-SE"/>
        </w:rPr>
        <w:t>. Dessa åtgärder komplicerade EU-industriernas tillgång till viktiga råvaror. Efter det att kommissionen upprepade gånger tagit upp frågan i WTO:s varuhandelsråd, WTO-kommittén för marknadstillträde och bilateralt, förnyade Ryssland inte de tillfälliga åtgärderna som löpte ut 2019.</w:t>
      </w:r>
    </w:p>
    <w:p>
      <w:pPr>
        <w:pStyle w:val="ListParagraph"/>
        <w:numPr>
          <w:ilvl w:val="0"/>
          <w:numId w:val="34"/>
        </w:numPr>
        <w:spacing w:line="240" w:lineRule="auto"/>
        <w:contextualSpacing w:val="0"/>
        <w:jc w:val="both"/>
        <w:rPr>
          <w:rFonts w:ascii="Times New Roman" w:eastAsia="Times New Roman" w:hAnsi="Times New Roman" w:cs="Times New Roman"/>
          <w:iCs/>
          <w:noProof/>
          <w:color w:val="000000" w:themeColor="text1"/>
          <w:sz w:val="24"/>
          <w:szCs w:val="24"/>
          <w:lang w:val="sv-SE"/>
        </w:rPr>
      </w:pPr>
      <w:r>
        <w:rPr>
          <w:rFonts w:ascii="Times New Roman" w:hAnsi="Times New Roman"/>
          <w:iCs/>
          <w:noProof/>
          <w:sz w:val="24"/>
          <w:szCs w:val="24"/>
          <w:lang w:val="sv-SE"/>
        </w:rPr>
        <w:t xml:space="preserve">Ryssland hade höjt </w:t>
      </w:r>
      <w:r>
        <w:rPr>
          <w:rFonts w:ascii="Times New Roman" w:hAnsi="Times New Roman"/>
          <w:b/>
          <w:iCs/>
          <w:noProof/>
          <w:sz w:val="24"/>
          <w:szCs w:val="24"/>
          <w:lang w:val="sv-SE"/>
        </w:rPr>
        <w:t>punktskatten för utländska viner</w:t>
      </w:r>
      <w:r>
        <w:rPr>
          <w:rFonts w:ascii="Times New Roman" w:hAnsi="Times New Roman"/>
          <w:iCs/>
          <w:noProof/>
          <w:sz w:val="24"/>
          <w:szCs w:val="24"/>
          <w:lang w:val="sv-SE"/>
        </w:rPr>
        <w:t>. Efter det att kommissionen upprepade gånger tagit upp frågan i WTO:s varuhandelsråd, WTO-kommittén för jordbruk och bilateralt, antog Ryssland en åtgärd för utjämning av punktskatten på utländska och inhemska viner från och med den 1 januari 2020. Kommissionen fortsätter att övervaka situationen så att utländska viner inte missgynnas i den parallella nya mekanismen för punktskatteåterbetalning och därför undanröjer fördelarna med utjämningen av punktskatter.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Trots att dessa tre hinder undanröjdes 2019 är handelsförbindelserna med Ryssland generellt sett fortfarande problematiska och nya källor till oro har uppstått (se ruta 8).</w:t>
      </w: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pStyle w:val="Text2"/>
              <w:spacing w:line="240" w:lineRule="auto"/>
              <w:ind w:left="0"/>
              <w:jc w:val="both"/>
              <w:rPr>
                <w:rFonts w:ascii="Times New Roman" w:hAnsi="Times New Roman" w:cs="Times New Roman"/>
                <w:b/>
                <w:bCs/>
                <w:iCs/>
                <w:noProof/>
                <w:sz w:val="24"/>
                <w:szCs w:val="24"/>
                <w:lang w:val="sv-SE"/>
              </w:rPr>
            </w:pPr>
            <w:r>
              <w:rPr>
                <w:rFonts w:ascii="Times New Roman" w:hAnsi="Times New Roman"/>
                <w:b/>
                <w:bCs/>
                <w:iCs/>
                <w:noProof/>
                <w:sz w:val="24"/>
                <w:szCs w:val="24"/>
                <w:lang w:val="sv-SE"/>
              </w:rPr>
              <w:t>Ruta 8 – Bakgrund om Ryssland – nya farhågor om horisontella åtgärder</w:t>
            </w:r>
          </w:p>
          <w:p>
            <w:pPr>
              <w:pStyle w:val="Text2"/>
              <w:spacing w:line="240" w:lineRule="auto"/>
              <w:ind w:left="0"/>
              <w:jc w:val="both"/>
              <w:rPr>
                <w:rFonts w:ascii="Times New Roman" w:hAnsi="Times New Roman" w:cs="Times New Roman"/>
                <w:iCs/>
                <w:noProof/>
                <w:sz w:val="24"/>
                <w:szCs w:val="24"/>
                <w:lang w:val="sv-SE"/>
              </w:rPr>
            </w:pPr>
            <w:r>
              <w:rPr>
                <w:rFonts w:ascii="Times New Roman" w:hAnsi="Times New Roman"/>
                <w:iCs/>
                <w:noProof/>
                <w:sz w:val="24"/>
                <w:szCs w:val="24"/>
                <w:lang w:val="sv-SE"/>
              </w:rPr>
              <w:t>Under 2019 behöll Ryssland sin plats som EU:s fjärde största handelspartner. De politiska åtgärder för importersättning som Ryssland gradvis har vidtagit sedan 2012 sammanföll till stor del med Rysslands anslutning till WTO. I stället för en varaktig liberalisering har Ryssland gradvis infört ett flertal åtgärder som gynnar inhemska produkter och tjänster framför utländska och erbjuder incitament till utländska företag som förlägger sin produktion till Ryssland. Åtgärderna i samband med detta strider ofta mot andan och/eller bokstaven i WTO-reglerna och ger upphov till många handelsstörningar. EU:s sanktioner och Rysslands motsanktioner har även (begränsad) inverkan på handeln.</w:t>
            </w:r>
          </w:p>
          <w:p>
            <w:pPr>
              <w:spacing w:line="240" w:lineRule="auto"/>
              <w:jc w:val="both"/>
              <w:rPr>
                <w:rFonts w:ascii="Times New Roman" w:hAnsi="Times New Roman" w:cs="Times New Roman"/>
                <w:noProof/>
                <w:sz w:val="24"/>
                <w:szCs w:val="24"/>
                <w:lang w:val="sv-SE"/>
              </w:rPr>
            </w:pPr>
            <w:r>
              <w:rPr>
                <w:rFonts w:ascii="Times New Roman" w:hAnsi="Times New Roman"/>
                <w:iCs/>
                <w:noProof/>
                <w:sz w:val="24"/>
                <w:szCs w:val="24"/>
                <w:lang w:val="sv-SE"/>
              </w:rPr>
              <w:t xml:space="preserve">En ny reform av landets system för offentlig upphandling pågår, med det uttryckliga syftet att öka andelen ryska varor och tjänster, inte bara i upphandlingar som genomförs av statliga organ, utan även statsägda företag. Detta är en stor källa till oro för viktiga exportsektorer i EU, exempelvis läkemedel, medicintekniska produkter, maskiner och motorfordon, och kommissionen följer därför nära utvecklingen för att se till att åtgärderna överensstämmer med Rysslands WTO-åtaganden. Utsikterna till nya lagstiftningsåtgärder för unik identifiering och spårning för många varukategorier är en annan stor källa till oro och uppmärksammas nära av kommissionen. </w:t>
            </w:r>
          </w:p>
        </w:tc>
      </w:tr>
    </w:tbl>
    <w:p>
      <w:pPr>
        <w:spacing w:line="240" w:lineRule="auto"/>
        <w:jc w:val="both"/>
        <w:rPr>
          <w:rFonts w:ascii="Times New Roman" w:hAnsi="Times New Roman" w:cs="Times New Roman"/>
          <w:noProof/>
          <w:sz w:val="24"/>
          <w:szCs w:val="24"/>
          <w:lang w:val="sv-SE"/>
        </w:rPr>
      </w:pPr>
    </w:p>
    <w:p>
      <w:pPr>
        <w:pStyle w:val="ListParagraph"/>
        <w:numPr>
          <w:ilvl w:val="0"/>
          <w:numId w:val="37"/>
        </w:numPr>
        <w:spacing w:line="240" w:lineRule="auto"/>
        <w:jc w:val="both"/>
        <w:rPr>
          <w:rFonts w:ascii="Times New Roman" w:hAnsi="Times New Roman" w:cs="Times New Roman"/>
          <w:b/>
          <w:noProof/>
          <w:sz w:val="24"/>
          <w:szCs w:val="24"/>
        </w:rPr>
      </w:pPr>
      <w:r>
        <w:rPr>
          <w:rFonts w:ascii="Times New Roman" w:hAnsi="Times New Roman"/>
          <w:b/>
          <w:noProof/>
          <w:sz w:val="24"/>
          <w:szCs w:val="24"/>
        </w:rPr>
        <w:t>SYDKOREA</w:t>
      </w:r>
    </w:p>
    <w:p>
      <w:pPr>
        <w:spacing w:line="240" w:lineRule="auto"/>
        <w:jc w:val="both"/>
        <w:rPr>
          <w:rFonts w:ascii="Times New Roman" w:hAnsi="Times New Roman" w:cs="Times New Roman"/>
          <w:b/>
          <w:noProof/>
          <w:sz w:val="24"/>
          <w:szCs w:val="24"/>
          <w:lang w:val="sv-SE"/>
        </w:rPr>
      </w:pPr>
      <w:r>
        <w:rPr>
          <w:rFonts w:ascii="Times New Roman" w:hAnsi="Times New Roman"/>
          <w:bCs/>
          <w:noProof/>
          <w:sz w:val="24"/>
          <w:szCs w:val="24"/>
          <w:lang w:val="sv-SE"/>
        </w:rPr>
        <w:t>Två hinder undanröjdes i Sydkorea under 2019: ett helt, för kosmetika, och ett delvis, för nötkött.</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Sydkoreas nationella brandkårsmyndighet ville klassificera kosmetika som farliga produkter, med stränga krav för lagring och distribution som branschen ansåg vara orealistiska. Frågan togs upp vid mötet i EU-Sydkorea-kommittén för varuhandel, och i februari 2019 undantog Sydkorea kosmetika från tillämpningsområdet.</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Sydkorea importerar inte nötkött och andra produkter från EU:s medlemsstater på grund av BSE-relaterade </w:t>
      </w:r>
      <w:r>
        <w:rPr>
          <w:rFonts w:ascii="Times New Roman" w:hAnsi="Times New Roman"/>
          <w:b/>
          <w:noProof/>
          <w:sz w:val="24"/>
          <w:szCs w:val="24"/>
          <w:lang w:val="sv-SE"/>
        </w:rPr>
        <w:t>begränsningar</w:t>
      </w:r>
      <w:r>
        <w:rPr>
          <w:rFonts w:ascii="Times New Roman" w:hAnsi="Times New Roman"/>
          <w:noProof/>
          <w:sz w:val="24"/>
          <w:szCs w:val="24"/>
          <w:lang w:val="sv-SE"/>
        </w:rPr>
        <w:t>, men återupptog däremot import från andra länder med samma OIE-status som EU. Sydkoreas omotiverade och diskriminerande åtgärder har tagits upp med landet vid många bilaterala möten på olika nivåer och i samband med plenarmötet i WTO:s SFS-kommitté. Import från Danmark och Nederländerna godkändes 2019, vilket delvis undanröjde hindret. Import från andra medlemsstater är dock fortfarande blockerad och kommissionen arbetar för att snabbt undanröja detta omotiverade och diskriminerande hinder.</w:t>
      </w:r>
    </w:p>
    <w:p>
      <w:pPr>
        <w:spacing w:line="240" w:lineRule="auto"/>
        <w:jc w:val="both"/>
        <w:rPr>
          <w:rFonts w:ascii="Times New Roman" w:hAnsi="Times New Roman" w:cs="Times New Roman"/>
          <w:noProof/>
          <w:sz w:val="24"/>
          <w:szCs w:val="24"/>
          <w:lang w:val="sv-SE"/>
        </w:rPr>
      </w:pPr>
    </w:p>
    <w:p>
      <w:pPr>
        <w:pStyle w:val="ListParagraph"/>
        <w:numPr>
          <w:ilvl w:val="0"/>
          <w:numId w:val="37"/>
        </w:numPr>
        <w:spacing w:line="240" w:lineRule="auto"/>
        <w:jc w:val="both"/>
        <w:rPr>
          <w:rFonts w:ascii="Times New Roman" w:hAnsi="Times New Roman" w:cs="Times New Roman"/>
          <w:b/>
          <w:noProof/>
          <w:sz w:val="24"/>
          <w:szCs w:val="24"/>
        </w:rPr>
      </w:pPr>
      <w:r>
        <w:rPr>
          <w:rFonts w:ascii="Times New Roman" w:hAnsi="Times New Roman"/>
          <w:b/>
          <w:noProof/>
          <w:sz w:val="24"/>
          <w:szCs w:val="24"/>
        </w:rPr>
        <w:t>AUSTRALIEN</w:t>
      </w:r>
    </w:p>
    <w:p>
      <w:pPr>
        <w:spacing w:line="240" w:lineRule="auto"/>
        <w:jc w:val="both"/>
        <w:rPr>
          <w:rFonts w:ascii="Times New Roman" w:hAnsi="Times New Roman" w:cs="Times New Roman"/>
          <w:bCs/>
          <w:noProof/>
          <w:sz w:val="24"/>
          <w:szCs w:val="24"/>
          <w:lang w:val="sv-SE"/>
        </w:rPr>
      </w:pPr>
      <w:r>
        <w:rPr>
          <w:rFonts w:ascii="Times New Roman" w:hAnsi="Times New Roman"/>
          <w:bCs/>
          <w:noProof/>
          <w:sz w:val="24"/>
          <w:szCs w:val="24"/>
          <w:lang w:val="sv-SE"/>
        </w:rPr>
        <w:t>Två hinder åtgärdades i Australien 2019, rörande kosmetiska och normer för provning av stål.</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Australien planerade ändringar av 2017 års kemikalielag i fråga om </w:t>
      </w:r>
      <w:r>
        <w:rPr>
          <w:rFonts w:ascii="Times New Roman" w:hAnsi="Times New Roman"/>
          <w:b/>
          <w:noProof/>
          <w:sz w:val="24"/>
          <w:szCs w:val="24"/>
          <w:lang w:val="sv-SE"/>
        </w:rPr>
        <w:t>provning av nya kemiska ingredienser i kosmetika</w:t>
      </w:r>
      <w:r>
        <w:rPr>
          <w:rFonts w:ascii="Times New Roman" w:hAnsi="Times New Roman"/>
          <w:noProof/>
          <w:sz w:val="24"/>
          <w:szCs w:val="24"/>
          <w:lang w:val="sv-SE"/>
        </w:rPr>
        <w:t>. EU-delegationen skickade en skrivelse till de australiska myndigheterna, där man betonade vikten av att säkerställa att Australiens och EU:s rättsliga ramar är anpassade till varandra. Lagförslaget om industrikemikalier 2019 gjordes till lag i mars 2019 och är anpassad till EU:s praxis.</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Standards Australia (det erkända nationella standardiseringsorganet) inledde ett samråd om fyra utkast till standarder för provning av stål, med förslag till eventuella avvikelser från ISO:s provningskrav i den australiska standarden. Frågan togs upp under EU:s och Australiens handelsskyddsdialoger. Förfarandet för att utarbeta ISO 17607 avbröts i december 2019.</w:t>
      </w:r>
    </w:p>
    <w:p>
      <w:pPr>
        <w:spacing w:line="240" w:lineRule="auto"/>
        <w:jc w:val="both"/>
        <w:rPr>
          <w:rFonts w:ascii="Times New Roman" w:hAnsi="Times New Roman" w:cs="Times New Roman"/>
          <w:b/>
          <w:noProof/>
          <w:sz w:val="24"/>
          <w:szCs w:val="24"/>
          <w:lang w:val="sv-SE"/>
        </w:rPr>
      </w:pPr>
    </w:p>
    <w:p>
      <w:pPr>
        <w:pStyle w:val="ListParagraph"/>
        <w:numPr>
          <w:ilvl w:val="0"/>
          <w:numId w:val="37"/>
        </w:numPr>
        <w:spacing w:line="240" w:lineRule="auto"/>
        <w:jc w:val="both"/>
        <w:rPr>
          <w:rFonts w:ascii="Times New Roman" w:hAnsi="Times New Roman" w:cs="Times New Roman"/>
          <w:b/>
          <w:noProof/>
          <w:sz w:val="24"/>
          <w:szCs w:val="24"/>
          <w:lang w:val="sv-SE"/>
        </w:rPr>
      </w:pPr>
      <w:r>
        <w:rPr>
          <w:rFonts w:ascii="Times New Roman" w:hAnsi="Times New Roman"/>
          <w:b/>
          <w:noProof/>
          <w:sz w:val="24"/>
          <w:szCs w:val="24"/>
          <w:lang w:val="sv-SE"/>
        </w:rPr>
        <w:t xml:space="preserve">EFFEKTEN AV DE HINDER SOM UNDANRÖJTS </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I de föregående kapitlen i denna rapport har vi analyserat de handelsflöden som är kopplade till de hinder som undanröjdes under 2019 (se ruta 3).</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Dessutom innehåller rapporten resultaten av en mer förfinad analys som baseras på en ekonometrisk bedömning av ökningen av EU:s export till partnerländer som har infört ett hinder, efter det att hindret undanröjts. I detta syfte har en regressionsanalys använts för att kvantifiera effekten</w:t>
      </w:r>
      <w:r>
        <w:rPr>
          <w:rStyle w:val="FootnoteReference"/>
          <w:rFonts w:ascii="Times New Roman" w:hAnsi="Times New Roman" w:cs="Times New Roman"/>
          <w:noProof/>
          <w:sz w:val="24"/>
          <w:szCs w:val="24"/>
        </w:rPr>
        <w:footnoteReference w:id="19"/>
      </w:r>
      <w:r>
        <w:rPr>
          <w:rFonts w:ascii="Times New Roman" w:hAnsi="Times New Roman"/>
          <w:noProof/>
          <w:sz w:val="24"/>
          <w:szCs w:val="24"/>
          <w:lang w:val="sv-SE"/>
        </w:rPr>
        <w:t xml:space="preserve">. </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Resultaten av denna ekonometriska analys kanske inte visar den fulla effekten av marknadstillträdesstrategin eftersom vi inte kan inbegripa komplicerade horisontella hinder som påverkar varor, och inte heller hindren bakom varorna (t.ex. tjänster, offentlig upphandling, investeringar eller immateriella rättigheter) som direkt eller indirekt kan påverka ett antal olika produkter via handels- och investeringsflöden.</w:t>
      </w:r>
    </w:p>
    <w:p>
      <w:pPr>
        <w:spacing w:line="240" w:lineRule="auto"/>
        <w:jc w:val="both"/>
        <w:rPr>
          <w:rFonts w:ascii="Times New Roman" w:hAnsi="Times New Roman" w:cs="Times New Roman"/>
          <w:b/>
          <w:noProof/>
          <w:sz w:val="24"/>
          <w:szCs w:val="24"/>
          <w:lang w:val="sv-SE"/>
        </w:rPr>
      </w:pPr>
      <w:r>
        <w:rPr>
          <w:rFonts w:ascii="Times New Roman" w:hAnsi="Times New Roman"/>
          <w:noProof/>
          <w:sz w:val="24"/>
          <w:szCs w:val="24"/>
          <w:lang w:val="sv-SE"/>
        </w:rPr>
        <w:t>Det framgår av analysresultaten att undanröjandet av denna deluppsättning av hinder</w:t>
      </w:r>
      <w:r>
        <w:rPr>
          <w:rStyle w:val="FootnoteReference"/>
          <w:rFonts w:ascii="Times New Roman" w:hAnsi="Times New Roman" w:cs="Times New Roman"/>
          <w:noProof/>
          <w:sz w:val="24"/>
          <w:szCs w:val="24"/>
        </w:rPr>
        <w:footnoteReference w:id="20"/>
      </w:r>
      <w:r>
        <w:rPr>
          <w:rFonts w:ascii="Times New Roman" w:hAnsi="Times New Roman"/>
          <w:noProof/>
          <w:sz w:val="24"/>
          <w:szCs w:val="24"/>
          <w:lang w:val="sv-SE"/>
        </w:rPr>
        <w:t xml:space="preserve"> i genomsnitt lett till påtagliga fördelar för EU:s exportörer. Uppskattningarna pekar på en genomsnittlig ökning av exporten på ungefär 60 % efter undanröjandet av hindren. Detta innebär, sett till värdet, att undanröjandet av hinder under perioden 2014–2018 genererade omkring 8 miljarder euro i ytterligare export för EU:s företag under 2019. Detta är av samma storleksordning som de fördelar som skapats genom undanröjande av handelshinder under tidigare år och är jämförbart med den förväntade ökningen av EU:s export till följd av några av våra handelsavtal.</w:t>
      </w:r>
      <w:r>
        <w:rPr>
          <w:rFonts w:ascii="Times New Roman" w:hAnsi="Times New Roman"/>
          <w:noProof/>
          <w:lang w:val="sv-SE"/>
        </w:rPr>
        <w:br w:type="page"/>
      </w:r>
    </w:p>
    <w:p>
      <w:pPr>
        <w:pStyle w:val="NormalLinespacingMultiple12li"/>
        <w:spacing w:line="240" w:lineRule="auto"/>
        <w:jc w:val="both"/>
        <w:rPr>
          <w:rFonts w:ascii="Times New Roman" w:hAnsi="Times New Roman" w:cs="Times New Roman"/>
          <w:b/>
          <w:noProof/>
          <w:sz w:val="24"/>
          <w:szCs w:val="24"/>
          <w:lang w:val="sv-SE"/>
        </w:rPr>
      </w:pPr>
      <w:r>
        <w:rPr>
          <w:rFonts w:ascii="Times New Roman" w:hAnsi="Times New Roman"/>
          <w:b/>
          <w:noProof/>
          <w:sz w:val="24"/>
          <w:szCs w:val="24"/>
          <w:lang w:val="sv-SE"/>
        </w:rPr>
        <w:t>VI. EN BLICK MOT FÖRENTA STATERNA</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EU och Förenta staterna är varandras största handels- och investeringspartner, baserat på ett historiskt åtagande om öppna marknader, och deras bilaterala ekonomiska förbindelser är de bredaste och mest fördjupade som finns i världen. EU:s och Förenta staternas tullar är låga (i genomsnitt högst 3 %) och våra tjänstemarknader är jämförelsevis öppna. Leveranskedjorna för företag i EU och Förenta staterna är verkligt transatlantiska. Dessutom är det endast möjligt att lösa globala utmaningar om EU och Förenta staterna samarbetar. Våra förbindelser står nu emellertid inför nya utmaningar.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Under 2019 blev våra handelsförbindelser mer spända när Förenta staterna införde tullar på EU-varor till ett värde av 7,5 miljarder US-dollar efter det att WTO avgjorde Airbusärendet till Förenta staternas fördel. Kommissionen beklagade Förenta staternas beslut att faktiskt införa tullarna, eftersom den hade lagt fram ett förslag för att lösa tvisten enligt WTO:s krav. Kommissionen påminde även Förenta staterna om att landets beslut att införa tullar skulle tvinga EU att utnyttja sin rätt att vidta motåtgärder när WTO:s skiljedomare fattar beslut om Boeing i det parallella ärendet senare under 2020.</w:t>
      </w:r>
    </w:p>
    <w:p>
      <w:pPr>
        <w:spacing w:line="240" w:lineRule="auto"/>
        <w:jc w:val="both"/>
        <w:rPr>
          <w:rFonts w:ascii="Times New Roman" w:hAnsi="Times New Roman" w:cs="Times New Roman"/>
          <w:noProof/>
          <w:color w:val="000000" w:themeColor="text1"/>
          <w:sz w:val="24"/>
          <w:szCs w:val="24"/>
          <w:lang w:val="sv-SE"/>
        </w:rPr>
      </w:pPr>
      <w:r>
        <w:rPr>
          <w:rFonts w:ascii="Times New Roman" w:hAnsi="Times New Roman"/>
          <w:noProof/>
          <w:sz w:val="24"/>
          <w:szCs w:val="24"/>
          <w:lang w:val="sv-SE"/>
        </w:rPr>
        <w:t>När det gäller de utjämnings- och antidumpningstullar som Förenta staterna har infört för mogna oliver från Spanien hölls WTO-samråden i mars 2019. Man lyckades dock inte lösa tvisten, så i maj 2019 begärde EU att en panel skulle inrättas. Tullarna gäller sedan den 1 augusti 2018 och hindrar spanska företags tillträde till den amerikanska marknaden.</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Det är emellertid positivt att vissa spänningar som uppstått på grund av Förenta staternas undersökning av nationella säkerhetshänsyn i samband med import av bilar och bildelar löstes upp när tidsfristen för Förenta staternas vidtagande av åtgärder löpte ut den 13 november 2019 utan att presidenten fattat något formellt beslut. Kommissionen kommer att fortsätta att övervaka detta ärende, eftersom EU avvisar uppfattningen att handel med personbilar från EU skulle kunna utgöra ett nationellt säkerhetshot för Förenta staterna.</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Å andra sidan fortsatte pressen på den transatlantiska handeln på grund av att Förenta staterna i juni 2018 införde tullar på stål och aluminium från EU med påstådda säkerhetshänsyn som skäl. EU har infört motåtgärder i form av tullar på Förenta staternas export till EU, men har erbjudit sig att upphäva dessa tullar så snart Förenta staterna upphäver sina tullar. I januari 2020 utvidgade Förenta staterna tullarna på stål och aluminium till att omfatta vissa vidareförädlade produkter. EU reagerade i april 2020 genom att införa motåtgärder för tre amerikanska produkter (vissa typer av tändare, vissa typer av plastbeslag för möbler samt karosseri och spelkort). Kommissionen konstaterar att liknande tullar som Förenta staterna infört för handelspartner som Mexiko och Kanada drogs tillbaka av landet under 2019. </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Kommissionen beklagade även att verksamheten i WTO:s överprövningsorgan i allt väsentligt kommer att upphöra den 11 december 2019, främst på grund av Förenta staternas fortsatta motstånd mot att tillsätta nya ledamöter. Kommissionen påpekade också att detta är ett mycket allvarligt slag mot det internationella regelbaserade handelssystemet och mot den grundläggande balans i åtagandena som WTO:s medlemmar enades om i slutet av Uruguayrundan. EU instämmer i Förenta staternas åsikt att WTO-systemet behöver förändras i grunden och det snabbt, och föreslog i år ett interimistiskt överprövningsarrangemang för de partner som är villiga att fortsätta att lösa WTO-tvister enligt en bindande och oberoende process med möjlighet att överklaga.</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Kommissionen är fortsatt oroad över de två specifika bestämmelser i </w:t>
      </w:r>
      <w:r>
        <w:rPr>
          <w:rFonts w:ascii="Times New Roman" w:hAnsi="Times New Roman"/>
          <w:i/>
          <w:iCs/>
          <w:noProof/>
          <w:sz w:val="24"/>
          <w:szCs w:val="24"/>
          <w:lang w:val="sv-SE"/>
        </w:rPr>
        <w:t>US Tax Cuts and Jobs Act</w:t>
      </w:r>
      <w:r>
        <w:rPr>
          <w:rFonts w:ascii="Times New Roman" w:hAnsi="Times New Roman"/>
          <w:noProof/>
          <w:sz w:val="24"/>
          <w:szCs w:val="24"/>
          <w:lang w:val="sv-SE"/>
        </w:rPr>
        <w:t xml:space="preserve"> 2017 (lagen om skattesänkningar och jobbskapande), dvs. skatten för att förhindra urholkning av skattebasen och skatteflykt (BEAT), som har vissa diskriminerande inslag, och skattelättnaden för utländska inkomster från immateriella tillgångar (FDII) som kan utgöra en förbjuden subvention. Under 2019 antog den amerikanska regeringen genomförandebestämmelser för båda dessa akter.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Kommissionen tog del av de bilaterala och regionala handelsavtal som Förenta staterna ingått med tredjeländer under 2019. Kommissionen anser att dessa avtal ger upphov till oro på flera punkter när det gäller respekten för multilateralism och globala frihandelsregler. För det första hyser kommissionen tvivel om huruvida den begränsade överenskommelse som Förenta staterna och Japan nådde om jordbruk och digital handel i september 2019 uppfyller WTO:s normer för frihandelsavtal. För det andra är kommissionen oroad över att de restriktiva ursprungsreglerna för bilar och bildelar i avtalet Förenta staterna–Mexiko–Kanada kan leda till en omläggning av handeln och investeringsflödena, vilket skulle ha en negativ inverkan på de globala leveranskedjorna och öka kostnaderna för tillverkare och kunder. För det tredje ser kommissionen med oro på det ”fas ett”-handelsavtal som Förenta staterna och Kina ingick i december 2019, särskilt med tanke på de omfattande inköpsskyldigheterna som inte överensstämmer med principerna om en fri marknad och WTO:s icke-diskrimineringsskyldigheter.</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Kommissionen är oroad över den slutliga regel som offentliggjordes av det amerikanska handelsdepartementet den 3 februari 2020, och som innebär att det kan behandla undervärdering av utländska valutor som en utjämningsbar subvention enligt Förenta staternas förfaranden för utjämningstullar. Kommissionen kommer att följa genomförandet av regeln för att säkerställa att fritt flytande valutor som euron inte på ett otillbörligt sätt fångas upp av Förenta staternas förfaranden för utjämningstullar. Kommissionen är likaså oroad över att det amerikanska handelsdepartementet den 9 januari 2020 inledde antidumpningsförfaranden och förfaranden för utjämningstullar avseende import av smidda flytande kulventiler i stål från Tyskland och Italien. Handelsdepartementets undersökningar omfattar flera påstådda EU-subventioner, bland annat huruvida gratis tilldelning av utsläppsrätter för anläggningar som fått sitt första tillstånd enligt EU:s system för handel med utsläppsrätter (ETS) utgör utjämningsbara subventioner. Kommissionen kommer att följa dessa förfaranden för att se till att ETS-principen inte ifrågasätts.</w:t>
      </w:r>
    </w:p>
    <w:p>
      <w:pPr>
        <w:spacing w:line="240" w:lineRule="auto"/>
        <w:jc w:val="both"/>
        <w:rPr>
          <w:rFonts w:ascii="Times New Roman" w:hAnsi="Times New Roman" w:cs="Times New Roman"/>
          <w:noProof/>
          <w:sz w:val="24"/>
          <w:szCs w:val="24"/>
          <w:lang w:val="sv-SE"/>
        </w:rPr>
      </w:pPr>
      <w:r>
        <w:rPr>
          <w:rFonts w:ascii="Times New Roman" w:hAnsi="Times New Roman"/>
          <w:iCs/>
          <w:noProof/>
          <w:sz w:val="24"/>
          <w:szCs w:val="24"/>
          <w:lang w:val="sv-SE"/>
        </w:rPr>
        <w:t>I maj 2019 verkställde Förenta staterna avdelning III i Helms-Burton-lagen</w:t>
      </w:r>
      <w:r>
        <w:rPr>
          <w:rStyle w:val="FootnoteReference"/>
          <w:rFonts w:ascii="Times New Roman" w:hAnsi="Times New Roman" w:cs="Times New Roman"/>
          <w:iCs/>
          <w:noProof/>
          <w:sz w:val="24"/>
          <w:szCs w:val="24"/>
        </w:rPr>
        <w:footnoteReference w:id="21"/>
      </w:r>
      <w:r>
        <w:rPr>
          <w:rFonts w:ascii="Times New Roman" w:hAnsi="Times New Roman"/>
          <w:iCs/>
          <w:noProof/>
          <w:sz w:val="24"/>
          <w:szCs w:val="24"/>
          <w:lang w:val="sv-SE"/>
        </w:rPr>
        <w:t xml:space="preserve"> och öppnade för åtgärder enligt avdelning IV, i strid mot avtalet mellan EU och Förenta staterna från 1998. Den amerikanska regeringen har börjat vidta åtgärder mot chefer för EU-företag. EU upprepar sitt starka motstånd mot den extraterritoriella tillämpningen av Förenta staternas åtgärder enligt avdelningarna III och IV i lagen – exempelvis att Förenta staterna vägrar inresa för företrädare för EU-företag – vilket strider mot internationell rätt.</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Slutligen kommer kommissionen att nära följa utvecklingen av de undersökningar som Förenta staterna inledde i juli 2019 av den franska skatten på digitala tjänster enligt avsnitt 301 i lagen om handelsavtal från 1974. Förutom att kommissionen hyser allmänna farhågor om användningen av ensidiga strategier som inte överensstämmer med det regelbaserade multilaterala handelssystemet, anser den att eventuella handelsåtgärder bör upphävas så att OECD:s process för en global skatt på digitala tjänster kan slutföras.</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Mot denna problematiska bakgrund är EU fast beslutet att arbeta med en positiv agenda tillsammans med Förenta staterna för att underlätta handel och investeringar, undanröja onödig byråkrati och genomföra en djupgående reform av WTO. Regleringssamarbete mellan EU och Förenta staterna är lika nödvändigt i dag som någonsin. </w:t>
      </w:r>
    </w:p>
    <w:p>
      <w:pPr>
        <w:spacing w:line="240" w:lineRule="auto"/>
        <w:jc w:val="both"/>
        <w:rPr>
          <w:rFonts w:ascii="Times New Roman" w:hAnsi="Times New Roman" w:cs="Times New Roman"/>
          <w:noProof/>
          <w:sz w:val="24"/>
          <w:szCs w:val="24"/>
          <w:lang w:val="sv-SE"/>
        </w:rPr>
      </w:pPr>
    </w:p>
    <w:p>
      <w:pPr>
        <w:spacing w:line="240" w:lineRule="auto"/>
        <w:jc w:val="both"/>
        <w:rPr>
          <w:rFonts w:ascii="Times New Roman" w:hAnsi="Times New Roman" w:cs="Times New Roman"/>
          <w:b/>
          <w:noProof/>
          <w:sz w:val="24"/>
          <w:szCs w:val="24"/>
          <w:lang w:val="sv-SE"/>
        </w:rPr>
      </w:pPr>
      <w:r>
        <w:rPr>
          <w:noProof/>
          <w:sz w:val="24"/>
          <w:szCs w:val="24"/>
          <w:lang w:val="sv-SE"/>
        </w:rPr>
        <w:br w:type="page"/>
      </w:r>
    </w:p>
    <w:p>
      <w:pPr>
        <w:keepNext/>
        <w:spacing w:line="240" w:lineRule="auto"/>
        <w:rPr>
          <w:rFonts w:ascii="Times New Roman" w:hAnsi="Times New Roman" w:cs="Times New Roman"/>
          <w:b/>
          <w:noProof/>
          <w:sz w:val="24"/>
          <w:szCs w:val="24"/>
          <w:lang w:val="sv-SE"/>
        </w:rPr>
      </w:pPr>
      <w:r>
        <w:rPr>
          <w:rFonts w:ascii="Times New Roman" w:hAnsi="Times New Roman"/>
          <w:b/>
          <w:noProof/>
          <w:sz w:val="24"/>
          <w:szCs w:val="24"/>
          <w:lang w:val="sv-SE"/>
        </w:rPr>
        <w:t>SLUTSATS</w:t>
      </w:r>
    </w:p>
    <w:p>
      <w:pPr>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Denna rapport ger en översikt av de hinder för handel och investeringar som direkt påverkar EU:s näringsliv, såsom de har rapporterats och åtgärdats inom ramen för det förstärkta EU-partnerskapet för marknadstillträde mellan kommissionen, medlemsstaterna och EU:s näringsliv.</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Det totala antalet hinder fortsatte att öka under 2019, vilket tyder på att protektionistiska åtgärder har blivit inrotade i handelsförbindelserna med många av våra partner. I slutet av 2019 fanns 438 aktiva hinder registrerade i EU:s databas med information om tillträde till marknaderna. Dessa handelsförhållanden är kvalitativt annorlunda och kräver ett paradigmskifte när det gäller EU:s metoder för att upprätthålla och försvara sina berättigade intressen.</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bCs/>
          <w:noProof/>
          <w:sz w:val="24"/>
          <w:szCs w:val="24"/>
          <w:lang w:val="sv-SE"/>
        </w:rPr>
        <w:t xml:space="preserve">De EU-27-handelsflöden som påverkas av de 43 nya hindren 2019 uppskattas nå en så hög siffra som 35,1 miljarder euro, och hämmar främst IKT-sektorn, fordonssektorn och elektroniksektorn. </w:t>
      </w:r>
      <w:r>
        <w:rPr>
          <w:rFonts w:ascii="Times New Roman" w:hAnsi="Times New Roman"/>
          <w:noProof/>
          <w:sz w:val="24"/>
          <w:szCs w:val="24"/>
          <w:lang w:val="sv-SE"/>
        </w:rPr>
        <w:t>Det handlar om ytterst strategiska områden som är viktiga för EU:s tekniska suveränitet.</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EU:s åtgärder för att undanröja hinder ar effektiva: 40 hinder undanröjdes under 2019. En detaljerad ekonometrisk analys visar att arbetet med att undanröja hinder genererade ytterligare export till ett värde av minst 8 miljarder euro för EU:s företag, en siffra som är jämförbar med fördelarna från några av våra frihandelsavtal. </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Samtidigt gjordes de flesta genombrotten inom den jordbruksbaserade livsmedelsindustrin, medan det visade sig vara svårare att undanröja hinder för andra viktiga industrier och tjänster. Detta kräver att EU förändrar sin strategi för att säkerställa undanröjande av hinder, tillsyn och genomförande.</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Intressanta aspekter kan även noteras i ett geografiskt perspektiv. Under 2019 hamnade </w:t>
      </w:r>
      <w:r>
        <w:rPr>
          <w:rFonts w:ascii="Times New Roman" w:hAnsi="Times New Roman"/>
          <w:b/>
          <w:bCs/>
          <w:noProof/>
          <w:sz w:val="24"/>
          <w:szCs w:val="24"/>
          <w:lang w:val="sv-SE"/>
        </w:rPr>
        <w:t>Kina</w:t>
      </w:r>
      <w:r>
        <w:rPr>
          <w:rFonts w:ascii="Times New Roman" w:hAnsi="Times New Roman"/>
          <w:noProof/>
          <w:sz w:val="24"/>
          <w:szCs w:val="24"/>
          <w:lang w:val="sv-SE"/>
        </w:rPr>
        <w:t xml:space="preserve"> åter på första plats med det högsta totala antalet hinder (38). Två hinder för den jordbruksbaserade livsmedelsindustrin undanröjdes visserligen men samtidigt tillkom fyra nya hinder med stor ekonomisk påverkan inom strategiska sektorer (data, it-säkerhet och telekom). </w:t>
      </w:r>
      <w:r>
        <w:rPr>
          <w:rFonts w:ascii="Times New Roman" w:hAnsi="Times New Roman"/>
          <w:b/>
          <w:bCs/>
          <w:noProof/>
          <w:sz w:val="24"/>
          <w:szCs w:val="24"/>
          <w:lang w:val="sv-SE"/>
        </w:rPr>
        <w:t>Medelhavsområdet och Mellanöstern</w:t>
      </w:r>
      <w:r>
        <w:rPr>
          <w:rFonts w:ascii="Times New Roman" w:hAnsi="Times New Roman"/>
          <w:noProof/>
          <w:sz w:val="24"/>
          <w:szCs w:val="24"/>
          <w:lang w:val="sv-SE"/>
        </w:rPr>
        <w:t xml:space="preserve"> svarar för nästan hälften av alla nya hinder som registrerades 2019, vilket tyvärr styrker farhågorna om en allt starkare protektionism i denna del av världen. Situationen i </w:t>
      </w:r>
      <w:r>
        <w:rPr>
          <w:rFonts w:ascii="Times New Roman" w:hAnsi="Times New Roman"/>
          <w:b/>
          <w:bCs/>
          <w:noProof/>
          <w:sz w:val="24"/>
          <w:szCs w:val="24"/>
          <w:lang w:val="sv-SE"/>
        </w:rPr>
        <w:t>Ryssland</w:t>
      </w:r>
      <w:r>
        <w:rPr>
          <w:rFonts w:ascii="Times New Roman" w:hAnsi="Times New Roman"/>
          <w:noProof/>
          <w:sz w:val="24"/>
          <w:szCs w:val="24"/>
          <w:lang w:val="sv-SE"/>
        </w:rPr>
        <w:t xml:space="preserve"> var fortsatt problematisk, men tre hinder undanröjdes. Nya och undanröjda hinder i </w:t>
      </w:r>
      <w:r>
        <w:rPr>
          <w:rFonts w:ascii="Times New Roman" w:hAnsi="Times New Roman"/>
          <w:b/>
          <w:bCs/>
          <w:noProof/>
          <w:sz w:val="24"/>
          <w:szCs w:val="24"/>
          <w:lang w:val="sv-SE"/>
        </w:rPr>
        <w:t xml:space="preserve">Australien </w:t>
      </w:r>
      <w:r>
        <w:rPr>
          <w:rFonts w:ascii="Times New Roman" w:hAnsi="Times New Roman"/>
          <w:bCs/>
          <w:noProof/>
          <w:sz w:val="24"/>
          <w:szCs w:val="24"/>
          <w:lang w:val="sv-SE"/>
        </w:rPr>
        <w:t>och</w:t>
      </w:r>
      <w:r>
        <w:rPr>
          <w:rFonts w:ascii="Times New Roman" w:hAnsi="Times New Roman"/>
          <w:b/>
          <w:bCs/>
          <w:noProof/>
          <w:sz w:val="24"/>
          <w:szCs w:val="24"/>
          <w:lang w:val="sv-SE"/>
        </w:rPr>
        <w:t xml:space="preserve"> Sydkorea</w:t>
      </w:r>
      <w:r>
        <w:rPr>
          <w:rFonts w:ascii="Times New Roman" w:hAnsi="Times New Roman"/>
          <w:noProof/>
          <w:sz w:val="24"/>
          <w:szCs w:val="24"/>
          <w:lang w:val="sv-SE"/>
        </w:rPr>
        <w:t xml:space="preserve"> räknades in under 2019 och svarade för en ansenlig andel av EU:s potentiellt påverkade handelsflöden.</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 xml:space="preserve">Situationen med </w:t>
      </w:r>
      <w:r>
        <w:rPr>
          <w:rFonts w:ascii="Times New Roman" w:hAnsi="Times New Roman"/>
          <w:b/>
          <w:bCs/>
          <w:noProof/>
          <w:sz w:val="24"/>
          <w:szCs w:val="24"/>
          <w:lang w:val="sv-SE"/>
        </w:rPr>
        <w:t>Förenta staterna</w:t>
      </w:r>
      <w:r>
        <w:rPr>
          <w:rFonts w:ascii="Times New Roman" w:hAnsi="Times New Roman"/>
          <w:noProof/>
          <w:sz w:val="24"/>
          <w:szCs w:val="24"/>
          <w:lang w:val="sv-SE"/>
        </w:rPr>
        <w:t xml:space="preserve"> förbättrades inte heller under 2019 efter den stora ökningen av antalet hinder för marknadstillträde under 2018. Vi lyckades inte undanröja några hinder under 2019, men fortsätter våra breda insatser.</w:t>
      </w:r>
    </w:p>
    <w:p>
      <w:pPr>
        <w:pStyle w:val="NormalLinespacingMultiple12li"/>
        <w:spacing w:line="240" w:lineRule="auto"/>
        <w:jc w:val="both"/>
        <w:rPr>
          <w:rFonts w:ascii="Times New Roman" w:hAnsi="Times New Roman" w:cs="Times New Roman"/>
          <w:noProof/>
          <w:sz w:val="24"/>
          <w:szCs w:val="24"/>
          <w:lang w:val="sv-SE"/>
        </w:rPr>
      </w:pPr>
      <w:r>
        <w:rPr>
          <w:rFonts w:ascii="Times New Roman" w:hAnsi="Times New Roman"/>
          <w:noProof/>
          <w:sz w:val="24"/>
          <w:szCs w:val="24"/>
          <w:lang w:val="sv-SE"/>
        </w:rPr>
        <w:t>Såsom framgår av denna rapport förefaller ett paradigmskifte äga rum, där protektionismen blir alltmer inrotad i handelsförbindelserna och hindren påverkar sektorer som står i centrum för EU:s tekniska suveränitet, samtidigt som det blir svårare att åtgärda hinder inom olika industri- och tjänstesektorer och hinder spiller över från en region till en annan i ett slags spridningseffekt. Detta kräver en ny EU-strategi för att försvara våra intressen när vi värnar våra rättigheter i ett alltmer polariserat och osäkert handelsklimat.</w:t>
      </w:r>
    </w:p>
    <w:p>
      <w:pPr>
        <w:spacing w:line="240" w:lineRule="auto"/>
        <w:rPr>
          <w:rFonts w:ascii="Times New Roman" w:hAnsi="Times New Roman" w:cs="Times New Roman"/>
          <w:noProof/>
          <w:sz w:val="24"/>
          <w:szCs w:val="24"/>
          <w:lang w:val="sv-SE"/>
        </w:rPr>
      </w:pPr>
    </w:p>
    <w:sectPr>
      <w:headerReference w:type="even" r:id="rId46"/>
      <w:headerReference w:type="default" r:id="rId47"/>
      <w:footerReference w:type="even" r:id="rId48"/>
      <w:footerReference w:type="default" r:id="rId49"/>
      <w:headerReference w:type="first" r:id="rId50"/>
      <w:footerReference w:type="first" r:id="rId51"/>
      <w:pgSz w:w="11906" w:h="16838"/>
      <w:pgMar w:top="1021" w:right="1558" w:bottom="1418" w:left="1588" w:header="601" w:footer="752"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E832DF" w16cid:durableId="222B3B99"/>
  <w16cid:commentId w16cid:paraId="608D6EC5" w16cid:durableId="222B3B9A"/>
  <w16cid:commentId w16cid:paraId="182A9555" w16cid:durableId="222B3B9B"/>
  <w16cid:commentId w16cid:paraId="2376598E" w16cid:durableId="222B3B9C"/>
  <w16cid:commentId w16cid:paraId="0DA6F3BB" w16cid:durableId="222B3B9D"/>
  <w16cid:commentId w16cid:paraId="46304882" w16cid:durableId="222B3B9E"/>
  <w16cid:commentId w16cid:paraId="7F654E15" w16cid:durableId="222B3B9F"/>
  <w16cid:commentId w16cid:paraId="701525E6" w16cid:durableId="222B3BA0"/>
  <w16cid:commentId w16cid:paraId="7E83B3FD" w16cid:durableId="222B3BA1"/>
  <w16cid:commentId w16cid:paraId="7165D17A" w16cid:durableId="222B3BA2"/>
  <w16cid:commentId w16cid:paraId="5B4912AF" w16cid:durableId="222B3BA3"/>
  <w16cid:commentId w16cid:paraId="5BFE2EE7" w16cid:durableId="222B3BA4"/>
  <w16cid:commentId w16cid:paraId="2A90A15E" w16cid:durableId="222B3BA5"/>
  <w16cid:commentId w16cid:paraId="74AAD7AB" w16cid:durableId="222B3BA6"/>
  <w16cid:commentId w16cid:paraId="6F360C6C" w16cid:durableId="222B3BA7"/>
  <w16cid:commentId w16cid:paraId="4FBBF03A" w16cid:durableId="222B3BA8"/>
  <w16cid:commentId w16cid:paraId="4825F84C" w16cid:durableId="222B3BA9"/>
  <w16cid:commentId w16cid:paraId="1407ED77" w16cid:durableId="222B3BAA"/>
  <w16cid:commentId w16cid:paraId="599F3208" w16cid:durableId="222B3BAB"/>
  <w16cid:commentId w16cid:paraId="06BE54EF" w16cid:durableId="222B3BAC"/>
  <w16cid:commentId w16cid:paraId="7B6D4D0A" w16cid:durableId="222B3BAD"/>
  <w16cid:commentId w16cid:paraId="05AC198F" w16cid:durableId="222B3BAF"/>
  <w16cid:commentId w16cid:paraId="0E839886" w16cid:durableId="222B3BB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36</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5174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w:t>
        </w:r>
        <w:r>
          <w:fldChar w:fldCharType="end"/>
        </w:r>
      </w:p>
    </w:sdtContent>
  </w:sdt>
  <w:p>
    <w:pPr>
      <w:pStyle w:val="FooterCoverPage"/>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SV</w:t>
    </w:r>
    <w:r>
      <w:rPr>
        <w:rFonts w:ascii="Arial" w:hAnsi="Arial" w:cs="Arial"/>
        <w:b/>
        <w:sz w:val="48"/>
      </w:rPr>
      <w:tab/>
    </w:r>
    <w:r>
      <w:rPr>
        <w:rFonts w:ascii="Arial" w:hAnsi="Arial" w:cs="Arial"/>
        <w:b/>
        <w:sz w:val="48"/>
      </w:rPr>
      <w:tab/>
    </w:r>
    <w:r>
      <w:tab/>
    </w:r>
    <w:r>
      <w:rPr>
        <w:rFonts w:ascii="Arial" w:hAnsi="Arial" w:cs="Arial"/>
        <w:b/>
        <w:sz w:val="48"/>
      </w:rPr>
      <w:t>SV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93144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CoverPage"/>
      <w:rPr>
        <w:lang w:val="es-E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t>5</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15674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w:t>
        </w:r>
        <w:r>
          <w:fldChar w:fldCharType="end"/>
        </w:r>
      </w:p>
    </w:sdtContent>
  </w:sdt>
  <w:p>
    <w:pPr>
      <w:pStyle w:val="FooterCoverPage"/>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spacing w:line="240" w:lineRule="auto"/>
        <w:ind w:left="142" w:hanging="142"/>
        <w:jc w:val="both"/>
        <w:rPr>
          <w:rFonts w:ascii="Times New Roman" w:hAnsi="Times New Roman" w:cs="Times New Roman"/>
          <w:lang w:val="sv-SE"/>
        </w:rPr>
      </w:pPr>
      <w:r>
        <w:rPr>
          <w:rStyle w:val="FootnoteReference"/>
          <w:sz w:val="22"/>
        </w:rPr>
        <w:footnoteRef/>
      </w:r>
      <w:r>
        <w:rPr>
          <w:lang w:val="sv-SE"/>
        </w:rPr>
        <w:t xml:space="preserve"> </w:t>
      </w:r>
      <w:r>
        <w:rPr>
          <w:rFonts w:ascii="Times New Roman" w:hAnsi="Times New Roman"/>
          <w:lang w:val="sv-SE"/>
        </w:rPr>
        <w:t>Partnerskapet för marknadstillträde inrättades 2007 för att fördjupa samarbetet mellan kommissionen, medlemsstaterna och EU:s näringsliv, både i Bryssel och i tredjeländer. Verksamheten består av månatliga möten i den rådgivande kommittén för marknadstillträde och sektorsinriktade arbetsgrupper för marknadstillträde i Bryssel samt regelbundna möten i marknadstillträdesgrupperna eller möten mellan handelsrådgivare i tredjeländer.</w:t>
      </w:r>
    </w:p>
  </w:footnote>
  <w:footnote w:id="3">
    <w:p>
      <w:pPr>
        <w:pStyle w:val="FootnoteText"/>
        <w:spacing w:line="240" w:lineRule="auto"/>
        <w:ind w:left="142" w:hanging="142"/>
        <w:jc w:val="both"/>
        <w:rPr>
          <w:rFonts w:ascii="Times New Roman" w:hAnsi="Times New Roman" w:cs="Times New Roman"/>
          <w:lang w:val="sv-SE"/>
        </w:rPr>
      </w:pPr>
      <w:r>
        <w:rPr>
          <w:rStyle w:val="FootnoteReference"/>
          <w:rFonts w:ascii="Times New Roman" w:hAnsi="Times New Roman" w:cs="Times New Roman"/>
        </w:rPr>
        <w:footnoteRef/>
      </w:r>
      <w:r>
        <w:rPr>
          <w:lang w:val="sv-SE"/>
        </w:rPr>
        <w:t xml:space="preserve"> Med ”aktiva</w:t>
      </w:r>
      <w:r>
        <w:rPr>
          <w:rFonts w:ascii="Times New Roman" w:hAnsi="Times New Roman"/>
          <w:lang w:val="sv-SE"/>
        </w:rPr>
        <w:t xml:space="preserve">” hinder avses hinder som aktivt följs upp inom ramen för partnerskapet för marknadstillträde (i motsats till undanröjda hinder som inte aktivt följs upp till följd av att de undanröjts). </w:t>
      </w:r>
    </w:p>
  </w:footnote>
  <w:footnote w:id="4">
    <w:p>
      <w:pPr>
        <w:pStyle w:val="FootnoteText"/>
        <w:spacing w:line="240" w:lineRule="auto"/>
        <w:ind w:left="142" w:hanging="142"/>
        <w:jc w:val="both"/>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lang w:val="sv-SE"/>
        </w:rPr>
        <w:t xml:space="preserve"> Databasen med information om marknadstillträde användes under undersökningsperioden (1 januari–31 december 2019 (den har nu ersatts av den förbättrade ”</w:t>
      </w:r>
      <w:r>
        <w:rPr>
          <w:rFonts w:ascii="Times New Roman" w:hAnsi="Times New Roman"/>
          <w:b/>
          <w:bCs/>
          <w:lang w:val="sv-SE"/>
        </w:rPr>
        <w:t>portalen för marknadstillträde</w:t>
      </w:r>
      <w:r>
        <w:rPr>
          <w:rFonts w:ascii="Times New Roman" w:hAnsi="Times New Roman"/>
          <w:lang w:val="sv-SE"/>
        </w:rPr>
        <w:t xml:space="preserve">”) och ger företag som exporterar från EU information om importvillkor på tredjeländers marknader. Här ingår inte bara information om handelshinder, utan även om tullar och ursprungsregler, förfaranden och formaliteter för import till tredjeländer, sanitära och fytosanitära åtgärder, statistik samt särskilda exporttjänster för små och medelstora företag. </w:t>
      </w:r>
    </w:p>
  </w:footnote>
  <w:footnote w:id="5">
    <w:p>
      <w:pPr>
        <w:pStyle w:val="FootnoteText"/>
        <w:spacing w:line="240" w:lineRule="auto"/>
        <w:ind w:left="142" w:hanging="142"/>
        <w:jc w:val="both"/>
        <w:rPr>
          <w:rFonts w:ascii="Times New Roman" w:hAnsi="Times New Roman" w:cs="Times New Roman"/>
          <w:lang w:val="sv-SE"/>
        </w:rPr>
      </w:pPr>
      <w:r>
        <w:rPr>
          <w:rStyle w:val="FootnoteReference"/>
          <w:sz w:val="22"/>
        </w:rPr>
        <w:footnoteRef/>
      </w:r>
      <w:r>
        <w:rPr>
          <w:lang w:val="sv-SE"/>
        </w:rPr>
        <w:t xml:space="preserve"> </w:t>
      </w:r>
      <w:r>
        <w:rPr>
          <w:rFonts w:ascii="Times New Roman" w:hAnsi="Times New Roman"/>
          <w:lang w:val="sv-SE"/>
        </w:rPr>
        <w:t>Algeriet, Argentina, Armenien, Australien, Bangladesh, Bolivia, Bosnien och Hercegovina, Brasilien, Chile, Colombia, Dominikanska republiken, Ecuador, Egypten, Filippinerna, Förenade Arabemiraten, Förenta staterna, Hongkong, Indien, Indonesien, Irak, Iran, Island, Israel, Japan, Jordanien, Kanada, Kazakstan, Kina, Libanon, Malaysia, Marocko, Mexiko, Moçambique, Nigeria, Norge, Nya Zeeland, Oman, Pakistan, Panama, Paraguay, Peru, Qatar, Ryssland, Saudiarabien, Schweiz, Singapore, Sydafrika, Sydkorea, Taiwan, Thailand, Tunisien, Turkiet, Uganda, Ukraina, Uruguay, Venezuela, Vietnam och Vitryssland.</w:t>
      </w:r>
    </w:p>
  </w:footnote>
  <w:footnote w:id="6">
    <w:p>
      <w:pPr>
        <w:pStyle w:val="FootnoteText"/>
        <w:spacing w:line="240" w:lineRule="auto"/>
        <w:ind w:left="142" w:hanging="142"/>
        <w:jc w:val="both"/>
        <w:rPr>
          <w:rFonts w:ascii="Times New Roman" w:hAnsi="Times New Roman" w:cs="Times New Roman"/>
          <w:lang w:val="sv-SE"/>
        </w:rPr>
      </w:pPr>
      <w:r>
        <w:rPr>
          <w:rStyle w:val="FootnoteReference"/>
          <w:rFonts w:ascii="Times New Roman" w:hAnsi="Times New Roman" w:cs="Times New Roman"/>
        </w:rPr>
        <w:footnoteRef/>
      </w:r>
      <w:r>
        <w:rPr>
          <w:lang w:val="sv-SE"/>
        </w:rPr>
        <w:t xml:space="preserve"> </w:t>
      </w:r>
      <w:r>
        <w:rPr>
          <w:rFonts w:ascii="Times New Roman" w:hAnsi="Times New Roman"/>
          <w:lang w:val="sv-SE"/>
        </w:rPr>
        <w:t xml:space="preserve">Om fjolårets åtgärder (425 aktiva hinder) läggs samman med siffrorna för 2019 (43 nya och 40 undanröjda) kommer man upp i 428 hinder. Skillnaden beror på att kommissionen, för att bevaka hinder som endast delvis har undanröjts, har kodat uppföljningen av aktiva hinder från och med 2019, vilket leder till att antalet hinder blir fler nominellt sett utan att detta inverkar på den underliggande trenden. </w:t>
      </w:r>
    </w:p>
  </w:footnote>
  <w:footnote w:id="7">
    <w:p>
      <w:pPr>
        <w:pStyle w:val="FootnoteText"/>
        <w:rPr>
          <w:rFonts w:ascii="Times New Roman" w:hAnsi="Times New Roman" w:cs="Times New Roman"/>
          <w:lang w:val="sv-SE"/>
        </w:rPr>
      </w:pPr>
      <w:r>
        <w:rPr>
          <w:rStyle w:val="FootnoteReference"/>
          <w:rFonts w:ascii="Times New Roman" w:hAnsi="Times New Roman" w:cs="Times New Roman"/>
        </w:rPr>
        <w:footnoteRef/>
      </w:r>
      <w:r>
        <w:rPr>
          <w:lang w:val="sv-SE"/>
        </w:rPr>
        <w:t xml:space="preserve"> </w:t>
      </w:r>
      <w:r>
        <w:rPr>
          <w:rFonts w:ascii="Times New Roman" w:hAnsi="Times New Roman"/>
          <w:lang w:val="sv-SE"/>
        </w:rPr>
        <w:t>Skapad med mapchart.net ©.</w:t>
      </w:r>
    </w:p>
  </w:footnote>
  <w:footnote w:id="8">
    <w:p>
      <w:pPr>
        <w:pStyle w:val="FootnoteText"/>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lang w:val="sv-SE"/>
        </w:rPr>
        <w:t xml:space="preserve"> De återstående 21 hindren (5 % av det totala antalet) klassificeras i kategorin ”övriga åtgärder”. </w:t>
      </w:r>
    </w:p>
  </w:footnote>
  <w:footnote w:id="9">
    <w:p>
      <w:pPr>
        <w:spacing w:line="240" w:lineRule="auto"/>
        <w:jc w:val="both"/>
        <w:rPr>
          <w:rFonts w:ascii="Times New Roman" w:hAnsi="Times New Roman" w:cs="Times New Roman"/>
          <w:sz w:val="20"/>
          <w:szCs w:val="20"/>
          <w:lang w:val="sv-SE"/>
        </w:rPr>
      </w:pPr>
      <w:r>
        <w:rPr>
          <w:rStyle w:val="FootnoteReference"/>
          <w:rFonts w:ascii="Times New Roman" w:hAnsi="Times New Roman" w:cs="Times New Roman"/>
          <w:sz w:val="20"/>
          <w:szCs w:val="20"/>
        </w:rPr>
        <w:footnoteRef/>
      </w:r>
      <w:r>
        <w:rPr>
          <w:rFonts w:ascii="Times New Roman" w:hAnsi="Times New Roman"/>
          <w:sz w:val="20"/>
          <w:szCs w:val="20"/>
          <w:lang w:val="sv-SE"/>
        </w:rPr>
        <w:t xml:space="preserve"> Algeriet, Australien, Brasilien, Colombia, Dominikanska republiken, Egypten, Filippinerna, Hongkong, Indonesien, Kazakstan, Kina, Libanon, Malaysia, Marocko, Mexiko, Pakistan, Qatar, Saudiarabien, Singapore, Sydkorea, Taiwan och Turkiet.</w:t>
      </w:r>
    </w:p>
    <w:p>
      <w:pPr>
        <w:jc w:val="both"/>
        <w:rPr>
          <w:lang w:val="sv-SE"/>
        </w:rPr>
      </w:pPr>
    </w:p>
  </w:footnote>
  <w:footnote w:id="10">
    <w:p>
      <w:pPr>
        <w:pStyle w:val="FootnoteText"/>
        <w:spacing w:line="240" w:lineRule="auto"/>
        <w:ind w:left="142" w:hanging="142"/>
        <w:jc w:val="both"/>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lang w:val="sv-SE"/>
        </w:rPr>
        <w:t xml:space="preserve"> Nio länder i dessa regioner berördes av minst ett nytt eller undanröjt hinder 2019, dvs. Algeriet, Marocko, Tunisien, Egypten, Libanon, Turkiet, Saudiarabien, Förenade Arabemiraten och Qatar. Dessutom har Jordanien och Oman ett hinder var, som registrerades i det totala antalet hinder den 31 december 2019.</w:t>
      </w:r>
    </w:p>
  </w:footnote>
  <w:footnote w:id="11">
    <w:p>
      <w:pPr>
        <w:spacing w:line="240" w:lineRule="auto"/>
        <w:jc w:val="both"/>
        <w:rPr>
          <w:rFonts w:ascii="Times New Roman" w:hAnsi="Times New Roman" w:cs="Times New Roman"/>
          <w:sz w:val="20"/>
          <w:szCs w:val="20"/>
          <w:lang w:val="sv-SE"/>
        </w:rPr>
      </w:pPr>
      <w:r>
        <w:rPr>
          <w:rStyle w:val="FootnoteReference"/>
          <w:rFonts w:ascii="Times New Roman" w:hAnsi="Times New Roman" w:cs="Times New Roman"/>
          <w:sz w:val="20"/>
          <w:szCs w:val="20"/>
        </w:rPr>
        <w:footnoteRef/>
      </w:r>
      <w:r>
        <w:rPr>
          <w:lang w:val="sv-SE"/>
        </w:rPr>
        <w:t xml:space="preserve"> </w:t>
      </w:r>
      <w:r>
        <w:rPr>
          <w:rFonts w:ascii="Times New Roman" w:hAnsi="Times New Roman"/>
          <w:sz w:val="20"/>
          <w:szCs w:val="20"/>
          <w:lang w:val="sv-SE"/>
        </w:rPr>
        <w:t>På det sanitära och fytosanitära området innebar de nya hindren att tredjeländer införde exportförbud för hela territoriet i vissa EU-medlemsstater i stället för att endast ha en begränsning för de områden som är drabbade av djursjukdom. EU:s regionaliseringspolitik har inte respekterats. EU arbetar på att hantera dessa hinder och fortsätter sitt arbete vad gäller liknande hinder från före 2019.</w:t>
      </w:r>
    </w:p>
  </w:footnote>
  <w:footnote w:id="12">
    <w:p>
      <w:pPr>
        <w:spacing w:line="240" w:lineRule="auto"/>
        <w:rPr>
          <w:rFonts w:ascii="Times New Roman" w:hAnsi="Times New Roman" w:cs="Times New Roman"/>
          <w:sz w:val="20"/>
          <w:szCs w:val="20"/>
          <w:lang w:val="sv-SE"/>
        </w:rPr>
      </w:pPr>
      <w:r>
        <w:rPr>
          <w:rStyle w:val="FootnoteReference"/>
          <w:rFonts w:ascii="Times New Roman" w:hAnsi="Times New Roman" w:cs="Times New Roman"/>
          <w:sz w:val="20"/>
          <w:szCs w:val="20"/>
        </w:rPr>
        <w:footnoteRef/>
      </w:r>
      <w:r>
        <w:rPr>
          <w:lang w:val="sv-SE"/>
        </w:rPr>
        <w:t xml:space="preserve"> </w:t>
      </w:r>
      <w:r>
        <w:rPr>
          <w:rFonts w:ascii="Times New Roman" w:hAnsi="Times New Roman"/>
          <w:sz w:val="20"/>
          <w:szCs w:val="20"/>
          <w:lang w:val="sv-SE"/>
        </w:rPr>
        <w:t>”Övriga” omfattar följande sektorer: keramik och glas, kemikalier, byggbranschen, vin och sprit, textilier och läder, järn, stål och icke-järnmetaller samt andra näringsgrenar.</w:t>
      </w:r>
    </w:p>
  </w:footnote>
  <w:footnote w:id="13">
    <w:p>
      <w:pPr>
        <w:pStyle w:val="FootnoteText"/>
        <w:ind w:left="142" w:hanging="142"/>
        <w:jc w:val="both"/>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lang w:val="sv-SE"/>
        </w:rPr>
        <w:t xml:space="preserve"> </w:t>
      </w:r>
      <w:r>
        <w:rPr>
          <w:rFonts w:ascii="Times New Roman" w:hAnsi="Times New Roman"/>
          <w:iCs/>
          <w:lang w:val="sv-SE"/>
        </w:rPr>
        <w:t>Såsom visas i de följande avsnitten har några av dessa hinder undanröjts under det senaste året.</w:t>
      </w:r>
    </w:p>
  </w:footnote>
  <w:footnote w:id="14">
    <w:p>
      <w:pPr>
        <w:pStyle w:val="FootnoteText"/>
        <w:spacing w:line="240" w:lineRule="auto"/>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lang w:val="sv-SE"/>
        </w:rPr>
        <w:t xml:space="preserve"> </w:t>
      </w:r>
      <w:r>
        <w:rPr>
          <w:rFonts w:ascii="Times New Roman" w:hAnsi="Times New Roman"/>
          <w:lang w:val="sv-SE"/>
        </w:rPr>
        <w:tab/>
        <w:t>Världsorganisationen för djurhälsa, som använder sin historiska akronym OIE (”Office International des Epizooties”).</w:t>
      </w:r>
    </w:p>
  </w:footnote>
  <w:footnote w:id="15">
    <w:p>
      <w:pPr>
        <w:pStyle w:val="FootnoteText"/>
        <w:spacing w:line="240" w:lineRule="auto"/>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lang w:val="sv-SE"/>
        </w:rPr>
        <w:t xml:space="preserve"> </w:t>
      </w:r>
      <w:r>
        <w:rPr>
          <w:rFonts w:ascii="Times New Roman" w:hAnsi="Times New Roman"/>
          <w:lang w:val="sv-SE"/>
        </w:rPr>
        <w:tab/>
        <w:t>Kommissionens förslag COM(2019) 623, 12.12.2019.</w:t>
      </w:r>
    </w:p>
  </w:footnote>
  <w:footnote w:id="16">
    <w:p>
      <w:pPr>
        <w:pStyle w:val="FootnoteText"/>
        <w:spacing w:line="240" w:lineRule="auto"/>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lang w:val="sv-SE"/>
        </w:rPr>
        <w:t xml:space="preserve"> </w:t>
      </w:r>
      <w:r>
        <w:rPr>
          <w:rFonts w:ascii="Times New Roman" w:hAnsi="Times New Roman"/>
          <w:lang w:val="sv-SE"/>
        </w:rPr>
        <w:tab/>
        <w:t>”Övriga länder” omfattar Egypten, Ecuador, Kazakstan, Förenade Arabemiraten, Kanada, Thailand, Indonesien, Japan, Mexiko, Moldavien, Sydafrika och Iran.</w:t>
      </w:r>
    </w:p>
  </w:footnote>
  <w:footnote w:id="17">
    <w:p>
      <w:pPr>
        <w:pStyle w:val="FootnoteText"/>
        <w:spacing w:line="240" w:lineRule="auto"/>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lang w:val="sv-SE"/>
        </w:rPr>
        <w:t xml:space="preserve"> </w:t>
      </w:r>
      <w:r>
        <w:rPr>
          <w:rFonts w:ascii="Times New Roman" w:hAnsi="Times New Roman"/>
          <w:lang w:val="sv-SE"/>
        </w:rPr>
        <w:tab/>
        <w:t>”Övriga” omfattar keramik och glas, kemikalier, elektronik, IKT, järn, stål och icke-järnmetaller, trä, papper och massa samt andra industrier.</w:t>
      </w:r>
    </w:p>
  </w:footnote>
  <w:footnote w:id="18">
    <w:p>
      <w:pPr>
        <w:pStyle w:val="FootnoteText"/>
        <w:spacing w:line="240" w:lineRule="auto"/>
        <w:rPr>
          <w:rFonts w:ascii="Times New Roman" w:hAnsi="Times New Roman" w:cs="Times New Roman"/>
          <w:sz w:val="22"/>
          <w:lang w:val="sv-SE"/>
        </w:rPr>
      </w:pPr>
      <w:r>
        <w:rPr>
          <w:rStyle w:val="FootnoteReference"/>
          <w:rFonts w:ascii="Times New Roman" w:hAnsi="Times New Roman" w:cs="Times New Roman"/>
        </w:rPr>
        <w:footnoteRef/>
      </w:r>
      <w:r>
        <w:rPr>
          <w:rFonts w:ascii="Times New Roman" w:hAnsi="Times New Roman"/>
          <w:lang w:val="sv-SE"/>
        </w:rPr>
        <w:t xml:space="preserve"> </w:t>
      </w:r>
      <w:r>
        <w:rPr>
          <w:rFonts w:ascii="Times New Roman" w:hAnsi="Times New Roman"/>
          <w:lang w:val="sv-SE"/>
        </w:rPr>
        <w:tab/>
        <w:t>BSE: Bovin spongiform encefalopati.</w:t>
      </w:r>
    </w:p>
  </w:footnote>
  <w:footnote w:id="19">
    <w:p>
      <w:pPr>
        <w:pStyle w:val="FootnoteText"/>
        <w:spacing w:line="240" w:lineRule="auto"/>
        <w:ind w:left="0" w:firstLine="0"/>
        <w:jc w:val="both"/>
        <w:rPr>
          <w:rFonts w:ascii="Times New Roman" w:hAnsi="Times New Roman"/>
          <w:lang w:val="sv-SE"/>
        </w:rPr>
      </w:pPr>
      <w:r>
        <w:rPr>
          <w:rStyle w:val="FootnoteReference"/>
          <w:rFonts w:ascii="Times New Roman" w:hAnsi="Times New Roman" w:cs="Times New Roman"/>
        </w:rPr>
        <w:footnoteRef/>
      </w:r>
      <w:r>
        <w:rPr>
          <w:lang w:val="sv-SE"/>
        </w:rPr>
        <w:t xml:space="preserve"> </w:t>
      </w:r>
      <w:r>
        <w:rPr>
          <w:rFonts w:ascii="Times New Roman" w:hAnsi="Times New Roman"/>
          <w:lang w:val="sv-SE"/>
        </w:rPr>
        <w:t>Mer specifikt använde vi en difference-in-difference-metod och analyserade effekten på handelsflöden endast mellan EU och de länder som hade infört hindret för de specifika berörda produkterna i förhållande till ett kontrafaktiskt scenario (EU:s export till övriga världen, förutom det land som hade infört hindret).</w:t>
      </w:r>
    </w:p>
  </w:footnote>
  <w:footnote w:id="20">
    <w:p>
      <w:pPr>
        <w:pStyle w:val="FootnoteText"/>
        <w:spacing w:line="240" w:lineRule="auto"/>
        <w:ind w:left="0" w:firstLine="0"/>
        <w:jc w:val="both"/>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lang w:val="sv-SE"/>
        </w:rPr>
        <w:t xml:space="preserve"> Analysen omfattar 100 undanröjda handelshinder från 2014 till 2018. Den omfattar inte de hinder som undanröjdes 2019 eftersom vi behöver minst ett helt år av uppgifter efter hindrets undanröjande för att fastställa effekten på handeln.</w:t>
      </w:r>
    </w:p>
  </w:footnote>
  <w:footnote w:id="21">
    <w:p>
      <w:pPr>
        <w:pStyle w:val="FootnoteText"/>
        <w:spacing w:line="240" w:lineRule="auto"/>
        <w:ind w:left="0" w:firstLine="0"/>
        <w:jc w:val="both"/>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lang w:val="sv-SE"/>
        </w:rPr>
        <w:t xml:space="preserve"> ”Cuban Liberty and Democratic Solidarity (Libertad) Act” från 1996 (Helms-Burton-lagen) är en amerikansk federal lag som stärker Förenta staternas embargo mot Kuba genom att den territoriella tillämpningen av det ursprungliga embargot utvidgas till att omfatta utländska företag som bedriver handel med Kuba.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4851F38"/>
    <w:multiLevelType w:val="hybridMultilevel"/>
    <w:tmpl w:val="697AC460"/>
    <w:lvl w:ilvl="0" w:tplc="2A8EDC34">
      <w:start w:val="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DD0606"/>
    <w:multiLevelType w:val="hybridMultilevel"/>
    <w:tmpl w:val="23389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E478E8"/>
    <w:multiLevelType w:val="hybridMultilevel"/>
    <w:tmpl w:val="78060F0E"/>
    <w:lvl w:ilvl="0" w:tplc="51208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749C6"/>
    <w:multiLevelType w:val="hybridMultilevel"/>
    <w:tmpl w:val="D376E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B204A42"/>
    <w:multiLevelType w:val="hybridMultilevel"/>
    <w:tmpl w:val="27100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0">
    <w:nsid w:val="1DA87987"/>
    <w:multiLevelType w:val="hybridMultilevel"/>
    <w:tmpl w:val="1FF8C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ACE537D"/>
    <w:multiLevelType w:val="hybridMultilevel"/>
    <w:tmpl w:val="1FF8C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6">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8">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9">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1">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6CC7C33"/>
    <w:multiLevelType w:val="hybridMultilevel"/>
    <w:tmpl w:val="9B3A8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3A2483"/>
    <w:multiLevelType w:val="hybridMultilevel"/>
    <w:tmpl w:val="D7BCD7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nsid w:val="422A7E92"/>
    <w:multiLevelType w:val="hybridMultilevel"/>
    <w:tmpl w:val="42AE9D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8">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9">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1">
    <w:nsid w:val="485813D5"/>
    <w:multiLevelType w:val="hybridMultilevel"/>
    <w:tmpl w:val="2F74D8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41F624F"/>
    <w:multiLevelType w:val="hybridMultilevel"/>
    <w:tmpl w:val="98C09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4">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5">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6">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7">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8">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1">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7532577"/>
    <w:multiLevelType w:val="hybridMultilevel"/>
    <w:tmpl w:val="CC10029C"/>
    <w:lvl w:ilvl="0" w:tplc="BD8E7A1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4">
    <w:nsid w:val="68CD4E7B"/>
    <w:multiLevelType w:val="hybridMultilevel"/>
    <w:tmpl w:val="B18CD59E"/>
    <w:lvl w:ilvl="0" w:tplc="7DE8B2F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6">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48">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49">
    <w:nsid w:val="7FFB03B3"/>
    <w:multiLevelType w:val="hybridMultilevel"/>
    <w:tmpl w:val="6180FF76"/>
    <w:lvl w:ilvl="0" w:tplc="9D649206">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25"/>
  </w:num>
  <w:num w:numId="5">
    <w:abstractNumId w:val="15"/>
  </w:num>
  <w:num w:numId="6">
    <w:abstractNumId w:val="24"/>
  </w:num>
  <w:num w:numId="7">
    <w:abstractNumId w:val="40"/>
  </w:num>
  <w:num w:numId="8">
    <w:abstractNumId w:val="45"/>
  </w:num>
  <w:num w:numId="9">
    <w:abstractNumId w:val="20"/>
  </w:num>
  <w:num w:numId="10">
    <w:abstractNumId w:val="39"/>
  </w:num>
  <w:num w:numId="11">
    <w:abstractNumId w:val="38"/>
  </w:num>
  <w:num w:numId="12">
    <w:abstractNumId w:val="30"/>
  </w:num>
  <w:num w:numId="13">
    <w:abstractNumId w:val="33"/>
  </w:num>
  <w:num w:numId="14">
    <w:abstractNumId w:val="12"/>
  </w:num>
  <w:num w:numId="15">
    <w:abstractNumId w:val="21"/>
  </w:num>
  <w:num w:numId="16">
    <w:abstractNumId w:val="7"/>
  </w:num>
  <w:num w:numId="17">
    <w:abstractNumId w:val="16"/>
  </w:num>
  <w:num w:numId="18">
    <w:abstractNumId w:val="46"/>
  </w:num>
  <w:num w:numId="19">
    <w:abstractNumId w:val="19"/>
  </w:num>
  <w:num w:numId="20">
    <w:abstractNumId w:val="37"/>
  </w:num>
  <w:num w:numId="21">
    <w:abstractNumId w:val="27"/>
  </w:num>
  <w:num w:numId="22">
    <w:abstractNumId w:val="43"/>
  </w:num>
  <w:num w:numId="23">
    <w:abstractNumId w:val="18"/>
  </w:num>
  <w:num w:numId="24">
    <w:abstractNumId w:val="28"/>
  </w:num>
  <w:num w:numId="25">
    <w:abstractNumId w:val="9"/>
  </w:num>
  <w:num w:numId="26">
    <w:abstractNumId w:val="29"/>
  </w:num>
  <w:num w:numId="27">
    <w:abstractNumId w:val="35"/>
  </w:num>
  <w:num w:numId="28">
    <w:abstractNumId w:val="36"/>
  </w:num>
  <w:num w:numId="29">
    <w:abstractNumId w:val="17"/>
  </w:num>
  <w:num w:numId="30">
    <w:abstractNumId w:val="34"/>
  </w:num>
  <w:num w:numId="31">
    <w:abstractNumId w:val="48"/>
  </w:num>
  <w:num w:numId="32">
    <w:abstractNumId w:val="31"/>
  </w:num>
  <w:num w:numId="33">
    <w:abstractNumId w:val="22"/>
  </w:num>
  <w:num w:numId="34">
    <w:abstractNumId w:val="2"/>
  </w:num>
  <w:num w:numId="35">
    <w:abstractNumId w:val="26"/>
  </w:num>
  <w:num w:numId="36">
    <w:abstractNumId w:val="14"/>
  </w:num>
  <w:num w:numId="37">
    <w:abstractNumId w:val="23"/>
  </w:num>
  <w:num w:numId="38">
    <w:abstractNumId w:val="32"/>
  </w:num>
  <w:num w:numId="39">
    <w:abstractNumId w:val="4"/>
  </w:num>
  <w:num w:numId="40">
    <w:abstractNumId w:val="5"/>
  </w:num>
  <w:num w:numId="41">
    <w:abstractNumId w:val="8"/>
  </w:num>
  <w:num w:numId="42">
    <w:abstractNumId w:val="49"/>
  </w:num>
  <w:num w:numId="43">
    <w:abstractNumId w:val="10"/>
  </w:num>
  <w:num w:numId="44">
    <w:abstractNumId w:val="6"/>
  </w:num>
  <w:num w:numId="45">
    <w:abstractNumId w:val="42"/>
  </w:num>
  <w:num w:numId="46">
    <w:abstractNumId w:val="44"/>
  </w:num>
  <w:num w:numId="47">
    <w:abstractNumId w:val="13"/>
  </w:num>
  <w:num w:numId="48">
    <w:abstractNumId w:val="4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93B4AFD0-9A33-4CDE-B3DC-BD4534C98CE8"/>
    <w:docVar w:name="LW_COVERPAGE_TYPE" w:val="1"/>
    <w:docVar w:name="LW_CROSSREFERENCE" w:val="&lt;UNUSED&gt;"/>
    <w:docVar w:name="LW_DocType" w:val="REP"/>
    <w:docVar w:name="LW_EMISSION" w:val="15.6.2020"/>
    <w:docVar w:name="LW_EMISSION_ISODATE" w:val="2020-06-15"/>
    <w:docVar w:name="LW_EMISSION_LOCATION" w:val="BRX"/>
    <w:docVar w:name="LW_EMISSION_PREFIX" w:val="Bryssel den "/>
    <w:docVar w:name="LW_EMISSION_SUFFIX" w:val=" "/>
    <w:docVar w:name="LW_ID_DOCTYPE_NONLW" w:val="CP-006"/>
    <w:docVar w:name="LW_LANGUE" w:val="SV"/>
    <w:docVar w:name="LW_LEVEL_OF_SENSITIVITY" w:val="Standard treatment"/>
    <w:docVar w:name="LW_NOM.INST" w:val="EUROPEISKA KOMMISSIONEN"/>
    <w:docVar w:name="LW_NOM.INST_JOINTDOC" w:val="&lt;EMPTY&gt;"/>
    <w:docVar w:name="LW_PART_NBR" w:val="1"/>
    <w:docVar w:name="LW_PART_NBR_TOTAL" w:val="1"/>
    <w:docVar w:name="LW_REF.INST.NEW" w:val="COM"/>
    <w:docVar w:name="LW_REF.INST.NEW_ADOPTED" w:val="final"/>
    <w:docVar w:name="LW_REF.INST.NEW_TEXT" w:val="(2020) 23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om hinder för handel och investeringar _x000d__x000d__x000b__x000d__x000d__x000d__x000b_1 januari 2019\u8211?31 december 2019_x000b_"/>
    <w:docVar w:name="LW_TYPE.DOC.CP" w:val="RAPPORT FRÅN KOMMISSIONEN TILL EUROPAPARLAMENTET OCH RÅDET"/>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IE" w:eastAsia="en-US"/>
    </w:rPr>
  </w:style>
  <w:style w:type="paragraph" w:styleId="Heading1">
    <w:name w:val="heading 1"/>
    <w:basedOn w:val="Normal"/>
    <w:next w:val="Text1"/>
    <w:link w:val="Heading1Char"/>
    <w:uiPriority w:val="9"/>
    <w:qFormat/>
    <w:pPr>
      <w:keepNext/>
      <w:numPr>
        <w:numId w:val="48"/>
      </w:numPr>
      <w:spacing w:before="360"/>
      <w:outlineLvl w:val="0"/>
    </w:pPr>
    <w:rPr>
      <w:rFonts w:eastAsiaTheme="majorEastAsia"/>
      <w:b/>
      <w:bCs/>
      <w:smallCaps/>
      <w:szCs w:val="28"/>
    </w:rPr>
  </w:style>
  <w:style w:type="paragraph" w:styleId="Heading2">
    <w:name w:val="heading 2"/>
    <w:basedOn w:val="Normal"/>
    <w:next w:val="Text1"/>
    <w:link w:val="Heading2Char"/>
    <w:uiPriority w:val="9"/>
    <w:unhideWhenUsed/>
    <w:qFormat/>
    <w:pPr>
      <w:keepNext/>
      <w:numPr>
        <w:ilvl w:val="1"/>
        <w:numId w:val="48"/>
      </w:numPr>
      <w:outlineLvl w:val="1"/>
    </w:pPr>
    <w:rPr>
      <w:rFonts w:eastAsiaTheme="majorEastAsia"/>
      <w:b/>
      <w:bCs/>
      <w:szCs w:val="26"/>
    </w:rPr>
  </w:style>
  <w:style w:type="paragraph" w:styleId="Heading3">
    <w:name w:val="heading 3"/>
    <w:basedOn w:val="Normal"/>
    <w:next w:val="Text1"/>
    <w:link w:val="Heading3Char"/>
    <w:uiPriority w:val="9"/>
    <w:unhideWhenUsed/>
    <w:qFormat/>
    <w:pPr>
      <w:keepNext/>
      <w:numPr>
        <w:ilvl w:val="2"/>
        <w:numId w:val="48"/>
      </w:numPr>
      <w:outlineLvl w:val="2"/>
    </w:pPr>
    <w:rPr>
      <w:rFonts w:eastAsiaTheme="majorEastAsia"/>
      <w:bCs/>
      <w:i/>
    </w:rPr>
  </w:style>
  <w:style w:type="paragraph" w:styleId="Heading4">
    <w:name w:val="heading 4"/>
    <w:basedOn w:val="Normal"/>
    <w:next w:val="Text1"/>
    <w:link w:val="Heading4Char"/>
    <w:uiPriority w:val="9"/>
    <w:unhideWhenUsed/>
    <w:qFormat/>
    <w:pPr>
      <w:keepNext/>
      <w:numPr>
        <w:ilvl w:val="3"/>
        <w:numId w:val="48"/>
      </w:numPr>
      <w:outlineLvl w:val="3"/>
    </w:pPr>
    <w:rPr>
      <w:rFonts w:eastAsiaTheme="majorEastAsia"/>
      <w:bCs/>
      <w:iCs/>
    </w:rPr>
  </w:style>
  <w:style w:type="paragraph" w:styleId="Heading5">
    <w:name w:val="heading 5"/>
    <w:basedOn w:val="Normal"/>
    <w:next w:val="Normal"/>
    <w:qFormat/>
    <w:pPr>
      <w:tabs>
        <w:tab w:val="num" w:pos="0"/>
      </w:tabs>
      <w:spacing w:before="240" w:after="60"/>
      <w:outlineLvl w:val="4"/>
    </w:pPr>
    <w:rPr>
      <w:rFonts w:ascii="Arial" w:hAnsi="Arial"/>
    </w:rPr>
  </w:style>
  <w:style w:type="paragraph" w:styleId="Heading6">
    <w:name w:val="heading 6"/>
    <w:basedOn w:val="Normal"/>
    <w:next w:val="Normal"/>
    <w:qFormat/>
    <w:pPr>
      <w:tabs>
        <w:tab w:val="num" w:pos="0"/>
      </w:tabs>
      <w:spacing w:before="240" w:after="60"/>
      <w:outlineLvl w:val="5"/>
    </w:pPr>
    <w:rPr>
      <w:rFonts w:ascii="Arial" w:hAnsi="Arial"/>
      <w:i/>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Address">
    <w:name w:val="Address"/>
    <w:basedOn w:val="Normal"/>
    <w:next w:val="Normal"/>
    <w:pPr>
      <w:keepLines/>
      <w:spacing w:line="360" w:lineRule="auto"/>
      <w:ind w:left="3402"/>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Normal"/>
    <w:pPr>
      <w:keepNext/>
      <w:spacing w:after="360"/>
      <w:jc w:val="center"/>
    </w:pPr>
    <w:rPr>
      <w:b/>
      <w:sz w:val="32"/>
    </w:rPr>
  </w:style>
  <w:style w:type="paragraph" w:customStyle="1" w:styleId="SectionTitle">
    <w:name w:val="SectionTitle"/>
    <w:basedOn w:val="Normal"/>
    <w:next w:val="Heading1"/>
    <w:pPr>
      <w:keepNext/>
      <w:spacing w:after="36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paragraph" w:styleId="Date">
    <w:name w:val="Date"/>
    <w:basedOn w:val="Normal"/>
    <w:next w:val="References"/>
    <w:pPr>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pPr>
  </w:style>
  <w:style w:type="paragraph" w:customStyle="1" w:styleId="Enclosures">
    <w:name w:val="Enclosures"/>
    <w:basedOn w:val="Normal"/>
    <w:pPr>
      <w:keepNext/>
      <w:keepLines/>
      <w:tabs>
        <w:tab w:val="left" w:pos="5642"/>
      </w:tabs>
      <w:spacing w:before="48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unhideWhenUsed/>
    <w:pPr>
      <w:spacing w:after="0"/>
      <w:ind w:left="720" w:hanging="720"/>
    </w:pPr>
    <w:rPr>
      <w:sz w:val="20"/>
      <w:szCs w:val="20"/>
    </w:rPr>
  </w:style>
  <w:style w:type="paragraph" w:styleId="Header">
    <w:name w:val="header"/>
    <w:basedOn w:val="Normal"/>
    <w:link w:val="HeaderChar"/>
    <w:uiPriority w:val="99"/>
    <w:unhideWhenUsed/>
    <w:pPr>
      <w:tabs>
        <w:tab w:val="center" w:pos="4535"/>
        <w:tab w:val="right" w:pos="9071"/>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pPr>
  </w:style>
  <w:style w:type="paragraph" w:styleId="ListBullet3">
    <w:name w:val="List Bullet 3"/>
    <w:basedOn w:val="Text3"/>
    <w:pPr>
      <w:numPr>
        <w:numId w:val="7"/>
      </w:numPr>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Normal"/>
    <w:next w:val="Text1"/>
    <w:pPr>
      <w:numPr>
        <w:numId w:val="47"/>
      </w:numPr>
    </w:pPr>
  </w:style>
  <w:style w:type="paragraph" w:customStyle="1" w:styleId="NumPar2">
    <w:name w:val="NumPar 2"/>
    <w:basedOn w:val="Normal"/>
    <w:next w:val="Text1"/>
    <w:pPr>
      <w:numPr>
        <w:ilvl w:val="1"/>
        <w:numId w:val="47"/>
      </w:numPr>
    </w:pPr>
  </w:style>
  <w:style w:type="paragraph" w:customStyle="1" w:styleId="NumPar3">
    <w:name w:val="NumPar 3"/>
    <w:basedOn w:val="Normal"/>
    <w:next w:val="Text1"/>
    <w:pPr>
      <w:numPr>
        <w:ilvl w:val="2"/>
        <w:numId w:val="47"/>
      </w:numPr>
    </w:pPr>
  </w:style>
  <w:style w:type="paragraph" w:customStyle="1" w:styleId="NumPar4">
    <w:name w:val="NumPar 4"/>
    <w:basedOn w:val="Normal"/>
    <w:next w:val="Text1"/>
    <w:pPr>
      <w:numPr>
        <w:ilvl w:val="3"/>
        <w:numId w:val="47"/>
      </w:numPr>
    </w:pPr>
  </w:style>
  <w:style w:type="paragraph" w:customStyle="1" w:styleId="PartTitle">
    <w:name w:val="PartTitle"/>
    <w:basedOn w:val="Normal"/>
    <w:next w:val="ChapterTitle"/>
    <w:pPr>
      <w:keepNext/>
      <w:pageBreakBefore/>
      <w:spacing w:after="36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semiHidden/>
    <w:unhideWhenUsed/>
    <w:pPr>
      <w:tabs>
        <w:tab w:val="right" w:leader="dot" w:pos="9071"/>
      </w:tabs>
      <w:spacing w:before="60"/>
      <w:ind w:left="850" w:hanging="850"/>
    </w:pPr>
  </w:style>
  <w:style w:type="paragraph" w:styleId="TOC2">
    <w:name w:val="toc 2"/>
    <w:basedOn w:val="Normal"/>
    <w:next w:val="Normal"/>
    <w:uiPriority w:val="39"/>
    <w:semiHidden/>
    <w:unhideWhenUsed/>
    <w:pPr>
      <w:tabs>
        <w:tab w:val="right" w:leader="dot" w:pos="9071"/>
      </w:tabs>
      <w:spacing w:before="60"/>
      <w:ind w:left="850" w:hanging="850"/>
    </w:pPr>
  </w:style>
  <w:style w:type="paragraph" w:styleId="TOC3">
    <w:name w:val="toc 3"/>
    <w:basedOn w:val="Normal"/>
    <w:next w:val="Normal"/>
    <w:uiPriority w:val="39"/>
    <w:semiHidden/>
    <w:unhideWhenUsed/>
    <w:pPr>
      <w:tabs>
        <w:tab w:val="right" w:leader="dot" w:pos="9071"/>
      </w:tabs>
      <w:spacing w:before="60"/>
      <w:ind w:left="850" w:hanging="850"/>
    </w:pPr>
  </w:style>
  <w:style w:type="paragraph" w:styleId="TOC4">
    <w:name w:val="toc 4"/>
    <w:basedOn w:val="Normal"/>
    <w:next w:val="Normal"/>
    <w:uiPriority w:val="39"/>
    <w:semiHidden/>
    <w:unhideWhenUsed/>
    <w:pPr>
      <w:tabs>
        <w:tab w:val="right" w:leader="dot" w:pos="9071"/>
      </w:tabs>
      <w:spacing w:before="60"/>
      <w:ind w:left="850" w:hanging="850"/>
    </w:pPr>
  </w:style>
  <w:style w:type="paragraph" w:styleId="TOC5">
    <w:name w:val="toc 5"/>
    <w:basedOn w:val="Normal"/>
    <w:next w:val="Normal"/>
    <w:uiPriority w:val="39"/>
    <w:semiHidden/>
    <w:unhideWhenUsed/>
    <w:pPr>
      <w:tabs>
        <w:tab w:val="right" w:leader="dot" w:pos="9071"/>
      </w:tabs>
      <w:spacing w:before="300"/>
    </w:pPr>
  </w:style>
  <w:style w:type="paragraph" w:styleId="TOC6">
    <w:name w:val="toc 6"/>
    <w:basedOn w:val="Normal"/>
    <w:next w:val="Normal"/>
    <w:uiPriority w:val="39"/>
    <w:semiHidden/>
    <w:unhideWhenUsed/>
    <w:pPr>
      <w:tabs>
        <w:tab w:val="right" w:leader="dot" w:pos="9071"/>
      </w:tabs>
      <w:spacing w:before="240"/>
    </w:pPr>
  </w:style>
  <w:style w:type="paragraph" w:styleId="TOC7">
    <w:name w:val="toc 7"/>
    <w:basedOn w:val="Normal"/>
    <w:next w:val="Normal"/>
    <w:uiPriority w:val="39"/>
    <w:semiHidden/>
    <w:unhideWhenUsed/>
    <w:pPr>
      <w:tabs>
        <w:tab w:val="right" w:leader="dot" w:pos="9071"/>
      </w:tabs>
      <w:spacing w:before="180"/>
    </w:pPr>
  </w:style>
  <w:style w:type="paragraph" w:styleId="TOC8">
    <w:name w:val="toc 8"/>
    <w:basedOn w:val="Normal"/>
    <w:next w:val="Normal"/>
    <w:uiPriority w:val="39"/>
    <w:semiHidden/>
    <w:unhideWhenUsed/>
    <w:pPr>
      <w:tabs>
        <w:tab w:val="right" w:leader="dot" w:pos="9071"/>
      </w:tabs>
    </w:pPr>
  </w:style>
  <w:style w:type="paragraph" w:styleId="TOC9">
    <w:name w:val="toc 9"/>
    <w:basedOn w:val="Normal"/>
    <w:next w:val="Normal"/>
    <w:uiPriority w:val="39"/>
    <w:semiHidden/>
    <w:unhideWhenUsed/>
    <w:pPr>
      <w:tabs>
        <w:tab w:val="right" w:leader="dot" w:pos="9071"/>
      </w:tabs>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pPr>
  </w:style>
  <w:style w:type="paragraph" w:customStyle="1" w:styleId="ListDash3">
    <w:name w:val="List Dash 3"/>
    <w:basedOn w:val="Text3"/>
    <w:pPr>
      <w:numPr>
        <w:numId w:val="12"/>
      </w:numPr>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unhideWhenUsed/>
    <w:qFormat/>
    <w:pPr>
      <w:spacing w:after="240"/>
      <w:jc w:val="center"/>
    </w:pPr>
    <w:rPr>
      <w:b/>
      <w:sz w:val="28"/>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rPr>
  </w:style>
  <w:style w:type="paragraph" w:customStyle="1" w:styleId="RUE">
    <w:name w:val="RUE"/>
    <w:basedOn w:val="Normal"/>
    <w:pPr>
      <w:jc w:val="center"/>
    </w:pPr>
    <w:rPr>
      <w:b/>
      <w:caps/>
      <w:sz w:val="32"/>
      <w:bdr w:val="single" w:sz="18" w:space="0" w:color="auto"/>
    </w:rPr>
  </w:style>
  <w:style w:type="paragraph" w:customStyle="1" w:styleId="ConfidentialUE">
    <w:name w:val="Confidential UE"/>
    <w:basedOn w:val="Normal"/>
    <w:pPr>
      <w:jc w:val="center"/>
    </w:pPr>
    <w:rPr>
      <w:b/>
      <w:caps/>
      <w:sz w:val="32"/>
      <w:bdr w:val="single" w:sz="18" w:space="0" w:color="auto"/>
    </w:rPr>
  </w:style>
  <w:style w:type="paragraph" w:customStyle="1" w:styleId="SecretUE">
    <w:name w:val="Secret UE"/>
    <w:basedOn w:val="Normal"/>
    <w:pPr>
      <w:jc w:val="center"/>
    </w:pPr>
    <w:rPr>
      <w:b/>
      <w:caps/>
      <w:color w:val="FF0000"/>
      <w:sz w:val="32"/>
      <w:bdr w:val="single" w:sz="18" w:space="0" w:color="FF0000"/>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val="en-GB" w:eastAsia="en-US"/>
    </w:rPr>
  </w:style>
  <w:style w:type="paragraph" w:customStyle="1" w:styleId="ZCom">
    <w:name w:val="Z_Com"/>
    <w:basedOn w:val="Normal"/>
    <w:next w:val="ZDGName"/>
    <w:uiPriority w:val="99"/>
    <w:pPr>
      <w:widowControl w:val="0"/>
      <w:autoSpaceDE w:val="0"/>
      <w:autoSpaceDN w:val="0"/>
      <w:ind w:right="85"/>
    </w:pPr>
    <w:rPr>
      <w:rFonts w:ascii="Arial" w:eastAsiaTheme="minorEastAsia" w:hAnsi="Arial" w:cs="Arial"/>
      <w:lang w:eastAsia="en-GB"/>
    </w:rPr>
  </w:style>
  <w:style w:type="paragraph" w:customStyle="1" w:styleId="ZDGName">
    <w:name w:val="Z_DGName"/>
    <w:basedOn w:val="Normal"/>
    <w:uiPriority w:val="99"/>
    <w:pPr>
      <w:widowControl w:val="0"/>
      <w:autoSpaceDE w:val="0"/>
      <w:autoSpaceDN w:val="0"/>
      <w:ind w:right="85"/>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rFonts w:eastAsiaTheme="minorHAnsi"/>
      <w:sz w:val="24"/>
      <w:szCs w:val="22"/>
      <w:lang w:val="en-GB"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val="en-IE" w:eastAsia="en-US"/>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heme="minorHAnsi"/>
      <w:lang w:val="en-GB" w:eastAsia="en-US"/>
    </w:rPr>
  </w:style>
  <w:style w:type="character" w:styleId="FootnoteReference">
    <w:name w:val="footnote reference"/>
    <w:aliases w:val="Ref,de nota al pie,Footnote Reference1,Ref1,de nota al pie1,註腳內容,de nota al pie + (Asian) MS Mincho,11 pt,-E Fußnotenzeichen,16 Point,Superscript 6 Point,註?腳內—e"/>
    <w:basedOn w:val="DefaultParagraphFont"/>
    <w:uiPriority w:val="99"/>
    <w:unhideWhenUsed/>
    <w:rPr>
      <w:shd w:val="clear" w:color="auto" w:fill="auto"/>
      <w:vertAlign w:val="superscript"/>
    </w:rPr>
  </w:style>
  <w:style w:type="character" w:customStyle="1" w:styleId="TitleChar">
    <w:name w:val="Title Char"/>
    <w:link w:val="Title"/>
    <w:rPr>
      <w:b/>
      <w:kern w:val="28"/>
      <w:sz w:val="48"/>
      <w:lang w:eastAsia="en-US"/>
    </w:rPr>
  </w:style>
  <w:style w:type="paragraph" w:customStyle="1" w:styleId="NormalLinespacingMultiple12li">
    <w:name w:val="Normal + Line spacing:  Multiple 1.2 li"/>
    <w:basedOn w:val="Normal"/>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uiPriority w:val="99"/>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eastAsiaTheme="minorHAnsi"/>
      <w:sz w:val="24"/>
      <w:szCs w:val="22"/>
      <w:lang w:val="en-IE" w:eastAsia="en-US"/>
    </w:rPr>
  </w:style>
  <w:style w:type="paragraph" w:customStyle="1" w:styleId="Typedudocument">
    <w:name w:val="Type du document"/>
    <w:basedOn w:val="Normal"/>
    <w:next w:val="Titreobjet"/>
    <w:pPr>
      <w:spacing w:before="360" w:after="0"/>
      <w:jc w:val="center"/>
    </w:pPr>
    <w:rPr>
      <w:b/>
    </w:rPr>
  </w:style>
  <w:style w:type="paragraph" w:customStyle="1" w:styleId="Titreobjet">
    <w:name w:val="Titre objet"/>
    <w:basedOn w:val="Normal"/>
    <w:next w:val="IntrtEEE"/>
    <w:pPr>
      <w:spacing w:before="360" w:after="360"/>
      <w:jc w:val="center"/>
    </w:pPr>
    <w:rPr>
      <w:b/>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styleId="NormalWeb">
    <w:name w:val="Normal (Web)"/>
    <w:basedOn w:val="Normal"/>
    <w:uiPriority w:val="99"/>
    <w:unhideWhenUsed/>
    <w:pPr>
      <w:spacing w:before="100" w:beforeAutospacing="1" w:after="100" w:afterAutospacing="1"/>
    </w:pPr>
    <w:rPr>
      <w:lang w:eastAsia="en-GB"/>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BriefingtextChar">
    <w:name w:val="Briefing text Char"/>
    <w:basedOn w:val="DefaultParagraphFont"/>
    <w:link w:val="Briefingtext"/>
    <w:locked/>
    <w:rPr>
      <w:rFonts w:ascii="Arial" w:hAnsi="Arial" w:cs="Arial"/>
      <w:lang w:eastAsia="en-US"/>
    </w:rPr>
  </w:style>
  <w:style w:type="paragraph" w:customStyle="1" w:styleId="Briefingtext">
    <w:name w:val="Briefing text"/>
    <w:basedOn w:val="Normal"/>
    <w:link w:val="BriefingtextChar"/>
    <w:rPr>
      <w:rFonts w:ascii="Arial" w:hAnsi="Arial" w:cs="Arial"/>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suppressAutoHyphens/>
      <w:autoSpaceDN w:val="0"/>
      <w:spacing w:after="200" w:line="276" w:lineRule="auto"/>
      <w:textAlignment w:val="baseline"/>
    </w:pPr>
    <w:rPr>
      <w:rFonts w:ascii="Calibri" w:eastAsia="Calibri" w:hAnsi="Calibri" w:cs="Calibri"/>
      <w:kern w:val="3"/>
      <w:sz w:val="22"/>
      <w:szCs w:val="22"/>
      <w:lang w:eastAsia="zh-CN"/>
    </w:rPr>
  </w:style>
  <w:style w:type="paragraph" w:customStyle="1" w:styleId="selectionshareable">
    <w:name w:val="selectionshareable"/>
    <w:basedOn w:val="Normal"/>
    <w:pPr>
      <w:spacing w:before="100" w:beforeAutospacing="1" w:after="100" w:afterAutospacing="1"/>
    </w:pPr>
    <w:rPr>
      <w:lang w:eastAsia="en-GB"/>
    </w:rPr>
  </w:style>
  <w:style w:type="character" w:customStyle="1" w:styleId="Heading1Char">
    <w:name w:val="Heading 1 Char"/>
    <w:basedOn w:val="DefaultParagraphFont"/>
    <w:link w:val="Heading1"/>
    <w:uiPriority w:val="9"/>
    <w:rPr>
      <w:rFonts w:eastAsiaTheme="majorEastAsia"/>
      <w:b/>
      <w:bCs/>
      <w:smallCaps/>
      <w:sz w:val="24"/>
      <w:szCs w:val="28"/>
      <w:lang w:val="en-GB" w:eastAsia="en-US"/>
    </w:rPr>
  </w:style>
  <w:style w:type="character" w:customStyle="1" w:styleId="Heading2Char">
    <w:name w:val="Heading 2 Char"/>
    <w:basedOn w:val="DefaultParagraphFont"/>
    <w:link w:val="Heading2"/>
    <w:uiPriority w:val="9"/>
    <w:rPr>
      <w:rFonts w:eastAsiaTheme="majorEastAsia"/>
      <w:b/>
      <w:bCs/>
      <w:sz w:val="24"/>
      <w:szCs w:val="26"/>
      <w:lang w:val="en-GB" w:eastAsia="en-US"/>
    </w:rPr>
  </w:style>
  <w:style w:type="character" w:customStyle="1" w:styleId="Heading3Char">
    <w:name w:val="Heading 3 Char"/>
    <w:basedOn w:val="DefaultParagraphFont"/>
    <w:link w:val="Heading3"/>
    <w:uiPriority w:val="9"/>
    <w:rPr>
      <w:rFonts w:eastAsiaTheme="majorEastAsia"/>
      <w:bCs/>
      <w:i/>
      <w:sz w:val="24"/>
      <w:szCs w:val="22"/>
      <w:lang w:val="en-GB" w:eastAsia="en-US"/>
    </w:rPr>
  </w:style>
  <w:style w:type="character" w:customStyle="1" w:styleId="Heading4Char">
    <w:name w:val="Heading 4 Char"/>
    <w:basedOn w:val="DefaultParagraphFont"/>
    <w:link w:val="Heading4"/>
    <w:uiPriority w:val="9"/>
    <w:rPr>
      <w:rFonts w:eastAsiaTheme="majorEastAsia"/>
      <w:bCs/>
      <w:iCs/>
      <w:sz w:val="24"/>
      <w:szCs w:val="22"/>
      <w:lang w:val="en-GB" w:eastAsia="en-US"/>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TableTitle">
    <w:name w:val="Table Title"/>
    <w:basedOn w:val="Normal"/>
    <w:next w:val="Normal"/>
    <w:pPr>
      <w:jc w:val="center"/>
    </w:pPr>
    <w:rPr>
      <w: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25"/>
      </w:numPr>
    </w:pPr>
  </w:style>
  <w:style w:type="paragraph" w:customStyle="1" w:styleId="Point1number">
    <w:name w:val="Point 1 (number)"/>
    <w:basedOn w:val="Normal"/>
    <w:pPr>
      <w:numPr>
        <w:ilvl w:val="2"/>
        <w:numId w:val="25"/>
      </w:numPr>
    </w:pPr>
  </w:style>
  <w:style w:type="paragraph" w:customStyle="1" w:styleId="Point2number">
    <w:name w:val="Point 2 (number)"/>
    <w:basedOn w:val="Normal"/>
    <w:pPr>
      <w:numPr>
        <w:ilvl w:val="4"/>
        <w:numId w:val="25"/>
      </w:numPr>
    </w:pPr>
  </w:style>
  <w:style w:type="paragraph" w:customStyle="1" w:styleId="Point3number">
    <w:name w:val="Point 3 (number)"/>
    <w:basedOn w:val="Normal"/>
    <w:pPr>
      <w:numPr>
        <w:ilvl w:val="6"/>
        <w:numId w:val="25"/>
      </w:numPr>
    </w:pPr>
  </w:style>
  <w:style w:type="paragraph" w:customStyle="1" w:styleId="Point0letter">
    <w:name w:val="Point 0 (letter)"/>
    <w:basedOn w:val="Normal"/>
    <w:pPr>
      <w:numPr>
        <w:ilvl w:val="1"/>
        <w:numId w:val="25"/>
      </w:numPr>
    </w:pPr>
  </w:style>
  <w:style w:type="paragraph" w:customStyle="1" w:styleId="Point1letter">
    <w:name w:val="Point 1 (letter)"/>
    <w:basedOn w:val="Normal"/>
    <w:pPr>
      <w:numPr>
        <w:ilvl w:val="3"/>
        <w:numId w:val="25"/>
      </w:numPr>
    </w:pPr>
  </w:style>
  <w:style w:type="paragraph" w:customStyle="1" w:styleId="Point2letter">
    <w:name w:val="Point 2 (letter)"/>
    <w:basedOn w:val="Normal"/>
    <w:pPr>
      <w:numPr>
        <w:ilvl w:val="5"/>
        <w:numId w:val="25"/>
      </w:numPr>
    </w:pPr>
  </w:style>
  <w:style w:type="paragraph" w:customStyle="1" w:styleId="Point3letter">
    <w:name w:val="Point 3 (letter)"/>
    <w:basedOn w:val="Normal"/>
    <w:pPr>
      <w:numPr>
        <w:ilvl w:val="7"/>
        <w:numId w:val="25"/>
      </w:numPr>
    </w:pPr>
  </w:style>
  <w:style w:type="paragraph" w:customStyle="1" w:styleId="Point4letter">
    <w:name w:val="Point 4 (letter)"/>
    <w:basedOn w:val="Normal"/>
    <w:pPr>
      <w:numPr>
        <w:ilvl w:val="8"/>
        <w:numId w:val="25"/>
      </w:numPr>
    </w:pPr>
  </w:style>
  <w:style w:type="paragraph" w:customStyle="1" w:styleId="Bullet0">
    <w:name w:val="Bullet 0"/>
    <w:basedOn w:val="Normal"/>
    <w:pPr>
      <w:numPr>
        <w:numId w:val="26"/>
      </w:numPr>
    </w:pPr>
  </w:style>
  <w:style w:type="paragraph" w:customStyle="1" w:styleId="Bullet1">
    <w:name w:val="Bullet 1"/>
    <w:basedOn w:val="Normal"/>
    <w:pPr>
      <w:numPr>
        <w:numId w:val="27"/>
      </w:numPr>
    </w:pPr>
  </w:style>
  <w:style w:type="paragraph" w:customStyle="1" w:styleId="Bullet2">
    <w:name w:val="Bullet 2"/>
    <w:basedOn w:val="Normal"/>
    <w:pPr>
      <w:numPr>
        <w:numId w:val="28"/>
      </w:numPr>
    </w:pPr>
  </w:style>
  <w:style w:type="paragraph" w:customStyle="1" w:styleId="Bullet3">
    <w:name w:val="Bullet 3"/>
    <w:basedOn w:val="Normal"/>
    <w:pPr>
      <w:numPr>
        <w:numId w:val="29"/>
      </w:numPr>
    </w:pPr>
  </w:style>
  <w:style w:type="paragraph" w:customStyle="1" w:styleId="Bullet4">
    <w:name w:val="Bullet 4"/>
    <w:basedOn w:val="Normal"/>
    <w:pPr>
      <w:numPr>
        <w:numId w:val="30"/>
      </w:numPr>
    </w:pPr>
  </w:style>
  <w:style w:type="paragraph" w:customStyle="1" w:styleId="Langue">
    <w:name w:val="Langue"/>
    <w:basedOn w:val="Normal"/>
    <w:next w:val="Rfrenceinterne"/>
    <w:pPr>
      <w:framePr w:wrap="around" w:vAnchor="page" w:hAnchor="text" w:xAlign="center" w:y="14741"/>
      <w:spacing w:after="600"/>
      <w:jc w:val="center"/>
    </w:pPr>
    <w:rPr>
      <w:b/>
      <w:caps/>
    </w:rPr>
  </w:style>
  <w:style w:type="paragraph" w:customStyle="1" w:styleId="Nomdelinstitution">
    <w:name w:val="Nom de l'institution"/>
    <w:basedOn w:val="Normal"/>
    <w:next w:val="Emission"/>
    <w:pPr>
      <w:spacing w:after="0"/>
    </w:pPr>
    <w:rPr>
      <w:rFonts w:ascii="Arial" w:hAnsi="Arial" w:cs="Arial"/>
    </w:rPr>
  </w:style>
  <w:style w:type="paragraph" w:customStyle="1" w:styleId="Emission">
    <w:name w:val="Emission"/>
    <w:basedOn w:val="Normal"/>
    <w:next w:val="Rfrenceinstitutionnelle"/>
    <w:pPr>
      <w:spacing w:after="0"/>
      <w:ind w:left="5103"/>
    </w:pPr>
  </w:style>
  <w:style w:type="paragraph" w:customStyle="1" w:styleId="Rfrenceinstitutionnelle">
    <w:name w:val="Référence institutionnelle"/>
    <w:basedOn w:val="Normal"/>
    <w:next w:val="Confidentialit"/>
    <w:pPr>
      <w:spacing w:after="240"/>
      <w:ind w:left="5103"/>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pPr>
    <w:rPr>
      <w:i/>
      <w:sz w:val="32"/>
    </w:rPr>
  </w:style>
  <w:style w:type="paragraph" w:customStyle="1" w:styleId="Considrant">
    <w:name w:val="Considérant"/>
    <w:basedOn w:val="Normal"/>
    <w:pPr>
      <w:numPr>
        <w:numId w:val="31"/>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after="0"/>
    </w:pPr>
    <w:rPr>
      <w:i/>
    </w:rPr>
  </w:style>
  <w:style w:type="paragraph" w:customStyle="1" w:styleId="Rfrenceinterinstitutionnelle">
    <w:name w:val="Référence interinstitutionnelle"/>
    <w:basedOn w:val="Normal"/>
    <w:next w:val="Statut"/>
    <w:pPr>
      <w:spacing w:after="0"/>
      <w:ind w:left="5103"/>
    </w:pPr>
  </w:style>
  <w:style w:type="paragraph" w:customStyle="1" w:styleId="Rfrenceinterne">
    <w:name w:val="Référence interne"/>
    <w:basedOn w:val="Normal"/>
    <w:next w:val="Rfrenceinterinstitutionnelle"/>
    <w:pPr>
      <w:spacing w:after="0"/>
      <w:ind w:left="5103"/>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jc w:val="center"/>
    </w:pPr>
    <w:rPr>
      <w:b/>
      <w:i/>
    </w:rPr>
  </w:style>
  <w:style w:type="paragraph" w:customStyle="1" w:styleId="Typeacteprincipal">
    <w:name w:val="Type acte principal"/>
    <w:basedOn w:val="Normal"/>
    <w:next w:val="Objetacteprincipal"/>
    <w:pPr>
      <w:spacing w:after="240"/>
      <w:jc w:val="center"/>
    </w:pPr>
    <w:rPr>
      <w:b/>
    </w:rPr>
  </w:style>
  <w:style w:type="paragraph" w:customStyle="1" w:styleId="Objetacteprincipal">
    <w:name w:val="Objet acte principal"/>
    <w:basedOn w:val="Normal"/>
    <w:next w:val="Titrearticle"/>
    <w:pPr>
      <w:spacing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customStyle="1" w:styleId="Briefingheading1">
    <w:name w:val="Briefing heading 1"/>
    <w:basedOn w:val="Normal"/>
    <w:next w:val="Normal"/>
    <w:uiPriority w:val="99"/>
    <w:pPr>
      <w:keepNext/>
      <w:spacing w:before="240" w:after="240"/>
      <w:jc w:val="both"/>
    </w:pPr>
    <w:rPr>
      <w:rFonts w:ascii="Arial" w:eastAsia="Times New Roman" w:hAnsi="Arial" w:cs="Arial"/>
      <w:b/>
      <w:u w:val="single"/>
    </w:rPr>
  </w:style>
  <w:style w:type="paragraph" w:customStyle="1" w:styleId="SecurityMarking">
    <w:name w:val="SecurityMarking"/>
    <w:basedOn w:val="Normal"/>
    <w:pPr>
      <w:spacing w:after="0"/>
      <w:ind w:left="5103"/>
    </w:pPr>
    <w:rPr>
      <w:sz w:val="28"/>
    </w:rPr>
  </w:style>
  <w:style w:type="paragraph" w:customStyle="1" w:styleId="DateMarking">
    <w:name w:val="DateMarking"/>
    <w:basedOn w:val="Normal"/>
    <w:pPr>
      <w:spacing w:after="0"/>
      <w:ind w:left="5103"/>
    </w:pPr>
    <w:rPr>
      <w:i/>
      <w:sz w:val="28"/>
    </w:rPr>
  </w:style>
  <w:style w:type="paragraph" w:customStyle="1" w:styleId="ReleasableTo">
    <w:name w:val="ReleasableTo"/>
    <w:basedOn w:val="Normal"/>
    <w:pPr>
      <w:spacing w:after="0"/>
      <w:ind w:left="5103"/>
    </w:pPr>
    <w:rPr>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IE" w:eastAsia="en-US"/>
    </w:rPr>
  </w:style>
  <w:style w:type="paragraph" w:styleId="Heading1">
    <w:name w:val="heading 1"/>
    <w:basedOn w:val="Normal"/>
    <w:next w:val="Text1"/>
    <w:link w:val="Heading1Char"/>
    <w:uiPriority w:val="9"/>
    <w:qFormat/>
    <w:pPr>
      <w:keepNext/>
      <w:numPr>
        <w:numId w:val="48"/>
      </w:numPr>
      <w:spacing w:before="360"/>
      <w:outlineLvl w:val="0"/>
    </w:pPr>
    <w:rPr>
      <w:rFonts w:eastAsiaTheme="majorEastAsia"/>
      <w:b/>
      <w:bCs/>
      <w:smallCaps/>
      <w:szCs w:val="28"/>
    </w:rPr>
  </w:style>
  <w:style w:type="paragraph" w:styleId="Heading2">
    <w:name w:val="heading 2"/>
    <w:basedOn w:val="Normal"/>
    <w:next w:val="Text1"/>
    <w:link w:val="Heading2Char"/>
    <w:uiPriority w:val="9"/>
    <w:unhideWhenUsed/>
    <w:qFormat/>
    <w:pPr>
      <w:keepNext/>
      <w:numPr>
        <w:ilvl w:val="1"/>
        <w:numId w:val="48"/>
      </w:numPr>
      <w:outlineLvl w:val="1"/>
    </w:pPr>
    <w:rPr>
      <w:rFonts w:eastAsiaTheme="majorEastAsia"/>
      <w:b/>
      <w:bCs/>
      <w:szCs w:val="26"/>
    </w:rPr>
  </w:style>
  <w:style w:type="paragraph" w:styleId="Heading3">
    <w:name w:val="heading 3"/>
    <w:basedOn w:val="Normal"/>
    <w:next w:val="Text1"/>
    <w:link w:val="Heading3Char"/>
    <w:uiPriority w:val="9"/>
    <w:unhideWhenUsed/>
    <w:qFormat/>
    <w:pPr>
      <w:keepNext/>
      <w:numPr>
        <w:ilvl w:val="2"/>
        <w:numId w:val="48"/>
      </w:numPr>
      <w:outlineLvl w:val="2"/>
    </w:pPr>
    <w:rPr>
      <w:rFonts w:eastAsiaTheme="majorEastAsia"/>
      <w:bCs/>
      <w:i/>
    </w:rPr>
  </w:style>
  <w:style w:type="paragraph" w:styleId="Heading4">
    <w:name w:val="heading 4"/>
    <w:basedOn w:val="Normal"/>
    <w:next w:val="Text1"/>
    <w:link w:val="Heading4Char"/>
    <w:uiPriority w:val="9"/>
    <w:unhideWhenUsed/>
    <w:qFormat/>
    <w:pPr>
      <w:keepNext/>
      <w:numPr>
        <w:ilvl w:val="3"/>
        <w:numId w:val="48"/>
      </w:numPr>
      <w:outlineLvl w:val="3"/>
    </w:pPr>
    <w:rPr>
      <w:rFonts w:eastAsiaTheme="majorEastAsia"/>
      <w:bCs/>
      <w:iCs/>
    </w:rPr>
  </w:style>
  <w:style w:type="paragraph" w:styleId="Heading5">
    <w:name w:val="heading 5"/>
    <w:basedOn w:val="Normal"/>
    <w:next w:val="Normal"/>
    <w:qFormat/>
    <w:pPr>
      <w:tabs>
        <w:tab w:val="num" w:pos="0"/>
      </w:tabs>
      <w:spacing w:before="240" w:after="60"/>
      <w:outlineLvl w:val="4"/>
    </w:pPr>
    <w:rPr>
      <w:rFonts w:ascii="Arial" w:hAnsi="Arial"/>
    </w:rPr>
  </w:style>
  <w:style w:type="paragraph" w:styleId="Heading6">
    <w:name w:val="heading 6"/>
    <w:basedOn w:val="Normal"/>
    <w:next w:val="Normal"/>
    <w:qFormat/>
    <w:pPr>
      <w:tabs>
        <w:tab w:val="num" w:pos="0"/>
      </w:tabs>
      <w:spacing w:before="240" w:after="60"/>
      <w:outlineLvl w:val="5"/>
    </w:pPr>
    <w:rPr>
      <w:rFonts w:ascii="Arial" w:hAnsi="Arial"/>
      <w:i/>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Address">
    <w:name w:val="Address"/>
    <w:basedOn w:val="Normal"/>
    <w:next w:val="Normal"/>
    <w:pPr>
      <w:keepLines/>
      <w:spacing w:line="360" w:lineRule="auto"/>
      <w:ind w:left="3402"/>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Normal"/>
    <w:pPr>
      <w:keepNext/>
      <w:spacing w:after="360"/>
      <w:jc w:val="center"/>
    </w:pPr>
    <w:rPr>
      <w:b/>
      <w:sz w:val="32"/>
    </w:rPr>
  </w:style>
  <w:style w:type="paragraph" w:customStyle="1" w:styleId="SectionTitle">
    <w:name w:val="SectionTitle"/>
    <w:basedOn w:val="Normal"/>
    <w:next w:val="Heading1"/>
    <w:pPr>
      <w:keepNext/>
      <w:spacing w:after="36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paragraph" w:styleId="Date">
    <w:name w:val="Date"/>
    <w:basedOn w:val="Normal"/>
    <w:next w:val="References"/>
    <w:pPr>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pPr>
  </w:style>
  <w:style w:type="paragraph" w:customStyle="1" w:styleId="Enclosures">
    <w:name w:val="Enclosures"/>
    <w:basedOn w:val="Normal"/>
    <w:pPr>
      <w:keepNext/>
      <w:keepLines/>
      <w:tabs>
        <w:tab w:val="left" w:pos="5642"/>
      </w:tabs>
      <w:spacing w:before="48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unhideWhenUsed/>
    <w:pPr>
      <w:spacing w:after="0"/>
      <w:ind w:left="720" w:hanging="720"/>
    </w:pPr>
    <w:rPr>
      <w:sz w:val="20"/>
      <w:szCs w:val="20"/>
    </w:rPr>
  </w:style>
  <w:style w:type="paragraph" w:styleId="Header">
    <w:name w:val="header"/>
    <w:basedOn w:val="Normal"/>
    <w:link w:val="HeaderChar"/>
    <w:uiPriority w:val="99"/>
    <w:unhideWhenUsed/>
    <w:pPr>
      <w:tabs>
        <w:tab w:val="center" w:pos="4535"/>
        <w:tab w:val="right" w:pos="9071"/>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pPr>
  </w:style>
  <w:style w:type="paragraph" w:styleId="ListBullet3">
    <w:name w:val="List Bullet 3"/>
    <w:basedOn w:val="Text3"/>
    <w:pPr>
      <w:numPr>
        <w:numId w:val="7"/>
      </w:numPr>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Normal"/>
    <w:next w:val="Text1"/>
    <w:pPr>
      <w:numPr>
        <w:numId w:val="47"/>
      </w:numPr>
    </w:pPr>
  </w:style>
  <w:style w:type="paragraph" w:customStyle="1" w:styleId="NumPar2">
    <w:name w:val="NumPar 2"/>
    <w:basedOn w:val="Normal"/>
    <w:next w:val="Text1"/>
    <w:pPr>
      <w:numPr>
        <w:ilvl w:val="1"/>
        <w:numId w:val="47"/>
      </w:numPr>
    </w:pPr>
  </w:style>
  <w:style w:type="paragraph" w:customStyle="1" w:styleId="NumPar3">
    <w:name w:val="NumPar 3"/>
    <w:basedOn w:val="Normal"/>
    <w:next w:val="Text1"/>
    <w:pPr>
      <w:numPr>
        <w:ilvl w:val="2"/>
        <w:numId w:val="47"/>
      </w:numPr>
    </w:pPr>
  </w:style>
  <w:style w:type="paragraph" w:customStyle="1" w:styleId="NumPar4">
    <w:name w:val="NumPar 4"/>
    <w:basedOn w:val="Normal"/>
    <w:next w:val="Text1"/>
    <w:pPr>
      <w:numPr>
        <w:ilvl w:val="3"/>
        <w:numId w:val="47"/>
      </w:numPr>
    </w:pPr>
  </w:style>
  <w:style w:type="paragraph" w:customStyle="1" w:styleId="PartTitle">
    <w:name w:val="PartTitle"/>
    <w:basedOn w:val="Normal"/>
    <w:next w:val="ChapterTitle"/>
    <w:pPr>
      <w:keepNext/>
      <w:pageBreakBefore/>
      <w:spacing w:after="36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semiHidden/>
    <w:unhideWhenUsed/>
    <w:pPr>
      <w:tabs>
        <w:tab w:val="right" w:leader="dot" w:pos="9071"/>
      </w:tabs>
      <w:spacing w:before="60"/>
      <w:ind w:left="850" w:hanging="850"/>
    </w:pPr>
  </w:style>
  <w:style w:type="paragraph" w:styleId="TOC2">
    <w:name w:val="toc 2"/>
    <w:basedOn w:val="Normal"/>
    <w:next w:val="Normal"/>
    <w:uiPriority w:val="39"/>
    <w:semiHidden/>
    <w:unhideWhenUsed/>
    <w:pPr>
      <w:tabs>
        <w:tab w:val="right" w:leader="dot" w:pos="9071"/>
      </w:tabs>
      <w:spacing w:before="60"/>
      <w:ind w:left="850" w:hanging="850"/>
    </w:pPr>
  </w:style>
  <w:style w:type="paragraph" w:styleId="TOC3">
    <w:name w:val="toc 3"/>
    <w:basedOn w:val="Normal"/>
    <w:next w:val="Normal"/>
    <w:uiPriority w:val="39"/>
    <w:semiHidden/>
    <w:unhideWhenUsed/>
    <w:pPr>
      <w:tabs>
        <w:tab w:val="right" w:leader="dot" w:pos="9071"/>
      </w:tabs>
      <w:spacing w:before="60"/>
      <w:ind w:left="850" w:hanging="850"/>
    </w:pPr>
  </w:style>
  <w:style w:type="paragraph" w:styleId="TOC4">
    <w:name w:val="toc 4"/>
    <w:basedOn w:val="Normal"/>
    <w:next w:val="Normal"/>
    <w:uiPriority w:val="39"/>
    <w:semiHidden/>
    <w:unhideWhenUsed/>
    <w:pPr>
      <w:tabs>
        <w:tab w:val="right" w:leader="dot" w:pos="9071"/>
      </w:tabs>
      <w:spacing w:before="60"/>
      <w:ind w:left="850" w:hanging="850"/>
    </w:pPr>
  </w:style>
  <w:style w:type="paragraph" w:styleId="TOC5">
    <w:name w:val="toc 5"/>
    <w:basedOn w:val="Normal"/>
    <w:next w:val="Normal"/>
    <w:uiPriority w:val="39"/>
    <w:semiHidden/>
    <w:unhideWhenUsed/>
    <w:pPr>
      <w:tabs>
        <w:tab w:val="right" w:leader="dot" w:pos="9071"/>
      </w:tabs>
      <w:spacing w:before="300"/>
    </w:pPr>
  </w:style>
  <w:style w:type="paragraph" w:styleId="TOC6">
    <w:name w:val="toc 6"/>
    <w:basedOn w:val="Normal"/>
    <w:next w:val="Normal"/>
    <w:uiPriority w:val="39"/>
    <w:semiHidden/>
    <w:unhideWhenUsed/>
    <w:pPr>
      <w:tabs>
        <w:tab w:val="right" w:leader="dot" w:pos="9071"/>
      </w:tabs>
      <w:spacing w:before="240"/>
    </w:pPr>
  </w:style>
  <w:style w:type="paragraph" w:styleId="TOC7">
    <w:name w:val="toc 7"/>
    <w:basedOn w:val="Normal"/>
    <w:next w:val="Normal"/>
    <w:uiPriority w:val="39"/>
    <w:semiHidden/>
    <w:unhideWhenUsed/>
    <w:pPr>
      <w:tabs>
        <w:tab w:val="right" w:leader="dot" w:pos="9071"/>
      </w:tabs>
      <w:spacing w:before="180"/>
    </w:pPr>
  </w:style>
  <w:style w:type="paragraph" w:styleId="TOC8">
    <w:name w:val="toc 8"/>
    <w:basedOn w:val="Normal"/>
    <w:next w:val="Normal"/>
    <w:uiPriority w:val="39"/>
    <w:semiHidden/>
    <w:unhideWhenUsed/>
    <w:pPr>
      <w:tabs>
        <w:tab w:val="right" w:leader="dot" w:pos="9071"/>
      </w:tabs>
    </w:pPr>
  </w:style>
  <w:style w:type="paragraph" w:styleId="TOC9">
    <w:name w:val="toc 9"/>
    <w:basedOn w:val="Normal"/>
    <w:next w:val="Normal"/>
    <w:uiPriority w:val="39"/>
    <w:semiHidden/>
    <w:unhideWhenUsed/>
    <w:pPr>
      <w:tabs>
        <w:tab w:val="right" w:leader="dot" w:pos="9071"/>
      </w:tabs>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pPr>
  </w:style>
  <w:style w:type="paragraph" w:customStyle="1" w:styleId="ListDash3">
    <w:name w:val="List Dash 3"/>
    <w:basedOn w:val="Text3"/>
    <w:pPr>
      <w:numPr>
        <w:numId w:val="12"/>
      </w:numPr>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unhideWhenUsed/>
    <w:qFormat/>
    <w:pPr>
      <w:spacing w:after="240"/>
      <w:jc w:val="center"/>
    </w:pPr>
    <w:rPr>
      <w:b/>
      <w:sz w:val="28"/>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rPr>
  </w:style>
  <w:style w:type="paragraph" w:customStyle="1" w:styleId="RUE">
    <w:name w:val="RUE"/>
    <w:basedOn w:val="Normal"/>
    <w:pPr>
      <w:jc w:val="center"/>
    </w:pPr>
    <w:rPr>
      <w:b/>
      <w:caps/>
      <w:sz w:val="32"/>
      <w:bdr w:val="single" w:sz="18" w:space="0" w:color="auto"/>
    </w:rPr>
  </w:style>
  <w:style w:type="paragraph" w:customStyle="1" w:styleId="ConfidentialUE">
    <w:name w:val="Confidential UE"/>
    <w:basedOn w:val="Normal"/>
    <w:pPr>
      <w:jc w:val="center"/>
    </w:pPr>
    <w:rPr>
      <w:b/>
      <w:caps/>
      <w:sz w:val="32"/>
      <w:bdr w:val="single" w:sz="18" w:space="0" w:color="auto"/>
    </w:rPr>
  </w:style>
  <w:style w:type="paragraph" w:customStyle="1" w:styleId="SecretUE">
    <w:name w:val="Secret UE"/>
    <w:basedOn w:val="Normal"/>
    <w:pPr>
      <w:jc w:val="center"/>
    </w:pPr>
    <w:rPr>
      <w:b/>
      <w:caps/>
      <w:color w:val="FF0000"/>
      <w:sz w:val="32"/>
      <w:bdr w:val="single" w:sz="18" w:space="0" w:color="FF0000"/>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val="en-GB" w:eastAsia="en-US"/>
    </w:rPr>
  </w:style>
  <w:style w:type="paragraph" w:customStyle="1" w:styleId="ZCom">
    <w:name w:val="Z_Com"/>
    <w:basedOn w:val="Normal"/>
    <w:next w:val="ZDGName"/>
    <w:uiPriority w:val="99"/>
    <w:pPr>
      <w:widowControl w:val="0"/>
      <w:autoSpaceDE w:val="0"/>
      <w:autoSpaceDN w:val="0"/>
      <w:ind w:right="85"/>
    </w:pPr>
    <w:rPr>
      <w:rFonts w:ascii="Arial" w:eastAsiaTheme="minorEastAsia" w:hAnsi="Arial" w:cs="Arial"/>
      <w:lang w:eastAsia="en-GB"/>
    </w:rPr>
  </w:style>
  <w:style w:type="paragraph" w:customStyle="1" w:styleId="ZDGName">
    <w:name w:val="Z_DGName"/>
    <w:basedOn w:val="Normal"/>
    <w:uiPriority w:val="99"/>
    <w:pPr>
      <w:widowControl w:val="0"/>
      <w:autoSpaceDE w:val="0"/>
      <w:autoSpaceDN w:val="0"/>
      <w:ind w:right="85"/>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rFonts w:eastAsiaTheme="minorHAnsi"/>
      <w:sz w:val="24"/>
      <w:szCs w:val="22"/>
      <w:lang w:val="en-GB"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val="en-IE" w:eastAsia="en-US"/>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heme="minorHAnsi"/>
      <w:lang w:val="en-GB" w:eastAsia="en-US"/>
    </w:rPr>
  </w:style>
  <w:style w:type="character" w:styleId="FootnoteReference">
    <w:name w:val="footnote reference"/>
    <w:aliases w:val="Ref,de nota al pie,Footnote Reference1,Ref1,de nota al pie1,註腳內容,de nota al pie + (Asian) MS Mincho,11 pt,-E Fußnotenzeichen,16 Point,Superscript 6 Point,註?腳內—e"/>
    <w:basedOn w:val="DefaultParagraphFont"/>
    <w:uiPriority w:val="99"/>
    <w:unhideWhenUsed/>
    <w:rPr>
      <w:shd w:val="clear" w:color="auto" w:fill="auto"/>
      <w:vertAlign w:val="superscript"/>
    </w:rPr>
  </w:style>
  <w:style w:type="character" w:customStyle="1" w:styleId="TitleChar">
    <w:name w:val="Title Char"/>
    <w:link w:val="Title"/>
    <w:rPr>
      <w:b/>
      <w:kern w:val="28"/>
      <w:sz w:val="48"/>
      <w:lang w:eastAsia="en-US"/>
    </w:rPr>
  </w:style>
  <w:style w:type="paragraph" w:customStyle="1" w:styleId="NormalLinespacingMultiple12li">
    <w:name w:val="Normal + Line spacing:  Multiple 1.2 li"/>
    <w:basedOn w:val="Normal"/>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uiPriority w:val="99"/>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eastAsiaTheme="minorHAnsi"/>
      <w:sz w:val="24"/>
      <w:szCs w:val="22"/>
      <w:lang w:val="en-IE" w:eastAsia="en-US"/>
    </w:rPr>
  </w:style>
  <w:style w:type="paragraph" w:customStyle="1" w:styleId="Typedudocument">
    <w:name w:val="Type du document"/>
    <w:basedOn w:val="Normal"/>
    <w:next w:val="Titreobjet"/>
    <w:pPr>
      <w:spacing w:before="360" w:after="0"/>
      <w:jc w:val="center"/>
    </w:pPr>
    <w:rPr>
      <w:b/>
    </w:rPr>
  </w:style>
  <w:style w:type="paragraph" w:customStyle="1" w:styleId="Titreobjet">
    <w:name w:val="Titre objet"/>
    <w:basedOn w:val="Normal"/>
    <w:next w:val="IntrtEEE"/>
    <w:pPr>
      <w:spacing w:before="360" w:after="360"/>
      <w:jc w:val="center"/>
    </w:pPr>
    <w:rPr>
      <w:b/>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styleId="NormalWeb">
    <w:name w:val="Normal (Web)"/>
    <w:basedOn w:val="Normal"/>
    <w:uiPriority w:val="99"/>
    <w:unhideWhenUsed/>
    <w:pPr>
      <w:spacing w:before="100" w:beforeAutospacing="1" w:after="100" w:afterAutospacing="1"/>
    </w:pPr>
    <w:rPr>
      <w:lang w:eastAsia="en-GB"/>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BriefingtextChar">
    <w:name w:val="Briefing text Char"/>
    <w:basedOn w:val="DefaultParagraphFont"/>
    <w:link w:val="Briefingtext"/>
    <w:locked/>
    <w:rPr>
      <w:rFonts w:ascii="Arial" w:hAnsi="Arial" w:cs="Arial"/>
      <w:lang w:eastAsia="en-US"/>
    </w:rPr>
  </w:style>
  <w:style w:type="paragraph" w:customStyle="1" w:styleId="Briefingtext">
    <w:name w:val="Briefing text"/>
    <w:basedOn w:val="Normal"/>
    <w:link w:val="BriefingtextChar"/>
    <w:rPr>
      <w:rFonts w:ascii="Arial" w:hAnsi="Arial" w:cs="Arial"/>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suppressAutoHyphens/>
      <w:autoSpaceDN w:val="0"/>
      <w:spacing w:after="200" w:line="276" w:lineRule="auto"/>
      <w:textAlignment w:val="baseline"/>
    </w:pPr>
    <w:rPr>
      <w:rFonts w:ascii="Calibri" w:eastAsia="Calibri" w:hAnsi="Calibri" w:cs="Calibri"/>
      <w:kern w:val="3"/>
      <w:sz w:val="22"/>
      <w:szCs w:val="22"/>
      <w:lang w:eastAsia="zh-CN"/>
    </w:rPr>
  </w:style>
  <w:style w:type="paragraph" w:customStyle="1" w:styleId="selectionshareable">
    <w:name w:val="selectionshareable"/>
    <w:basedOn w:val="Normal"/>
    <w:pPr>
      <w:spacing w:before="100" w:beforeAutospacing="1" w:after="100" w:afterAutospacing="1"/>
    </w:pPr>
    <w:rPr>
      <w:lang w:eastAsia="en-GB"/>
    </w:rPr>
  </w:style>
  <w:style w:type="character" w:customStyle="1" w:styleId="Heading1Char">
    <w:name w:val="Heading 1 Char"/>
    <w:basedOn w:val="DefaultParagraphFont"/>
    <w:link w:val="Heading1"/>
    <w:uiPriority w:val="9"/>
    <w:rPr>
      <w:rFonts w:eastAsiaTheme="majorEastAsia"/>
      <w:b/>
      <w:bCs/>
      <w:smallCaps/>
      <w:sz w:val="24"/>
      <w:szCs w:val="28"/>
      <w:lang w:val="en-GB" w:eastAsia="en-US"/>
    </w:rPr>
  </w:style>
  <w:style w:type="character" w:customStyle="1" w:styleId="Heading2Char">
    <w:name w:val="Heading 2 Char"/>
    <w:basedOn w:val="DefaultParagraphFont"/>
    <w:link w:val="Heading2"/>
    <w:uiPriority w:val="9"/>
    <w:rPr>
      <w:rFonts w:eastAsiaTheme="majorEastAsia"/>
      <w:b/>
      <w:bCs/>
      <w:sz w:val="24"/>
      <w:szCs w:val="26"/>
      <w:lang w:val="en-GB" w:eastAsia="en-US"/>
    </w:rPr>
  </w:style>
  <w:style w:type="character" w:customStyle="1" w:styleId="Heading3Char">
    <w:name w:val="Heading 3 Char"/>
    <w:basedOn w:val="DefaultParagraphFont"/>
    <w:link w:val="Heading3"/>
    <w:uiPriority w:val="9"/>
    <w:rPr>
      <w:rFonts w:eastAsiaTheme="majorEastAsia"/>
      <w:bCs/>
      <w:i/>
      <w:sz w:val="24"/>
      <w:szCs w:val="22"/>
      <w:lang w:val="en-GB" w:eastAsia="en-US"/>
    </w:rPr>
  </w:style>
  <w:style w:type="character" w:customStyle="1" w:styleId="Heading4Char">
    <w:name w:val="Heading 4 Char"/>
    <w:basedOn w:val="DefaultParagraphFont"/>
    <w:link w:val="Heading4"/>
    <w:uiPriority w:val="9"/>
    <w:rPr>
      <w:rFonts w:eastAsiaTheme="majorEastAsia"/>
      <w:bCs/>
      <w:iCs/>
      <w:sz w:val="24"/>
      <w:szCs w:val="22"/>
      <w:lang w:val="en-GB" w:eastAsia="en-US"/>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TableTitle">
    <w:name w:val="Table Title"/>
    <w:basedOn w:val="Normal"/>
    <w:next w:val="Normal"/>
    <w:pPr>
      <w:jc w:val="center"/>
    </w:pPr>
    <w:rPr>
      <w: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25"/>
      </w:numPr>
    </w:pPr>
  </w:style>
  <w:style w:type="paragraph" w:customStyle="1" w:styleId="Point1number">
    <w:name w:val="Point 1 (number)"/>
    <w:basedOn w:val="Normal"/>
    <w:pPr>
      <w:numPr>
        <w:ilvl w:val="2"/>
        <w:numId w:val="25"/>
      </w:numPr>
    </w:pPr>
  </w:style>
  <w:style w:type="paragraph" w:customStyle="1" w:styleId="Point2number">
    <w:name w:val="Point 2 (number)"/>
    <w:basedOn w:val="Normal"/>
    <w:pPr>
      <w:numPr>
        <w:ilvl w:val="4"/>
        <w:numId w:val="25"/>
      </w:numPr>
    </w:pPr>
  </w:style>
  <w:style w:type="paragraph" w:customStyle="1" w:styleId="Point3number">
    <w:name w:val="Point 3 (number)"/>
    <w:basedOn w:val="Normal"/>
    <w:pPr>
      <w:numPr>
        <w:ilvl w:val="6"/>
        <w:numId w:val="25"/>
      </w:numPr>
    </w:pPr>
  </w:style>
  <w:style w:type="paragraph" w:customStyle="1" w:styleId="Point0letter">
    <w:name w:val="Point 0 (letter)"/>
    <w:basedOn w:val="Normal"/>
    <w:pPr>
      <w:numPr>
        <w:ilvl w:val="1"/>
        <w:numId w:val="25"/>
      </w:numPr>
    </w:pPr>
  </w:style>
  <w:style w:type="paragraph" w:customStyle="1" w:styleId="Point1letter">
    <w:name w:val="Point 1 (letter)"/>
    <w:basedOn w:val="Normal"/>
    <w:pPr>
      <w:numPr>
        <w:ilvl w:val="3"/>
        <w:numId w:val="25"/>
      </w:numPr>
    </w:pPr>
  </w:style>
  <w:style w:type="paragraph" w:customStyle="1" w:styleId="Point2letter">
    <w:name w:val="Point 2 (letter)"/>
    <w:basedOn w:val="Normal"/>
    <w:pPr>
      <w:numPr>
        <w:ilvl w:val="5"/>
        <w:numId w:val="25"/>
      </w:numPr>
    </w:pPr>
  </w:style>
  <w:style w:type="paragraph" w:customStyle="1" w:styleId="Point3letter">
    <w:name w:val="Point 3 (letter)"/>
    <w:basedOn w:val="Normal"/>
    <w:pPr>
      <w:numPr>
        <w:ilvl w:val="7"/>
        <w:numId w:val="25"/>
      </w:numPr>
    </w:pPr>
  </w:style>
  <w:style w:type="paragraph" w:customStyle="1" w:styleId="Point4letter">
    <w:name w:val="Point 4 (letter)"/>
    <w:basedOn w:val="Normal"/>
    <w:pPr>
      <w:numPr>
        <w:ilvl w:val="8"/>
        <w:numId w:val="25"/>
      </w:numPr>
    </w:pPr>
  </w:style>
  <w:style w:type="paragraph" w:customStyle="1" w:styleId="Bullet0">
    <w:name w:val="Bullet 0"/>
    <w:basedOn w:val="Normal"/>
    <w:pPr>
      <w:numPr>
        <w:numId w:val="26"/>
      </w:numPr>
    </w:pPr>
  </w:style>
  <w:style w:type="paragraph" w:customStyle="1" w:styleId="Bullet1">
    <w:name w:val="Bullet 1"/>
    <w:basedOn w:val="Normal"/>
    <w:pPr>
      <w:numPr>
        <w:numId w:val="27"/>
      </w:numPr>
    </w:pPr>
  </w:style>
  <w:style w:type="paragraph" w:customStyle="1" w:styleId="Bullet2">
    <w:name w:val="Bullet 2"/>
    <w:basedOn w:val="Normal"/>
    <w:pPr>
      <w:numPr>
        <w:numId w:val="28"/>
      </w:numPr>
    </w:pPr>
  </w:style>
  <w:style w:type="paragraph" w:customStyle="1" w:styleId="Bullet3">
    <w:name w:val="Bullet 3"/>
    <w:basedOn w:val="Normal"/>
    <w:pPr>
      <w:numPr>
        <w:numId w:val="29"/>
      </w:numPr>
    </w:pPr>
  </w:style>
  <w:style w:type="paragraph" w:customStyle="1" w:styleId="Bullet4">
    <w:name w:val="Bullet 4"/>
    <w:basedOn w:val="Normal"/>
    <w:pPr>
      <w:numPr>
        <w:numId w:val="30"/>
      </w:numPr>
    </w:pPr>
  </w:style>
  <w:style w:type="paragraph" w:customStyle="1" w:styleId="Langue">
    <w:name w:val="Langue"/>
    <w:basedOn w:val="Normal"/>
    <w:next w:val="Rfrenceinterne"/>
    <w:pPr>
      <w:framePr w:wrap="around" w:vAnchor="page" w:hAnchor="text" w:xAlign="center" w:y="14741"/>
      <w:spacing w:after="600"/>
      <w:jc w:val="center"/>
    </w:pPr>
    <w:rPr>
      <w:b/>
      <w:caps/>
    </w:rPr>
  </w:style>
  <w:style w:type="paragraph" w:customStyle="1" w:styleId="Nomdelinstitution">
    <w:name w:val="Nom de l'institution"/>
    <w:basedOn w:val="Normal"/>
    <w:next w:val="Emission"/>
    <w:pPr>
      <w:spacing w:after="0"/>
    </w:pPr>
    <w:rPr>
      <w:rFonts w:ascii="Arial" w:hAnsi="Arial" w:cs="Arial"/>
    </w:rPr>
  </w:style>
  <w:style w:type="paragraph" w:customStyle="1" w:styleId="Emission">
    <w:name w:val="Emission"/>
    <w:basedOn w:val="Normal"/>
    <w:next w:val="Rfrenceinstitutionnelle"/>
    <w:pPr>
      <w:spacing w:after="0"/>
      <w:ind w:left="5103"/>
    </w:pPr>
  </w:style>
  <w:style w:type="paragraph" w:customStyle="1" w:styleId="Rfrenceinstitutionnelle">
    <w:name w:val="Référence institutionnelle"/>
    <w:basedOn w:val="Normal"/>
    <w:next w:val="Confidentialit"/>
    <w:pPr>
      <w:spacing w:after="240"/>
      <w:ind w:left="5103"/>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pPr>
    <w:rPr>
      <w:i/>
      <w:sz w:val="32"/>
    </w:rPr>
  </w:style>
  <w:style w:type="paragraph" w:customStyle="1" w:styleId="Considrant">
    <w:name w:val="Considérant"/>
    <w:basedOn w:val="Normal"/>
    <w:pPr>
      <w:numPr>
        <w:numId w:val="31"/>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after="0"/>
    </w:pPr>
    <w:rPr>
      <w:i/>
    </w:rPr>
  </w:style>
  <w:style w:type="paragraph" w:customStyle="1" w:styleId="Rfrenceinterinstitutionnelle">
    <w:name w:val="Référence interinstitutionnelle"/>
    <w:basedOn w:val="Normal"/>
    <w:next w:val="Statut"/>
    <w:pPr>
      <w:spacing w:after="0"/>
      <w:ind w:left="5103"/>
    </w:pPr>
  </w:style>
  <w:style w:type="paragraph" w:customStyle="1" w:styleId="Rfrenceinterne">
    <w:name w:val="Référence interne"/>
    <w:basedOn w:val="Normal"/>
    <w:next w:val="Rfrenceinterinstitutionnelle"/>
    <w:pPr>
      <w:spacing w:after="0"/>
      <w:ind w:left="5103"/>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jc w:val="center"/>
    </w:pPr>
    <w:rPr>
      <w:b/>
      <w:i/>
    </w:rPr>
  </w:style>
  <w:style w:type="paragraph" w:customStyle="1" w:styleId="Typeacteprincipal">
    <w:name w:val="Type acte principal"/>
    <w:basedOn w:val="Normal"/>
    <w:next w:val="Objetacteprincipal"/>
    <w:pPr>
      <w:spacing w:after="240"/>
      <w:jc w:val="center"/>
    </w:pPr>
    <w:rPr>
      <w:b/>
    </w:rPr>
  </w:style>
  <w:style w:type="paragraph" w:customStyle="1" w:styleId="Objetacteprincipal">
    <w:name w:val="Objet acte principal"/>
    <w:basedOn w:val="Normal"/>
    <w:next w:val="Titrearticle"/>
    <w:pPr>
      <w:spacing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customStyle="1" w:styleId="Briefingheading1">
    <w:name w:val="Briefing heading 1"/>
    <w:basedOn w:val="Normal"/>
    <w:next w:val="Normal"/>
    <w:uiPriority w:val="99"/>
    <w:pPr>
      <w:keepNext/>
      <w:spacing w:before="240" w:after="240"/>
      <w:jc w:val="both"/>
    </w:pPr>
    <w:rPr>
      <w:rFonts w:ascii="Arial" w:eastAsia="Times New Roman" w:hAnsi="Arial" w:cs="Arial"/>
      <w:b/>
      <w:u w:val="single"/>
    </w:rPr>
  </w:style>
  <w:style w:type="paragraph" w:customStyle="1" w:styleId="SecurityMarking">
    <w:name w:val="SecurityMarking"/>
    <w:basedOn w:val="Normal"/>
    <w:pPr>
      <w:spacing w:after="0"/>
      <w:ind w:left="5103"/>
    </w:pPr>
    <w:rPr>
      <w:sz w:val="28"/>
    </w:rPr>
  </w:style>
  <w:style w:type="paragraph" w:customStyle="1" w:styleId="DateMarking">
    <w:name w:val="DateMarking"/>
    <w:basedOn w:val="Normal"/>
    <w:pPr>
      <w:spacing w:after="0"/>
      <w:ind w:left="5103"/>
    </w:pPr>
    <w:rPr>
      <w:i/>
      <w:sz w:val="28"/>
    </w:rPr>
  </w:style>
  <w:style w:type="paragraph" w:customStyle="1" w:styleId="ReleasableTo">
    <w:name w:val="ReleasableTo"/>
    <w:basedOn w:val="Normal"/>
    <w:pPr>
      <w:spacing w:after="0"/>
      <w:ind w:left="5103"/>
    </w:pPr>
    <w:rPr>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6536">
      <w:bodyDiv w:val="1"/>
      <w:marLeft w:val="0"/>
      <w:marRight w:val="0"/>
      <w:marTop w:val="0"/>
      <w:marBottom w:val="0"/>
      <w:divBdr>
        <w:top w:val="none" w:sz="0" w:space="0" w:color="auto"/>
        <w:left w:val="none" w:sz="0" w:space="0" w:color="auto"/>
        <w:bottom w:val="none" w:sz="0" w:space="0" w:color="auto"/>
        <w:right w:val="none" w:sz="0" w:space="0" w:color="auto"/>
      </w:divBdr>
    </w:div>
    <w:div w:id="52780467">
      <w:bodyDiv w:val="1"/>
      <w:marLeft w:val="0"/>
      <w:marRight w:val="0"/>
      <w:marTop w:val="0"/>
      <w:marBottom w:val="0"/>
      <w:divBdr>
        <w:top w:val="none" w:sz="0" w:space="0" w:color="auto"/>
        <w:left w:val="none" w:sz="0" w:space="0" w:color="auto"/>
        <w:bottom w:val="none" w:sz="0" w:space="0" w:color="auto"/>
        <w:right w:val="none" w:sz="0" w:space="0" w:color="auto"/>
      </w:divBdr>
    </w:div>
    <w:div w:id="53966502">
      <w:bodyDiv w:val="1"/>
      <w:marLeft w:val="0"/>
      <w:marRight w:val="0"/>
      <w:marTop w:val="0"/>
      <w:marBottom w:val="0"/>
      <w:divBdr>
        <w:top w:val="none" w:sz="0" w:space="0" w:color="auto"/>
        <w:left w:val="none" w:sz="0" w:space="0" w:color="auto"/>
        <w:bottom w:val="none" w:sz="0" w:space="0" w:color="auto"/>
        <w:right w:val="none" w:sz="0" w:space="0" w:color="auto"/>
      </w:divBdr>
    </w:div>
    <w:div w:id="66344618">
      <w:bodyDiv w:val="1"/>
      <w:marLeft w:val="0"/>
      <w:marRight w:val="0"/>
      <w:marTop w:val="0"/>
      <w:marBottom w:val="0"/>
      <w:divBdr>
        <w:top w:val="none" w:sz="0" w:space="0" w:color="auto"/>
        <w:left w:val="none" w:sz="0" w:space="0" w:color="auto"/>
        <w:bottom w:val="none" w:sz="0" w:space="0" w:color="auto"/>
        <w:right w:val="none" w:sz="0" w:space="0" w:color="auto"/>
      </w:divBdr>
    </w:div>
    <w:div w:id="113909122">
      <w:bodyDiv w:val="1"/>
      <w:marLeft w:val="0"/>
      <w:marRight w:val="0"/>
      <w:marTop w:val="0"/>
      <w:marBottom w:val="0"/>
      <w:divBdr>
        <w:top w:val="none" w:sz="0" w:space="0" w:color="auto"/>
        <w:left w:val="none" w:sz="0" w:space="0" w:color="auto"/>
        <w:bottom w:val="none" w:sz="0" w:space="0" w:color="auto"/>
        <w:right w:val="none" w:sz="0" w:space="0" w:color="auto"/>
      </w:divBdr>
      <w:divsChild>
        <w:div w:id="1333332909">
          <w:marLeft w:val="0"/>
          <w:marRight w:val="0"/>
          <w:marTop w:val="0"/>
          <w:marBottom w:val="0"/>
          <w:divBdr>
            <w:top w:val="none" w:sz="0" w:space="0" w:color="auto"/>
            <w:left w:val="none" w:sz="0" w:space="0" w:color="auto"/>
            <w:bottom w:val="none" w:sz="0" w:space="0" w:color="auto"/>
            <w:right w:val="none" w:sz="0" w:space="0" w:color="auto"/>
          </w:divBdr>
          <w:divsChild>
            <w:div w:id="698046776">
              <w:marLeft w:val="0"/>
              <w:marRight w:val="0"/>
              <w:marTop w:val="0"/>
              <w:marBottom w:val="0"/>
              <w:divBdr>
                <w:top w:val="none" w:sz="0" w:space="0" w:color="auto"/>
                <w:left w:val="none" w:sz="0" w:space="0" w:color="auto"/>
                <w:bottom w:val="none" w:sz="0" w:space="0" w:color="auto"/>
                <w:right w:val="none" w:sz="0" w:space="0" w:color="auto"/>
              </w:divBdr>
              <w:divsChild>
                <w:div w:id="639726227">
                  <w:marLeft w:val="0"/>
                  <w:marRight w:val="0"/>
                  <w:marTop w:val="0"/>
                  <w:marBottom w:val="0"/>
                  <w:divBdr>
                    <w:top w:val="none" w:sz="0" w:space="0" w:color="auto"/>
                    <w:left w:val="none" w:sz="0" w:space="0" w:color="auto"/>
                    <w:bottom w:val="none" w:sz="0" w:space="0" w:color="auto"/>
                    <w:right w:val="none" w:sz="0" w:space="0" w:color="auto"/>
                  </w:divBdr>
                  <w:divsChild>
                    <w:div w:id="959646698">
                      <w:marLeft w:val="0"/>
                      <w:marRight w:val="0"/>
                      <w:marTop w:val="0"/>
                      <w:marBottom w:val="0"/>
                      <w:divBdr>
                        <w:top w:val="none" w:sz="0" w:space="0" w:color="auto"/>
                        <w:left w:val="none" w:sz="0" w:space="0" w:color="auto"/>
                        <w:bottom w:val="none" w:sz="0" w:space="0" w:color="auto"/>
                        <w:right w:val="none" w:sz="0" w:space="0" w:color="auto"/>
                      </w:divBdr>
                      <w:divsChild>
                        <w:div w:id="1472404370">
                          <w:marLeft w:val="0"/>
                          <w:marRight w:val="0"/>
                          <w:marTop w:val="0"/>
                          <w:marBottom w:val="0"/>
                          <w:divBdr>
                            <w:top w:val="none" w:sz="0" w:space="0" w:color="auto"/>
                            <w:left w:val="none" w:sz="0" w:space="0" w:color="auto"/>
                            <w:bottom w:val="none" w:sz="0" w:space="0" w:color="auto"/>
                            <w:right w:val="none" w:sz="0" w:space="0" w:color="auto"/>
                          </w:divBdr>
                          <w:divsChild>
                            <w:div w:id="947389739">
                              <w:marLeft w:val="0"/>
                              <w:marRight w:val="0"/>
                              <w:marTop w:val="0"/>
                              <w:marBottom w:val="0"/>
                              <w:divBdr>
                                <w:top w:val="none" w:sz="0" w:space="0" w:color="auto"/>
                                <w:left w:val="none" w:sz="0" w:space="0" w:color="auto"/>
                                <w:bottom w:val="none" w:sz="0" w:space="0" w:color="auto"/>
                                <w:right w:val="none" w:sz="0" w:space="0" w:color="auto"/>
                              </w:divBdr>
                              <w:divsChild>
                                <w:div w:id="347874104">
                                  <w:marLeft w:val="0"/>
                                  <w:marRight w:val="0"/>
                                  <w:marTop w:val="0"/>
                                  <w:marBottom w:val="0"/>
                                  <w:divBdr>
                                    <w:top w:val="none" w:sz="0" w:space="0" w:color="auto"/>
                                    <w:left w:val="none" w:sz="0" w:space="0" w:color="auto"/>
                                    <w:bottom w:val="none" w:sz="0" w:space="0" w:color="auto"/>
                                    <w:right w:val="none" w:sz="0" w:space="0" w:color="auto"/>
                                  </w:divBdr>
                                  <w:divsChild>
                                    <w:div w:id="1367751858">
                                      <w:marLeft w:val="0"/>
                                      <w:marRight w:val="0"/>
                                      <w:marTop w:val="0"/>
                                      <w:marBottom w:val="0"/>
                                      <w:divBdr>
                                        <w:top w:val="none" w:sz="0" w:space="0" w:color="auto"/>
                                        <w:left w:val="none" w:sz="0" w:space="0" w:color="auto"/>
                                        <w:bottom w:val="none" w:sz="0" w:space="0" w:color="auto"/>
                                        <w:right w:val="none" w:sz="0" w:space="0" w:color="auto"/>
                                      </w:divBdr>
                                      <w:divsChild>
                                        <w:div w:id="2010132922">
                                          <w:marLeft w:val="0"/>
                                          <w:marRight w:val="0"/>
                                          <w:marTop w:val="0"/>
                                          <w:marBottom w:val="0"/>
                                          <w:divBdr>
                                            <w:top w:val="none" w:sz="0" w:space="0" w:color="auto"/>
                                            <w:left w:val="none" w:sz="0" w:space="0" w:color="auto"/>
                                            <w:bottom w:val="none" w:sz="0" w:space="0" w:color="auto"/>
                                            <w:right w:val="none" w:sz="0" w:space="0" w:color="auto"/>
                                          </w:divBdr>
                                          <w:divsChild>
                                            <w:div w:id="1715305947">
                                              <w:marLeft w:val="0"/>
                                              <w:marRight w:val="0"/>
                                              <w:marTop w:val="0"/>
                                              <w:marBottom w:val="0"/>
                                              <w:divBdr>
                                                <w:top w:val="none" w:sz="0" w:space="0" w:color="auto"/>
                                                <w:left w:val="none" w:sz="0" w:space="0" w:color="auto"/>
                                                <w:bottom w:val="none" w:sz="0" w:space="0" w:color="auto"/>
                                                <w:right w:val="none" w:sz="0" w:space="0" w:color="auto"/>
                                              </w:divBdr>
                                              <w:divsChild>
                                                <w:div w:id="11447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874124">
      <w:bodyDiv w:val="1"/>
      <w:marLeft w:val="0"/>
      <w:marRight w:val="0"/>
      <w:marTop w:val="0"/>
      <w:marBottom w:val="0"/>
      <w:divBdr>
        <w:top w:val="none" w:sz="0" w:space="0" w:color="auto"/>
        <w:left w:val="none" w:sz="0" w:space="0" w:color="auto"/>
        <w:bottom w:val="none" w:sz="0" w:space="0" w:color="auto"/>
        <w:right w:val="none" w:sz="0" w:space="0" w:color="auto"/>
      </w:divBdr>
      <w:divsChild>
        <w:div w:id="1909416173">
          <w:marLeft w:val="0"/>
          <w:marRight w:val="0"/>
          <w:marTop w:val="0"/>
          <w:marBottom w:val="0"/>
          <w:divBdr>
            <w:top w:val="none" w:sz="0" w:space="0" w:color="auto"/>
            <w:left w:val="none" w:sz="0" w:space="0" w:color="auto"/>
            <w:bottom w:val="none" w:sz="0" w:space="0" w:color="auto"/>
            <w:right w:val="none" w:sz="0" w:space="0" w:color="auto"/>
          </w:divBdr>
          <w:divsChild>
            <w:div w:id="275790915">
              <w:marLeft w:val="0"/>
              <w:marRight w:val="0"/>
              <w:marTop w:val="0"/>
              <w:marBottom w:val="0"/>
              <w:divBdr>
                <w:top w:val="none" w:sz="0" w:space="0" w:color="auto"/>
                <w:left w:val="none" w:sz="0" w:space="0" w:color="auto"/>
                <w:bottom w:val="none" w:sz="0" w:space="0" w:color="auto"/>
                <w:right w:val="none" w:sz="0" w:space="0" w:color="auto"/>
              </w:divBdr>
            </w:div>
          </w:divsChild>
        </w:div>
        <w:div w:id="1879850073">
          <w:marLeft w:val="0"/>
          <w:marRight w:val="0"/>
          <w:marTop w:val="0"/>
          <w:marBottom w:val="0"/>
          <w:divBdr>
            <w:top w:val="none" w:sz="0" w:space="0" w:color="auto"/>
            <w:left w:val="none" w:sz="0" w:space="0" w:color="auto"/>
            <w:bottom w:val="none" w:sz="0" w:space="0" w:color="auto"/>
            <w:right w:val="none" w:sz="0" w:space="0" w:color="auto"/>
          </w:divBdr>
          <w:divsChild>
            <w:div w:id="375936299">
              <w:marLeft w:val="0"/>
              <w:marRight w:val="0"/>
              <w:marTop w:val="0"/>
              <w:marBottom w:val="0"/>
              <w:divBdr>
                <w:top w:val="none" w:sz="0" w:space="0" w:color="auto"/>
                <w:left w:val="none" w:sz="0" w:space="0" w:color="auto"/>
                <w:bottom w:val="none" w:sz="0" w:space="0" w:color="auto"/>
                <w:right w:val="none" w:sz="0" w:space="0" w:color="auto"/>
              </w:divBdr>
            </w:div>
          </w:divsChild>
        </w:div>
        <w:div w:id="511335470">
          <w:marLeft w:val="0"/>
          <w:marRight w:val="0"/>
          <w:marTop w:val="0"/>
          <w:marBottom w:val="0"/>
          <w:divBdr>
            <w:top w:val="none" w:sz="0" w:space="0" w:color="auto"/>
            <w:left w:val="none" w:sz="0" w:space="0" w:color="auto"/>
            <w:bottom w:val="none" w:sz="0" w:space="0" w:color="auto"/>
            <w:right w:val="none" w:sz="0" w:space="0" w:color="auto"/>
          </w:divBdr>
          <w:divsChild>
            <w:div w:id="908996165">
              <w:marLeft w:val="0"/>
              <w:marRight w:val="0"/>
              <w:marTop w:val="0"/>
              <w:marBottom w:val="0"/>
              <w:divBdr>
                <w:top w:val="none" w:sz="0" w:space="0" w:color="auto"/>
                <w:left w:val="none" w:sz="0" w:space="0" w:color="auto"/>
                <w:bottom w:val="none" w:sz="0" w:space="0" w:color="auto"/>
                <w:right w:val="none" w:sz="0" w:space="0" w:color="auto"/>
              </w:divBdr>
              <w:divsChild>
                <w:div w:id="10593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18616">
          <w:marLeft w:val="0"/>
          <w:marRight w:val="0"/>
          <w:marTop w:val="0"/>
          <w:marBottom w:val="0"/>
          <w:divBdr>
            <w:top w:val="none" w:sz="0" w:space="0" w:color="auto"/>
            <w:left w:val="none" w:sz="0" w:space="0" w:color="auto"/>
            <w:bottom w:val="none" w:sz="0" w:space="0" w:color="auto"/>
            <w:right w:val="none" w:sz="0" w:space="0" w:color="auto"/>
          </w:divBdr>
          <w:divsChild>
            <w:div w:id="356807832">
              <w:marLeft w:val="0"/>
              <w:marRight w:val="0"/>
              <w:marTop w:val="0"/>
              <w:marBottom w:val="0"/>
              <w:divBdr>
                <w:top w:val="none" w:sz="0" w:space="0" w:color="auto"/>
                <w:left w:val="none" w:sz="0" w:space="0" w:color="auto"/>
                <w:bottom w:val="none" w:sz="0" w:space="0" w:color="auto"/>
                <w:right w:val="none" w:sz="0" w:space="0" w:color="auto"/>
              </w:divBdr>
              <w:divsChild>
                <w:div w:id="1010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8791">
      <w:bodyDiv w:val="1"/>
      <w:marLeft w:val="0"/>
      <w:marRight w:val="0"/>
      <w:marTop w:val="0"/>
      <w:marBottom w:val="0"/>
      <w:divBdr>
        <w:top w:val="none" w:sz="0" w:space="0" w:color="auto"/>
        <w:left w:val="none" w:sz="0" w:space="0" w:color="auto"/>
        <w:bottom w:val="none" w:sz="0" w:space="0" w:color="auto"/>
        <w:right w:val="none" w:sz="0" w:space="0" w:color="auto"/>
      </w:divBdr>
    </w:div>
    <w:div w:id="151530373">
      <w:bodyDiv w:val="1"/>
      <w:marLeft w:val="0"/>
      <w:marRight w:val="0"/>
      <w:marTop w:val="0"/>
      <w:marBottom w:val="0"/>
      <w:divBdr>
        <w:top w:val="none" w:sz="0" w:space="0" w:color="auto"/>
        <w:left w:val="none" w:sz="0" w:space="0" w:color="auto"/>
        <w:bottom w:val="none" w:sz="0" w:space="0" w:color="auto"/>
        <w:right w:val="none" w:sz="0" w:space="0" w:color="auto"/>
      </w:divBdr>
    </w:div>
    <w:div w:id="162205966">
      <w:bodyDiv w:val="1"/>
      <w:marLeft w:val="0"/>
      <w:marRight w:val="0"/>
      <w:marTop w:val="0"/>
      <w:marBottom w:val="0"/>
      <w:divBdr>
        <w:top w:val="none" w:sz="0" w:space="0" w:color="auto"/>
        <w:left w:val="none" w:sz="0" w:space="0" w:color="auto"/>
        <w:bottom w:val="none" w:sz="0" w:space="0" w:color="auto"/>
        <w:right w:val="none" w:sz="0" w:space="0" w:color="auto"/>
      </w:divBdr>
    </w:div>
    <w:div w:id="194588931">
      <w:bodyDiv w:val="1"/>
      <w:marLeft w:val="0"/>
      <w:marRight w:val="0"/>
      <w:marTop w:val="0"/>
      <w:marBottom w:val="0"/>
      <w:divBdr>
        <w:top w:val="none" w:sz="0" w:space="0" w:color="auto"/>
        <w:left w:val="none" w:sz="0" w:space="0" w:color="auto"/>
        <w:bottom w:val="none" w:sz="0" w:space="0" w:color="auto"/>
        <w:right w:val="none" w:sz="0" w:space="0" w:color="auto"/>
      </w:divBdr>
    </w:div>
    <w:div w:id="206767556">
      <w:bodyDiv w:val="1"/>
      <w:marLeft w:val="0"/>
      <w:marRight w:val="0"/>
      <w:marTop w:val="0"/>
      <w:marBottom w:val="0"/>
      <w:divBdr>
        <w:top w:val="none" w:sz="0" w:space="0" w:color="auto"/>
        <w:left w:val="none" w:sz="0" w:space="0" w:color="auto"/>
        <w:bottom w:val="none" w:sz="0" w:space="0" w:color="auto"/>
        <w:right w:val="none" w:sz="0" w:space="0" w:color="auto"/>
      </w:divBdr>
    </w:div>
    <w:div w:id="288978095">
      <w:bodyDiv w:val="1"/>
      <w:marLeft w:val="0"/>
      <w:marRight w:val="0"/>
      <w:marTop w:val="0"/>
      <w:marBottom w:val="0"/>
      <w:divBdr>
        <w:top w:val="none" w:sz="0" w:space="0" w:color="auto"/>
        <w:left w:val="none" w:sz="0" w:space="0" w:color="auto"/>
        <w:bottom w:val="none" w:sz="0" w:space="0" w:color="auto"/>
        <w:right w:val="none" w:sz="0" w:space="0" w:color="auto"/>
      </w:divBdr>
    </w:div>
    <w:div w:id="289359952">
      <w:bodyDiv w:val="1"/>
      <w:marLeft w:val="0"/>
      <w:marRight w:val="0"/>
      <w:marTop w:val="0"/>
      <w:marBottom w:val="0"/>
      <w:divBdr>
        <w:top w:val="none" w:sz="0" w:space="0" w:color="auto"/>
        <w:left w:val="none" w:sz="0" w:space="0" w:color="auto"/>
        <w:bottom w:val="none" w:sz="0" w:space="0" w:color="auto"/>
        <w:right w:val="none" w:sz="0" w:space="0" w:color="auto"/>
      </w:divBdr>
    </w:div>
    <w:div w:id="318467138">
      <w:bodyDiv w:val="1"/>
      <w:marLeft w:val="0"/>
      <w:marRight w:val="0"/>
      <w:marTop w:val="0"/>
      <w:marBottom w:val="0"/>
      <w:divBdr>
        <w:top w:val="none" w:sz="0" w:space="0" w:color="auto"/>
        <w:left w:val="none" w:sz="0" w:space="0" w:color="auto"/>
        <w:bottom w:val="none" w:sz="0" w:space="0" w:color="auto"/>
        <w:right w:val="none" w:sz="0" w:space="0" w:color="auto"/>
      </w:divBdr>
    </w:div>
    <w:div w:id="386105096">
      <w:bodyDiv w:val="1"/>
      <w:marLeft w:val="0"/>
      <w:marRight w:val="0"/>
      <w:marTop w:val="0"/>
      <w:marBottom w:val="0"/>
      <w:divBdr>
        <w:top w:val="none" w:sz="0" w:space="0" w:color="auto"/>
        <w:left w:val="none" w:sz="0" w:space="0" w:color="auto"/>
        <w:bottom w:val="none" w:sz="0" w:space="0" w:color="auto"/>
        <w:right w:val="none" w:sz="0" w:space="0" w:color="auto"/>
      </w:divBdr>
      <w:divsChild>
        <w:div w:id="1190021422">
          <w:marLeft w:val="0"/>
          <w:marRight w:val="0"/>
          <w:marTop w:val="0"/>
          <w:marBottom w:val="0"/>
          <w:divBdr>
            <w:top w:val="none" w:sz="0" w:space="0" w:color="auto"/>
            <w:left w:val="none" w:sz="0" w:space="0" w:color="auto"/>
            <w:bottom w:val="none" w:sz="0" w:space="0" w:color="auto"/>
            <w:right w:val="none" w:sz="0" w:space="0" w:color="auto"/>
          </w:divBdr>
          <w:divsChild>
            <w:div w:id="2070033220">
              <w:marLeft w:val="0"/>
              <w:marRight w:val="0"/>
              <w:marTop w:val="0"/>
              <w:marBottom w:val="0"/>
              <w:divBdr>
                <w:top w:val="none" w:sz="0" w:space="0" w:color="auto"/>
                <w:left w:val="none" w:sz="0" w:space="0" w:color="auto"/>
                <w:bottom w:val="none" w:sz="0" w:space="0" w:color="auto"/>
                <w:right w:val="none" w:sz="0" w:space="0" w:color="auto"/>
              </w:divBdr>
              <w:divsChild>
                <w:div w:id="1174955482">
                  <w:marLeft w:val="0"/>
                  <w:marRight w:val="0"/>
                  <w:marTop w:val="0"/>
                  <w:marBottom w:val="0"/>
                  <w:divBdr>
                    <w:top w:val="none" w:sz="0" w:space="0" w:color="auto"/>
                    <w:left w:val="none" w:sz="0" w:space="0" w:color="auto"/>
                    <w:bottom w:val="none" w:sz="0" w:space="0" w:color="auto"/>
                    <w:right w:val="none" w:sz="0" w:space="0" w:color="auto"/>
                  </w:divBdr>
                  <w:divsChild>
                    <w:div w:id="117265285">
                      <w:marLeft w:val="0"/>
                      <w:marRight w:val="0"/>
                      <w:marTop w:val="0"/>
                      <w:marBottom w:val="0"/>
                      <w:divBdr>
                        <w:top w:val="none" w:sz="0" w:space="0" w:color="auto"/>
                        <w:left w:val="none" w:sz="0" w:space="0" w:color="auto"/>
                        <w:bottom w:val="none" w:sz="0" w:space="0" w:color="auto"/>
                        <w:right w:val="none" w:sz="0" w:space="0" w:color="auto"/>
                      </w:divBdr>
                      <w:divsChild>
                        <w:div w:id="810171633">
                          <w:marLeft w:val="0"/>
                          <w:marRight w:val="0"/>
                          <w:marTop w:val="0"/>
                          <w:marBottom w:val="0"/>
                          <w:divBdr>
                            <w:top w:val="none" w:sz="0" w:space="0" w:color="auto"/>
                            <w:left w:val="none" w:sz="0" w:space="0" w:color="auto"/>
                            <w:bottom w:val="none" w:sz="0" w:space="0" w:color="auto"/>
                            <w:right w:val="none" w:sz="0" w:space="0" w:color="auto"/>
                          </w:divBdr>
                          <w:divsChild>
                            <w:div w:id="1795706840">
                              <w:marLeft w:val="0"/>
                              <w:marRight w:val="0"/>
                              <w:marTop w:val="0"/>
                              <w:marBottom w:val="0"/>
                              <w:divBdr>
                                <w:top w:val="none" w:sz="0" w:space="0" w:color="auto"/>
                                <w:left w:val="none" w:sz="0" w:space="0" w:color="auto"/>
                                <w:bottom w:val="none" w:sz="0" w:space="0" w:color="auto"/>
                                <w:right w:val="none" w:sz="0" w:space="0" w:color="auto"/>
                              </w:divBdr>
                              <w:divsChild>
                                <w:div w:id="236668075">
                                  <w:marLeft w:val="0"/>
                                  <w:marRight w:val="0"/>
                                  <w:marTop w:val="0"/>
                                  <w:marBottom w:val="0"/>
                                  <w:divBdr>
                                    <w:top w:val="none" w:sz="0" w:space="0" w:color="auto"/>
                                    <w:left w:val="none" w:sz="0" w:space="0" w:color="auto"/>
                                    <w:bottom w:val="none" w:sz="0" w:space="0" w:color="auto"/>
                                    <w:right w:val="none" w:sz="0" w:space="0" w:color="auto"/>
                                  </w:divBdr>
                                  <w:divsChild>
                                    <w:div w:id="1537696965">
                                      <w:marLeft w:val="0"/>
                                      <w:marRight w:val="0"/>
                                      <w:marTop w:val="0"/>
                                      <w:marBottom w:val="0"/>
                                      <w:divBdr>
                                        <w:top w:val="none" w:sz="0" w:space="0" w:color="auto"/>
                                        <w:left w:val="none" w:sz="0" w:space="0" w:color="auto"/>
                                        <w:bottom w:val="none" w:sz="0" w:space="0" w:color="auto"/>
                                        <w:right w:val="none" w:sz="0" w:space="0" w:color="auto"/>
                                      </w:divBdr>
                                      <w:divsChild>
                                        <w:div w:id="1106315400">
                                          <w:marLeft w:val="0"/>
                                          <w:marRight w:val="0"/>
                                          <w:marTop w:val="0"/>
                                          <w:marBottom w:val="0"/>
                                          <w:divBdr>
                                            <w:top w:val="none" w:sz="0" w:space="0" w:color="auto"/>
                                            <w:left w:val="none" w:sz="0" w:space="0" w:color="auto"/>
                                            <w:bottom w:val="none" w:sz="0" w:space="0" w:color="auto"/>
                                            <w:right w:val="none" w:sz="0" w:space="0" w:color="auto"/>
                                          </w:divBdr>
                                          <w:divsChild>
                                            <w:div w:id="20169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427341">
      <w:bodyDiv w:val="1"/>
      <w:marLeft w:val="0"/>
      <w:marRight w:val="0"/>
      <w:marTop w:val="0"/>
      <w:marBottom w:val="0"/>
      <w:divBdr>
        <w:top w:val="none" w:sz="0" w:space="0" w:color="auto"/>
        <w:left w:val="none" w:sz="0" w:space="0" w:color="auto"/>
        <w:bottom w:val="none" w:sz="0" w:space="0" w:color="auto"/>
        <w:right w:val="none" w:sz="0" w:space="0" w:color="auto"/>
      </w:divBdr>
    </w:div>
    <w:div w:id="441459284">
      <w:bodyDiv w:val="1"/>
      <w:marLeft w:val="0"/>
      <w:marRight w:val="0"/>
      <w:marTop w:val="0"/>
      <w:marBottom w:val="0"/>
      <w:divBdr>
        <w:top w:val="none" w:sz="0" w:space="0" w:color="auto"/>
        <w:left w:val="none" w:sz="0" w:space="0" w:color="auto"/>
        <w:bottom w:val="none" w:sz="0" w:space="0" w:color="auto"/>
        <w:right w:val="none" w:sz="0" w:space="0" w:color="auto"/>
      </w:divBdr>
    </w:div>
    <w:div w:id="470557543">
      <w:bodyDiv w:val="1"/>
      <w:marLeft w:val="0"/>
      <w:marRight w:val="0"/>
      <w:marTop w:val="0"/>
      <w:marBottom w:val="0"/>
      <w:divBdr>
        <w:top w:val="none" w:sz="0" w:space="0" w:color="auto"/>
        <w:left w:val="none" w:sz="0" w:space="0" w:color="auto"/>
        <w:bottom w:val="none" w:sz="0" w:space="0" w:color="auto"/>
        <w:right w:val="none" w:sz="0" w:space="0" w:color="auto"/>
      </w:divBdr>
    </w:div>
    <w:div w:id="485710504">
      <w:bodyDiv w:val="1"/>
      <w:marLeft w:val="0"/>
      <w:marRight w:val="0"/>
      <w:marTop w:val="0"/>
      <w:marBottom w:val="0"/>
      <w:divBdr>
        <w:top w:val="none" w:sz="0" w:space="0" w:color="auto"/>
        <w:left w:val="none" w:sz="0" w:space="0" w:color="auto"/>
        <w:bottom w:val="none" w:sz="0" w:space="0" w:color="auto"/>
        <w:right w:val="none" w:sz="0" w:space="0" w:color="auto"/>
      </w:divBdr>
    </w:div>
    <w:div w:id="536625057">
      <w:bodyDiv w:val="1"/>
      <w:marLeft w:val="0"/>
      <w:marRight w:val="0"/>
      <w:marTop w:val="0"/>
      <w:marBottom w:val="0"/>
      <w:divBdr>
        <w:top w:val="none" w:sz="0" w:space="0" w:color="auto"/>
        <w:left w:val="none" w:sz="0" w:space="0" w:color="auto"/>
        <w:bottom w:val="none" w:sz="0" w:space="0" w:color="auto"/>
        <w:right w:val="none" w:sz="0" w:space="0" w:color="auto"/>
      </w:divBdr>
    </w:div>
    <w:div w:id="541788527">
      <w:bodyDiv w:val="1"/>
      <w:marLeft w:val="0"/>
      <w:marRight w:val="0"/>
      <w:marTop w:val="0"/>
      <w:marBottom w:val="0"/>
      <w:divBdr>
        <w:top w:val="none" w:sz="0" w:space="0" w:color="auto"/>
        <w:left w:val="none" w:sz="0" w:space="0" w:color="auto"/>
        <w:bottom w:val="none" w:sz="0" w:space="0" w:color="auto"/>
        <w:right w:val="none" w:sz="0" w:space="0" w:color="auto"/>
      </w:divBdr>
    </w:div>
    <w:div w:id="560141206">
      <w:bodyDiv w:val="1"/>
      <w:marLeft w:val="0"/>
      <w:marRight w:val="0"/>
      <w:marTop w:val="0"/>
      <w:marBottom w:val="0"/>
      <w:divBdr>
        <w:top w:val="none" w:sz="0" w:space="0" w:color="auto"/>
        <w:left w:val="none" w:sz="0" w:space="0" w:color="auto"/>
        <w:bottom w:val="none" w:sz="0" w:space="0" w:color="auto"/>
        <w:right w:val="none" w:sz="0" w:space="0" w:color="auto"/>
      </w:divBdr>
    </w:div>
    <w:div w:id="608706990">
      <w:bodyDiv w:val="1"/>
      <w:marLeft w:val="0"/>
      <w:marRight w:val="0"/>
      <w:marTop w:val="0"/>
      <w:marBottom w:val="0"/>
      <w:divBdr>
        <w:top w:val="none" w:sz="0" w:space="0" w:color="auto"/>
        <w:left w:val="none" w:sz="0" w:space="0" w:color="auto"/>
        <w:bottom w:val="none" w:sz="0" w:space="0" w:color="auto"/>
        <w:right w:val="none" w:sz="0" w:space="0" w:color="auto"/>
      </w:divBdr>
    </w:div>
    <w:div w:id="611284737">
      <w:bodyDiv w:val="1"/>
      <w:marLeft w:val="0"/>
      <w:marRight w:val="0"/>
      <w:marTop w:val="0"/>
      <w:marBottom w:val="0"/>
      <w:divBdr>
        <w:top w:val="none" w:sz="0" w:space="0" w:color="auto"/>
        <w:left w:val="none" w:sz="0" w:space="0" w:color="auto"/>
        <w:bottom w:val="none" w:sz="0" w:space="0" w:color="auto"/>
        <w:right w:val="none" w:sz="0" w:space="0" w:color="auto"/>
      </w:divBdr>
    </w:div>
    <w:div w:id="615140917">
      <w:bodyDiv w:val="1"/>
      <w:marLeft w:val="0"/>
      <w:marRight w:val="0"/>
      <w:marTop w:val="0"/>
      <w:marBottom w:val="0"/>
      <w:divBdr>
        <w:top w:val="none" w:sz="0" w:space="0" w:color="auto"/>
        <w:left w:val="none" w:sz="0" w:space="0" w:color="auto"/>
        <w:bottom w:val="none" w:sz="0" w:space="0" w:color="auto"/>
        <w:right w:val="none" w:sz="0" w:space="0" w:color="auto"/>
      </w:divBdr>
    </w:div>
    <w:div w:id="642393750">
      <w:bodyDiv w:val="1"/>
      <w:marLeft w:val="0"/>
      <w:marRight w:val="0"/>
      <w:marTop w:val="0"/>
      <w:marBottom w:val="0"/>
      <w:divBdr>
        <w:top w:val="none" w:sz="0" w:space="0" w:color="auto"/>
        <w:left w:val="none" w:sz="0" w:space="0" w:color="auto"/>
        <w:bottom w:val="none" w:sz="0" w:space="0" w:color="auto"/>
        <w:right w:val="none" w:sz="0" w:space="0" w:color="auto"/>
      </w:divBdr>
      <w:divsChild>
        <w:div w:id="434131041">
          <w:marLeft w:val="0"/>
          <w:marRight w:val="0"/>
          <w:marTop w:val="0"/>
          <w:marBottom w:val="0"/>
          <w:divBdr>
            <w:top w:val="none" w:sz="0" w:space="0" w:color="auto"/>
            <w:left w:val="none" w:sz="0" w:space="0" w:color="auto"/>
            <w:bottom w:val="none" w:sz="0" w:space="0" w:color="auto"/>
            <w:right w:val="none" w:sz="0" w:space="0" w:color="auto"/>
          </w:divBdr>
          <w:divsChild>
            <w:div w:id="1854803246">
              <w:marLeft w:val="0"/>
              <w:marRight w:val="0"/>
              <w:marTop w:val="0"/>
              <w:marBottom w:val="0"/>
              <w:divBdr>
                <w:top w:val="none" w:sz="0" w:space="0" w:color="auto"/>
                <w:left w:val="none" w:sz="0" w:space="0" w:color="auto"/>
                <w:bottom w:val="none" w:sz="0" w:space="0" w:color="auto"/>
                <w:right w:val="none" w:sz="0" w:space="0" w:color="auto"/>
              </w:divBdr>
              <w:divsChild>
                <w:div w:id="1562522016">
                  <w:marLeft w:val="0"/>
                  <w:marRight w:val="0"/>
                  <w:marTop w:val="0"/>
                  <w:marBottom w:val="0"/>
                  <w:divBdr>
                    <w:top w:val="none" w:sz="0" w:space="0" w:color="auto"/>
                    <w:left w:val="none" w:sz="0" w:space="0" w:color="auto"/>
                    <w:bottom w:val="none" w:sz="0" w:space="0" w:color="auto"/>
                    <w:right w:val="none" w:sz="0" w:space="0" w:color="auto"/>
                  </w:divBdr>
                  <w:divsChild>
                    <w:div w:id="179586866">
                      <w:marLeft w:val="0"/>
                      <w:marRight w:val="0"/>
                      <w:marTop w:val="0"/>
                      <w:marBottom w:val="0"/>
                      <w:divBdr>
                        <w:top w:val="none" w:sz="0" w:space="0" w:color="auto"/>
                        <w:left w:val="none" w:sz="0" w:space="0" w:color="auto"/>
                        <w:bottom w:val="none" w:sz="0" w:space="0" w:color="auto"/>
                        <w:right w:val="none" w:sz="0" w:space="0" w:color="auto"/>
                      </w:divBdr>
                      <w:divsChild>
                        <w:div w:id="1406102789">
                          <w:marLeft w:val="0"/>
                          <w:marRight w:val="0"/>
                          <w:marTop w:val="0"/>
                          <w:marBottom w:val="0"/>
                          <w:divBdr>
                            <w:top w:val="none" w:sz="0" w:space="0" w:color="auto"/>
                            <w:left w:val="none" w:sz="0" w:space="0" w:color="auto"/>
                            <w:bottom w:val="none" w:sz="0" w:space="0" w:color="auto"/>
                            <w:right w:val="none" w:sz="0" w:space="0" w:color="auto"/>
                          </w:divBdr>
                          <w:divsChild>
                            <w:div w:id="192961328">
                              <w:marLeft w:val="0"/>
                              <w:marRight w:val="0"/>
                              <w:marTop w:val="0"/>
                              <w:marBottom w:val="0"/>
                              <w:divBdr>
                                <w:top w:val="none" w:sz="0" w:space="0" w:color="auto"/>
                                <w:left w:val="none" w:sz="0" w:space="0" w:color="auto"/>
                                <w:bottom w:val="none" w:sz="0" w:space="0" w:color="auto"/>
                                <w:right w:val="none" w:sz="0" w:space="0" w:color="auto"/>
                              </w:divBdr>
                              <w:divsChild>
                                <w:div w:id="1663074116">
                                  <w:marLeft w:val="0"/>
                                  <w:marRight w:val="0"/>
                                  <w:marTop w:val="0"/>
                                  <w:marBottom w:val="0"/>
                                  <w:divBdr>
                                    <w:top w:val="none" w:sz="0" w:space="0" w:color="auto"/>
                                    <w:left w:val="none" w:sz="0" w:space="0" w:color="auto"/>
                                    <w:bottom w:val="none" w:sz="0" w:space="0" w:color="auto"/>
                                    <w:right w:val="none" w:sz="0" w:space="0" w:color="auto"/>
                                  </w:divBdr>
                                  <w:divsChild>
                                    <w:div w:id="377972192">
                                      <w:marLeft w:val="0"/>
                                      <w:marRight w:val="0"/>
                                      <w:marTop w:val="0"/>
                                      <w:marBottom w:val="0"/>
                                      <w:divBdr>
                                        <w:top w:val="none" w:sz="0" w:space="0" w:color="auto"/>
                                        <w:left w:val="none" w:sz="0" w:space="0" w:color="auto"/>
                                        <w:bottom w:val="none" w:sz="0" w:space="0" w:color="auto"/>
                                        <w:right w:val="none" w:sz="0" w:space="0" w:color="auto"/>
                                      </w:divBdr>
                                      <w:divsChild>
                                        <w:div w:id="1627198926">
                                          <w:marLeft w:val="0"/>
                                          <w:marRight w:val="0"/>
                                          <w:marTop w:val="0"/>
                                          <w:marBottom w:val="0"/>
                                          <w:divBdr>
                                            <w:top w:val="none" w:sz="0" w:space="0" w:color="auto"/>
                                            <w:left w:val="none" w:sz="0" w:space="0" w:color="auto"/>
                                            <w:bottom w:val="none" w:sz="0" w:space="0" w:color="auto"/>
                                            <w:right w:val="none" w:sz="0" w:space="0" w:color="auto"/>
                                          </w:divBdr>
                                          <w:divsChild>
                                            <w:div w:id="1642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801135">
      <w:bodyDiv w:val="1"/>
      <w:marLeft w:val="0"/>
      <w:marRight w:val="0"/>
      <w:marTop w:val="0"/>
      <w:marBottom w:val="0"/>
      <w:divBdr>
        <w:top w:val="none" w:sz="0" w:space="0" w:color="auto"/>
        <w:left w:val="none" w:sz="0" w:space="0" w:color="auto"/>
        <w:bottom w:val="none" w:sz="0" w:space="0" w:color="auto"/>
        <w:right w:val="none" w:sz="0" w:space="0" w:color="auto"/>
      </w:divBdr>
    </w:div>
    <w:div w:id="691422686">
      <w:bodyDiv w:val="1"/>
      <w:marLeft w:val="0"/>
      <w:marRight w:val="0"/>
      <w:marTop w:val="0"/>
      <w:marBottom w:val="0"/>
      <w:divBdr>
        <w:top w:val="none" w:sz="0" w:space="0" w:color="auto"/>
        <w:left w:val="none" w:sz="0" w:space="0" w:color="auto"/>
        <w:bottom w:val="none" w:sz="0" w:space="0" w:color="auto"/>
        <w:right w:val="none" w:sz="0" w:space="0" w:color="auto"/>
      </w:divBdr>
      <w:divsChild>
        <w:div w:id="1325280704">
          <w:marLeft w:val="0"/>
          <w:marRight w:val="0"/>
          <w:marTop w:val="0"/>
          <w:marBottom w:val="0"/>
          <w:divBdr>
            <w:top w:val="none" w:sz="0" w:space="0" w:color="auto"/>
            <w:left w:val="none" w:sz="0" w:space="0" w:color="auto"/>
            <w:bottom w:val="none" w:sz="0" w:space="0" w:color="auto"/>
            <w:right w:val="none" w:sz="0" w:space="0" w:color="auto"/>
          </w:divBdr>
        </w:div>
      </w:divsChild>
    </w:div>
    <w:div w:id="733285163">
      <w:bodyDiv w:val="1"/>
      <w:marLeft w:val="0"/>
      <w:marRight w:val="0"/>
      <w:marTop w:val="0"/>
      <w:marBottom w:val="0"/>
      <w:divBdr>
        <w:top w:val="none" w:sz="0" w:space="0" w:color="auto"/>
        <w:left w:val="none" w:sz="0" w:space="0" w:color="auto"/>
        <w:bottom w:val="none" w:sz="0" w:space="0" w:color="auto"/>
        <w:right w:val="none" w:sz="0" w:space="0" w:color="auto"/>
      </w:divBdr>
    </w:div>
    <w:div w:id="768430156">
      <w:bodyDiv w:val="1"/>
      <w:marLeft w:val="0"/>
      <w:marRight w:val="0"/>
      <w:marTop w:val="0"/>
      <w:marBottom w:val="0"/>
      <w:divBdr>
        <w:top w:val="none" w:sz="0" w:space="0" w:color="auto"/>
        <w:left w:val="none" w:sz="0" w:space="0" w:color="auto"/>
        <w:bottom w:val="none" w:sz="0" w:space="0" w:color="auto"/>
        <w:right w:val="none" w:sz="0" w:space="0" w:color="auto"/>
      </w:divBdr>
      <w:divsChild>
        <w:div w:id="627971805">
          <w:marLeft w:val="0"/>
          <w:marRight w:val="0"/>
          <w:marTop w:val="0"/>
          <w:marBottom w:val="0"/>
          <w:divBdr>
            <w:top w:val="none" w:sz="0" w:space="0" w:color="auto"/>
            <w:left w:val="none" w:sz="0" w:space="0" w:color="auto"/>
            <w:bottom w:val="none" w:sz="0" w:space="0" w:color="auto"/>
            <w:right w:val="none" w:sz="0" w:space="0" w:color="auto"/>
          </w:divBdr>
          <w:divsChild>
            <w:div w:id="1776092084">
              <w:marLeft w:val="0"/>
              <w:marRight w:val="0"/>
              <w:marTop w:val="0"/>
              <w:marBottom w:val="0"/>
              <w:divBdr>
                <w:top w:val="none" w:sz="0" w:space="0" w:color="auto"/>
                <w:left w:val="none" w:sz="0" w:space="0" w:color="auto"/>
                <w:bottom w:val="none" w:sz="0" w:space="0" w:color="auto"/>
                <w:right w:val="none" w:sz="0" w:space="0" w:color="auto"/>
              </w:divBdr>
              <w:divsChild>
                <w:div w:id="2135442526">
                  <w:marLeft w:val="0"/>
                  <w:marRight w:val="0"/>
                  <w:marTop w:val="0"/>
                  <w:marBottom w:val="0"/>
                  <w:divBdr>
                    <w:top w:val="none" w:sz="0" w:space="0" w:color="auto"/>
                    <w:left w:val="none" w:sz="0" w:space="0" w:color="auto"/>
                    <w:bottom w:val="none" w:sz="0" w:space="0" w:color="auto"/>
                    <w:right w:val="none" w:sz="0" w:space="0" w:color="auto"/>
                  </w:divBdr>
                  <w:divsChild>
                    <w:div w:id="2111006954">
                      <w:marLeft w:val="0"/>
                      <w:marRight w:val="0"/>
                      <w:marTop w:val="0"/>
                      <w:marBottom w:val="0"/>
                      <w:divBdr>
                        <w:top w:val="none" w:sz="0" w:space="0" w:color="auto"/>
                        <w:left w:val="none" w:sz="0" w:space="0" w:color="auto"/>
                        <w:bottom w:val="none" w:sz="0" w:space="0" w:color="auto"/>
                        <w:right w:val="none" w:sz="0" w:space="0" w:color="auto"/>
                      </w:divBdr>
                      <w:divsChild>
                        <w:div w:id="707873737">
                          <w:marLeft w:val="0"/>
                          <w:marRight w:val="0"/>
                          <w:marTop w:val="0"/>
                          <w:marBottom w:val="0"/>
                          <w:divBdr>
                            <w:top w:val="none" w:sz="0" w:space="0" w:color="auto"/>
                            <w:left w:val="none" w:sz="0" w:space="0" w:color="auto"/>
                            <w:bottom w:val="none" w:sz="0" w:space="0" w:color="auto"/>
                            <w:right w:val="none" w:sz="0" w:space="0" w:color="auto"/>
                          </w:divBdr>
                          <w:divsChild>
                            <w:div w:id="1381050038">
                              <w:marLeft w:val="0"/>
                              <w:marRight w:val="0"/>
                              <w:marTop w:val="0"/>
                              <w:marBottom w:val="0"/>
                              <w:divBdr>
                                <w:top w:val="none" w:sz="0" w:space="0" w:color="auto"/>
                                <w:left w:val="none" w:sz="0" w:space="0" w:color="auto"/>
                                <w:bottom w:val="none" w:sz="0" w:space="0" w:color="auto"/>
                                <w:right w:val="none" w:sz="0" w:space="0" w:color="auto"/>
                              </w:divBdr>
                              <w:divsChild>
                                <w:div w:id="1685979655">
                                  <w:marLeft w:val="0"/>
                                  <w:marRight w:val="0"/>
                                  <w:marTop w:val="0"/>
                                  <w:marBottom w:val="0"/>
                                  <w:divBdr>
                                    <w:top w:val="none" w:sz="0" w:space="0" w:color="auto"/>
                                    <w:left w:val="none" w:sz="0" w:space="0" w:color="auto"/>
                                    <w:bottom w:val="none" w:sz="0" w:space="0" w:color="auto"/>
                                    <w:right w:val="none" w:sz="0" w:space="0" w:color="auto"/>
                                  </w:divBdr>
                                  <w:divsChild>
                                    <w:div w:id="2122340451">
                                      <w:marLeft w:val="0"/>
                                      <w:marRight w:val="0"/>
                                      <w:marTop w:val="0"/>
                                      <w:marBottom w:val="0"/>
                                      <w:divBdr>
                                        <w:top w:val="none" w:sz="0" w:space="0" w:color="auto"/>
                                        <w:left w:val="none" w:sz="0" w:space="0" w:color="auto"/>
                                        <w:bottom w:val="none" w:sz="0" w:space="0" w:color="auto"/>
                                        <w:right w:val="none" w:sz="0" w:space="0" w:color="auto"/>
                                      </w:divBdr>
                                      <w:divsChild>
                                        <w:div w:id="1535191026">
                                          <w:marLeft w:val="0"/>
                                          <w:marRight w:val="0"/>
                                          <w:marTop w:val="0"/>
                                          <w:marBottom w:val="0"/>
                                          <w:divBdr>
                                            <w:top w:val="none" w:sz="0" w:space="0" w:color="auto"/>
                                            <w:left w:val="none" w:sz="0" w:space="0" w:color="auto"/>
                                            <w:bottom w:val="none" w:sz="0" w:space="0" w:color="auto"/>
                                            <w:right w:val="none" w:sz="0" w:space="0" w:color="auto"/>
                                          </w:divBdr>
                                          <w:divsChild>
                                            <w:div w:id="8026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082570">
      <w:bodyDiv w:val="1"/>
      <w:marLeft w:val="0"/>
      <w:marRight w:val="0"/>
      <w:marTop w:val="0"/>
      <w:marBottom w:val="0"/>
      <w:divBdr>
        <w:top w:val="none" w:sz="0" w:space="0" w:color="auto"/>
        <w:left w:val="none" w:sz="0" w:space="0" w:color="auto"/>
        <w:bottom w:val="none" w:sz="0" w:space="0" w:color="auto"/>
        <w:right w:val="none" w:sz="0" w:space="0" w:color="auto"/>
      </w:divBdr>
    </w:div>
    <w:div w:id="839545006">
      <w:bodyDiv w:val="1"/>
      <w:marLeft w:val="0"/>
      <w:marRight w:val="0"/>
      <w:marTop w:val="0"/>
      <w:marBottom w:val="0"/>
      <w:divBdr>
        <w:top w:val="none" w:sz="0" w:space="0" w:color="auto"/>
        <w:left w:val="none" w:sz="0" w:space="0" w:color="auto"/>
        <w:bottom w:val="none" w:sz="0" w:space="0" w:color="auto"/>
        <w:right w:val="none" w:sz="0" w:space="0" w:color="auto"/>
      </w:divBdr>
      <w:divsChild>
        <w:div w:id="1114209380">
          <w:marLeft w:val="0"/>
          <w:marRight w:val="0"/>
          <w:marTop w:val="0"/>
          <w:marBottom w:val="0"/>
          <w:divBdr>
            <w:top w:val="none" w:sz="0" w:space="0" w:color="auto"/>
            <w:left w:val="none" w:sz="0" w:space="0" w:color="auto"/>
            <w:bottom w:val="none" w:sz="0" w:space="0" w:color="auto"/>
            <w:right w:val="none" w:sz="0" w:space="0" w:color="auto"/>
          </w:divBdr>
          <w:divsChild>
            <w:div w:id="1170877134">
              <w:marLeft w:val="0"/>
              <w:marRight w:val="0"/>
              <w:marTop w:val="0"/>
              <w:marBottom w:val="0"/>
              <w:divBdr>
                <w:top w:val="none" w:sz="0" w:space="0" w:color="auto"/>
                <w:left w:val="none" w:sz="0" w:space="0" w:color="auto"/>
                <w:bottom w:val="none" w:sz="0" w:space="0" w:color="auto"/>
                <w:right w:val="none" w:sz="0" w:space="0" w:color="auto"/>
              </w:divBdr>
              <w:divsChild>
                <w:div w:id="1025525143">
                  <w:marLeft w:val="0"/>
                  <w:marRight w:val="0"/>
                  <w:marTop w:val="0"/>
                  <w:marBottom w:val="0"/>
                  <w:divBdr>
                    <w:top w:val="none" w:sz="0" w:space="0" w:color="auto"/>
                    <w:left w:val="none" w:sz="0" w:space="0" w:color="auto"/>
                    <w:bottom w:val="none" w:sz="0" w:space="0" w:color="auto"/>
                    <w:right w:val="none" w:sz="0" w:space="0" w:color="auto"/>
                  </w:divBdr>
                  <w:divsChild>
                    <w:div w:id="498233110">
                      <w:marLeft w:val="0"/>
                      <w:marRight w:val="0"/>
                      <w:marTop w:val="0"/>
                      <w:marBottom w:val="0"/>
                      <w:divBdr>
                        <w:top w:val="none" w:sz="0" w:space="0" w:color="auto"/>
                        <w:left w:val="none" w:sz="0" w:space="0" w:color="auto"/>
                        <w:bottom w:val="none" w:sz="0" w:space="0" w:color="auto"/>
                        <w:right w:val="none" w:sz="0" w:space="0" w:color="auto"/>
                      </w:divBdr>
                      <w:divsChild>
                        <w:div w:id="920912066">
                          <w:marLeft w:val="0"/>
                          <w:marRight w:val="0"/>
                          <w:marTop w:val="0"/>
                          <w:marBottom w:val="0"/>
                          <w:divBdr>
                            <w:top w:val="none" w:sz="0" w:space="0" w:color="auto"/>
                            <w:left w:val="none" w:sz="0" w:space="0" w:color="auto"/>
                            <w:bottom w:val="none" w:sz="0" w:space="0" w:color="auto"/>
                            <w:right w:val="none" w:sz="0" w:space="0" w:color="auto"/>
                          </w:divBdr>
                          <w:divsChild>
                            <w:div w:id="613635303">
                              <w:marLeft w:val="0"/>
                              <w:marRight w:val="0"/>
                              <w:marTop w:val="0"/>
                              <w:marBottom w:val="0"/>
                              <w:divBdr>
                                <w:top w:val="none" w:sz="0" w:space="0" w:color="auto"/>
                                <w:left w:val="none" w:sz="0" w:space="0" w:color="auto"/>
                                <w:bottom w:val="none" w:sz="0" w:space="0" w:color="auto"/>
                                <w:right w:val="none" w:sz="0" w:space="0" w:color="auto"/>
                              </w:divBdr>
                              <w:divsChild>
                                <w:div w:id="313343081">
                                  <w:marLeft w:val="0"/>
                                  <w:marRight w:val="0"/>
                                  <w:marTop w:val="0"/>
                                  <w:marBottom w:val="0"/>
                                  <w:divBdr>
                                    <w:top w:val="none" w:sz="0" w:space="0" w:color="auto"/>
                                    <w:left w:val="none" w:sz="0" w:space="0" w:color="auto"/>
                                    <w:bottom w:val="none" w:sz="0" w:space="0" w:color="auto"/>
                                    <w:right w:val="none" w:sz="0" w:space="0" w:color="auto"/>
                                  </w:divBdr>
                                  <w:divsChild>
                                    <w:div w:id="1513568701">
                                      <w:marLeft w:val="0"/>
                                      <w:marRight w:val="0"/>
                                      <w:marTop w:val="0"/>
                                      <w:marBottom w:val="0"/>
                                      <w:divBdr>
                                        <w:top w:val="none" w:sz="0" w:space="0" w:color="auto"/>
                                        <w:left w:val="none" w:sz="0" w:space="0" w:color="auto"/>
                                        <w:bottom w:val="none" w:sz="0" w:space="0" w:color="auto"/>
                                        <w:right w:val="none" w:sz="0" w:space="0" w:color="auto"/>
                                      </w:divBdr>
                                      <w:divsChild>
                                        <w:div w:id="618879695">
                                          <w:marLeft w:val="0"/>
                                          <w:marRight w:val="0"/>
                                          <w:marTop w:val="0"/>
                                          <w:marBottom w:val="0"/>
                                          <w:divBdr>
                                            <w:top w:val="none" w:sz="0" w:space="0" w:color="auto"/>
                                            <w:left w:val="none" w:sz="0" w:space="0" w:color="auto"/>
                                            <w:bottom w:val="none" w:sz="0" w:space="0" w:color="auto"/>
                                            <w:right w:val="none" w:sz="0" w:space="0" w:color="auto"/>
                                          </w:divBdr>
                                          <w:divsChild>
                                            <w:div w:id="8716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335736">
      <w:bodyDiv w:val="1"/>
      <w:marLeft w:val="0"/>
      <w:marRight w:val="0"/>
      <w:marTop w:val="0"/>
      <w:marBottom w:val="0"/>
      <w:divBdr>
        <w:top w:val="none" w:sz="0" w:space="0" w:color="auto"/>
        <w:left w:val="none" w:sz="0" w:space="0" w:color="auto"/>
        <w:bottom w:val="none" w:sz="0" w:space="0" w:color="auto"/>
        <w:right w:val="none" w:sz="0" w:space="0" w:color="auto"/>
      </w:divBdr>
    </w:div>
    <w:div w:id="864751637">
      <w:bodyDiv w:val="1"/>
      <w:marLeft w:val="0"/>
      <w:marRight w:val="0"/>
      <w:marTop w:val="0"/>
      <w:marBottom w:val="0"/>
      <w:divBdr>
        <w:top w:val="none" w:sz="0" w:space="0" w:color="auto"/>
        <w:left w:val="none" w:sz="0" w:space="0" w:color="auto"/>
        <w:bottom w:val="none" w:sz="0" w:space="0" w:color="auto"/>
        <w:right w:val="none" w:sz="0" w:space="0" w:color="auto"/>
      </w:divBdr>
    </w:div>
    <w:div w:id="880631619">
      <w:bodyDiv w:val="1"/>
      <w:marLeft w:val="0"/>
      <w:marRight w:val="0"/>
      <w:marTop w:val="0"/>
      <w:marBottom w:val="0"/>
      <w:divBdr>
        <w:top w:val="none" w:sz="0" w:space="0" w:color="auto"/>
        <w:left w:val="none" w:sz="0" w:space="0" w:color="auto"/>
        <w:bottom w:val="none" w:sz="0" w:space="0" w:color="auto"/>
        <w:right w:val="none" w:sz="0" w:space="0" w:color="auto"/>
      </w:divBdr>
    </w:div>
    <w:div w:id="918978141">
      <w:bodyDiv w:val="1"/>
      <w:marLeft w:val="0"/>
      <w:marRight w:val="0"/>
      <w:marTop w:val="0"/>
      <w:marBottom w:val="0"/>
      <w:divBdr>
        <w:top w:val="none" w:sz="0" w:space="0" w:color="auto"/>
        <w:left w:val="none" w:sz="0" w:space="0" w:color="auto"/>
        <w:bottom w:val="none" w:sz="0" w:space="0" w:color="auto"/>
        <w:right w:val="none" w:sz="0" w:space="0" w:color="auto"/>
      </w:divBdr>
      <w:divsChild>
        <w:div w:id="1260522975">
          <w:marLeft w:val="0"/>
          <w:marRight w:val="0"/>
          <w:marTop w:val="0"/>
          <w:marBottom w:val="0"/>
          <w:divBdr>
            <w:top w:val="none" w:sz="0" w:space="0" w:color="auto"/>
            <w:left w:val="none" w:sz="0" w:space="0" w:color="auto"/>
            <w:bottom w:val="none" w:sz="0" w:space="0" w:color="auto"/>
            <w:right w:val="none" w:sz="0" w:space="0" w:color="auto"/>
          </w:divBdr>
          <w:divsChild>
            <w:div w:id="883834713">
              <w:marLeft w:val="0"/>
              <w:marRight w:val="0"/>
              <w:marTop w:val="0"/>
              <w:marBottom w:val="0"/>
              <w:divBdr>
                <w:top w:val="none" w:sz="0" w:space="0" w:color="auto"/>
                <w:left w:val="none" w:sz="0" w:space="0" w:color="auto"/>
                <w:bottom w:val="none" w:sz="0" w:space="0" w:color="auto"/>
                <w:right w:val="none" w:sz="0" w:space="0" w:color="auto"/>
              </w:divBdr>
              <w:divsChild>
                <w:div w:id="892351796">
                  <w:marLeft w:val="0"/>
                  <w:marRight w:val="0"/>
                  <w:marTop w:val="0"/>
                  <w:marBottom w:val="0"/>
                  <w:divBdr>
                    <w:top w:val="none" w:sz="0" w:space="0" w:color="auto"/>
                    <w:left w:val="none" w:sz="0" w:space="0" w:color="auto"/>
                    <w:bottom w:val="none" w:sz="0" w:space="0" w:color="auto"/>
                    <w:right w:val="none" w:sz="0" w:space="0" w:color="auto"/>
                  </w:divBdr>
                  <w:divsChild>
                    <w:div w:id="2033802261">
                      <w:marLeft w:val="0"/>
                      <w:marRight w:val="0"/>
                      <w:marTop w:val="0"/>
                      <w:marBottom w:val="0"/>
                      <w:divBdr>
                        <w:top w:val="none" w:sz="0" w:space="0" w:color="auto"/>
                        <w:left w:val="none" w:sz="0" w:space="0" w:color="auto"/>
                        <w:bottom w:val="none" w:sz="0" w:space="0" w:color="auto"/>
                        <w:right w:val="none" w:sz="0" w:space="0" w:color="auto"/>
                      </w:divBdr>
                      <w:divsChild>
                        <w:div w:id="2108233689">
                          <w:marLeft w:val="0"/>
                          <w:marRight w:val="0"/>
                          <w:marTop w:val="0"/>
                          <w:marBottom w:val="0"/>
                          <w:divBdr>
                            <w:top w:val="none" w:sz="0" w:space="0" w:color="auto"/>
                            <w:left w:val="none" w:sz="0" w:space="0" w:color="auto"/>
                            <w:bottom w:val="none" w:sz="0" w:space="0" w:color="auto"/>
                            <w:right w:val="none" w:sz="0" w:space="0" w:color="auto"/>
                          </w:divBdr>
                          <w:divsChild>
                            <w:div w:id="454256791">
                              <w:marLeft w:val="0"/>
                              <w:marRight w:val="0"/>
                              <w:marTop w:val="0"/>
                              <w:marBottom w:val="0"/>
                              <w:divBdr>
                                <w:top w:val="none" w:sz="0" w:space="0" w:color="auto"/>
                                <w:left w:val="none" w:sz="0" w:space="0" w:color="auto"/>
                                <w:bottom w:val="none" w:sz="0" w:space="0" w:color="auto"/>
                                <w:right w:val="none" w:sz="0" w:space="0" w:color="auto"/>
                              </w:divBdr>
                              <w:divsChild>
                                <w:div w:id="1441291645">
                                  <w:marLeft w:val="0"/>
                                  <w:marRight w:val="0"/>
                                  <w:marTop w:val="0"/>
                                  <w:marBottom w:val="0"/>
                                  <w:divBdr>
                                    <w:top w:val="none" w:sz="0" w:space="0" w:color="auto"/>
                                    <w:left w:val="none" w:sz="0" w:space="0" w:color="auto"/>
                                    <w:bottom w:val="none" w:sz="0" w:space="0" w:color="auto"/>
                                    <w:right w:val="none" w:sz="0" w:space="0" w:color="auto"/>
                                  </w:divBdr>
                                  <w:divsChild>
                                    <w:div w:id="1462847238">
                                      <w:marLeft w:val="0"/>
                                      <w:marRight w:val="0"/>
                                      <w:marTop w:val="0"/>
                                      <w:marBottom w:val="0"/>
                                      <w:divBdr>
                                        <w:top w:val="none" w:sz="0" w:space="0" w:color="auto"/>
                                        <w:left w:val="none" w:sz="0" w:space="0" w:color="auto"/>
                                        <w:bottom w:val="none" w:sz="0" w:space="0" w:color="auto"/>
                                        <w:right w:val="none" w:sz="0" w:space="0" w:color="auto"/>
                                      </w:divBdr>
                                      <w:divsChild>
                                        <w:div w:id="1466046685">
                                          <w:marLeft w:val="0"/>
                                          <w:marRight w:val="0"/>
                                          <w:marTop w:val="0"/>
                                          <w:marBottom w:val="0"/>
                                          <w:divBdr>
                                            <w:top w:val="none" w:sz="0" w:space="0" w:color="auto"/>
                                            <w:left w:val="none" w:sz="0" w:space="0" w:color="auto"/>
                                            <w:bottom w:val="none" w:sz="0" w:space="0" w:color="auto"/>
                                            <w:right w:val="none" w:sz="0" w:space="0" w:color="auto"/>
                                          </w:divBdr>
                                          <w:divsChild>
                                            <w:div w:id="16789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3419280">
      <w:bodyDiv w:val="1"/>
      <w:marLeft w:val="0"/>
      <w:marRight w:val="0"/>
      <w:marTop w:val="0"/>
      <w:marBottom w:val="0"/>
      <w:divBdr>
        <w:top w:val="none" w:sz="0" w:space="0" w:color="auto"/>
        <w:left w:val="none" w:sz="0" w:space="0" w:color="auto"/>
        <w:bottom w:val="none" w:sz="0" w:space="0" w:color="auto"/>
        <w:right w:val="none" w:sz="0" w:space="0" w:color="auto"/>
      </w:divBdr>
    </w:div>
    <w:div w:id="964390609">
      <w:bodyDiv w:val="1"/>
      <w:marLeft w:val="0"/>
      <w:marRight w:val="0"/>
      <w:marTop w:val="0"/>
      <w:marBottom w:val="0"/>
      <w:divBdr>
        <w:top w:val="none" w:sz="0" w:space="0" w:color="auto"/>
        <w:left w:val="none" w:sz="0" w:space="0" w:color="auto"/>
        <w:bottom w:val="none" w:sz="0" w:space="0" w:color="auto"/>
        <w:right w:val="none" w:sz="0" w:space="0" w:color="auto"/>
      </w:divBdr>
    </w:div>
    <w:div w:id="982278093">
      <w:bodyDiv w:val="1"/>
      <w:marLeft w:val="0"/>
      <w:marRight w:val="0"/>
      <w:marTop w:val="0"/>
      <w:marBottom w:val="0"/>
      <w:divBdr>
        <w:top w:val="none" w:sz="0" w:space="0" w:color="auto"/>
        <w:left w:val="none" w:sz="0" w:space="0" w:color="auto"/>
        <w:bottom w:val="none" w:sz="0" w:space="0" w:color="auto"/>
        <w:right w:val="none" w:sz="0" w:space="0" w:color="auto"/>
      </w:divBdr>
    </w:div>
    <w:div w:id="1018776490">
      <w:bodyDiv w:val="1"/>
      <w:marLeft w:val="0"/>
      <w:marRight w:val="0"/>
      <w:marTop w:val="0"/>
      <w:marBottom w:val="0"/>
      <w:divBdr>
        <w:top w:val="none" w:sz="0" w:space="0" w:color="auto"/>
        <w:left w:val="none" w:sz="0" w:space="0" w:color="auto"/>
        <w:bottom w:val="none" w:sz="0" w:space="0" w:color="auto"/>
        <w:right w:val="none" w:sz="0" w:space="0" w:color="auto"/>
      </w:divBdr>
    </w:div>
    <w:div w:id="1036198697">
      <w:bodyDiv w:val="1"/>
      <w:marLeft w:val="0"/>
      <w:marRight w:val="0"/>
      <w:marTop w:val="0"/>
      <w:marBottom w:val="0"/>
      <w:divBdr>
        <w:top w:val="none" w:sz="0" w:space="0" w:color="auto"/>
        <w:left w:val="none" w:sz="0" w:space="0" w:color="auto"/>
        <w:bottom w:val="none" w:sz="0" w:space="0" w:color="auto"/>
        <w:right w:val="none" w:sz="0" w:space="0" w:color="auto"/>
      </w:divBdr>
      <w:divsChild>
        <w:div w:id="464349423">
          <w:marLeft w:val="0"/>
          <w:marRight w:val="0"/>
          <w:marTop w:val="0"/>
          <w:marBottom w:val="0"/>
          <w:divBdr>
            <w:top w:val="none" w:sz="0" w:space="0" w:color="auto"/>
            <w:left w:val="none" w:sz="0" w:space="0" w:color="auto"/>
            <w:bottom w:val="none" w:sz="0" w:space="0" w:color="auto"/>
            <w:right w:val="none" w:sz="0" w:space="0" w:color="auto"/>
          </w:divBdr>
        </w:div>
      </w:divsChild>
    </w:div>
    <w:div w:id="1077896972">
      <w:bodyDiv w:val="1"/>
      <w:marLeft w:val="0"/>
      <w:marRight w:val="0"/>
      <w:marTop w:val="0"/>
      <w:marBottom w:val="0"/>
      <w:divBdr>
        <w:top w:val="none" w:sz="0" w:space="0" w:color="auto"/>
        <w:left w:val="none" w:sz="0" w:space="0" w:color="auto"/>
        <w:bottom w:val="none" w:sz="0" w:space="0" w:color="auto"/>
        <w:right w:val="none" w:sz="0" w:space="0" w:color="auto"/>
      </w:divBdr>
    </w:div>
    <w:div w:id="1079523036">
      <w:bodyDiv w:val="1"/>
      <w:marLeft w:val="0"/>
      <w:marRight w:val="0"/>
      <w:marTop w:val="0"/>
      <w:marBottom w:val="0"/>
      <w:divBdr>
        <w:top w:val="none" w:sz="0" w:space="0" w:color="auto"/>
        <w:left w:val="none" w:sz="0" w:space="0" w:color="auto"/>
        <w:bottom w:val="none" w:sz="0" w:space="0" w:color="auto"/>
        <w:right w:val="none" w:sz="0" w:space="0" w:color="auto"/>
      </w:divBdr>
    </w:div>
    <w:div w:id="1092429848">
      <w:bodyDiv w:val="1"/>
      <w:marLeft w:val="0"/>
      <w:marRight w:val="0"/>
      <w:marTop w:val="0"/>
      <w:marBottom w:val="0"/>
      <w:divBdr>
        <w:top w:val="none" w:sz="0" w:space="0" w:color="auto"/>
        <w:left w:val="none" w:sz="0" w:space="0" w:color="auto"/>
        <w:bottom w:val="none" w:sz="0" w:space="0" w:color="auto"/>
        <w:right w:val="none" w:sz="0" w:space="0" w:color="auto"/>
      </w:divBdr>
    </w:div>
    <w:div w:id="1125855909">
      <w:bodyDiv w:val="1"/>
      <w:marLeft w:val="0"/>
      <w:marRight w:val="0"/>
      <w:marTop w:val="0"/>
      <w:marBottom w:val="0"/>
      <w:divBdr>
        <w:top w:val="none" w:sz="0" w:space="0" w:color="auto"/>
        <w:left w:val="none" w:sz="0" w:space="0" w:color="auto"/>
        <w:bottom w:val="none" w:sz="0" w:space="0" w:color="auto"/>
        <w:right w:val="none" w:sz="0" w:space="0" w:color="auto"/>
      </w:divBdr>
    </w:div>
    <w:div w:id="1139417504">
      <w:bodyDiv w:val="1"/>
      <w:marLeft w:val="0"/>
      <w:marRight w:val="0"/>
      <w:marTop w:val="0"/>
      <w:marBottom w:val="0"/>
      <w:divBdr>
        <w:top w:val="none" w:sz="0" w:space="0" w:color="auto"/>
        <w:left w:val="none" w:sz="0" w:space="0" w:color="auto"/>
        <w:bottom w:val="none" w:sz="0" w:space="0" w:color="auto"/>
        <w:right w:val="none" w:sz="0" w:space="0" w:color="auto"/>
      </w:divBdr>
    </w:div>
    <w:div w:id="1146623279">
      <w:bodyDiv w:val="1"/>
      <w:marLeft w:val="0"/>
      <w:marRight w:val="0"/>
      <w:marTop w:val="0"/>
      <w:marBottom w:val="0"/>
      <w:divBdr>
        <w:top w:val="none" w:sz="0" w:space="0" w:color="auto"/>
        <w:left w:val="none" w:sz="0" w:space="0" w:color="auto"/>
        <w:bottom w:val="none" w:sz="0" w:space="0" w:color="auto"/>
        <w:right w:val="none" w:sz="0" w:space="0" w:color="auto"/>
      </w:divBdr>
    </w:div>
    <w:div w:id="1154957767">
      <w:bodyDiv w:val="1"/>
      <w:marLeft w:val="0"/>
      <w:marRight w:val="0"/>
      <w:marTop w:val="0"/>
      <w:marBottom w:val="0"/>
      <w:divBdr>
        <w:top w:val="none" w:sz="0" w:space="0" w:color="auto"/>
        <w:left w:val="none" w:sz="0" w:space="0" w:color="auto"/>
        <w:bottom w:val="none" w:sz="0" w:space="0" w:color="auto"/>
        <w:right w:val="none" w:sz="0" w:space="0" w:color="auto"/>
      </w:divBdr>
    </w:div>
    <w:div w:id="1159155995">
      <w:bodyDiv w:val="1"/>
      <w:marLeft w:val="0"/>
      <w:marRight w:val="0"/>
      <w:marTop w:val="0"/>
      <w:marBottom w:val="0"/>
      <w:divBdr>
        <w:top w:val="none" w:sz="0" w:space="0" w:color="auto"/>
        <w:left w:val="none" w:sz="0" w:space="0" w:color="auto"/>
        <w:bottom w:val="none" w:sz="0" w:space="0" w:color="auto"/>
        <w:right w:val="none" w:sz="0" w:space="0" w:color="auto"/>
      </w:divBdr>
      <w:divsChild>
        <w:div w:id="374737659">
          <w:marLeft w:val="0"/>
          <w:marRight w:val="0"/>
          <w:marTop w:val="0"/>
          <w:marBottom w:val="0"/>
          <w:divBdr>
            <w:top w:val="none" w:sz="0" w:space="0" w:color="auto"/>
            <w:left w:val="none" w:sz="0" w:space="0" w:color="auto"/>
            <w:bottom w:val="none" w:sz="0" w:space="0" w:color="auto"/>
            <w:right w:val="none" w:sz="0" w:space="0" w:color="auto"/>
          </w:divBdr>
        </w:div>
      </w:divsChild>
    </w:div>
    <w:div w:id="1163617360">
      <w:bodyDiv w:val="1"/>
      <w:marLeft w:val="0"/>
      <w:marRight w:val="0"/>
      <w:marTop w:val="0"/>
      <w:marBottom w:val="0"/>
      <w:divBdr>
        <w:top w:val="none" w:sz="0" w:space="0" w:color="auto"/>
        <w:left w:val="none" w:sz="0" w:space="0" w:color="auto"/>
        <w:bottom w:val="none" w:sz="0" w:space="0" w:color="auto"/>
        <w:right w:val="none" w:sz="0" w:space="0" w:color="auto"/>
      </w:divBdr>
    </w:div>
    <w:div w:id="1175457649">
      <w:bodyDiv w:val="1"/>
      <w:marLeft w:val="0"/>
      <w:marRight w:val="0"/>
      <w:marTop w:val="0"/>
      <w:marBottom w:val="0"/>
      <w:divBdr>
        <w:top w:val="none" w:sz="0" w:space="0" w:color="auto"/>
        <w:left w:val="none" w:sz="0" w:space="0" w:color="auto"/>
        <w:bottom w:val="none" w:sz="0" w:space="0" w:color="auto"/>
        <w:right w:val="none" w:sz="0" w:space="0" w:color="auto"/>
      </w:divBdr>
    </w:div>
    <w:div w:id="1178540340">
      <w:bodyDiv w:val="1"/>
      <w:marLeft w:val="0"/>
      <w:marRight w:val="0"/>
      <w:marTop w:val="0"/>
      <w:marBottom w:val="0"/>
      <w:divBdr>
        <w:top w:val="none" w:sz="0" w:space="0" w:color="auto"/>
        <w:left w:val="none" w:sz="0" w:space="0" w:color="auto"/>
        <w:bottom w:val="none" w:sz="0" w:space="0" w:color="auto"/>
        <w:right w:val="none" w:sz="0" w:space="0" w:color="auto"/>
      </w:divBdr>
    </w:div>
    <w:div w:id="1231040639">
      <w:bodyDiv w:val="1"/>
      <w:marLeft w:val="0"/>
      <w:marRight w:val="0"/>
      <w:marTop w:val="0"/>
      <w:marBottom w:val="0"/>
      <w:divBdr>
        <w:top w:val="none" w:sz="0" w:space="0" w:color="auto"/>
        <w:left w:val="none" w:sz="0" w:space="0" w:color="auto"/>
        <w:bottom w:val="none" w:sz="0" w:space="0" w:color="auto"/>
        <w:right w:val="none" w:sz="0" w:space="0" w:color="auto"/>
      </w:divBdr>
      <w:divsChild>
        <w:div w:id="1283878631">
          <w:marLeft w:val="0"/>
          <w:marRight w:val="0"/>
          <w:marTop w:val="0"/>
          <w:marBottom w:val="0"/>
          <w:divBdr>
            <w:top w:val="none" w:sz="0" w:space="0" w:color="auto"/>
            <w:left w:val="none" w:sz="0" w:space="0" w:color="auto"/>
            <w:bottom w:val="none" w:sz="0" w:space="0" w:color="auto"/>
            <w:right w:val="none" w:sz="0" w:space="0" w:color="auto"/>
          </w:divBdr>
          <w:divsChild>
            <w:div w:id="424422492">
              <w:marLeft w:val="0"/>
              <w:marRight w:val="0"/>
              <w:marTop w:val="0"/>
              <w:marBottom w:val="0"/>
              <w:divBdr>
                <w:top w:val="none" w:sz="0" w:space="0" w:color="auto"/>
                <w:left w:val="none" w:sz="0" w:space="0" w:color="auto"/>
                <w:bottom w:val="none" w:sz="0" w:space="0" w:color="auto"/>
                <w:right w:val="none" w:sz="0" w:space="0" w:color="auto"/>
              </w:divBdr>
              <w:divsChild>
                <w:div w:id="1930040909">
                  <w:marLeft w:val="0"/>
                  <w:marRight w:val="0"/>
                  <w:marTop w:val="0"/>
                  <w:marBottom w:val="0"/>
                  <w:divBdr>
                    <w:top w:val="none" w:sz="0" w:space="0" w:color="auto"/>
                    <w:left w:val="none" w:sz="0" w:space="0" w:color="auto"/>
                    <w:bottom w:val="none" w:sz="0" w:space="0" w:color="auto"/>
                    <w:right w:val="none" w:sz="0" w:space="0" w:color="auto"/>
                  </w:divBdr>
                  <w:divsChild>
                    <w:div w:id="1207334183">
                      <w:marLeft w:val="0"/>
                      <w:marRight w:val="0"/>
                      <w:marTop w:val="0"/>
                      <w:marBottom w:val="0"/>
                      <w:divBdr>
                        <w:top w:val="none" w:sz="0" w:space="0" w:color="auto"/>
                        <w:left w:val="none" w:sz="0" w:space="0" w:color="auto"/>
                        <w:bottom w:val="none" w:sz="0" w:space="0" w:color="auto"/>
                        <w:right w:val="none" w:sz="0" w:space="0" w:color="auto"/>
                      </w:divBdr>
                      <w:divsChild>
                        <w:div w:id="192153128">
                          <w:marLeft w:val="0"/>
                          <w:marRight w:val="0"/>
                          <w:marTop w:val="0"/>
                          <w:marBottom w:val="0"/>
                          <w:divBdr>
                            <w:top w:val="none" w:sz="0" w:space="0" w:color="auto"/>
                            <w:left w:val="none" w:sz="0" w:space="0" w:color="auto"/>
                            <w:bottom w:val="none" w:sz="0" w:space="0" w:color="auto"/>
                            <w:right w:val="none" w:sz="0" w:space="0" w:color="auto"/>
                          </w:divBdr>
                          <w:divsChild>
                            <w:div w:id="1939604020">
                              <w:marLeft w:val="0"/>
                              <w:marRight w:val="0"/>
                              <w:marTop w:val="0"/>
                              <w:marBottom w:val="0"/>
                              <w:divBdr>
                                <w:top w:val="none" w:sz="0" w:space="0" w:color="auto"/>
                                <w:left w:val="none" w:sz="0" w:space="0" w:color="auto"/>
                                <w:bottom w:val="none" w:sz="0" w:space="0" w:color="auto"/>
                                <w:right w:val="none" w:sz="0" w:space="0" w:color="auto"/>
                              </w:divBdr>
                              <w:divsChild>
                                <w:div w:id="1810131001">
                                  <w:marLeft w:val="0"/>
                                  <w:marRight w:val="0"/>
                                  <w:marTop w:val="0"/>
                                  <w:marBottom w:val="0"/>
                                  <w:divBdr>
                                    <w:top w:val="none" w:sz="0" w:space="0" w:color="auto"/>
                                    <w:left w:val="none" w:sz="0" w:space="0" w:color="auto"/>
                                    <w:bottom w:val="none" w:sz="0" w:space="0" w:color="auto"/>
                                    <w:right w:val="none" w:sz="0" w:space="0" w:color="auto"/>
                                  </w:divBdr>
                                  <w:divsChild>
                                    <w:div w:id="95945421">
                                      <w:marLeft w:val="0"/>
                                      <w:marRight w:val="0"/>
                                      <w:marTop w:val="0"/>
                                      <w:marBottom w:val="0"/>
                                      <w:divBdr>
                                        <w:top w:val="none" w:sz="0" w:space="0" w:color="auto"/>
                                        <w:left w:val="none" w:sz="0" w:space="0" w:color="auto"/>
                                        <w:bottom w:val="none" w:sz="0" w:space="0" w:color="auto"/>
                                        <w:right w:val="none" w:sz="0" w:space="0" w:color="auto"/>
                                      </w:divBdr>
                                      <w:divsChild>
                                        <w:div w:id="636492795">
                                          <w:marLeft w:val="0"/>
                                          <w:marRight w:val="0"/>
                                          <w:marTop w:val="0"/>
                                          <w:marBottom w:val="0"/>
                                          <w:divBdr>
                                            <w:top w:val="none" w:sz="0" w:space="0" w:color="auto"/>
                                            <w:left w:val="none" w:sz="0" w:space="0" w:color="auto"/>
                                            <w:bottom w:val="none" w:sz="0" w:space="0" w:color="auto"/>
                                            <w:right w:val="none" w:sz="0" w:space="0" w:color="auto"/>
                                          </w:divBdr>
                                          <w:divsChild>
                                            <w:div w:id="3530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3463355">
      <w:bodyDiv w:val="1"/>
      <w:marLeft w:val="0"/>
      <w:marRight w:val="0"/>
      <w:marTop w:val="0"/>
      <w:marBottom w:val="0"/>
      <w:divBdr>
        <w:top w:val="none" w:sz="0" w:space="0" w:color="auto"/>
        <w:left w:val="none" w:sz="0" w:space="0" w:color="auto"/>
        <w:bottom w:val="none" w:sz="0" w:space="0" w:color="auto"/>
        <w:right w:val="none" w:sz="0" w:space="0" w:color="auto"/>
      </w:divBdr>
    </w:div>
    <w:div w:id="1270548620">
      <w:bodyDiv w:val="1"/>
      <w:marLeft w:val="0"/>
      <w:marRight w:val="0"/>
      <w:marTop w:val="0"/>
      <w:marBottom w:val="0"/>
      <w:divBdr>
        <w:top w:val="none" w:sz="0" w:space="0" w:color="auto"/>
        <w:left w:val="none" w:sz="0" w:space="0" w:color="auto"/>
        <w:bottom w:val="none" w:sz="0" w:space="0" w:color="auto"/>
        <w:right w:val="none" w:sz="0" w:space="0" w:color="auto"/>
      </w:divBdr>
    </w:div>
    <w:div w:id="1281765423">
      <w:bodyDiv w:val="1"/>
      <w:marLeft w:val="0"/>
      <w:marRight w:val="0"/>
      <w:marTop w:val="0"/>
      <w:marBottom w:val="0"/>
      <w:divBdr>
        <w:top w:val="none" w:sz="0" w:space="0" w:color="auto"/>
        <w:left w:val="none" w:sz="0" w:space="0" w:color="auto"/>
        <w:bottom w:val="none" w:sz="0" w:space="0" w:color="auto"/>
        <w:right w:val="none" w:sz="0" w:space="0" w:color="auto"/>
      </w:divBdr>
    </w:div>
    <w:div w:id="1351682976">
      <w:bodyDiv w:val="1"/>
      <w:marLeft w:val="0"/>
      <w:marRight w:val="0"/>
      <w:marTop w:val="0"/>
      <w:marBottom w:val="0"/>
      <w:divBdr>
        <w:top w:val="none" w:sz="0" w:space="0" w:color="auto"/>
        <w:left w:val="none" w:sz="0" w:space="0" w:color="auto"/>
        <w:bottom w:val="none" w:sz="0" w:space="0" w:color="auto"/>
        <w:right w:val="none" w:sz="0" w:space="0" w:color="auto"/>
      </w:divBdr>
    </w:div>
    <w:div w:id="1366834049">
      <w:bodyDiv w:val="1"/>
      <w:marLeft w:val="0"/>
      <w:marRight w:val="0"/>
      <w:marTop w:val="0"/>
      <w:marBottom w:val="0"/>
      <w:divBdr>
        <w:top w:val="none" w:sz="0" w:space="0" w:color="auto"/>
        <w:left w:val="none" w:sz="0" w:space="0" w:color="auto"/>
        <w:bottom w:val="none" w:sz="0" w:space="0" w:color="auto"/>
        <w:right w:val="none" w:sz="0" w:space="0" w:color="auto"/>
      </w:divBdr>
      <w:divsChild>
        <w:div w:id="369915347">
          <w:marLeft w:val="0"/>
          <w:marRight w:val="0"/>
          <w:marTop w:val="0"/>
          <w:marBottom w:val="0"/>
          <w:divBdr>
            <w:top w:val="none" w:sz="0" w:space="0" w:color="auto"/>
            <w:left w:val="none" w:sz="0" w:space="0" w:color="auto"/>
            <w:bottom w:val="none" w:sz="0" w:space="0" w:color="auto"/>
            <w:right w:val="none" w:sz="0" w:space="0" w:color="auto"/>
          </w:divBdr>
          <w:divsChild>
            <w:div w:id="1654213491">
              <w:marLeft w:val="0"/>
              <w:marRight w:val="0"/>
              <w:marTop w:val="0"/>
              <w:marBottom w:val="0"/>
              <w:divBdr>
                <w:top w:val="none" w:sz="0" w:space="0" w:color="auto"/>
                <w:left w:val="none" w:sz="0" w:space="0" w:color="auto"/>
                <w:bottom w:val="none" w:sz="0" w:space="0" w:color="auto"/>
                <w:right w:val="none" w:sz="0" w:space="0" w:color="auto"/>
              </w:divBdr>
              <w:divsChild>
                <w:div w:id="1528985281">
                  <w:marLeft w:val="0"/>
                  <w:marRight w:val="0"/>
                  <w:marTop w:val="0"/>
                  <w:marBottom w:val="0"/>
                  <w:divBdr>
                    <w:top w:val="none" w:sz="0" w:space="0" w:color="auto"/>
                    <w:left w:val="none" w:sz="0" w:space="0" w:color="auto"/>
                    <w:bottom w:val="none" w:sz="0" w:space="0" w:color="auto"/>
                    <w:right w:val="none" w:sz="0" w:space="0" w:color="auto"/>
                  </w:divBdr>
                  <w:divsChild>
                    <w:div w:id="2039424959">
                      <w:marLeft w:val="0"/>
                      <w:marRight w:val="0"/>
                      <w:marTop w:val="0"/>
                      <w:marBottom w:val="0"/>
                      <w:divBdr>
                        <w:top w:val="none" w:sz="0" w:space="0" w:color="auto"/>
                        <w:left w:val="none" w:sz="0" w:space="0" w:color="auto"/>
                        <w:bottom w:val="none" w:sz="0" w:space="0" w:color="auto"/>
                        <w:right w:val="none" w:sz="0" w:space="0" w:color="auto"/>
                      </w:divBdr>
                      <w:divsChild>
                        <w:div w:id="1492941649">
                          <w:marLeft w:val="0"/>
                          <w:marRight w:val="0"/>
                          <w:marTop w:val="0"/>
                          <w:marBottom w:val="0"/>
                          <w:divBdr>
                            <w:top w:val="none" w:sz="0" w:space="0" w:color="auto"/>
                            <w:left w:val="none" w:sz="0" w:space="0" w:color="auto"/>
                            <w:bottom w:val="none" w:sz="0" w:space="0" w:color="auto"/>
                            <w:right w:val="none" w:sz="0" w:space="0" w:color="auto"/>
                          </w:divBdr>
                          <w:divsChild>
                            <w:div w:id="39210545">
                              <w:marLeft w:val="0"/>
                              <w:marRight w:val="0"/>
                              <w:marTop w:val="0"/>
                              <w:marBottom w:val="0"/>
                              <w:divBdr>
                                <w:top w:val="none" w:sz="0" w:space="0" w:color="auto"/>
                                <w:left w:val="none" w:sz="0" w:space="0" w:color="auto"/>
                                <w:bottom w:val="none" w:sz="0" w:space="0" w:color="auto"/>
                                <w:right w:val="none" w:sz="0" w:space="0" w:color="auto"/>
                              </w:divBdr>
                              <w:divsChild>
                                <w:div w:id="1139615029">
                                  <w:marLeft w:val="0"/>
                                  <w:marRight w:val="0"/>
                                  <w:marTop w:val="0"/>
                                  <w:marBottom w:val="0"/>
                                  <w:divBdr>
                                    <w:top w:val="none" w:sz="0" w:space="0" w:color="auto"/>
                                    <w:left w:val="none" w:sz="0" w:space="0" w:color="auto"/>
                                    <w:bottom w:val="none" w:sz="0" w:space="0" w:color="auto"/>
                                    <w:right w:val="none" w:sz="0" w:space="0" w:color="auto"/>
                                  </w:divBdr>
                                  <w:divsChild>
                                    <w:div w:id="1189105378">
                                      <w:marLeft w:val="0"/>
                                      <w:marRight w:val="0"/>
                                      <w:marTop w:val="0"/>
                                      <w:marBottom w:val="0"/>
                                      <w:divBdr>
                                        <w:top w:val="none" w:sz="0" w:space="0" w:color="auto"/>
                                        <w:left w:val="none" w:sz="0" w:space="0" w:color="auto"/>
                                        <w:bottom w:val="none" w:sz="0" w:space="0" w:color="auto"/>
                                        <w:right w:val="none" w:sz="0" w:space="0" w:color="auto"/>
                                      </w:divBdr>
                                      <w:divsChild>
                                        <w:div w:id="517698687">
                                          <w:marLeft w:val="0"/>
                                          <w:marRight w:val="0"/>
                                          <w:marTop w:val="0"/>
                                          <w:marBottom w:val="0"/>
                                          <w:divBdr>
                                            <w:top w:val="none" w:sz="0" w:space="0" w:color="auto"/>
                                            <w:left w:val="none" w:sz="0" w:space="0" w:color="auto"/>
                                            <w:bottom w:val="none" w:sz="0" w:space="0" w:color="auto"/>
                                            <w:right w:val="none" w:sz="0" w:space="0" w:color="auto"/>
                                          </w:divBdr>
                                          <w:divsChild>
                                            <w:div w:id="1747343857">
                                              <w:marLeft w:val="0"/>
                                              <w:marRight w:val="0"/>
                                              <w:marTop w:val="0"/>
                                              <w:marBottom w:val="0"/>
                                              <w:divBdr>
                                                <w:top w:val="none" w:sz="0" w:space="0" w:color="auto"/>
                                                <w:left w:val="none" w:sz="0" w:space="0" w:color="auto"/>
                                                <w:bottom w:val="none" w:sz="0" w:space="0" w:color="auto"/>
                                                <w:right w:val="none" w:sz="0" w:space="0" w:color="auto"/>
                                              </w:divBdr>
                                              <w:divsChild>
                                                <w:div w:id="18259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0294556">
      <w:bodyDiv w:val="1"/>
      <w:marLeft w:val="0"/>
      <w:marRight w:val="0"/>
      <w:marTop w:val="0"/>
      <w:marBottom w:val="0"/>
      <w:divBdr>
        <w:top w:val="none" w:sz="0" w:space="0" w:color="auto"/>
        <w:left w:val="none" w:sz="0" w:space="0" w:color="auto"/>
        <w:bottom w:val="none" w:sz="0" w:space="0" w:color="auto"/>
        <w:right w:val="none" w:sz="0" w:space="0" w:color="auto"/>
      </w:divBdr>
    </w:div>
    <w:div w:id="1440641884">
      <w:bodyDiv w:val="1"/>
      <w:marLeft w:val="0"/>
      <w:marRight w:val="0"/>
      <w:marTop w:val="0"/>
      <w:marBottom w:val="0"/>
      <w:divBdr>
        <w:top w:val="none" w:sz="0" w:space="0" w:color="auto"/>
        <w:left w:val="none" w:sz="0" w:space="0" w:color="auto"/>
        <w:bottom w:val="none" w:sz="0" w:space="0" w:color="auto"/>
        <w:right w:val="none" w:sz="0" w:space="0" w:color="auto"/>
      </w:divBdr>
      <w:divsChild>
        <w:div w:id="1629167300">
          <w:marLeft w:val="0"/>
          <w:marRight w:val="0"/>
          <w:marTop w:val="0"/>
          <w:marBottom w:val="0"/>
          <w:divBdr>
            <w:top w:val="none" w:sz="0" w:space="0" w:color="auto"/>
            <w:left w:val="none" w:sz="0" w:space="0" w:color="auto"/>
            <w:bottom w:val="none" w:sz="0" w:space="0" w:color="auto"/>
            <w:right w:val="none" w:sz="0" w:space="0" w:color="auto"/>
          </w:divBdr>
          <w:divsChild>
            <w:div w:id="1671517272">
              <w:marLeft w:val="0"/>
              <w:marRight w:val="0"/>
              <w:marTop w:val="0"/>
              <w:marBottom w:val="0"/>
              <w:divBdr>
                <w:top w:val="none" w:sz="0" w:space="0" w:color="auto"/>
                <w:left w:val="none" w:sz="0" w:space="0" w:color="auto"/>
                <w:bottom w:val="none" w:sz="0" w:space="0" w:color="auto"/>
                <w:right w:val="none" w:sz="0" w:space="0" w:color="auto"/>
              </w:divBdr>
              <w:divsChild>
                <w:div w:id="562913569">
                  <w:marLeft w:val="0"/>
                  <w:marRight w:val="0"/>
                  <w:marTop w:val="0"/>
                  <w:marBottom w:val="0"/>
                  <w:divBdr>
                    <w:top w:val="none" w:sz="0" w:space="0" w:color="auto"/>
                    <w:left w:val="none" w:sz="0" w:space="0" w:color="auto"/>
                    <w:bottom w:val="none" w:sz="0" w:space="0" w:color="auto"/>
                    <w:right w:val="none" w:sz="0" w:space="0" w:color="auto"/>
                  </w:divBdr>
                  <w:divsChild>
                    <w:div w:id="1043364313">
                      <w:marLeft w:val="0"/>
                      <w:marRight w:val="0"/>
                      <w:marTop w:val="0"/>
                      <w:marBottom w:val="0"/>
                      <w:divBdr>
                        <w:top w:val="none" w:sz="0" w:space="0" w:color="auto"/>
                        <w:left w:val="none" w:sz="0" w:space="0" w:color="auto"/>
                        <w:bottom w:val="none" w:sz="0" w:space="0" w:color="auto"/>
                        <w:right w:val="none" w:sz="0" w:space="0" w:color="auto"/>
                      </w:divBdr>
                      <w:divsChild>
                        <w:div w:id="2064520745">
                          <w:marLeft w:val="0"/>
                          <w:marRight w:val="0"/>
                          <w:marTop w:val="0"/>
                          <w:marBottom w:val="0"/>
                          <w:divBdr>
                            <w:top w:val="none" w:sz="0" w:space="0" w:color="auto"/>
                            <w:left w:val="none" w:sz="0" w:space="0" w:color="auto"/>
                            <w:bottom w:val="none" w:sz="0" w:space="0" w:color="auto"/>
                            <w:right w:val="none" w:sz="0" w:space="0" w:color="auto"/>
                          </w:divBdr>
                          <w:divsChild>
                            <w:div w:id="1535465575">
                              <w:marLeft w:val="0"/>
                              <w:marRight w:val="0"/>
                              <w:marTop w:val="0"/>
                              <w:marBottom w:val="0"/>
                              <w:divBdr>
                                <w:top w:val="none" w:sz="0" w:space="0" w:color="auto"/>
                                <w:left w:val="none" w:sz="0" w:space="0" w:color="auto"/>
                                <w:bottom w:val="none" w:sz="0" w:space="0" w:color="auto"/>
                                <w:right w:val="none" w:sz="0" w:space="0" w:color="auto"/>
                              </w:divBdr>
                              <w:divsChild>
                                <w:div w:id="1287393437">
                                  <w:marLeft w:val="0"/>
                                  <w:marRight w:val="0"/>
                                  <w:marTop w:val="0"/>
                                  <w:marBottom w:val="0"/>
                                  <w:divBdr>
                                    <w:top w:val="none" w:sz="0" w:space="0" w:color="auto"/>
                                    <w:left w:val="none" w:sz="0" w:space="0" w:color="auto"/>
                                    <w:bottom w:val="none" w:sz="0" w:space="0" w:color="auto"/>
                                    <w:right w:val="none" w:sz="0" w:space="0" w:color="auto"/>
                                  </w:divBdr>
                                  <w:divsChild>
                                    <w:div w:id="1545289955">
                                      <w:marLeft w:val="0"/>
                                      <w:marRight w:val="0"/>
                                      <w:marTop w:val="0"/>
                                      <w:marBottom w:val="0"/>
                                      <w:divBdr>
                                        <w:top w:val="none" w:sz="0" w:space="0" w:color="auto"/>
                                        <w:left w:val="none" w:sz="0" w:space="0" w:color="auto"/>
                                        <w:bottom w:val="none" w:sz="0" w:space="0" w:color="auto"/>
                                        <w:right w:val="none" w:sz="0" w:space="0" w:color="auto"/>
                                      </w:divBdr>
                                      <w:divsChild>
                                        <w:div w:id="327170651">
                                          <w:marLeft w:val="0"/>
                                          <w:marRight w:val="0"/>
                                          <w:marTop w:val="0"/>
                                          <w:marBottom w:val="0"/>
                                          <w:divBdr>
                                            <w:top w:val="none" w:sz="0" w:space="0" w:color="auto"/>
                                            <w:left w:val="none" w:sz="0" w:space="0" w:color="auto"/>
                                            <w:bottom w:val="none" w:sz="0" w:space="0" w:color="auto"/>
                                            <w:right w:val="none" w:sz="0" w:space="0" w:color="auto"/>
                                          </w:divBdr>
                                          <w:divsChild>
                                            <w:div w:id="1586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0226042">
      <w:bodyDiv w:val="1"/>
      <w:marLeft w:val="0"/>
      <w:marRight w:val="0"/>
      <w:marTop w:val="0"/>
      <w:marBottom w:val="0"/>
      <w:divBdr>
        <w:top w:val="none" w:sz="0" w:space="0" w:color="auto"/>
        <w:left w:val="none" w:sz="0" w:space="0" w:color="auto"/>
        <w:bottom w:val="none" w:sz="0" w:space="0" w:color="auto"/>
        <w:right w:val="none" w:sz="0" w:space="0" w:color="auto"/>
      </w:divBdr>
    </w:div>
    <w:div w:id="1471901554">
      <w:bodyDiv w:val="1"/>
      <w:marLeft w:val="0"/>
      <w:marRight w:val="0"/>
      <w:marTop w:val="0"/>
      <w:marBottom w:val="0"/>
      <w:divBdr>
        <w:top w:val="none" w:sz="0" w:space="0" w:color="auto"/>
        <w:left w:val="none" w:sz="0" w:space="0" w:color="auto"/>
        <w:bottom w:val="none" w:sz="0" w:space="0" w:color="auto"/>
        <w:right w:val="none" w:sz="0" w:space="0" w:color="auto"/>
      </w:divBdr>
    </w:div>
    <w:div w:id="1513300787">
      <w:bodyDiv w:val="1"/>
      <w:marLeft w:val="0"/>
      <w:marRight w:val="0"/>
      <w:marTop w:val="0"/>
      <w:marBottom w:val="0"/>
      <w:divBdr>
        <w:top w:val="none" w:sz="0" w:space="0" w:color="auto"/>
        <w:left w:val="none" w:sz="0" w:space="0" w:color="auto"/>
        <w:bottom w:val="none" w:sz="0" w:space="0" w:color="auto"/>
        <w:right w:val="none" w:sz="0" w:space="0" w:color="auto"/>
      </w:divBdr>
    </w:div>
    <w:div w:id="1515655412">
      <w:bodyDiv w:val="1"/>
      <w:marLeft w:val="0"/>
      <w:marRight w:val="0"/>
      <w:marTop w:val="0"/>
      <w:marBottom w:val="0"/>
      <w:divBdr>
        <w:top w:val="none" w:sz="0" w:space="0" w:color="auto"/>
        <w:left w:val="none" w:sz="0" w:space="0" w:color="auto"/>
        <w:bottom w:val="none" w:sz="0" w:space="0" w:color="auto"/>
        <w:right w:val="none" w:sz="0" w:space="0" w:color="auto"/>
      </w:divBdr>
    </w:div>
    <w:div w:id="1519734282">
      <w:bodyDiv w:val="1"/>
      <w:marLeft w:val="0"/>
      <w:marRight w:val="0"/>
      <w:marTop w:val="0"/>
      <w:marBottom w:val="0"/>
      <w:divBdr>
        <w:top w:val="none" w:sz="0" w:space="0" w:color="auto"/>
        <w:left w:val="none" w:sz="0" w:space="0" w:color="auto"/>
        <w:bottom w:val="none" w:sz="0" w:space="0" w:color="auto"/>
        <w:right w:val="none" w:sz="0" w:space="0" w:color="auto"/>
      </w:divBdr>
      <w:divsChild>
        <w:div w:id="2044478721">
          <w:marLeft w:val="0"/>
          <w:marRight w:val="0"/>
          <w:marTop w:val="0"/>
          <w:marBottom w:val="0"/>
          <w:divBdr>
            <w:top w:val="none" w:sz="0" w:space="0" w:color="auto"/>
            <w:left w:val="none" w:sz="0" w:space="0" w:color="auto"/>
            <w:bottom w:val="none" w:sz="0" w:space="0" w:color="auto"/>
            <w:right w:val="none" w:sz="0" w:space="0" w:color="auto"/>
          </w:divBdr>
        </w:div>
      </w:divsChild>
    </w:div>
    <w:div w:id="1547255642">
      <w:bodyDiv w:val="1"/>
      <w:marLeft w:val="0"/>
      <w:marRight w:val="0"/>
      <w:marTop w:val="0"/>
      <w:marBottom w:val="0"/>
      <w:divBdr>
        <w:top w:val="none" w:sz="0" w:space="0" w:color="auto"/>
        <w:left w:val="none" w:sz="0" w:space="0" w:color="auto"/>
        <w:bottom w:val="none" w:sz="0" w:space="0" w:color="auto"/>
        <w:right w:val="none" w:sz="0" w:space="0" w:color="auto"/>
      </w:divBdr>
    </w:div>
    <w:div w:id="1566254087">
      <w:bodyDiv w:val="1"/>
      <w:marLeft w:val="0"/>
      <w:marRight w:val="0"/>
      <w:marTop w:val="0"/>
      <w:marBottom w:val="0"/>
      <w:divBdr>
        <w:top w:val="none" w:sz="0" w:space="0" w:color="auto"/>
        <w:left w:val="none" w:sz="0" w:space="0" w:color="auto"/>
        <w:bottom w:val="none" w:sz="0" w:space="0" w:color="auto"/>
        <w:right w:val="none" w:sz="0" w:space="0" w:color="auto"/>
      </w:divBdr>
      <w:divsChild>
        <w:div w:id="1793014864">
          <w:marLeft w:val="0"/>
          <w:marRight w:val="0"/>
          <w:marTop w:val="0"/>
          <w:marBottom w:val="0"/>
          <w:divBdr>
            <w:top w:val="none" w:sz="0" w:space="0" w:color="auto"/>
            <w:left w:val="none" w:sz="0" w:space="0" w:color="auto"/>
            <w:bottom w:val="none" w:sz="0" w:space="0" w:color="auto"/>
            <w:right w:val="none" w:sz="0" w:space="0" w:color="auto"/>
          </w:divBdr>
        </w:div>
      </w:divsChild>
    </w:div>
    <w:div w:id="1593197519">
      <w:bodyDiv w:val="1"/>
      <w:marLeft w:val="0"/>
      <w:marRight w:val="0"/>
      <w:marTop w:val="0"/>
      <w:marBottom w:val="0"/>
      <w:divBdr>
        <w:top w:val="none" w:sz="0" w:space="0" w:color="auto"/>
        <w:left w:val="none" w:sz="0" w:space="0" w:color="auto"/>
        <w:bottom w:val="none" w:sz="0" w:space="0" w:color="auto"/>
        <w:right w:val="none" w:sz="0" w:space="0" w:color="auto"/>
      </w:divBdr>
    </w:div>
    <w:div w:id="1602175846">
      <w:bodyDiv w:val="1"/>
      <w:marLeft w:val="0"/>
      <w:marRight w:val="0"/>
      <w:marTop w:val="0"/>
      <w:marBottom w:val="0"/>
      <w:divBdr>
        <w:top w:val="none" w:sz="0" w:space="0" w:color="auto"/>
        <w:left w:val="none" w:sz="0" w:space="0" w:color="auto"/>
        <w:bottom w:val="none" w:sz="0" w:space="0" w:color="auto"/>
        <w:right w:val="none" w:sz="0" w:space="0" w:color="auto"/>
      </w:divBdr>
    </w:div>
    <w:div w:id="1607425599">
      <w:bodyDiv w:val="1"/>
      <w:marLeft w:val="0"/>
      <w:marRight w:val="0"/>
      <w:marTop w:val="0"/>
      <w:marBottom w:val="0"/>
      <w:divBdr>
        <w:top w:val="none" w:sz="0" w:space="0" w:color="auto"/>
        <w:left w:val="none" w:sz="0" w:space="0" w:color="auto"/>
        <w:bottom w:val="none" w:sz="0" w:space="0" w:color="auto"/>
        <w:right w:val="none" w:sz="0" w:space="0" w:color="auto"/>
      </w:divBdr>
    </w:div>
    <w:div w:id="1608467861">
      <w:bodyDiv w:val="1"/>
      <w:marLeft w:val="0"/>
      <w:marRight w:val="0"/>
      <w:marTop w:val="0"/>
      <w:marBottom w:val="0"/>
      <w:divBdr>
        <w:top w:val="none" w:sz="0" w:space="0" w:color="auto"/>
        <w:left w:val="none" w:sz="0" w:space="0" w:color="auto"/>
        <w:bottom w:val="none" w:sz="0" w:space="0" w:color="auto"/>
        <w:right w:val="none" w:sz="0" w:space="0" w:color="auto"/>
      </w:divBdr>
      <w:divsChild>
        <w:div w:id="1928345796">
          <w:marLeft w:val="0"/>
          <w:marRight w:val="0"/>
          <w:marTop w:val="0"/>
          <w:marBottom w:val="0"/>
          <w:divBdr>
            <w:top w:val="none" w:sz="0" w:space="0" w:color="auto"/>
            <w:left w:val="none" w:sz="0" w:space="0" w:color="auto"/>
            <w:bottom w:val="none" w:sz="0" w:space="0" w:color="auto"/>
            <w:right w:val="none" w:sz="0" w:space="0" w:color="auto"/>
          </w:divBdr>
          <w:divsChild>
            <w:div w:id="1301110250">
              <w:marLeft w:val="0"/>
              <w:marRight w:val="0"/>
              <w:marTop w:val="0"/>
              <w:marBottom w:val="0"/>
              <w:divBdr>
                <w:top w:val="none" w:sz="0" w:space="0" w:color="auto"/>
                <w:left w:val="none" w:sz="0" w:space="0" w:color="auto"/>
                <w:bottom w:val="none" w:sz="0" w:space="0" w:color="auto"/>
                <w:right w:val="none" w:sz="0" w:space="0" w:color="auto"/>
              </w:divBdr>
              <w:divsChild>
                <w:div w:id="1262487958">
                  <w:marLeft w:val="0"/>
                  <w:marRight w:val="0"/>
                  <w:marTop w:val="0"/>
                  <w:marBottom w:val="0"/>
                  <w:divBdr>
                    <w:top w:val="none" w:sz="0" w:space="0" w:color="auto"/>
                    <w:left w:val="none" w:sz="0" w:space="0" w:color="auto"/>
                    <w:bottom w:val="none" w:sz="0" w:space="0" w:color="auto"/>
                    <w:right w:val="none" w:sz="0" w:space="0" w:color="auto"/>
                  </w:divBdr>
                  <w:divsChild>
                    <w:div w:id="265772230">
                      <w:marLeft w:val="0"/>
                      <w:marRight w:val="0"/>
                      <w:marTop w:val="0"/>
                      <w:marBottom w:val="0"/>
                      <w:divBdr>
                        <w:top w:val="none" w:sz="0" w:space="0" w:color="auto"/>
                        <w:left w:val="none" w:sz="0" w:space="0" w:color="auto"/>
                        <w:bottom w:val="none" w:sz="0" w:space="0" w:color="auto"/>
                        <w:right w:val="none" w:sz="0" w:space="0" w:color="auto"/>
                      </w:divBdr>
                      <w:divsChild>
                        <w:div w:id="1763254391">
                          <w:marLeft w:val="0"/>
                          <w:marRight w:val="0"/>
                          <w:marTop w:val="0"/>
                          <w:marBottom w:val="0"/>
                          <w:divBdr>
                            <w:top w:val="none" w:sz="0" w:space="0" w:color="auto"/>
                            <w:left w:val="none" w:sz="0" w:space="0" w:color="auto"/>
                            <w:bottom w:val="none" w:sz="0" w:space="0" w:color="auto"/>
                            <w:right w:val="none" w:sz="0" w:space="0" w:color="auto"/>
                          </w:divBdr>
                          <w:divsChild>
                            <w:div w:id="272710599">
                              <w:marLeft w:val="0"/>
                              <w:marRight w:val="0"/>
                              <w:marTop w:val="0"/>
                              <w:marBottom w:val="0"/>
                              <w:divBdr>
                                <w:top w:val="none" w:sz="0" w:space="0" w:color="auto"/>
                                <w:left w:val="none" w:sz="0" w:space="0" w:color="auto"/>
                                <w:bottom w:val="none" w:sz="0" w:space="0" w:color="auto"/>
                                <w:right w:val="none" w:sz="0" w:space="0" w:color="auto"/>
                              </w:divBdr>
                              <w:divsChild>
                                <w:div w:id="2011247533">
                                  <w:marLeft w:val="0"/>
                                  <w:marRight w:val="0"/>
                                  <w:marTop w:val="0"/>
                                  <w:marBottom w:val="0"/>
                                  <w:divBdr>
                                    <w:top w:val="none" w:sz="0" w:space="0" w:color="auto"/>
                                    <w:left w:val="none" w:sz="0" w:space="0" w:color="auto"/>
                                    <w:bottom w:val="none" w:sz="0" w:space="0" w:color="auto"/>
                                    <w:right w:val="none" w:sz="0" w:space="0" w:color="auto"/>
                                  </w:divBdr>
                                  <w:divsChild>
                                    <w:div w:id="1396319364">
                                      <w:marLeft w:val="0"/>
                                      <w:marRight w:val="0"/>
                                      <w:marTop w:val="0"/>
                                      <w:marBottom w:val="0"/>
                                      <w:divBdr>
                                        <w:top w:val="none" w:sz="0" w:space="0" w:color="auto"/>
                                        <w:left w:val="none" w:sz="0" w:space="0" w:color="auto"/>
                                        <w:bottom w:val="none" w:sz="0" w:space="0" w:color="auto"/>
                                        <w:right w:val="none" w:sz="0" w:space="0" w:color="auto"/>
                                      </w:divBdr>
                                      <w:divsChild>
                                        <w:div w:id="68381125">
                                          <w:marLeft w:val="0"/>
                                          <w:marRight w:val="0"/>
                                          <w:marTop w:val="0"/>
                                          <w:marBottom w:val="0"/>
                                          <w:divBdr>
                                            <w:top w:val="none" w:sz="0" w:space="0" w:color="auto"/>
                                            <w:left w:val="none" w:sz="0" w:space="0" w:color="auto"/>
                                            <w:bottom w:val="none" w:sz="0" w:space="0" w:color="auto"/>
                                            <w:right w:val="none" w:sz="0" w:space="0" w:color="auto"/>
                                          </w:divBdr>
                                          <w:divsChild>
                                            <w:div w:id="2944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127181">
      <w:bodyDiv w:val="1"/>
      <w:marLeft w:val="0"/>
      <w:marRight w:val="0"/>
      <w:marTop w:val="0"/>
      <w:marBottom w:val="0"/>
      <w:divBdr>
        <w:top w:val="none" w:sz="0" w:space="0" w:color="auto"/>
        <w:left w:val="none" w:sz="0" w:space="0" w:color="auto"/>
        <w:bottom w:val="none" w:sz="0" w:space="0" w:color="auto"/>
        <w:right w:val="none" w:sz="0" w:space="0" w:color="auto"/>
      </w:divBdr>
    </w:div>
    <w:div w:id="1658337927">
      <w:bodyDiv w:val="1"/>
      <w:marLeft w:val="0"/>
      <w:marRight w:val="0"/>
      <w:marTop w:val="0"/>
      <w:marBottom w:val="0"/>
      <w:divBdr>
        <w:top w:val="none" w:sz="0" w:space="0" w:color="auto"/>
        <w:left w:val="none" w:sz="0" w:space="0" w:color="auto"/>
        <w:bottom w:val="none" w:sz="0" w:space="0" w:color="auto"/>
        <w:right w:val="none" w:sz="0" w:space="0" w:color="auto"/>
      </w:divBdr>
    </w:div>
    <w:div w:id="1665888260">
      <w:bodyDiv w:val="1"/>
      <w:marLeft w:val="0"/>
      <w:marRight w:val="0"/>
      <w:marTop w:val="0"/>
      <w:marBottom w:val="0"/>
      <w:divBdr>
        <w:top w:val="none" w:sz="0" w:space="0" w:color="auto"/>
        <w:left w:val="none" w:sz="0" w:space="0" w:color="auto"/>
        <w:bottom w:val="none" w:sz="0" w:space="0" w:color="auto"/>
        <w:right w:val="none" w:sz="0" w:space="0" w:color="auto"/>
      </w:divBdr>
    </w:div>
    <w:div w:id="1700810631">
      <w:bodyDiv w:val="1"/>
      <w:marLeft w:val="0"/>
      <w:marRight w:val="0"/>
      <w:marTop w:val="0"/>
      <w:marBottom w:val="0"/>
      <w:divBdr>
        <w:top w:val="none" w:sz="0" w:space="0" w:color="auto"/>
        <w:left w:val="none" w:sz="0" w:space="0" w:color="auto"/>
        <w:bottom w:val="none" w:sz="0" w:space="0" w:color="auto"/>
        <w:right w:val="none" w:sz="0" w:space="0" w:color="auto"/>
      </w:divBdr>
      <w:divsChild>
        <w:div w:id="728116243">
          <w:marLeft w:val="0"/>
          <w:marRight w:val="0"/>
          <w:marTop w:val="0"/>
          <w:marBottom w:val="0"/>
          <w:divBdr>
            <w:top w:val="none" w:sz="0" w:space="0" w:color="auto"/>
            <w:left w:val="none" w:sz="0" w:space="0" w:color="auto"/>
            <w:bottom w:val="none" w:sz="0" w:space="0" w:color="auto"/>
            <w:right w:val="none" w:sz="0" w:space="0" w:color="auto"/>
          </w:divBdr>
          <w:divsChild>
            <w:div w:id="460415454">
              <w:marLeft w:val="0"/>
              <w:marRight w:val="0"/>
              <w:marTop w:val="0"/>
              <w:marBottom w:val="0"/>
              <w:divBdr>
                <w:top w:val="none" w:sz="0" w:space="0" w:color="auto"/>
                <w:left w:val="none" w:sz="0" w:space="0" w:color="auto"/>
                <w:bottom w:val="none" w:sz="0" w:space="0" w:color="auto"/>
                <w:right w:val="none" w:sz="0" w:space="0" w:color="auto"/>
              </w:divBdr>
              <w:divsChild>
                <w:div w:id="1647204058">
                  <w:marLeft w:val="0"/>
                  <w:marRight w:val="0"/>
                  <w:marTop w:val="0"/>
                  <w:marBottom w:val="0"/>
                  <w:divBdr>
                    <w:top w:val="none" w:sz="0" w:space="0" w:color="auto"/>
                    <w:left w:val="none" w:sz="0" w:space="0" w:color="auto"/>
                    <w:bottom w:val="none" w:sz="0" w:space="0" w:color="auto"/>
                    <w:right w:val="none" w:sz="0" w:space="0" w:color="auto"/>
                  </w:divBdr>
                  <w:divsChild>
                    <w:div w:id="2109767638">
                      <w:marLeft w:val="0"/>
                      <w:marRight w:val="0"/>
                      <w:marTop w:val="0"/>
                      <w:marBottom w:val="0"/>
                      <w:divBdr>
                        <w:top w:val="none" w:sz="0" w:space="0" w:color="auto"/>
                        <w:left w:val="none" w:sz="0" w:space="0" w:color="auto"/>
                        <w:bottom w:val="none" w:sz="0" w:space="0" w:color="auto"/>
                        <w:right w:val="none" w:sz="0" w:space="0" w:color="auto"/>
                      </w:divBdr>
                      <w:divsChild>
                        <w:div w:id="1379746864">
                          <w:marLeft w:val="0"/>
                          <w:marRight w:val="0"/>
                          <w:marTop w:val="0"/>
                          <w:marBottom w:val="0"/>
                          <w:divBdr>
                            <w:top w:val="none" w:sz="0" w:space="0" w:color="auto"/>
                            <w:left w:val="none" w:sz="0" w:space="0" w:color="auto"/>
                            <w:bottom w:val="none" w:sz="0" w:space="0" w:color="auto"/>
                            <w:right w:val="none" w:sz="0" w:space="0" w:color="auto"/>
                          </w:divBdr>
                          <w:divsChild>
                            <w:div w:id="152529663">
                              <w:marLeft w:val="0"/>
                              <w:marRight w:val="0"/>
                              <w:marTop w:val="0"/>
                              <w:marBottom w:val="0"/>
                              <w:divBdr>
                                <w:top w:val="none" w:sz="0" w:space="0" w:color="auto"/>
                                <w:left w:val="none" w:sz="0" w:space="0" w:color="auto"/>
                                <w:bottom w:val="none" w:sz="0" w:space="0" w:color="auto"/>
                                <w:right w:val="none" w:sz="0" w:space="0" w:color="auto"/>
                              </w:divBdr>
                              <w:divsChild>
                                <w:div w:id="672416903">
                                  <w:marLeft w:val="0"/>
                                  <w:marRight w:val="0"/>
                                  <w:marTop w:val="0"/>
                                  <w:marBottom w:val="0"/>
                                  <w:divBdr>
                                    <w:top w:val="none" w:sz="0" w:space="0" w:color="auto"/>
                                    <w:left w:val="none" w:sz="0" w:space="0" w:color="auto"/>
                                    <w:bottom w:val="none" w:sz="0" w:space="0" w:color="auto"/>
                                    <w:right w:val="none" w:sz="0" w:space="0" w:color="auto"/>
                                  </w:divBdr>
                                  <w:divsChild>
                                    <w:div w:id="487016360">
                                      <w:marLeft w:val="0"/>
                                      <w:marRight w:val="0"/>
                                      <w:marTop w:val="0"/>
                                      <w:marBottom w:val="0"/>
                                      <w:divBdr>
                                        <w:top w:val="none" w:sz="0" w:space="0" w:color="auto"/>
                                        <w:left w:val="none" w:sz="0" w:space="0" w:color="auto"/>
                                        <w:bottom w:val="none" w:sz="0" w:space="0" w:color="auto"/>
                                        <w:right w:val="none" w:sz="0" w:space="0" w:color="auto"/>
                                      </w:divBdr>
                                      <w:divsChild>
                                        <w:div w:id="876041783">
                                          <w:marLeft w:val="0"/>
                                          <w:marRight w:val="0"/>
                                          <w:marTop w:val="0"/>
                                          <w:marBottom w:val="0"/>
                                          <w:divBdr>
                                            <w:top w:val="none" w:sz="0" w:space="0" w:color="auto"/>
                                            <w:left w:val="none" w:sz="0" w:space="0" w:color="auto"/>
                                            <w:bottom w:val="none" w:sz="0" w:space="0" w:color="auto"/>
                                            <w:right w:val="none" w:sz="0" w:space="0" w:color="auto"/>
                                          </w:divBdr>
                                          <w:divsChild>
                                            <w:div w:id="4857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905151">
      <w:bodyDiv w:val="1"/>
      <w:marLeft w:val="0"/>
      <w:marRight w:val="0"/>
      <w:marTop w:val="0"/>
      <w:marBottom w:val="0"/>
      <w:divBdr>
        <w:top w:val="none" w:sz="0" w:space="0" w:color="auto"/>
        <w:left w:val="none" w:sz="0" w:space="0" w:color="auto"/>
        <w:bottom w:val="none" w:sz="0" w:space="0" w:color="auto"/>
        <w:right w:val="none" w:sz="0" w:space="0" w:color="auto"/>
      </w:divBdr>
    </w:div>
    <w:div w:id="1734696378">
      <w:bodyDiv w:val="1"/>
      <w:marLeft w:val="0"/>
      <w:marRight w:val="0"/>
      <w:marTop w:val="0"/>
      <w:marBottom w:val="0"/>
      <w:divBdr>
        <w:top w:val="none" w:sz="0" w:space="0" w:color="auto"/>
        <w:left w:val="none" w:sz="0" w:space="0" w:color="auto"/>
        <w:bottom w:val="none" w:sz="0" w:space="0" w:color="auto"/>
        <w:right w:val="none" w:sz="0" w:space="0" w:color="auto"/>
      </w:divBdr>
    </w:div>
    <w:div w:id="1824084957">
      <w:bodyDiv w:val="1"/>
      <w:marLeft w:val="0"/>
      <w:marRight w:val="0"/>
      <w:marTop w:val="0"/>
      <w:marBottom w:val="0"/>
      <w:divBdr>
        <w:top w:val="none" w:sz="0" w:space="0" w:color="auto"/>
        <w:left w:val="none" w:sz="0" w:space="0" w:color="auto"/>
        <w:bottom w:val="none" w:sz="0" w:space="0" w:color="auto"/>
        <w:right w:val="none" w:sz="0" w:space="0" w:color="auto"/>
      </w:divBdr>
    </w:div>
    <w:div w:id="1841500277">
      <w:bodyDiv w:val="1"/>
      <w:marLeft w:val="0"/>
      <w:marRight w:val="0"/>
      <w:marTop w:val="0"/>
      <w:marBottom w:val="0"/>
      <w:divBdr>
        <w:top w:val="none" w:sz="0" w:space="0" w:color="auto"/>
        <w:left w:val="none" w:sz="0" w:space="0" w:color="auto"/>
        <w:bottom w:val="none" w:sz="0" w:space="0" w:color="auto"/>
        <w:right w:val="none" w:sz="0" w:space="0" w:color="auto"/>
      </w:divBdr>
    </w:div>
    <w:div w:id="1857038257">
      <w:bodyDiv w:val="1"/>
      <w:marLeft w:val="0"/>
      <w:marRight w:val="0"/>
      <w:marTop w:val="0"/>
      <w:marBottom w:val="0"/>
      <w:divBdr>
        <w:top w:val="none" w:sz="0" w:space="0" w:color="auto"/>
        <w:left w:val="none" w:sz="0" w:space="0" w:color="auto"/>
        <w:bottom w:val="none" w:sz="0" w:space="0" w:color="auto"/>
        <w:right w:val="none" w:sz="0" w:space="0" w:color="auto"/>
      </w:divBdr>
      <w:divsChild>
        <w:div w:id="1619601650">
          <w:marLeft w:val="0"/>
          <w:marRight w:val="0"/>
          <w:marTop w:val="0"/>
          <w:marBottom w:val="0"/>
          <w:divBdr>
            <w:top w:val="none" w:sz="0" w:space="0" w:color="auto"/>
            <w:left w:val="none" w:sz="0" w:space="0" w:color="auto"/>
            <w:bottom w:val="none" w:sz="0" w:space="0" w:color="auto"/>
            <w:right w:val="none" w:sz="0" w:space="0" w:color="auto"/>
          </w:divBdr>
          <w:divsChild>
            <w:div w:id="2117406473">
              <w:marLeft w:val="0"/>
              <w:marRight w:val="0"/>
              <w:marTop w:val="0"/>
              <w:marBottom w:val="0"/>
              <w:divBdr>
                <w:top w:val="none" w:sz="0" w:space="0" w:color="auto"/>
                <w:left w:val="none" w:sz="0" w:space="0" w:color="auto"/>
                <w:bottom w:val="none" w:sz="0" w:space="0" w:color="auto"/>
                <w:right w:val="none" w:sz="0" w:space="0" w:color="auto"/>
              </w:divBdr>
              <w:divsChild>
                <w:div w:id="1806578498">
                  <w:marLeft w:val="0"/>
                  <w:marRight w:val="0"/>
                  <w:marTop w:val="0"/>
                  <w:marBottom w:val="0"/>
                  <w:divBdr>
                    <w:top w:val="none" w:sz="0" w:space="0" w:color="auto"/>
                    <w:left w:val="none" w:sz="0" w:space="0" w:color="auto"/>
                    <w:bottom w:val="none" w:sz="0" w:space="0" w:color="auto"/>
                    <w:right w:val="none" w:sz="0" w:space="0" w:color="auto"/>
                  </w:divBdr>
                  <w:divsChild>
                    <w:div w:id="2083529703">
                      <w:marLeft w:val="0"/>
                      <w:marRight w:val="0"/>
                      <w:marTop w:val="0"/>
                      <w:marBottom w:val="0"/>
                      <w:divBdr>
                        <w:top w:val="none" w:sz="0" w:space="0" w:color="auto"/>
                        <w:left w:val="none" w:sz="0" w:space="0" w:color="auto"/>
                        <w:bottom w:val="none" w:sz="0" w:space="0" w:color="auto"/>
                        <w:right w:val="none" w:sz="0" w:space="0" w:color="auto"/>
                      </w:divBdr>
                      <w:divsChild>
                        <w:div w:id="151528227">
                          <w:marLeft w:val="0"/>
                          <w:marRight w:val="0"/>
                          <w:marTop w:val="0"/>
                          <w:marBottom w:val="0"/>
                          <w:divBdr>
                            <w:top w:val="none" w:sz="0" w:space="0" w:color="auto"/>
                            <w:left w:val="none" w:sz="0" w:space="0" w:color="auto"/>
                            <w:bottom w:val="none" w:sz="0" w:space="0" w:color="auto"/>
                            <w:right w:val="none" w:sz="0" w:space="0" w:color="auto"/>
                          </w:divBdr>
                          <w:divsChild>
                            <w:div w:id="1561211187">
                              <w:marLeft w:val="0"/>
                              <w:marRight w:val="0"/>
                              <w:marTop w:val="0"/>
                              <w:marBottom w:val="0"/>
                              <w:divBdr>
                                <w:top w:val="none" w:sz="0" w:space="0" w:color="auto"/>
                                <w:left w:val="none" w:sz="0" w:space="0" w:color="auto"/>
                                <w:bottom w:val="none" w:sz="0" w:space="0" w:color="auto"/>
                                <w:right w:val="none" w:sz="0" w:space="0" w:color="auto"/>
                              </w:divBdr>
                              <w:divsChild>
                                <w:div w:id="66847416">
                                  <w:marLeft w:val="0"/>
                                  <w:marRight w:val="0"/>
                                  <w:marTop w:val="0"/>
                                  <w:marBottom w:val="0"/>
                                  <w:divBdr>
                                    <w:top w:val="none" w:sz="0" w:space="0" w:color="auto"/>
                                    <w:left w:val="none" w:sz="0" w:space="0" w:color="auto"/>
                                    <w:bottom w:val="none" w:sz="0" w:space="0" w:color="auto"/>
                                    <w:right w:val="none" w:sz="0" w:space="0" w:color="auto"/>
                                  </w:divBdr>
                                  <w:divsChild>
                                    <w:div w:id="454643994">
                                      <w:marLeft w:val="0"/>
                                      <w:marRight w:val="0"/>
                                      <w:marTop w:val="0"/>
                                      <w:marBottom w:val="0"/>
                                      <w:divBdr>
                                        <w:top w:val="none" w:sz="0" w:space="0" w:color="auto"/>
                                        <w:left w:val="none" w:sz="0" w:space="0" w:color="auto"/>
                                        <w:bottom w:val="none" w:sz="0" w:space="0" w:color="auto"/>
                                        <w:right w:val="none" w:sz="0" w:space="0" w:color="auto"/>
                                      </w:divBdr>
                                      <w:divsChild>
                                        <w:div w:id="1757677179">
                                          <w:marLeft w:val="0"/>
                                          <w:marRight w:val="0"/>
                                          <w:marTop w:val="0"/>
                                          <w:marBottom w:val="0"/>
                                          <w:divBdr>
                                            <w:top w:val="none" w:sz="0" w:space="0" w:color="auto"/>
                                            <w:left w:val="none" w:sz="0" w:space="0" w:color="auto"/>
                                            <w:bottom w:val="none" w:sz="0" w:space="0" w:color="auto"/>
                                            <w:right w:val="none" w:sz="0" w:space="0" w:color="auto"/>
                                          </w:divBdr>
                                          <w:divsChild>
                                            <w:div w:id="18483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4856664">
      <w:bodyDiv w:val="1"/>
      <w:marLeft w:val="0"/>
      <w:marRight w:val="0"/>
      <w:marTop w:val="0"/>
      <w:marBottom w:val="0"/>
      <w:divBdr>
        <w:top w:val="none" w:sz="0" w:space="0" w:color="auto"/>
        <w:left w:val="none" w:sz="0" w:space="0" w:color="auto"/>
        <w:bottom w:val="none" w:sz="0" w:space="0" w:color="auto"/>
        <w:right w:val="none" w:sz="0" w:space="0" w:color="auto"/>
      </w:divBdr>
      <w:divsChild>
        <w:div w:id="1875919739">
          <w:marLeft w:val="0"/>
          <w:marRight w:val="0"/>
          <w:marTop w:val="0"/>
          <w:marBottom w:val="0"/>
          <w:divBdr>
            <w:top w:val="none" w:sz="0" w:space="0" w:color="auto"/>
            <w:left w:val="none" w:sz="0" w:space="0" w:color="auto"/>
            <w:bottom w:val="none" w:sz="0" w:space="0" w:color="auto"/>
            <w:right w:val="none" w:sz="0" w:space="0" w:color="auto"/>
          </w:divBdr>
        </w:div>
      </w:divsChild>
    </w:div>
    <w:div w:id="1917930913">
      <w:bodyDiv w:val="1"/>
      <w:marLeft w:val="0"/>
      <w:marRight w:val="0"/>
      <w:marTop w:val="0"/>
      <w:marBottom w:val="0"/>
      <w:divBdr>
        <w:top w:val="none" w:sz="0" w:space="0" w:color="auto"/>
        <w:left w:val="none" w:sz="0" w:space="0" w:color="auto"/>
        <w:bottom w:val="none" w:sz="0" w:space="0" w:color="auto"/>
        <w:right w:val="none" w:sz="0" w:space="0" w:color="auto"/>
      </w:divBdr>
    </w:div>
    <w:div w:id="1940915558">
      <w:bodyDiv w:val="1"/>
      <w:marLeft w:val="0"/>
      <w:marRight w:val="0"/>
      <w:marTop w:val="0"/>
      <w:marBottom w:val="0"/>
      <w:divBdr>
        <w:top w:val="none" w:sz="0" w:space="0" w:color="auto"/>
        <w:left w:val="none" w:sz="0" w:space="0" w:color="auto"/>
        <w:bottom w:val="none" w:sz="0" w:space="0" w:color="auto"/>
        <w:right w:val="none" w:sz="0" w:space="0" w:color="auto"/>
      </w:divBdr>
    </w:div>
    <w:div w:id="1972247203">
      <w:bodyDiv w:val="1"/>
      <w:marLeft w:val="0"/>
      <w:marRight w:val="0"/>
      <w:marTop w:val="0"/>
      <w:marBottom w:val="0"/>
      <w:divBdr>
        <w:top w:val="none" w:sz="0" w:space="0" w:color="auto"/>
        <w:left w:val="none" w:sz="0" w:space="0" w:color="auto"/>
        <w:bottom w:val="none" w:sz="0" w:space="0" w:color="auto"/>
        <w:right w:val="none" w:sz="0" w:space="0" w:color="auto"/>
      </w:divBdr>
    </w:div>
    <w:div w:id="2049524011">
      <w:bodyDiv w:val="1"/>
      <w:marLeft w:val="0"/>
      <w:marRight w:val="0"/>
      <w:marTop w:val="0"/>
      <w:marBottom w:val="0"/>
      <w:divBdr>
        <w:top w:val="none" w:sz="0" w:space="0" w:color="auto"/>
        <w:left w:val="none" w:sz="0" w:space="0" w:color="auto"/>
        <w:bottom w:val="none" w:sz="0" w:space="0" w:color="auto"/>
        <w:right w:val="none" w:sz="0" w:space="0" w:color="auto"/>
      </w:divBdr>
    </w:div>
    <w:div w:id="2116367047">
      <w:bodyDiv w:val="1"/>
      <w:marLeft w:val="0"/>
      <w:marRight w:val="0"/>
      <w:marTop w:val="0"/>
      <w:marBottom w:val="0"/>
      <w:divBdr>
        <w:top w:val="none" w:sz="0" w:space="0" w:color="auto"/>
        <w:left w:val="none" w:sz="0" w:space="0" w:color="auto"/>
        <w:bottom w:val="none" w:sz="0" w:space="0" w:color="auto"/>
        <w:right w:val="none" w:sz="0" w:space="0" w:color="auto"/>
      </w:divBdr>
      <w:divsChild>
        <w:div w:id="237642591">
          <w:marLeft w:val="0"/>
          <w:marRight w:val="0"/>
          <w:marTop w:val="0"/>
          <w:marBottom w:val="0"/>
          <w:divBdr>
            <w:top w:val="none" w:sz="0" w:space="0" w:color="auto"/>
            <w:left w:val="none" w:sz="0" w:space="0" w:color="auto"/>
            <w:bottom w:val="none" w:sz="0" w:space="0" w:color="auto"/>
            <w:right w:val="none" w:sz="0" w:space="0" w:color="auto"/>
          </w:divBdr>
          <w:divsChild>
            <w:div w:id="395056643">
              <w:marLeft w:val="0"/>
              <w:marRight w:val="0"/>
              <w:marTop w:val="0"/>
              <w:marBottom w:val="0"/>
              <w:divBdr>
                <w:top w:val="none" w:sz="0" w:space="0" w:color="auto"/>
                <w:left w:val="none" w:sz="0" w:space="0" w:color="auto"/>
                <w:bottom w:val="none" w:sz="0" w:space="0" w:color="auto"/>
                <w:right w:val="none" w:sz="0" w:space="0" w:color="auto"/>
              </w:divBdr>
              <w:divsChild>
                <w:div w:id="15764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4251">
          <w:marLeft w:val="0"/>
          <w:marRight w:val="0"/>
          <w:marTop w:val="0"/>
          <w:marBottom w:val="0"/>
          <w:divBdr>
            <w:top w:val="none" w:sz="0" w:space="0" w:color="auto"/>
            <w:left w:val="none" w:sz="0" w:space="0" w:color="auto"/>
            <w:bottom w:val="none" w:sz="0" w:space="0" w:color="auto"/>
            <w:right w:val="none" w:sz="0" w:space="0" w:color="auto"/>
          </w:divBdr>
          <w:divsChild>
            <w:div w:id="883062734">
              <w:marLeft w:val="0"/>
              <w:marRight w:val="0"/>
              <w:marTop w:val="0"/>
              <w:marBottom w:val="0"/>
              <w:divBdr>
                <w:top w:val="none" w:sz="0" w:space="0" w:color="auto"/>
                <w:left w:val="none" w:sz="0" w:space="0" w:color="auto"/>
                <w:bottom w:val="none" w:sz="0" w:space="0" w:color="auto"/>
                <w:right w:val="none" w:sz="0" w:space="0" w:color="auto"/>
              </w:divBdr>
              <w:divsChild>
                <w:div w:id="20151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5.emf"/><Relationship Id="rId42" Type="http://schemas.openxmlformats.org/officeDocument/2006/relationships/image" Target="media/image13.emf"/><Relationship Id="rId47" Type="http://schemas.openxmlformats.org/officeDocument/2006/relationships/header" Target="header11.xml"/><Relationship Id="rId50" Type="http://schemas.openxmlformats.org/officeDocument/2006/relationships/header" Target="header12.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emf"/><Relationship Id="rId33" Type="http://schemas.openxmlformats.org/officeDocument/2006/relationships/image" Target="media/image4.emf"/><Relationship Id="rId38" Type="http://schemas.openxmlformats.org/officeDocument/2006/relationships/image" Target="media/image9.emf"/><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7.xm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7.emf"/><Relationship Id="rId49" Type="http://schemas.openxmlformats.org/officeDocument/2006/relationships/footer" Target="footer11.xml"/><Relationship Id="rId57"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image" Target="media/image15.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footer" Target="footer10.xml"/><Relationship Id="rId8" Type="http://schemas.openxmlformats.org/officeDocument/2006/relationships/settings" Target="settings.xml"/><Relationship Id="rId51"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EurolookProperties>
  <ProductCustomizationId/>
  <Created>
    <Version>4.6</Version>
    <Date>2019-03-06T16:57:30</Date>
    <Language>EN</Language>
  </Created>
  <Edited>
    <Version>10.0.40769.0</Version>
    <Date>2020-06-11T14:42:27</Date>
  </Edited>
  <DocumentModel>
    <Id>6cbda13a-4db2-46c6-876a-ef72275827ef</Id>
    <Name>Report</Name>
  </DocumentModel>
  <DocumentDate/>
  <DocumentVersion/>
  <CompatibilityMode>Eurolook4X</CompatibilityMode>
  <Address/>
</EurolookProperties>
</file>

<file path=customXml/item2.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FooterFax>Fax</FooterFax>
  <FooterOffice>Office:</FooterOffice>
  <SecurityOlafInvestigations>OLAF investigations</SecurityOlafInvestigations>
  <TechHistory>Document History</TechHistory>
  <SensitiveHandling>Handling instructions for SENSITIVE information are given at https://www.europa.eu/handling_instructions</SensitiveHandling>
  <SecurityInternal>Commission internal</SecurityInternal>
  <SecurityOlafSpecialHandling>OLAF investigations</SecurityOlafSpecialHandling>
  <SecurityPersonal>Personal</SecurityPersonal>
  <CourtProceduralDocuments>Court procedural documents</CourtProceduralDocuments>
  <OrgaRoot>EUROPEAN COMMISSION</OrgaRoot>
  <TechHistoryComment>Comment</TechHistoryComment>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SecurityStaffMatter>Staff matter</SecurityStaffMatter>
  <SecurityOpinionLegalService>Opinion of the Legal Service</SecurityOpinionLegalService>
  <SpecialHandlingFootnote>Special handling instructions are given at https://www.europa.eu/handling_instructions</SpecialHandlingFootnote>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LPAmber>TLP: Amber</TLPAmber>
  <SecurityMedicalSecret>Medical secret</SecurityMedicalSecret>
  <Contacts>Contacts:</Contacts>
  <SecurityEmbargo>Embargo until</SecurityEmbargo>
  <SecurityLimited>Limited</SecurityLimited>
  <DateFormatShort>dd/MM/yyyy</DateFormatShort>
  <DateFormatLong>d MMMM yyyy</DateFormatLong>
</Texts>
</file>

<file path=customXml/item3.xml><?xml version="1.0" encoding="utf-8"?>
<Author Role="Creator">
  <Id>62b826c3-f222-44d8-9025-c8c29151d3a1</Id>
  <Names>
    <Latin>
      <FirstName>Francisco</FirstName>
      <LastName>PEREZ CANADO</LastName>
    </Latin>
    <Greek>
      <FirstName/>
      <LastName/>
    </Greek>
    <Cyrillic>
      <FirstName/>
      <LastName/>
    </Cyrillic>
    <DocumentScript>
      <FirstName>Francisco</FirstName>
      <LastName>PEREZ CANADO</LastName>
      <FullName>Francisco PEREZ CANADO</FullName>
    </DocumentScript>
  </Names>
  <Initials>FPC</Initials>
  <Gender>m</Gender>
  <Email>Francisco.Perez-Canado@ec.europa.eu</Email>
  <Service>TRADE.DGA2.G.3</Service>
  <Function ShowInSignature="true">Head of Unit</Function>
  <WebAddress/>
  <InheritedWebAddress>WebAddress</InheritedWebAddress>
  <OrgaEntity1>
    <Id>44fff6b3-3de9-488b-927b-5bdd55f69510</Id>
    <LogicalLevel>1</LogicalLevel>
    <Name>TRADE</Name>
    <HeadLine1>DIRECTORATE-GENERAL FOR TRADE</HeadLine1>
    <HeadLine2/>
    <PrimaryAddressId>f03b5801-04c9-4931-aa17-c6d6c70bc579</PrimaryAddressId>
    <SecondaryAddressId/>
    <WebAddress>WebAddress</WebAddress>
    <InheritedWebAddress>WebAddress</InheritedWebAddress>
    <ShowInHeader>true</ShowInHeader>
  </OrgaEntity1>
  <OrgaEntity2>
    <Id>206fe560-611d-46bf-ad15-01717b24410e</Id>
    <LogicalLevel>2</LogicalLevel>
    <Name>TRADE.DGA2.G</Name>
    <HeadLine1>Directorate G - Trade Strategy and Analysis, Market Access</HeadLine1>
    <HeadLine2/>
    <PrimaryAddressId>f03b5801-04c9-4931-aa17-c6d6c70bc579</PrimaryAddressId>
    <SecondaryAddressId/>
    <WebAddress/>
    <InheritedWebAddress>WebAddress</InheritedWebAddress>
    <ShowInHeader>true</ShowInHeader>
  </OrgaEntity2>
  <OrgaEntity3>
    <Id>2a72ee41-45a6-4fe7-86ce-cbb9eebd5395</Id>
    <LogicalLevel>3</LogicalLevel>
    <Name>TRADE.DGA2.G.3</Name>
    <HeadLine1>Market Access, Industry, Energy and Raw Materials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+32 229 63851</Phone>
    <Office>CHAR 05/074</Office>
  </MainWorkplace>
  <Workplaces>
    <Workplace IsMain="false">
      <AddressId>1264fb81-f6bb-475e-9f9d-a937d3be6ee2</AddressId>
      <Fax/>
      <Phone/>
      <Office/>
    </Workplace>
    <Workplace IsMain="true">
      <AddressId>f03b5801-04c9-4931-aa17-c6d6c70bc579</AddressId>
      <Fax/>
      <Phone>+32 229 63851</Phone>
      <Office>CHAR 05/074</Office>
    </Workplace>
  </Workplaces>
</Author>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69330-E12F-486D-A741-549ACF884F9A}">
  <ds:schemaRefs/>
</ds:datastoreItem>
</file>

<file path=customXml/itemProps2.xml><?xml version="1.0" encoding="utf-8"?>
<ds:datastoreItem xmlns:ds="http://schemas.openxmlformats.org/officeDocument/2006/customXml" ds:itemID="{C98B2881-6692-4F89-8F0E-07FC104AABA1}">
  <ds:schemaRefs/>
</ds:datastoreItem>
</file>

<file path=customXml/itemProps3.xml><?xml version="1.0" encoding="utf-8"?>
<ds:datastoreItem xmlns:ds="http://schemas.openxmlformats.org/officeDocument/2006/customXml" ds:itemID="{72D5EB28-F7C1-45EE-BAE6-8217C93A0AAF}">
  <ds:schemaRefs/>
</ds:datastoreItem>
</file>

<file path=customXml/itemProps4.xml><?xml version="1.0" encoding="utf-8"?>
<ds:datastoreItem xmlns:ds="http://schemas.openxmlformats.org/officeDocument/2006/customXml" ds:itemID="{32E5D628-5986-43B0-AD11-6848994E9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37</Pages>
  <Words>9814</Words>
  <Characters>60161</Characters>
  <Application>Microsoft Office Word</Application>
  <DocSecurity>0</DocSecurity>
  <PresentationFormat>Microsoft Word 14.0</PresentationFormat>
  <Lines>1002</Lines>
  <Paragraphs>259</Paragraphs>
  <ScaleCrop>false</ScaleCrop>
  <HeadingPairs>
    <vt:vector size="8" baseType="variant">
      <vt:variant>
        <vt:lpstr>Title</vt:lpstr>
      </vt:variant>
      <vt:variant>
        <vt:i4>1</vt:i4>
      </vt:variant>
      <vt:variant>
        <vt:lpstr>Titolo</vt:lpstr>
      </vt:variant>
      <vt:variant>
        <vt:i4>1</vt:i4>
      </vt:variant>
      <vt:variant>
        <vt:lpstr>Título</vt:lpstr>
      </vt:variant>
      <vt:variant>
        <vt:i4>1</vt:i4>
      </vt:variant>
      <vt:variant>
        <vt:lpstr>Titre</vt:lpstr>
      </vt:variant>
      <vt:variant>
        <vt:i4>1</vt:i4>
      </vt:variant>
    </vt:vector>
  </HeadingPairs>
  <TitlesOfParts>
    <vt:vector size="4" baseType="lpstr">
      <vt:lpstr/>
      <vt:lpstr/>
      <vt:lpstr/>
      <vt:lpstr/>
    </vt:vector>
  </TitlesOfParts>
  <Manager/>
  <Company/>
  <LinksUpToDate>false</LinksUpToDate>
  <CharactersWithSpaces>69716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WES PDFC Administrator</cp:lastModifiedBy>
  <cp:revision>26</cp:revision>
  <cp:lastPrinted>2020-03-09T20:09:00Z</cp:lastPrinted>
  <dcterms:created xsi:type="dcterms:W3CDTF">2020-05-29T17:23:00Z</dcterms:created>
  <dcterms:modified xsi:type="dcterms:W3CDTF">2020-06-12T06:24:00Z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EL 4.6 Build 50000</vt:lpwstr>
  </property>
  <property fmtid="{D5CDD505-2E9C-101B-9397-08002B2CF9AE}" pid="3" name="Last edited using">
    <vt:lpwstr>LW 7.0, Build 20190717</vt:lpwstr>
  </property>
  <property fmtid="{D5CDD505-2E9C-101B-9397-08002B2CF9AE}" pid="4" name="Language">
    <vt:lpwstr>EN</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Level of sensitivity">
    <vt:lpwstr>Standard treatment</vt:lpwstr>
  </property>
  <property fmtid="{D5CDD505-2E9C-101B-9397-08002B2CF9AE}" pid="9" name="CPTemplateID">
    <vt:lpwstr>CP-006</vt:lpwstr>
  </property>
  <property fmtid="{D5CDD505-2E9C-101B-9397-08002B2CF9AE}" pid="10" name="_LW_INVALIDATED__LW_INVALIDATED__LW_INVALIDATED_TemplateVersion">
    <vt:lpwstr>4.6.5.0000</vt:lpwstr>
  </property>
  <property fmtid="{D5CDD505-2E9C-101B-9397-08002B2CF9AE}" pid="11" name="_LW_INVALIDATED__LW_INVALIDATED__LW_INVALIDATED_EurolookVersion">
    <vt:lpwstr>4.6</vt:lpwstr>
  </property>
  <property fmtid="{D5CDD505-2E9C-101B-9397-08002B2CF9AE}" pid="12" name="_LW_INVALIDATED__LW_INVALIDATED__LW_INVALIDATED_DocID_EU">
    <vt:lpwstr> </vt:lpwstr>
  </property>
  <property fmtid="{D5CDD505-2E9C-101B-9397-08002B2CF9AE}" pid="13" name="_LW_INVALIDATED__LW_INVALIDATED__LW_INVALIDATED_ELDocType">
    <vt:lpwstr>rep.dot</vt:lpwstr>
  </property>
  <property fmtid="{D5CDD505-2E9C-101B-9397-08002B2CF9AE}" pid="14" name="_LW_INVALIDATED__LW_INVALIDATED__LW_INVALIDATED_Formatting">
    <vt:lpwstr>4.1</vt:lpwstr>
  </property>
  <property fmtid="{D5CDD505-2E9C-101B-9397-08002B2CF9AE}" pid="15" name="_LW_INVALIDATED__LW_INVALIDATED__LW_INVALIDATED_EL_Author">
    <vt:lpwstr>Mate Kander </vt:lpwstr>
  </property>
  <property fmtid="{D5CDD505-2E9C-101B-9397-08002B2CF9AE}" pid="16" name="_LW_INVALIDATED__LW_INVALIDATED__LW_INVALIDATED_Type">
    <vt:lpwstr>Eurolook Report</vt:lpwstr>
  </property>
  <property fmtid="{D5CDD505-2E9C-101B-9397-08002B2CF9AE}" pid="17" name="_LW_INVALIDATED__LW_INVALIDATED__LW_INVALIDATED_EL_Language">
    <vt:lpwstr>EN</vt:lpwstr>
  </property>
</Properties>
</file>