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87E44974-1E0E-4BA3-A5A8-D03C3A505074" style="width:450.4pt;height:379.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7" w:bottom="1134" w:left="1417" w:header="709" w:footer="709" w:gutter="0"/>
          <w:pgNumType w:start="0"/>
          <w:cols w:space="720"/>
          <w:docGrid w:linePitch="360"/>
        </w:sectPr>
      </w:pPr>
    </w:p>
    <w:p>
      <w:pPr>
        <w:spacing w:after="0" w:line="240" w:lineRule="auto"/>
        <w:jc w:val="both"/>
        <w:rPr>
          <w:rFonts w:ascii="Times New Roman" w:eastAsia="Times New Roman" w:hAnsi="Times New Roman" w:cs="Times New Roman"/>
          <w:bCs/>
          <w:noProof/>
          <w:sz w:val="24"/>
          <w:szCs w:val="24"/>
        </w:rPr>
      </w:pPr>
      <w:bookmarkStart w:id="1" w:name="_GoBack"/>
      <w:bookmarkEnd w:id="1"/>
      <w:r>
        <w:rPr>
          <w:rFonts w:ascii="Times New Roman" w:hAnsi="Times New Roman"/>
          <w:b/>
          <w:noProof/>
          <w:sz w:val="24"/>
          <w:szCs w:val="24"/>
        </w:rPr>
        <w:lastRenderedPageBreak/>
        <w:t>ANEXA I: Acte care intră în domeniul de aplicare al revizuirii, dar nu necesită modificări</w:t>
      </w:r>
      <w:r>
        <w:rPr>
          <w:rFonts w:ascii="Times New Roman" w:hAnsi="Times New Roman"/>
          <w:bCs/>
          <w:noProof/>
          <w:sz w:val="24"/>
          <w:szCs w:val="24"/>
        </w:rPr>
        <w:t xml:space="preserve"> </w:t>
      </w:r>
    </w:p>
    <w:p>
      <w:pPr>
        <w:tabs>
          <w:tab w:val="left" w:pos="1276"/>
        </w:tabs>
        <w:spacing w:before="120" w:after="0" w:line="240" w:lineRule="auto"/>
        <w:ind w:left="850" w:right="-27" w:hanging="850"/>
        <w:jc w:val="both"/>
        <w:rPr>
          <w:rFonts w:ascii="Times New Roman" w:eastAsia="Calibri" w:hAnsi="Times New Roman" w:cs="Times New Roman"/>
          <w:bCs/>
          <w:noProof/>
          <w:sz w:val="24"/>
          <w:szCs w:val="24"/>
        </w:rPr>
      </w:pP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Acte care nu cuprind norme specifice privind protecția datelor, drept pentru care nu beneficiază de clauza de neretroactivitate, ceea ce înseamnă că li se aplică Directiva privind protecția datelor în materie de asigurare a respectării legii (7 acte):</w:t>
      </w:r>
    </w:p>
    <w:p>
      <w:pPr>
        <w:numPr>
          <w:ilvl w:val="0"/>
          <w:numId w:val="6"/>
        </w:numPr>
        <w:tabs>
          <w:tab w:val="left" w:pos="1276"/>
        </w:tabs>
        <w:spacing w:after="120" w:line="240" w:lineRule="auto"/>
        <w:ind w:left="567" w:right="-27" w:hanging="425"/>
        <w:jc w:val="both"/>
        <w:rPr>
          <w:rFonts w:ascii="Times New Roman" w:eastAsia="Calibri" w:hAnsi="Times New Roman" w:cs="Times New Roman"/>
          <w:noProof/>
          <w:sz w:val="24"/>
          <w:szCs w:val="24"/>
        </w:rPr>
      </w:pPr>
      <w:r>
        <w:rPr>
          <w:rFonts w:ascii="Times New Roman" w:hAnsi="Times New Roman"/>
          <w:bCs/>
          <w:noProof/>
          <w:sz w:val="24"/>
          <w:szCs w:val="24"/>
        </w:rPr>
        <w:t>Decizia-cadru 2002/584/JAI a Consiliului din 13 iunie 2002 privind mandatul european de arestare și procedurile de predare între statele membre</w:t>
      </w:r>
      <w:r>
        <w:rPr>
          <w:rFonts w:ascii="Times New Roman" w:eastAsia="Calibri" w:hAnsi="Times New Roman" w:cs="Times New Roman"/>
          <w:bCs/>
          <w:noProof/>
          <w:sz w:val="24"/>
          <w:szCs w:val="24"/>
          <w:vertAlign w:val="superscript"/>
        </w:rPr>
        <w:footnoteReference w:id="2"/>
      </w:r>
      <w:r>
        <w:rPr>
          <w:rFonts w:ascii="Times New Roman" w:hAnsi="Times New Roman"/>
          <w:bCs/>
          <w:noProof/>
          <w:sz w:val="24"/>
          <w:szCs w:val="24"/>
        </w:rPr>
        <w:t>;</w:t>
      </w:r>
    </w:p>
    <w:p>
      <w:pPr>
        <w:numPr>
          <w:ilvl w:val="0"/>
          <w:numId w:val="6"/>
        </w:numPr>
        <w:tabs>
          <w:tab w:val="left" w:pos="1276"/>
        </w:tabs>
        <w:spacing w:after="120" w:line="240" w:lineRule="auto"/>
        <w:ind w:left="567" w:right="-27" w:hanging="425"/>
        <w:jc w:val="both"/>
        <w:rPr>
          <w:rFonts w:ascii="Times New Roman" w:eastAsia="Calibri" w:hAnsi="Times New Roman" w:cs="Times New Roman"/>
          <w:bCs/>
          <w:noProof/>
          <w:sz w:val="24"/>
          <w:szCs w:val="24"/>
        </w:rPr>
      </w:pPr>
      <w:r>
        <w:rPr>
          <w:rFonts w:ascii="Times New Roman" w:hAnsi="Times New Roman"/>
          <w:bCs/>
          <w:noProof/>
          <w:sz w:val="24"/>
          <w:szCs w:val="24"/>
        </w:rPr>
        <w:t>Decizia-cadru 2003/577/JAI a Consiliului din 22 iulie 2003 privind executarea în Uniunea Europeană a ordinelor de înghețare a bunurilor sau a probelor</w:t>
      </w:r>
      <w:r>
        <w:rPr>
          <w:rFonts w:ascii="Times New Roman" w:eastAsia="Calibri" w:hAnsi="Times New Roman" w:cs="Times New Roman"/>
          <w:bCs/>
          <w:noProof/>
          <w:sz w:val="24"/>
          <w:szCs w:val="24"/>
          <w:vertAlign w:val="superscript"/>
        </w:rPr>
        <w:footnoteReference w:id="3"/>
      </w:r>
      <w:r>
        <w:rPr>
          <w:rFonts w:ascii="Times New Roman" w:hAnsi="Times New Roman"/>
          <w:bCs/>
          <w:noProof/>
          <w:sz w:val="24"/>
          <w:szCs w:val="24"/>
        </w:rPr>
        <w:t>;</w:t>
      </w:r>
      <w:r>
        <w:rPr>
          <w:rFonts w:ascii="Times New Roman" w:hAnsi="Times New Roman"/>
          <w:bCs/>
          <w:iCs/>
          <w:noProof/>
          <w:sz w:val="24"/>
          <w:szCs w:val="24"/>
        </w:rPr>
        <w:t xml:space="preserve"> </w:t>
      </w:r>
    </w:p>
    <w:p>
      <w:pPr>
        <w:numPr>
          <w:ilvl w:val="0"/>
          <w:numId w:val="6"/>
        </w:numPr>
        <w:tabs>
          <w:tab w:val="left" w:pos="1276"/>
        </w:tabs>
        <w:spacing w:after="120" w:line="240" w:lineRule="auto"/>
        <w:ind w:left="567" w:right="-27" w:hanging="425"/>
        <w:jc w:val="both"/>
        <w:rPr>
          <w:rFonts w:ascii="Times New Roman" w:eastAsia="Calibri" w:hAnsi="Times New Roman" w:cs="Times New Roman"/>
          <w:bCs/>
          <w:iCs/>
          <w:noProof/>
          <w:sz w:val="24"/>
          <w:szCs w:val="24"/>
        </w:rPr>
      </w:pPr>
      <w:r>
        <w:rPr>
          <w:rFonts w:ascii="Times New Roman" w:hAnsi="Times New Roman"/>
          <w:bCs/>
          <w:iCs/>
          <w:noProof/>
          <w:sz w:val="24"/>
          <w:szCs w:val="24"/>
        </w:rPr>
        <w:t>Poziția comună 2005/69/JAI a Consiliului din 24 ianuarie 2005 privind schimbul de anumite date cu Interpol</w:t>
      </w:r>
      <w:r>
        <w:rPr>
          <w:rFonts w:ascii="Times New Roman" w:eastAsia="Calibri" w:hAnsi="Times New Roman" w:cs="Times New Roman"/>
          <w:bCs/>
          <w:iCs/>
          <w:noProof/>
          <w:sz w:val="24"/>
          <w:szCs w:val="24"/>
          <w:vertAlign w:val="superscript"/>
        </w:rPr>
        <w:footnoteReference w:id="4"/>
      </w:r>
      <w:r>
        <w:rPr>
          <w:rFonts w:ascii="Times New Roman" w:hAnsi="Times New Roman"/>
          <w:bCs/>
          <w:iCs/>
          <w:noProof/>
          <w:sz w:val="24"/>
          <w:szCs w:val="24"/>
        </w:rPr>
        <w:t>;</w:t>
      </w:r>
    </w:p>
    <w:p>
      <w:pPr>
        <w:numPr>
          <w:ilvl w:val="0"/>
          <w:numId w:val="6"/>
        </w:numPr>
        <w:tabs>
          <w:tab w:val="left" w:pos="1276"/>
        </w:tabs>
        <w:spacing w:after="120" w:line="240" w:lineRule="auto"/>
        <w:ind w:left="567" w:right="-27" w:hanging="425"/>
        <w:jc w:val="both"/>
        <w:rPr>
          <w:rFonts w:ascii="Times New Roman" w:eastAsia="Calibri" w:hAnsi="Times New Roman" w:cs="Times New Roman"/>
          <w:bCs/>
          <w:iCs/>
          <w:noProof/>
          <w:sz w:val="24"/>
          <w:szCs w:val="24"/>
        </w:rPr>
      </w:pPr>
      <w:r>
        <w:rPr>
          <w:rFonts w:ascii="Times New Roman" w:hAnsi="Times New Roman"/>
          <w:bCs/>
          <w:iCs/>
          <w:noProof/>
          <w:sz w:val="24"/>
          <w:szCs w:val="24"/>
        </w:rPr>
        <w:t>Decizia-cadru 2005/214/JAI a Consiliului din 24 februarie 2005 privind aplicarea principiului recunoașterii reciproce a sancțiunilor financiare</w:t>
      </w:r>
      <w:r>
        <w:rPr>
          <w:rStyle w:val="FootnoteReference"/>
          <w:rFonts w:ascii="Times New Roman" w:eastAsia="Calibri" w:hAnsi="Times New Roman" w:cs="Times New Roman"/>
          <w:bCs/>
          <w:iCs/>
          <w:noProof/>
          <w:sz w:val="24"/>
          <w:szCs w:val="24"/>
        </w:rPr>
        <w:footnoteReference w:id="5"/>
      </w:r>
      <w:r>
        <w:rPr>
          <w:rFonts w:ascii="Times New Roman" w:hAnsi="Times New Roman"/>
          <w:bCs/>
          <w:iCs/>
          <w:noProof/>
          <w:sz w:val="24"/>
          <w:szCs w:val="24"/>
        </w:rPr>
        <w:t>;</w:t>
      </w:r>
    </w:p>
    <w:p>
      <w:pPr>
        <w:numPr>
          <w:ilvl w:val="0"/>
          <w:numId w:val="6"/>
        </w:numPr>
        <w:tabs>
          <w:tab w:val="left" w:pos="1276"/>
        </w:tabs>
        <w:spacing w:after="120" w:line="240" w:lineRule="auto"/>
        <w:ind w:left="567" w:right="-27" w:hanging="425"/>
        <w:jc w:val="both"/>
        <w:rPr>
          <w:rFonts w:ascii="Times New Roman" w:eastAsia="Calibri" w:hAnsi="Times New Roman" w:cs="Times New Roman"/>
          <w:bCs/>
          <w:noProof/>
          <w:sz w:val="24"/>
          <w:szCs w:val="24"/>
        </w:rPr>
      </w:pPr>
      <w:r>
        <w:rPr>
          <w:rFonts w:ascii="Times New Roman" w:hAnsi="Times New Roman"/>
          <w:bCs/>
          <w:noProof/>
          <w:sz w:val="24"/>
          <w:szCs w:val="24"/>
        </w:rPr>
        <w:t>Decizia-cadru 2006/783/JAI a Consiliului din 6 octombrie 2006 privind aplicarea principiului recunoașterii reciproce pentru hotărârile de confiscare</w:t>
      </w:r>
      <w:r>
        <w:rPr>
          <w:rFonts w:ascii="Times New Roman" w:eastAsia="Calibri" w:hAnsi="Times New Roman" w:cs="Times New Roman"/>
          <w:bCs/>
          <w:noProof/>
          <w:sz w:val="24"/>
          <w:szCs w:val="24"/>
          <w:vertAlign w:val="superscript"/>
        </w:rPr>
        <w:footnoteReference w:id="6"/>
      </w:r>
      <w:r>
        <w:rPr>
          <w:rFonts w:ascii="Times New Roman" w:hAnsi="Times New Roman"/>
          <w:bCs/>
          <w:noProof/>
          <w:sz w:val="24"/>
          <w:szCs w:val="24"/>
        </w:rPr>
        <w:t xml:space="preserve">; </w:t>
      </w:r>
    </w:p>
    <w:p>
      <w:pPr>
        <w:numPr>
          <w:ilvl w:val="0"/>
          <w:numId w:val="6"/>
        </w:numPr>
        <w:tabs>
          <w:tab w:val="left" w:pos="1276"/>
        </w:tabs>
        <w:spacing w:after="120" w:line="240" w:lineRule="auto"/>
        <w:ind w:left="567" w:right="-27" w:hanging="425"/>
        <w:jc w:val="both"/>
        <w:rPr>
          <w:rFonts w:ascii="Times New Roman" w:eastAsia="Calibri" w:hAnsi="Times New Roman" w:cs="Times New Roman"/>
          <w:bCs/>
          <w:iCs/>
          <w:noProof/>
          <w:sz w:val="24"/>
          <w:szCs w:val="24"/>
        </w:rPr>
      </w:pPr>
      <w:r>
        <w:rPr>
          <w:rFonts w:ascii="Times New Roman" w:hAnsi="Times New Roman"/>
          <w:bCs/>
          <w:noProof/>
          <w:sz w:val="24"/>
          <w:szCs w:val="24"/>
        </w:rPr>
        <w:t>Decizia-cadru 2008/947/JAI a Consiliului din 27 noiembrie 2008 privind aplicarea principiului recunoașterii reciproce în cazul hotărârilor judecătorești și al deciziilor de probațiune în vederea supravegherii măsurilor de probațiune și a sancțiunilor alternative</w:t>
      </w:r>
      <w:r>
        <w:rPr>
          <w:rFonts w:ascii="Times New Roman" w:eastAsia="Calibri" w:hAnsi="Times New Roman" w:cs="Times New Roman"/>
          <w:bCs/>
          <w:noProof/>
          <w:sz w:val="24"/>
          <w:szCs w:val="24"/>
          <w:vertAlign w:val="superscript"/>
        </w:rPr>
        <w:footnoteReference w:id="7"/>
      </w:r>
      <w:r>
        <w:rPr>
          <w:rFonts w:ascii="Times New Roman" w:hAnsi="Times New Roman"/>
          <w:bCs/>
          <w:noProof/>
          <w:sz w:val="24"/>
          <w:szCs w:val="24"/>
        </w:rPr>
        <w:t>;</w:t>
      </w:r>
    </w:p>
    <w:p>
      <w:pPr>
        <w:numPr>
          <w:ilvl w:val="0"/>
          <w:numId w:val="6"/>
        </w:numPr>
        <w:tabs>
          <w:tab w:val="left" w:pos="1276"/>
        </w:tabs>
        <w:spacing w:after="120" w:line="240" w:lineRule="auto"/>
        <w:ind w:left="567" w:right="-27" w:hanging="425"/>
        <w:jc w:val="both"/>
        <w:rPr>
          <w:rFonts w:ascii="Times New Roman" w:eastAsia="Calibri" w:hAnsi="Times New Roman" w:cs="Times New Roman"/>
          <w:noProof/>
          <w:sz w:val="24"/>
          <w:szCs w:val="24"/>
        </w:rPr>
      </w:pPr>
      <w:r>
        <w:rPr>
          <w:rFonts w:ascii="Times New Roman" w:hAnsi="Times New Roman"/>
          <w:noProof/>
          <w:sz w:val="24"/>
          <w:szCs w:val="24"/>
        </w:rPr>
        <w:t>Decizia-cadru 2008/909/JAI a Consiliului din 27 noiembrie 2008 privind aplicarea principiului recunoașterii reciproce a hotărârilor judecătorești în materie penală care impun pedepse sau măsuri privative de libertate în scopul executării lor în Uniunea Europeană</w:t>
      </w:r>
      <w:r>
        <w:rPr>
          <w:rFonts w:ascii="Times New Roman" w:eastAsia="Calibri" w:hAnsi="Times New Roman" w:cs="Times New Roman"/>
          <w:noProof/>
          <w:sz w:val="24"/>
          <w:szCs w:val="24"/>
          <w:vertAlign w:val="superscript"/>
        </w:rPr>
        <w:footnoteReference w:id="8"/>
      </w:r>
      <w:r>
        <w:rPr>
          <w:rFonts w:ascii="Times New Roman" w:hAnsi="Times New Roman"/>
          <w:noProof/>
          <w:sz w:val="24"/>
          <w:szCs w:val="24"/>
        </w:rPr>
        <w:t xml:space="preserve">. </w:t>
      </w:r>
    </w:p>
    <w:p>
      <w:pPr>
        <w:tabs>
          <w:tab w:val="left" w:pos="1276"/>
        </w:tabs>
        <w:spacing w:after="120" w:line="240" w:lineRule="auto"/>
        <w:ind w:left="567" w:right="-27"/>
        <w:jc w:val="both"/>
        <w:rPr>
          <w:rFonts w:ascii="Times New Roman" w:eastAsia="Calibri" w:hAnsi="Times New Roman" w:cs="Times New Roman"/>
          <w:bCs/>
          <w:iCs/>
          <w:noProof/>
          <w:sz w:val="24"/>
          <w:szCs w:val="24"/>
        </w:rPr>
      </w:pP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Acte care cuprind o trimitere la Decizia-cadru 2008/977/JAI a Consiliului, care se interpretează ca trimitere la Directiva privind protecția datelor în materie de asigurare a respectării legii în sensul articolului 59 alineatul (2) din aceasta, și nu cuprind nicio normă specifică de protecție a datelor (3 acte):</w:t>
      </w:r>
    </w:p>
    <w:p>
      <w:pPr>
        <w:numPr>
          <w:ilvl w:val="0"/>
          <w:numId w:val="16"/>
        </w:numPr>
        <w:tabs>
          <w:tab w:val="left" w:pos="1276"/>
        </w:tabs>
        <w:spacing w:after="120" w:line="240" w:lineRule="auto"/>
        <w:ind w:right="-27"/>
        <w:jc w:val="both"/>
        <w:rPr>
          <w:rFonts w:ascii="Times New Roman" w:eastAsia="Calibri" w:hAnsi="Times New Roman" w:cs="Times New Roman"/>
          <w:bCs/>
          <w:noProof/>
          <w:sz w:val="24"/>
          <w:szCs w:val="24"/>
        </w:rPr>
      </w:pPr>
      <w:r>
        <w:rPr>
          <w:rFonts w:ascii="Times New Roman" w:hAnsi="Times New Roman"/>
          <w:bCs/>
          <w:noProof/>
          <w:sz w:val="24"/>
          <w:szCs w:val="24"/>
        </w:rPr>
        <w:t>Decizia-cadru 2009/829/JAI a Consiliului din 23 octombrie 2009 privind aplicarea, între statele membre ale Uniunii Europene, a principiului recunoașterii reciproce în materia deciziilor privind măsurile de supraveghere judiciară ca alternativă la arestarea preventivă</w:t>
      </w:r>
      <w:r>
        <w:rPr>
          <w:rStyle w:val="FootnoteReference"/>
          <w:rFonts w:ascii="Times New Roman" w:eastAsia="Calibri" w:hAnsi="Times New Roman" w:cs="Times New Roman"/>
          <w:bCs/>
          <w:noProof/>
          <w:sz w:val="24"/>
          <w:szCs w:val="24"/>
        </w:rPr>
        <w:footnoteReference w:id="9"/>
      </w:r>
      <w:r>
        <w:rPr>
          <w:rFonts w:ascii="Times New Roman" w:hAnsi="Times New Roman"/>
          <w:bCs/>
          <w:noProof/>
          <w:sz w:val="24"/>
          <w:szCs w:val="24"/>
        </w:rPr>
        <w:t xml:space="preserve">; </w:t>
      </w:r>
    </w:p>
    <w:p>
      <w:pPr>
        <w:numPr>
          <w:ilvl w:val="0"/>
          <w:numId w:val="16"/>
        </w:numPr>
        <w:tabs>
          <w:tab w:val="left" w:pos="1276"/>
        </w:tabs>
        <w:spacing w:after="120" w:line="240" w:lineRule="auto"/>
        <w:ind w:left="567" w:right="-27" w:hanging="425"/>
        <w:jc w:val="both"/>
        <w:rPr>
          <w:rFonts w:ascii="Times New Roman" w:eastAsia="Calibri" w:hAnsi="Times New Roman" w:cs="Times New Roman"/>
          <w:bCs/>
          <w:noProof/>
          <w:sz w:val="24"/>
          <w:szCs w:val="24"/>
        </w:rPr>
      </w:pPr>
      <w:r>
        <w:rPr>
          <w:rFonts w:ascii="Times New Roman" w:hAnsi="Times New Roman"/>
          <w:bCs/>
          <w:noProof/>
          <w:sz w:val="24"/>
          <w:szCs w:val="24"/>
        </w:rPr>
        <w:t>Decizia-cadru 2009/948/JAI a Consiliului din 30 noiembrie 2009 privind prevenirea și soluționarea conflictelor referitoare la exercitarea competenței în cadrul procedurilor penale</w:t>
      </w:r>
      <w:r>
        <w:rPr>
          <w:rStyle w:val="FootnoteReference"/>
          <w:rFonts w:ascii="Times New Roman" w:eastAsia="Calibri" w:hAnsi="Times New Roman" w:cs="Times New Roman"/>
          <w:bCs/>
          <w:noProof/>
          <w:sz w:val="24"/>
          <w:szCs w:val="24"/>
        </w:rPr>
        <w:footnoteReference w:id="10"/>
      </w:r>
      <w:r>
        <w:rPr>
          <w:rFonts w:ascii="Times New Roman" w:hAnsi="Times New Roman"/>
          <w:bCs/>
          <w:noProof/>
          <w:sz w:val="24"/>
          <w:szCs w:val="24"/>
        </w:rPr>
        <w:t xml:space="preserve"> și </w:t>
      </w:r>
    </w:p>
    <w:p>
      <w:pPr>
        <w:numPr>
          <w:ilvl w:val="0"/>
          <w:numId w:val="16"/>
        </w:numPr>
        <w:tabs>
          <w:tab w:val="left" w:pos="1276"/>
        </w:tabs>
        <w:spacing w:after="120" w:line="240" w:lineRule="auto"/>
        <w:ind w:left="567" w:right="-27" w:hanging="425"/>
        <w:jc w:val="both"/>
        <w:rPr>
          <w:rFonts w:ascii="Times New Roman" w:eastAsia="Calibri" w:hAnsi="Times New Roman" w:cs="Times New Roman"/>
          <w:bCs/>
          <w:noProof/>
          <w:sz w:val="24"/>
          <w:szCs w:val="24"/>
        </w:rPr>
      </w:pPr>
      <w:r>
        <w:rPr>
          <w:rFonts w:ascii="Times New Roman" w:hAnsi="Times New Roman"/>
          <w:bCs/>
          <w:noProof/>
          <w:sz w:val="24"/>
          <w:szCs w:val="24"/>
        </w:rPr>
        <w:lastRenderedPageBreak/>
        <w:t>Directiva 2011/99/UE a Parlamentului European și a Consiliului din 13 decembrie 2011 privind ordinul european de protecție</w:t>
      </w:r>
      <w:r>
        <w:rPr>
          <w:rFonts w:ascii="Times New Roman" w:eastAsia="Calibri" w:hAnsi="Times New Roman" w:cs="Times New Roman"/>
          <w:bCs/>
          <w:noProof/>
          <w:sz w:val="24"/>
          <w:szCs w:val="24"/>
          <w:vertAlign w:val="superscript"/>
        </w:rPr>
        <w:footnoteReference w:id="11"/>
      </w:r>
      <w:r>
        <w:rPr>
          <w:rFonts w:ascii="Times New Roman" w:hAnsi="Times New Roman"/>
          <w:bCs/>
          <w:noProof/>
          <w:sz w:val="24"/>
          <w:szCs w:val="24"/>
        </w:rPr>
        <w:t>.</w:t>
      </w:r>
    </w:p>
    <w:p>
      <w:pPr>
        <w:rPr>
          <w:rFonts w:ascii="Times New Roman" w:eastAsia="Times New Roman" w:hAnsi="Times New Roman" w:cs="Times New Roman"/>
          <w:noProof/>
          <w:sz w:val="24"/>
          <w:szCs w:val="24"/>
        </w:rPr>
      </w:pP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Acte a căror modificare este deja în curs de negociere (2 acte):</w:t>
      </w:r>
    </w:p>
    <w:p>
      <w:pPr>
        <w:pStyle w:val="ListParagraph"/>
        <w:numPr>
          <w:ilvl w:val="0"/>
          <w:numId w:val="18"/>
        </w:numPr>
        <w:tabs>
          <w:tab w:val="left" w:pos="1276"/>
        </w:tabs>
        <w:spacing w:after="120" w:line="240" w:lineRule="auto"/>
        <w:ind w:right="-28"/>
        <w:contextualSpacing w:val="0"/>
        <w:jc w:val="both"/>
        <w:rPr>
          <w:rFonts w:ascii="Times New Roman" w:eastAsia="Calibri" w:hAnsi="Times New Roman" w:cs="Times New Roman"/>
          <w:iCs/>
          <w:noProof/>
          <w:sz w:val="24"/>
          <w:szCs w:val="24"/>
        </w:rPr>
      </w:pPr>
      <w:r>
        <w:rPr>
          <w:rFonts w:ascii="Times New Roman" w:hAnsi="Times New Roman"/>
          <w:iCs/>
          <w:noProof/>
          <w:sz w:val="24"/>
          <w:szCs w:val="24"/>
        </w:rPr>
        <w:t>Decizia 2008/633/JAI a Consiliului din 23 iunie 2008, care reglementează accesul la datele VIS în scopul prevenirii, depistării și cercetării infracțiunilor de terorism și a altor infracțiuni grave</w:t>
      </w:r>
      <w:r>
        <w:rPr>
          <w:noProof/>
          <w:vertAlign w:val="superscript"/>
          <w:lang w:val="en"/>
        </w:rPr>
        <w:footnoteReference w:id="12"/>
      </w:r>
      <w:r>
        <w:rPr>
          <w:rFonts w:ascii="Times New Roman" w:hAnsi="Times New Roman"/>
          <w:iCs/>
          <w:noProof/>
          <w:sz w:val="24"/>
          <w:szCs w:val="24"/>
        </w:rPr>
        <w:t xml:space="preserve"> și face obiectul abrogării în conformitate cu Propunerea de Regulament al Parlamentului European și al Consiliului de modificare a Regulamentului (CE) nr. 767/2008, a Regulamentului (CE) nr. 810/2009, a Regulamentului (UE) 2017/2226, a Regulamentului (UE) 2016/399, a Regulamentului XX/2018 [Regulamentul privind interoperabilitatea] și a Deciziei 2004/512/CE și de abrogare a Deciziei 2008/633/JAI a Consiliului</w:t>
      </w:r>
      <w:r>
        <w:rPr>
          <w:rStyle w:val="FootnoteReference"/>
          <w:rFonts w:ascii="Times New Roman" w:eastAsia="Calibri" w:hAnsi="Times New Roman" w:cs="Times New Roman"/>
          <w:iCs/>
          <w:noProof/>
          <w:sz w:val="24"/>
          <w:szCs w:val="24"/>
          <w:lang w:val="en"/>
        </w:rPr>
        <w:footnoteReference w:id="13"/>
      </w:r>
      <w:r>
        <w:rPr>
          <w:iCs/>
          <w:noProof/>
        </w:rPr>
        <w:t>;</w:t>
      </w:r>
      <w:r>
        <w:rPr>
          <w:rFonts w:ascii="Times New Roman" w:hAnsi="Times New Roman"/>
          <w:iCs/>
          <w:noProof/>
          <w:sz w:val="24"/>
          <w:szCs w:val="24"/>
        </w:rPr>
        <w:t xml:space="preserve"> </w:t>
      </w:r>
    </w:p>
    <w:p>
      <w:pPr>
        <w:pStyle w:val="ListParagraph"/>
        <w:numPr>
          <w:ilvl w:val="0"/>
          <w:numId w:val="18"/>
        </w:numPr>
        <w:tabs>
          <w:tab w:val="left" w:pos="1276"/>
        </w:tabs>
        <w:spacing w:after="120" w:line="240" w:lineRule="auto"/>
        <w:ind w:right="-28"/>
        <w:contextualSpacing w:val="0"/>
        <w:jc w:val="both"/>
        <w:rPr>
          <w:rFonts w:ascii="Times New Roman" w:eastAsia="Calibri" w:hAnsi="Times New Roman" w:cs="Times New Roman"/>
          <w:bCs/>
          <w:noProof/>
          <w:sz w:val="24"/>
          <w:szCs w:val="24"/>
        </w:rPr>
      </w:pPr>
      <w:r>
        <w:rPr>
          <w:rFonts w:ascii="Times New Roman" w:hAnsi="Times New Roman"/>
          <w:iCs/>
          <w:noProof/>
          <w:sz w:val="24"/>
          <w:szCs w:val="24"/>
        </w:rPr>
        <w:t>Regulamentul (UE) nr. 604/2013 al Parlamentului European și al Consiliului din 26 iunie 2013 de stabilire a criteriilor și mecanismelor de determinare a statului membru responsabil de examinarea unei cereri de protecție internațională prezentate într-unul dintre statele membre de către un resortisant al unei țări terțe sau de către un apatrid</w:t>
      </w:r>
      <w:r>
        <w:rPr>
          <w:noProof/>
          <w:vertAlign w:val="superscript"/>
        </w:rPr>
        <w:footnoteReference w:id="14"/>
      </w:r>
      <w:r>
        <w:rPr>
          <w:noProof/>
        </w:rPr>
        <w:t>;</w:t>
      </w:r>
      <w:r>
        <w:rPr>
          <w:rFonts w:ascii="Times New Roman" w:hAnsi="Times New Roman"/>
          <w:iCs/>
          <w:noProof/>
          <w:sz w:val="24"/>
          <w:szCs w:val="24"/>
        </w:rPr>
        <w:t xml:space="preserve"> </w:t>
      </w:r>
      <w:r>
        <w:rPr>
          <w:rFonts w:ascii="Times New Roman" w:hAnsi="Times New Roman"/>
          <w:noProof/>
          <w:sz w:val="24"/>
          <w:szCs w:val="24"/>
        </w:rPr>
        <w:t>acest act face obiectul abrogării în conformitate Propunerea de regulament al Parlamentului European și al Consiliului privind instituirea sistemului „Eurodac” pentru compararea amprentelor digitale în scopul aplicării eficiente a Regulamentului (UE) nr. 604/2013 de stabilire a criteriilor și mecanismelor de determinare a statului membru responsabil de examinarea unei cereri de protecție internațională prezentate într-unul dintre statele membre de către un resortisant al unei țări terțe sau de către un apatrid, al identificării unui resortisant al unei țări terțe sau a unui apatrid în situație neregulamentară și privind cererile de comparare cu datele Eurodac prezentate de autoritățile de aplicare a legii din statele membre și de Europol în scopul asigurării respectării aplicării legii (reformare)</w:t>
      </w:r>
      <w:r>
        <w:rPr>
          <w:rStyle w:val="FootnoteReference"/>
          <w:rFonts w:ascii="Times New Roman" w:eastAsia="Calibri" w:hAnsi="Times New Roman" w:cs="Times New Roman"/>
          <w:bCs/>
          <w:noProof/>
          <w:sz w:val="24"/>
          <w:szCs w:val="24"/>
        </w:rPr>
        <w:footnoteReference w:id="15"/>
      </w:r>
      <w:r>
        <w:rPr>
          <w:rFonts w:ascii="Times New Roman" w:hAnsi="Times New Roman"/>
          <w:noProof/>
          <w:sz w:val="24"/>
          <w:szCs w:val="24"/>
        </w:rPr>
        <w:t>.</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Acorduri internaționale cu caracter obligatoriu numai pentru statele membre sau pentru statele Schengen care sunt obligate să transpună Directiva privind protecția datelor în materie de asigurare a respectării legii în ordinea lor juridică națională și în care prelucrarea datelor cu caracter personal de către autoritățile competente în scopuri de asigurare a respectării legii în temeiul unor astfel de acorduri este reglementată de legislația națională de transpunere a directivei menționate (3 acte):</w:t>
      </w:r>
    </w:p>
    <w:p>
      <w:pPr>
        <w:numPr>
          <w:ilvl w:val="0"/>
          <w:numId w:val="17"/>
        </w:numPr>
        <w:tabs>
          <w:tab w:val="left" w:pos="1276"/>
        </w:tabs>
        <w:spacing w:after="120" w:line="240" w:lineRule="auto"/>
        <w:ind w:right="-27"/>
        <w:jc w:val="both"/>
        <w:rPr>
          <w:rFonts w:ascii="Times New Roman" w:eastAsia="Calibri" w:hAnsi="Times New Roman" w:cs="Times New Roman"/>
          <w:bCs/>
          <w:iCs/>
          <w:noProof/>
          <w:sz w:val="24"/>
          <w:szCs w:val="24"/>
        </w:rPr>
      </w:pPr>
      <w:r>
        <w:rPr>
          <w:rFonts w:ascii="Times New Roman" w:hAnsi="Times New Roman"/>
          <w:noProof/>
          <w:sz w:val="24"/>
          <w:szCs w:val="24"/>
        </w:rPr>
        <w:t xml:space="preserve">Convenția elaborată în temeiul articolului K.3 din Tratatul privind Uniunea Europeană, cu privire la asistența reciprocă și cooperarea între administrațiile vamale </w:t>
      </w:r>
      <w:r>
        <w:rPr>
          <w:rFonts w:ascii="Times New Roman" w:hAnsi="Times New Roman"/>
          <w:bCs/>
          <w:iCs/>
          <w:noProof/>
          <w:sz w:val="24"/>
          <w:szCs w:val="24"/>
        </w:rPr>
        <w:t>(Convenția Napoli II)</w:t>
      </w:r>
      <w:r>
        <w:rPr>
          <w:rFonts w:ascii="Times New Roman" w:hAnsi="Times New Roman" w:cs="Times New Roman"/>
          <w:noProof/>
          <w:sz w:val="24"/>
          <w:szCs w:val="24"/>
          <w:vertAlign w:val="superscript"/>
        </w:rPr>
        <w:footnoteReference w:id="16"/>
      </w:r>
      <w:r>
        <w:rPr>
          <w:rFonts w:ascii="Times New Roman" w:hAnsi="Times New Roman"/>
          <w:bCs/>
          <w:iCs/>
          <w:noProof/>
          <w:sz w:val="24"/>
          <w:szCs w:val="24"/>
        </w:rPr>
        <w:t>;</w:t>
      </w:r>
    </w:p>
    <w:p>
      <w:pPr>
        <w:numPr>
          <w:ilvl w:val="0"/>
          <w:numId w:val="17"/>
        </w:numPr>
        <w:tabs>
          <w:tab w:val="left" w:pos="1276"/>
        </w:tabs>
        <w:spacing w:after="120" w:line="240" w:lineRule="auto"/>
        <w:ind w:right="-27"/>
        <w:jc w:val="both"/>
        <w:rPr>
          <w:rFonts w:ascii="Times New Roman" w:eastAsia="Calibri" w:hAnsi="Times New Roman" w:cs="Times New Roman"/>
          <w:bCs/>
          <w:iCs/>
          <w:noProof/>
          <w:sz w:val="24"/>
          <w:szCs w:val="24"/>
        </w:rPr>
      </w:pPr>
      <w:r>
        <w:rPr>
          <w:rFonts w:ascii="Times New Roman" w:hAnsi="Times New Roman"/>
          <w:noProof/>
          <w:sz w:val="24"/>
          <w:szCs w:val="24"/>
        </w:rPr>
        <w:t>Actul Consiliului din 29 mai 2000 de elaborare, în temeiul articolului 34 din Tratatul privind Uniunea Europeană, a Convenției privind asistența judiciară reciprocă în materie penală între statele membre ale Uniunii Europene</w:t>
      </w:r>
      <w:r>
        <w:rPr>
          <w:rFonts w:ascii="Times New Roman" w:hAnsi="Times New Roman" w:cs="Times New Roman"/>
          <w:noProof/>
          <w:sz w:val="24"/>
          <w:szCs w:val="24"/>
          <w:vertAlign w:val="superscript"/>
        </w:rPr>
        <w:footnoteReference w:id="17"/>
      </w:r>
      <w:r>
        <w:rPr>
          <w:rFonts w:ascii="Times New Roman" w:hAnsi="Times New Roman"/>
          <w:noProof/>
          <w:sz w:val="24"/>
          <w:szCs w:val="24"/>
        </w:rPr>
        <w:t>;</w:t>
      </w:r>
    </w:p>
    <w:p>
      <w:pPr>
        <w:numPr>
          <w:ilvl w:val="0"/>
          <w:numId w:val="17"/>
        </w:numPr>
        <w:tabs>
          <w:tab w:val="left" w:pos="1276"/>
        </w:tabs>
        <w:spacing w:after="120" w:line="240" w:lineRule="auto"/>
        <w:ind w:right="-27"/>
        <w:jc w:val="both"/>
        <w:rPr>
          <w:rFonts w:ascii="Times New Roman" w:eastAsia="Calibri" w:hAnsi="Times New Roman" w:cs="Times New Roman"/>
          <w:bCs/>
          <w:iCs/>
          <w:noProof/>
          <w:sz w:val="24"/>
          <w:szCs w:val="24"/>
        </w:rPr>
      </w:pPr>
      <w:r>
        <w:rPr>
          <w:rFonts w:ascii="Times New Roman" w:hAnsi="Times New Roman"/>
          <w:noProof/>
          <w:sz w:val="24"/>
          <w:szCs w:val="24"/>
        </w:rPr>
        <w:t>Acordul</w:t>
      </w:r>
      <w:r>
        <w:rPr>
          <w:rFonts w:ascii="Times New Roman" w:hAnsi="Times New Roman"/>
          <w:bCs/>
          <w:iCs/>
          <w:noProof/>
          <w:sz w:val="24"/>
          <w:szCs w:val="24"/>
        </w:rPr>
        <w:t xml:space="preserve"> între Uniunea Europeană și Republica Islanda și Regatul Norvegiei privind aplicarea anumitor dispoziții ale Convenției din 29 mai 2000 cu privire la asistența judiciară reciprocă în materie penală între statele membre ale Uniunii Europene și ale protocolului din 2001 la aceasta</w:t>
      </w:r>
      <w:r>
        <w:rPr>
          <w:rFonts w:ascii="Times New Roman" w:eastAsia="Calibri" w:hAnsi="Times New Roman" w:cs="Times New Roman"/>
          <w:bCs/>
          <w:iCs/>
          <w:noProof/>
          <w:sz w:val="24"/>
          <w:szCs w:val="24"/>
          <w:vertAlign w:val="superscript"/>
          <w:lang w:val="en"/>
        </w:rPr>
        <w:footnoteReference w:id="18"/>
      </w:r>
      <w:r>
        <w:rPr>
          <w:rFonts w:ascii="Times New Roman" w:hAnsi="Times New Roman"/>
          <w:noProof/>
          <w:sz w:val="24"/>
          <w:szCs w:val="24"/>
        </w:rPr>
        <w:t>.</w:t>
      </w:r>
    </w:p>
    <w:p>
      <w:pPr>
        <w:spacing w:after="200" w:line="276" w:lineRule="auto"/>
        <w:ind w:left="142"/>
        <w:jc w:val="both"/>
        <w:rPr>
          <w:rFonts w:ascii="Times New Roman" w:hAnsi="Times New Roman" w:cs="Times New Roman"/>
          <w:bCs/>
          <w:noProof/>
          <w:sz w:val="24"/>
          <w:szCs w:val="24"/>
        </w:rPr>
      </w:pPr>
      <w:r>
        <w:rPr>
          <w:rFonts w:ascii="Times New Roman" w:hAnsi="Times New Roman"/>
          <w:bCs/>
          <w:noProof/>
          <w:sz w:val="24"/>
          <w:szCs w:val="24"/>
        </w:rPr>
        <w:t>Acordul privind asistența judiciară reciprocă între UE și SUA:</w:t>
      </w:r>
    </w:p>
    <w:p>
      <w:pPr>
        <w:numPr>
          <w:ilvl w:val="0"/>
          <w:numId w:val="25"/>
        </w:numPr>
        <w:tabs>
          <w:tab w:val="left" w:pos="1276"/>
        </w:tabs>
        <w:spacing w:after="120" w:line="240" w:lineRule="auto"/>
        <w:ind w:right="-27"/>
        <w:jc w:val="both"/>
        <w:rPr>
          <w:rFonts w:ascii="Times New Roman" w:eastAsia="Calibri" w:hAnsi="Times New Roman" w:cs="Times New Roman"/>
          <w:bCs/>
          <w:iCs/>
          <w:noProof/>
          <w:sz w:val="24"/>
          <w:szCs w:val="24"/>
        </w:rPr>
      </w:pPr>
      <w:r>
        <w:rPr>
          <w:rFonts w:ascii="Times New Roman" w:hAnsi="Times New Roman"/>
          <w:noProof/>
          <w:sz w:val="24"/>
          <w:szCs w:val="24"/>
        </w:rPr>
        <w:t>Acord privind asistența judiciară reciprocă între Uniunea Europeană și Statele Unite ale Americii</w:t>
      </w:r>
      <w:r>
        <w:rPr>
          <w:rFonts w:ascii="Times New Roman" w:eastAsia="Calibri" w:hAnsi="Times New Roman" w:cs="Times New Roman"/>
          <w:bCs/>
          <w:iCs/>
          <w:noProof/>
          <w:sz w:val="24"/>
          <w:szCs w:val="24"/>
          <w:vertAlign w:val="superscript"/>
          <w:lang w:val="en"/>
        </w:rPr>
        <w:footnoteReference w:id="19"/>
      </w:r>
      <w:r>
        <w:rPr>
          <w:rFonts w:ascii="Times New Roman" w:hAnsi="Times New Roman"/>
          <w:noProof/>
          <w:sz w:val="24"/>
          <w:szCs w:val="24"/>
        </w:rPr>
        <w:t>.</w:t>
      </w:r>
    </w:p>
    <w:p>
      <w:pPr>
        <w:rPr>
          <w:rFonts w:ascii="Times New Roman" w:hAnsi="Times New Roman" w:cs="Times New Roman"/>
          <w:b/>
          <w:noProof/>
          <w:sz w:val="24"/>
          <w:szCs w:val="24"/>
        </w:rPr>
      </w:pPr>
      <w:r>
        <w:rPr>
          <w:rFonts w:ascii="Times New Roman" w:hAnsi="Times New Roman"/>
          <w:b/>
          <w:noProof/>
          <w:sz w:val="24"/>
          <w:szCs w:val="24"/>
        </w:rPr>
        <w:br w:type="page"/>
        <w:t>ANEXA II: Acte care necesită modificări</w:t>
      </w:r>
    </w:p>
    <w:p>
      <w:pPr>
        <w:pStyle w:val="ListParagraph"/>
        <w:numPr>
          <w:ilvl w:val="0"/>
          <w:numId w:val="15"/>
        </w:numPr>
        <w:ind w:left="567"/>
        <w:jc w:val="both"/>
        <w:rPr>
          <w:rFonts w:ascii="Times New Roman" w:hAnsi="Times New Roman" w:cs="Times New Roman"/>
          <w:noProof/>
          <w:sz w:val="24"/>
          <w:szCs w:val="24"/>
        </w:rPr>
      </w:pPr>
      <w:r>
        <w:rPr>
          <w:rFonts w:ascii="Times New Roman" w:hAnsi="Times New Roman"/>
          <w:noProof/>
          <w:sz w:val="24"/>
          <w:szCs w:val="24"/>
        </w:rPr>
        <w:t>Decizia-cadru 2002/465/JAI a Consiliului din 13 iunie 2002 privind echipele comune de anchetă</w:t>
      </w:r>
      <w:r>
        <w:rPr>
          <w:rFonts w:ascii="Times New Roman" w:hAnsi="Times New Roman" w:cs="Times New Roman"/>
          <w:noProof/>
          <w:sz w:val="24"/>
          <w:szCs w:val="24"/>
          <w:vertAlign w:val="superscript"/>
        </w:rPr>
        <w:footnoteReference w:id="20"/>
      </w:r>
      <w:r>
        <w:rPr>
          <w:rFonts w:ascii="Times New Roman" w:hAnsi="Times New Roman"/>
          <w:noProof/>
          <w:sz w:val="24"/>
          <w:szCs w:val="24"/>
        </w:rPr>
        <w:t>.</w:t>
      </w:r>
    </w:p>
    <w:p>
      <w:pPr>
        <w:pStyle w:val="ListParagraph"/>
        <w:numPr>
          <w:ilvl w:val="0"/>
          <w:numId w:val="15"/>
        </w:numPr>
        <w:ind w:left="567"/>
        <w:jc w:val="both"/>
        <w:rPr>
          <w:rFonts w:ascii="Times New Roman" w:hAnsi="Times New Roman" w:cs="Times New Roman"/>
          <w:noProof/>
          <w:sz w:val="24"/>
          <w:szCs w:val="24"/>
        </w:rPr>
      </w:pPr>
      <w:r>
        <w:rPr>
          <w:rFonts w:ascii="Times New Roman" w:hAnsi="Times New Roman"/>
          <w:noProof/>
          <w:sz w:val="24"/>
          <w:szCs w:val="24"/>
        </w:rPr>
        <w:t>Decizia 2005/671/JAI a Consiliului din 20 septembrie 2005 privind schimbul de informații și cooperarea referitoare la infracțiunile de terorism</w:t>
      </w:r>
      <w:r>
        <w:rPr>
          <w:rFonts w:ascii="Times New Roman" w:hAnsi="Times New Roman" w:cs="Times New Roman"/>
          <w:noProof/>
          <w:sz w:val="24"/>
          <w:szCs w:val="24"/>
          <w:vertAlign w:val="superscript"/>
        </w:rPr>
        <w:footnoteReference w:id="21"/>
      </w:r>
      <w:r>
        <w:rPr>
          <w:rFonts w:ascii="Times New Roman" w:hAnsi="Times New Roman"/>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noProof/>
          <w:sz w:val="24"/>
          <w:szCs w:val="24"/>
        </w:rPr>
        <w:t>Decizia-cadru 2006/960/JAI a Consiliului din 18 decembrie 2006 privind simplificarea schimbului de informații și date operative între autoritățile de aplicare a legii ale statelor membre ale Uniunii Europene</w:t>
      </w:r>
      <w:r>
        <w:rPr>
          <w:rFonts w:ascii="Times New Roman" w:hAnsi="Times New Roman" w:cs="Times New Roman"/>
          <w:noProof/>
          <w:sz w:val="24"/>
          <w:szCs w:val="24"/>
          <w:vertAlign w:val="superscript"/>
        </w:rPr>
        <w:footnoteReference w:id="22"/>
      </w:r>
      <w:r>
        <w:rPr>
          <w:rFonts w:ascii="Times New Roman" w:hAnsi="Times New Roman"/>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noProof/>
          <w:sz w:val="24"/>
          <w:szCs w:val="24"/>
        </w:rPr>
        <w:t>Decizia 2007/845/JAI a Consiliului din 6 decembrie 2007 privind cooperarea dintre oficiile de recuperare a creanțelor din statele membre în domeniul urmăririi și identificării produselor provenite din săvârșirea de infracțiuni sau a altor bunuri având legătură cu infracțiunile prevede că statele membre au obligația de a înființa oficii de recuperare a creanțelor și asigură cadrul pentru schimbul de date între oficiile de recuperare a creanțelor din statele membre</w:t>
      </w:r>
      <w:r>
        <w:rPr>
          <w:rFonts w:ascii="Times New Roman" w:hAnsi="Times New Roman" w:cs="Times New Roman"/>
          <w:noProof/>
          <w:sz w:val="24"/>
          <w:szCs w:val="24"/>
          <w:vertAlign w:val="superscript"/>
        </w:rPr>
        <w:footnoteReference w:id="23"/>
      </w:r>
      <w:r>
        <w:rPr>
          <w:rFonts w:ascii="Times New Roman" w:hAnsi="Times New Roman"/>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noProof/>
          <w:sz w:val="24"/>
          <w:szCs w:val="24"/>
        </w:rPr>
        <w:t>Decizia 2008/615/JAI a Consiliului din 23 iunie 2008 privind intensificarea cooperării transfrontaliere, în special în domeniul combaterii terorismului și a criminalității transfrontaliere</w:t>
      </w:r>
      <w:r>
        <w:rPr>
          <w:rFonts w:ascii="Times New Roman" w:hAnsi="Times New Roman" w:cs="Times New Roman"/>
          <w:noProof/>
          <w:sz w:val="24"/>
          <w:szCs w:val="24"/>
          <w:vertAlign w:val="superscript"/>
        </w:rPr>
        <w:footnoteReference w:id="24"/>
      </w:r>
      <w:r>
        <w:rPr>
          <w:rFonts w:ascii="Times New Roman" w:hAnsi="Times New Roman"/>
          <w:noProof/>
          <w:sz w:val="24"/>
          <w:szCs w:val="24"/>
        </w:rPr>
        <w:t xml:space="preserve"> și Decizia 2008/616/JAI a Consiliului din 23 iunie 2008 privind punerea în aplicare a Deciziei 2008/615/JAI privind intensificarea cooperării transfrontaliere, în special în domeniul combaterii terorismului și a criminalității transfrontaliere</w:t>
      </w:r>
      <w:r>
        <w:rPr>
          <w:rFonts w:ascii="Times New Roman" w:hAnsi="Times New Roman" w:cs="Times New Roman"/>
          <w:noProof/>
          <w:sz w:val="24"/>
          <w:szCs w:val="24"/>
          <w:vertAlign w:val="superscript"/>
        </w:rPr>
        <w:footnoteReference w:id="25"/>
      </w:r>
      <w:r>
        <w:rPr>
          <w:rFonts w:ascii="Times New Roman" w:hAnsi="Times New Roman"/>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bCs/>
          <w:iCs/>
          <w:noProof/>
          <w:sz w:val="24"/>
          <w:szCs w:val="24"/>
        </w:rPr>
        <w:t>Decizia 2009/917/JAI a Consiliului din 30 noiembrie 2009 privind utilizarea tehnologiei informației în domeniul vamal</w:t>
      </w:r>
      <w:r>
        <w:rPr>
          <w:rFonts w:ascii="Times New Roman" w:hAnsi="Times New Roman" w:cs="Times New Roman"/>
          <w:noProof/>
          <w:sz w:val="24"/>
          <w:szCs w:val="24"/>
          <w:vertAlign w:val="superscript"/>
        </w:rPr>
        <w:footnoteReference w:id="26"/>
      </w:r>
      <w:r>
        <w:rPr>
          <w:rFonts w:ascii="Times New Roman" w:hAnsi="Times New Roman"/>
          <w:bCs/>
          <w:iCs/>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noProof/>
          <w:sz w:val="24"/>
          <w:szCs w:val="24"/>
        </w:rPr>
        <w:t>Acord între Uniunea Europeană și Japonia privind asistența judiciară reciprocă în materie penală</w:t>
      </w:r>
      <w:r>
        <w:rPr>
          <w:rFonts w:ascii="Times New Roman" w:hAnsi="Times New Roman" w:cs="Times New Roman"/>
          <w:noProof/>
          <w:sz w:val="24"/>
          <w:szCs w:val="24"/>
          <w:vertAlign w:val="superscript"/>
        </w:rPr>
        <w:footnoteReference w:id="27"/>
      </w:r>
      <w:r>
        <w:rPr>
          <w:rFonts w:ascii="Times New Roman" w:hAnsi="Times New Roman"/>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noProof/>
          <w:sz w:val="24"/>
          <w:szCs w:val="24"/>
        </w:rPr>
        <w:t>Directiva 2014/41/UE a Parlamentului European și a Consiliului din 3 aprilie 2014 privind ordinul european de anchetă în materie penală</w:t>
      </w:r>
      <w:r>
        <w:rPr>
          <w:rFonts w:ascii="Times New Roman" w:hAnsi="Times New Roman" w:cs="Times New Roman"/>
          <w:noProof/>
          <w:sz w:val="24"/>
          <w:szCs w:val="24"/>
          <w:vertAlign w:val="superscript"/>
        </w:rPr>
        <w:footnoteReference w:id="28"/>
      </w:r>
      <w:r>
        <w:rPr>
          <w:rFonts w:ascii="Times New Roman" w:hAnsi="Times New Roman"/>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noProof/>
          <w:sz w:val="24"/>
          <w:szCs w:val="24"/>
        </w:rPr>
        <w:t>Directiva (UE) 2015/413 a Parlamentului European și a Consiliului din 11 martie 2015 de facilitare a schimbului transfrontalier de informații privind încălcările normelor de circulație care afectează siguranța rutieră</w:t>
      </w:r>
      <w:r>
        <w:rPr>
          <w:rFonts w:ascii="Times New Roman" w:hAnsi="Times New Roman" w:cs="Times New Roman"/>
          <w:noProof/>
          <w:sz w:val="24"/>
          <w:szCs w:val="24"/>
          <w:vertAlign w:val="superscript"/>
        </w:rPr>
        <w:footnoteReference w:id="29"/>
      </w:r>
      <w:r>
        <w:rPr>
          <w:rFonts w:ascii="Times New Roman" w:hAnsi="Times New Roman"/>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noProof/>
          <w:sz w:val="24"/>
          <w:szCs w:val="24"/>
        </w:rPr>
        <w:t>Directiva (UE) 2016/681 a Parlamentului European și a Consiliului din 27 aprilie 2016 privind utilizarea datelor din registrul cu numele pasagerilor (PNR) pentru prevenirea, depistarea, investigarea și urmărirea penală a infracțiunilor de terorism și a infracțiunilor grave</w:t>
      </w:r>
      <w:r>
        <w:rPr>
          <w:rFonts w:ascii="Times New Roman" w:hAnsi="Times New Roman" w:cs="Times New Roman"/>
          <w:noProof/>
          <w:sz w:val="24"/>
          <w:szCs w:val="24"/>
          <w:vertAlign w:val="superscript"/>
        </w:rPr>
        <w:footnoteReference w:id="30"/>
      </w:r>
      <w:r>
        <w:rPr>
          <w:rFonts w:ascii="Times New Roman" w:hAnsi="Times New Roman"/>
          <w:noProof/>
          <w:sz w:val="24"/>
          <w:szCs w:val="24"/>
        </w:rPr>
        <w:t>.</w:t>
      </w:r>
    </w:p>
    <w:p>
      <w:pPr>
        <w:ind w:left="360"/>
        <w:jc w:val="both"/>
        <w:rPr>
          <w:rFonts w:ascii="Times New Roman" w:hAnsi="Times New Roman" w:cs="Times New Roman"/>
          <w:noProof/>
        </w:rPr>
      </w:pPr>
    </w:p>
    <w:sectPr>
      <w:headerReference w:type="even" r:id="rId16"/>
      <w:headerReference w:type="default" r:id="rId17"/>
      <w:footerReference w:type="even" r:id="rId18"/>
      <w:footerReference w:type="default" r:id="rId19"/>
      <w:headerReference w:type="first" r:id="rId20"/>
      <w:footerReference w:type="first" r:id="rId21"/>
      <w:pgSz w:w="11907" w:h="16839" w:code="9"/>
      <w:pgMar w:top="1134" w:right="1418"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83CC" w16cex:dateUtc="2020-04-21T12:38:00Z"/>
  <w16cex:commentExtensible w16cex:durableId="2249865E" w16cex:dateUtc="2020-04-21T12:49:00Z"/>
  <w16cex:commentExtensible w16cex:durableId="224984BB" w16cex:dateUtc="2020-04-21T12:42:00Z"/>
  <w16cex:commentExtensible w16cex:durableId="22498581" w16cex:dateUtc="2020-04-21T12:45:00Z"/>
  <w16cex:commentExtensible w16cex:durableId="224985D4" w16cex:dateUtc="2020-04-21T12:46:00Z"/>
  <w16cex:commentExtensible w16cex:durableId="224987C1" w16cex:dateUtc="2020-04-21T12:54:00Z"/>
  <w16cex:commentExtensible w16cex:durableId="224987F6" w16cex:dateUtc="2020-04-21T12:55:00Z"/>
  <w16cex:commentExtensible w16cex:durableId="2249894E" w16cex:dateUtc="2020-04-21T13:01:00Z"/>
  <w16cex:commentExtensible w16cex:durableId="22498A2D" w16cex:dateUtc="2020-04-21T13:05:00Z"/>
  <w16cex:commentExtensible w16cex:durableId="22498C78" w16cex:dateUtc="2020-04-21T13:15:00Z"/>
  <w16cex:commentExtensible w16cex:durableId="22498CA7" w16cex:dateUtc="2020-04-21T13:15:00Z"/>
  <w16cex:commentExtensible w16cex:durableId="22498CB7" w16cex:dateUtc="2020-04-21T13:16:00Z"/>
  <w16cex:commentExtensible w16cex:durableId="22498B1E" w16cex:dateUtc="2020-04-21T13:09:00Z"/>
  <w16cex:commentExtensible w16cex:durableId="22499056" w16cex:dateUtc="2020-04-21T13:31:00Z"/>
  <w16cex:commentExtensible w16cex:durableId="22499595" w16cex:dateUtc="2020-04-21T13:53:00Z"/>
  <w16cex:commentExtensible w16cex:durableId="224995C7" w16cex:dateUtc="2020-04-21T13:54:00Z"/>
  <w16cex:commentExtensible w16cex:durableId="22498E5E" w16cex:dateUtc="2020-04-21T13:23:00Z"/>
  <w16cex:commentExtensible w16cex:durableId="22499143" w16cex:dateUtc="2020-04-21T13:35:00Z"/>
  <w16cex:commentExtensible w16cex:durableId="22498FB7" w16cex:dateUtc="2020-04-21T13:28:00Z"/>
  <w16cex:commentExtensible w16cex:durableId="22499087" w16cex:dateUtc="2020-04-21T13:32:00Z"/>
  <w16cex:commentExtensible w16cex:durableId="22499215" w16cex:dateUtc="2020-04-21T13:39:00Z"/>
  <w16cex:commentExtensible w16cex:durableId="224996C2" w16cex:dateUtc="2020-04-21T13:58:00Z"/>
  <w16cex:commentExtensible w16cex:durableId="22499702" w16cex:dateUtc="2020-04-21T14:00:00Z"/>
  <w16cex:commentExtensible w16cex:durableId="22499792" w16cex:dateUtc="2020-04-21T14:02:00Z"/>
  <w16cex:commentExtensible w16cex:durableId="2249980C" w16cex:dateUtc="2020-04-21T14:04:00Z"/>
  <w16cex:commentExtensible w16cex:durableId="224998A4" w16cex:dateUtc="2020-04-21T14:07:00Z"/>
  <w16cex:commentExtensible w16cex:durableId="22499883" w16cex:dateUtc="2020-04-21T14:06:00Z"/>
  <w16cex:commentExtensible w16cex:durableId="22499945" w16cex:dateUtc="2020-04-21T14:09:00Z"/>
  <w16cex:commentExtensible w16cex:durableId="2249A0AA" w16cex:dateUtc="2020-04-21T14:41:00Z"/>
  <w16cex:commentExtensible w16cex:durableId="22499A6F" w16cex:dateUtc="2020-04-21T14:14:00Z"/>
  <w16cex:commentExtensible w16cex:durableId="22499B80" w16cex:dateUtc="2020-04-21T14:19:00Z"/>
  <w16cex:commentExtensible w16cex:durableId="22499C72" w16cex:dateUtc="2020-04-21T14:23:00Z"/>
  <w16cex:commentExtensible w16cex:durableId="22499EDE" w16cex:dateUtc="2020-04-21T14:33:00Z"/>
  <w16cex:commentExtensible w16cex:durableId="22499F68" w16cex:dateUtc="2020-04-21T14:35:00Z"/>
  <w16cex:commentExtensible w16cex:durableId="2249A1AA" w16cex:dateUtc="2020-04-21T14:45:00Z"/>
  <w16cex:commentExtensible w16cex:durableId="2249A1CA" w16cex:dateUtc="2020-04-21T14:46:00Z"/>
  <w16cex:commentExtensible w16cex:durableId="2249A339" w16cex:dateUtc="2020-04-21T14:52:00Z"/>
  <w16cex:commentExtensible w16cex:durableId="2249A353" w16cex:dateUtc="2020-04-21T14:52:00Z"/>
  <w16cex:commentExtensible w16cex:durableId="2249A566" w16cex:dateUtc="2020-04-21T15:01:00Z"/>
  <w16cex:commentExtensible w16cex:durableId="2249A50C" w16cex:dateUtc="2020-04-21T14:59:00Z"/>
  <w16cex:commentExtensible w16cex:durableId="2249A6F8" w16cex:dateUtc="2020-04-21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30FB75" w16cid:durableId="224981DF"/>
  <w16cid:commentId w16cid:paraId="3FD67A0E" w16cid:durableId="224983CC"/>
  <w16cid:commentId w16cid:paraId="26F32795" w16cid:durableId="2249865E"/>
  <w16cid:commentId w16cid:paraId="35393B71" w16cid:durableId="224984BB"/>
  <w16cid:commentId w16cid:paraId="4C358D75" w16cid:durableId="22498581"/>
  <w16cid:commentId w16cid:paraId="06908AB3" w16cid:durableId="224985D4"/>
  <w16cid:commentId w16cid:paraId="0EF826CA" w16cid:durableId="224987C1"/>
  <w16cid:commentId w16cid:paraId="35BE1771" w16cid:durableId="224987F6"/>
  <w16cid:commentId w16cid:paraId="3D4EEC45" w16cid:durableId="224981E0"/>
  <w16cid:commentId w16cid:paraId="33F47594" w16cid:durableId="224981E1"/>
  <w16cid:commentId w16cid:paraId="1E81B629" w16cid:durableId="2249894E"/>
  <w16cid:commentId w16cid:paraId="49AF33B0" w16cid:durableId="22498A2D"/>
  <w16cid:commentId w16cid:paraId="14CC36EB" w16cid:durableId="224981E2"/>
  <w16cid:commentId w16cid:paraId="34C979AC" w16cid:durableId="224981E3"/>
  <w16cid:commentId w16cid:paraId="1311AF5F" w16cid:durableId="22498C78"/>
  <w16cid:commentId w16cid:paraId="3FD2CAF7" w16cid:durableId="22498CA7"/>
  <w16cid:commentId w16cid:paraId="5AC0F25F" w16cid:durableId="22498CB7"/>
  <w16cid:commentId w16cid:paraId="6B3B03EE" w16cid:durableId="22498B1E"/>
  <w16cid:commentId w16cid:paraId="40F05F6D" w16cid:durableId="224981E4"/>
  <w16cid:commentId w16cid:paraId="7DCDB27F" w16cid:durableId="224981E5"/>
  <w16cid:commentId w16cid:paraId="2C1DEFF5" w16cid:durableId="224981E6"/>
  <w16cid:commentId w16cid:paraId="5918DBE7" w16cid:durableId="224981E7"/>
  <w16cid:commentId w16cid:paraId="78243666" w16cid:durableId="224981E8"/>
  <w16cid:commentId w16cid:paraId="762084AC" w16cid:durableId="224981E9"/>
  <w16cid:commentId w16cid:paraId="4C1A6577" w16cid:durableId="224981EA"/>
  <w16cid:commentId w16cid:paraId="607ADD1F" w16cid:durableId="22499056"/>
  <w16cid:commentId w16cid:paraId="79335811" w16cid:durableId="224981EB"/>
  <w16cid:commentId w16cid:paraId="298255CD" w16cid:durableId="224981EC"/>
  <w16cid:commentId w16cid:paraId="4F1E7AF3" w16cid:durableId="22499595"/>
  <w16cid:commentId w16cid:paraId="65533ACB" w16cid:durableId="224995C7"/>
  <w16cid:commentId w16cid:paraId="128ADC3E" w16cid:durableId="224981ED"/>
  <w16cid:commentId w16cid:paraId="0E52D645" w16cid:durableId="224981EE"/>
  <w16cid:commentId w16cid:paraId="72919A7F" w16cid:durableId="22498E5E"/>
  <w16cid:commentId w16cid:paraId="49E4E922" w16cid:durableId="224981EF"/>
  <w16cid:commentId w16cid:paraId="59C14F87" w16cid:durableId="224981F0"/>
  <w16cid:commentId w16cid:paraId="0412390C" w16cid:durableId="224981F1"/>
  <w16cid:commentId w16cid:paraId="0F476375" w16cid:durableId="224981F2"/>
  <w16cid:commentId w16cid:paraId="1CB0FC37" w16cid:durableId="224981F3"/>
  <w16cid:commentId w16cid:paraId="085D6690" w16cid:durableId="22499143"/>
  <w16cid:commentId w16cid:paraId="360F4847" w16cid:durableId="22498FB7"/>
  <w16cid:commentId w16cid:paraId="3D594F3D" w16cid:durableId="22499087"/>
  <w16cid:commentId w16cid:paraId="3DCBBECE" w16cid:durableId="224981F4"/>
  <w16cid:commentId w16cid:paraId="604B0173" w16cid:durableId="224981F5"/>
  <w16cid:commentId w16cid:paraId="7BD8388C" w16cid:durableId="22499215"/>
  <w16cid:commentId w16cid:paraId="4927858B" w16cid:durableId="224996C2"/>
  <w16cid:commentId w16cid:paraId="1B6A8A73" w16cid:durableId="224981F6"/>
  <w16cid:commentId w16cid:paraId="6CC6970A" w16cid:durableId="224981F7"/>
  <w16cid:commentId w16cid:paraId="07899D6E" w16cid:durableId="22499702"/>
  <w16cid:commentId w16cid:paraId="2DC220C7" w16cid:durableId="224981F8"/>
  <w16cid:commentId w16cid:paraId="33D951DD" w16cid:durableId="224981F9"/>
  <w16cid:commentId w16cid:paraId="3E120906" w16cid:durableId="22499792"/>
  <w16cid:commentId w16cid:paraId="04CDCE66" w16cid:durableId="224981FA"/>
  <w16cid:commentId w16cid:paraId="5D4A2BD2" w16cid:durableId="2249980C"/>
  <w16cid:commentId w16cid:paraId="719A2359" w16cid:durableId="224981FB"/>
  <w16cid:commentId w16cid:paraId="7379429B" w16cid:durableId="224981FC"/>
  <w16cid:commentId w16cid:paraId="7EC46A72" w16cid:durableId="224981FD"/>
  <w16cid:commentId w16cid:paraId="3C0578CF" w16cid:durableId="224998A4"/>
  <w16cid:commentId w16cid:paraId="1BE763AD" w16cid:durableId="22499883"/>
  <w16cid:commentId w16cid:paraId="36329F4C" w16cid:durableId="224981FE"/>
  <w16cid:commentId w16cid:paraId="20CEEE5E" w16cid:durableId="224981FF"/>
  <w16cid:commentId w16cid:paraId="4D0A4B68" w16cid:durableId="22498200"/>
  <w16cid:commentId w16cid:paraId="72B225E7" w16cid:durableId="22499945"/>
  <w16cid:commentId w16cid:paraId="769DFA5D" w16cid:durableId="22498201"/>
  <w16cid:commentId w16cid:paraId="62B315A5" w16cid:durableId="2249A0AA"/>
  <w16cid:commentId w16cid:paraId="125790F3" w16cid:durableId="22498202"/>
  <w16cid:commentId w16cid:paraId="6D6FF297" w16cid:durableId="22498203"/>
  <w16cid:commentId w16cid:paraId="3E3DFA94" w16cid:durableId="22498204"/>
  <w16cid:commentId w16cid:paraId="6DF110A2" w16cid:durableId="22499A6F"/>
  <w16cid:commentId w16cid:paraId="1CD6A2D3" w16cid:durableId="22499B80"/>
  <w16cid:commentId w16cid:paraId="5DDF2B6A" w16cid:durableId="22498205"/>
  <w16cid:commentId w16cid:paraId="3885942B" w16cid:durableId="22498206"/>
  <w16cid:commentId w16cid:paraId="2511BA0C" w16cid:durableId="22498207"/>
  <w16cid:commentId w16cid:paraId="35C2F267" w16cid:durableId="22499C72"/>
  <w16cid:commentId w16cid:paraId="16669F3D" w16cid:durableId="22498208"/>
  <w16cid:commentId w16cid:paraId="2FBF1AF8" w16cid:durableId="22498209"/>
  <w16cid:commentId w16cid:paraId="7ABAB943" w16cid:durableId="2249820A"/>
  <w16cid:commentId w16cid:paraId="59E5BCBF" w16cid:durableId="2249820B"/>
  <w16cid:commentId w16cid:paraId="2A8BC6C7" w16cid:durableId="22499EDE"/>
  <w16cid:commentId w16cid:paraId="07BD8618" w16cid:durableId="2249820C"/>
  <w16cid:commentId w16cid:paraId="0D8B6845" w16cid:durableId="2249820D"/>
  <w16cid:commentId w16cid:paraId="65150F17" w16cid:durableId="2249820E"/>
  <w16cid:commentId w16cid:paraId="10009159" w16cid:durableId="2249820F"/>
  <w16cid:commentId w16cid:paraId="3975E198" w16cid:durableId="22499F68"/>
  <w16cid:commentId w16cid:paraId="0A9CACB6" w16cid:durableId="22498210"/>
  <w16cid:commentId w16cid:paraId="6DE0CC76" w16cid:durableId="22498211"/>
  <w16cid:commentId w16cid:paraId="662BBA87" w16cid:durableId="22498212"/>
  <w16cid:commentId w16cid:paraId="586A4738" w16cid:durableId="2249A1AA"/>
  <w16cid:commentId w16cid:paraId="242D30B5" w16cid:durableId="2249A1CA"/>
  <w16cid:commentId w16cid:paraId="1D77E8DD" w16cid:durableId="22498213"/>
  <w16cid:commentId w16cid:paraId="136C6111" w16cid:durableId="22498214"/>
  <w16cid:commentId w16cid:paraId="01D1031F" w16cid:durableId="22498215"/>
  <w16cid:commentId w16cid:paraId="0C458643" w16cid:durableId="22498216"/>
  <w16cid:commentId w16cid:paraId="267954E7" w16cid:durableId="22498217"/>
  <w16cid:commentId w16cid:paraId="2A6F7D88" w16cid:durableId="22498218"/>
  <w16cid:commentId w16cid:paraId="531293AA" w16cid:durableId="22498219"/>
  <w16cid:commentId w16cid:paraId="628FDAC5" w16cid:durableId="2249A339"/>
  <w16cid:commentId w16cid:paraId="524C41BB" w16cid:durableId="2249A353"/>
  <w16cid:commentId w16cid:paraId="1BB4BA7A" w16cid:durableId="2249821A"/>
  <w16cid:commentId w16cid:paraId="1FCC9C4B" w16cid:durableId="2249821B"/>
  <w16cid:commentId w16cid:paraId="5EC29E9D" w16cid:durableId="2249821C"/>
  <w16cid:commentId w16cid:paraId="6E8FEC26" w16cid:durableId="2249A566"/>
  <w16cid:commentId w16cid:paraId="048C53CD" w16cid:durableId="2249821D"/>
  <w16cid:commentId w16cid:paraId="0C8AE7C5" w16cid:durableId="2249821E"/>
  <w16cid:commentId w16cid:paraId="28FC89AA" w16cid:durableId="2249A50C"/>
  <w16cid:commentId w16cid:paraId="70AABA5F" w16cid:durableId="2249821F"/>
  <w16cid:commentId w16cid:paraId="1C2B3907" w16cid:durableId="22498220"/>
  <w16cid:commentId w16cid:paraId="4E662D66" w16cid:durableId="22498221"/>
  <w16cid:commentId w16cid:paraId="43529A0C" w16cid:durableId="22498222"/>
  <w16cid:commentId w16cid:paraId="529AC246" w16cid:durableId="22498223"/>
  <w16cid:commentId w16cid:paraId="249F5BA8" w16cid:durableId="22498224"/>
  <w16cid:commentId w16cid:paraId="19EBA4D8" w16cid:durableId="2249A6F8"/>
  <w16cid:commentId w16cid:paraId="12E378BB" w16cid:durableId="22498225"/>
  <w16cid:commentId w16cid:paraId="1788D0C6" w16cid:durableId="22498226"/>
  <w16cid:commentId w16cid:paraId="5B199B95" w16cid:durableId="22498227"/>
  <w16cid:commentId w16cid:paraId="2DE70B9F" w16cid:durableId="22498228"/>
  <w16cid:commentId w16cid:paraId="3B92D618" w16cid:durableId="22498229"/>
  <w16cid:commentId w16cid:paraId="024E2DCA" w16cid:durableId="2249822A"/>
  <w16cid:commentId w16cid:paraId="22531EB4" w16cid:durableId="2249822B"/>
  <w16cid:commentId w16cid:paraId="4A717F3F" w16cid:durableId="224982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Style w:val="PageNumber"/>
      </w:rPr>
    </w:pPr>
  </w:p>
  <w:p>
    <w:pPr>
      <w:pStyle w:val="Footer"/>
    </w:pPr>
  </w:p>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62602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jc w:val="center"/>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426" w:hanging="426"/>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JO L 190, 18.7.2002, p. 1–20.</w:t>
      </w:r>
    </w:p>
  </w:footnote>
  <w:footnote w:id="3">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bCs/>
        </w:rPr>
        <w:t xml:space="preserve">JO L </w:t>
      </w:r>
      <w:r>
        <w:rPr>
          <w:rFonts w:ascii="Times New Roman" w:hAnsi="Times New Roman"/>
        </w:rPr>
        <w:t>196</w:t>
      </w:r>
      <w:r>
        <w:rPr>
          <w:rFonts w:ascii="Times New Roman" w:hAnsi="Times New Roman"/>
          <w:bCs/>
        </w:rPr>
        <w:t>, 2.8.2003, p. 45–55.</w:t>
      </w:r>
    </w:p>
  </w:footnote>
  <w:footnote w:id="4">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Cs/>
        </w:rPr>
        <w:t>JO L 27, 29.1.2005, p. 61–62</w:t>
      </w:r>
      <w:r>
        <w:rPr>
          <w:rFonts w:ascii="Times New Roman" w:hAnsi="Times New Roman"/>
        </w:rPr>
        <w:t xml:space="preserve">. </w:t>
      </w:r>
    </w:p>
  </w:footnote>
  <w:footnote w:id="5">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Cs/>
        </w:rPr>
        <w:t>JO L 76, 22.3.2005, p. 16–30.</w:t>
      </w:r>
    </w:p>
  </w:footnote>
  <w:footnote w:id="6">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bCs/>
        </w:rPr>
        <w:t xml:space="preserve">JO L </w:t>
      </w:r>
      <w:r>
        <w:rPr>
          <w:rFonts w:ascii="Times New Roman" w:hAnsi="Times New Roman"/>
        </w:rPr>
        <w:t>328</w:t>
      </w:r>
      <w:r>
        <w:rPr>
          <w:rFonts w:ascii="Times New Roman" w:hAnsi="Times New Roman"/>
          <w:bCs/>
        </w:rPr>
        <w:t>, 24.11.2006, p. 59–78.</w:t>
      </w:r>
    </w:p>
  </w:footnote>
  <w:footnote w:id="7">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JO L 337, 16.12.2008, p. 102–122.</w:t>
      </w:r>
    </w:p>
  </w:footnote>
  <w:footnote w:id="8">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JO L 327, 5.12.2008, p. 27–46.</w:t>
      </w:r>
    </w:p>
  </w:footnote>
  <w:footnote w:id="9">
    <w:p>
      <w:pPr>
        <w:pStyle w:val="FootnoteText"/>
        <w:ind w:left="426" w:hanging="426"/>
      </w:pPr>
      <w:r>
        <w:rPr>
          <w:rStyle w:val="FootnoteReference"/>
        </w:rPr>
        <w:footnoteRef/>
      </w:r>
      <w:r>
        <w:t xml:space="preserve"> </w:t>
      </w:r>
      <w:r>
        <w:tab/>
      </w:r>
      <w:r>
        <w:rPr>
          <w:rFonts w:ascii="Times New Roman" w:hAnsi="Times New Roman"/>
        </w:rPr>
        <w:t>JO L 294, 11.11.2009, p. 20–40.</w:t>
      </w:r>
    </w:p>
  </w:footnote>
  <w:footnote w:id="10">
    <w:p>
      <w:pPr>
        <w:pStyle w:val="FootnoteText"/>
        <w:ind w:left="426" w:hanging="426"/>
      </w:pPr>
      <w:r>
        <w:rPr>
          <w:rStyle w:val="FootnoteReference"/>
        </w:rPr>
        <w:footnoteRef/>
      </w:r>
      <w:r>
        <w:t xml:space="preserve"> </w:t>
      </w:r>
      <w:r>
        <w:tab/>
      </w:r>
      <w:r>
        <w:rPr>
          <w:rFonts w:ascii="Times New Roman" w:hAnsi="Times New Roman"/>
        </w:rPr>
        <w:t>JO L 328, 15.12.2009, p. 42–47.</w:t>
      </w:r>
    </w:p>
  </w:footnote>
  <w:footnote w:id="11">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JO L 338, 21.12.2011, p. 2–18.</w:t>
      </w:r>
    </w:p>
  </w:footnote>
  <w:footnote w:id="12">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Cs/>
        </w:rPr>
        <w:t>JO L 218, 13.8.2008, p. 129–136.</w:t>
      </w:r>
    </w:p>
  </w:footnote>
  <w:footnote w:id="13">
    <w:p>
      <w:pPr>
        <w:pStyle w:val="FootnoteText"/>
        <w:ind w:left="426" w:hanging="426"/>
      </w:pPr>
      <w:r>
        <w:rPr>
          <w:rStyle w:val="FootnoteReference"/>
        </w:rPr>
        <w:footnoteRef/>
      </w:r>
      <w:r>
        <w:t xml:space="preserve"> </w:t>
      </w:r>
      <w:r>
        <w:tab/>
      </w:r>
      <w:r>
        <w:rPr>
          <w:rFonts w:ascii="Times New Roman" w:hAnsi="Times New Roman"/>
        </w:rPr>
        <w:t>COM(2018) 302 final.</w:t>
      </w:r>
    </w:p>
  </w:footnote>
  <w:footnote w:id="14">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Cs/>
        </w:rPr>
        <w:t>JO L 180, 29.6.2013, p. 31–59.</w:t>
      </w:r>
    </w:p>
  </w:footnote>
  <w:footnote w:id="15">
    <w:p>
      <w:pPr>
        <w:pStyle w:val="FootnoteText"/>
        <w:ind w:left="426" w:hanging="426"/>
      </w:pPr>
      <w:r>
        <w:rPr>
          <w:rStyle w:val="FootnoteReference"/>
        </w:rPr>
        <w:footnoteRef/>
      </w:r>
      <w:r>
        <w:t xml:space="preserve"> </w:t>
      </w:r>
      <w:r>
        <w:tab/>
      </w:r>
      <w:r>
        <w:rPr>
          <w:rFonts w:ascii="Times New Roman" w:hAnsi="Times New Roman"/>
        </w:rPr>
        <w:t>COM/2016/0272 final - 2016/0132 (COD).</w:t>
      </w:r>
    </w:p>
  </w:footnote>
  <w:footnote w:id="16">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Cs/>
        </w:rPr>
        <w:t>JO C 24, 23.1.1998, p. 2–22.</w:t>
      </w:r>
    </w:p>
  </w:footnote>
  <w:footnote w:id="17">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Cs/>
        </w:rPr>
        <w:t>JO C 197, 12.7.2000, p. 1–2.</w:t>
      </w:r>
    </w:p>
  </w:footnote>
  <w:footnote w:id="18">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bCs/>
          <w:iCs/>
        </w:rPr>
        <w:t>JO L 26, 29.1.2004, p. 3–9.</w:t>
      </w:r>
    </w:p>
  </w:footnote>
  <w:footnote w:id="19">
    <w:p>
      <w:pPr>
        <w:pStyle w:val="FootnoteText"/>
        <w:ind w:left="426" w:hanging="426"/>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bCs/>
          <w:iCs/>
        </w:rPr>
        <w:t>JO L 181, 19.7.2003, p. 34–42.</w:t>
      </w:r>
    </w:p>
  </w:footnote>
  <w:footnote w:id="20">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Cs/>
        </w:rPr>
        <w:t>JO L 162, 20.6.2002, p. 1–3.</w:t>
      </w:r>
    </w:p>
  </w:footnote>
  <w:footnote w:id="21">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Cs/>
        </w:rPr>
        <w:t>JO L 253, 29.9.2005, p. 22–24.</w:t>
      </w:r>
    </w:p>
  </w:footnote>
  <w:footnote w:id="22">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bCs/>
        </w:rPr>
        <w:t>JO L 386, 29.12.2006, p. 89–100.</w:t>
      </w:r>
    </w:p>
  </w:footnote>
  <w:footnote w:id="23">
    <w:p>
      <w:pPr>
        <w:pStyle w:val="FootnoteText"/>
        <w:ind w:left="426" w:hanging="426"/>
        <w:jc w:val="both"/>
        <w:rPr>
          <w:rFonts w:ascii="Times New Roman" w:hAnsi="Times New Roman" w:cs="Times New Roman"/>
          <w:iCs/>
        </w:rPr>
      </w:pPr>
      <w:r>
        <w:rPr>
          <w:rStyle w:val="FootnoteReference"/>
        </w:rPr>
        <w:footnoteRef/>
      </w:r>
      <w:r>
        <w:t xml:space="preserve"> </w:t>
      </w:r>
      <w:r>
        <w:tab/>
      </w:r>
      <w:r>
        <w:rPr>
          <w:rFonts w:ascii="Times New Roman" w:hAnsi="Times New Roman"/>
          <w:iCs/>
        </w:rPr>
        <w:t xml:space="preserve">JO L 332, 18.12.2007, p. 103–105. </w:t>
      </w:r>
    </w:p>
  </w:footnote>
  <w:footnote w:id="24">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Cs/>
        </w:rPr>
        <w:t>JO L 210, 6.8.2008, p. 1–11.</w:t>
      </w:r>
    </w:p>
  </w:footnote>
  <w:footnote w:id="25">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bCs/>
          <w:iCs/>
        </w:rPr>
        <w:t>JO L 210, 6.8.2008, p. 12-72.</w:t>
      </w:r>
    </w:p>
  </w:footnote>
  <w:footnote w:id="26">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Cs/>
        </w:rPr>
        <w:t>JO L 323, 10.12.2009, p. 20–30.</w:t>
      </w:r>
    </w:p>
  </w:footnote>
  <w:footnote w:id="27">
    <w:p>
      <w:pPr>
        <w:pStyle w:val="FootnoteText"/>
        <w:ind w:left="426" w:hanging="426"/>
      </w:pPr>
      <w:r>
        <w:rPr>
          <w:rStyle w:val="FootnoteReference"/>
        </w:rPr>
        <w:footnoteRef/>
      </w:r>
      <w:r>
        <w:t xml:space="preserve"> </w:t>
      </w:r>
      <w:r>
        <w:tab/>
      </w:r>
      <w:r>
        <w:rPr>
          <w:rFonts w:ascii="Times New Roman" w:hAnsi="Times New Roman"/>
          <w:iCs/>
        </w:rPr>
        <w:t>JO L 39, 12.2.2010, p. 20–35.</w:t>
      </w:r>
    </w:p>
  </w:footnote>
  <w:footnote w:id="28">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Cs/>
        </w:rPr>
        <w:t>JO L 130, 1.5.2014, p. 1–36.</w:t>
      </w:r>
    </w:p>
  </w:footnote>
  <w:footnote w:id="29">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Cs/>
        </w:rPr>
        <w:t>JO L 68, 13.3.2015, p. 9–25.</w:t>
      </w:r>
      <w:r>
        <w:rPr>
          <w:rFonts w:ascii="Times New Roman" w:hAnsi="Times New Roman"/>
        </w:rPr>
        <w:t xml:space="preserve"> </w:t>
      </w:r>
    </w:p>
  </w:footnote>
  <w:footnote w:id="30">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Cs/>
        </w:rPr>
        <w:t>JO L 119, 4.5.2016, p. 132–149.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CE0EE82"/>
    <w:lvl w:ilvl="0">
      <w:start w:val="1"/>
      <w:numFmt w:val="decimal"/>
      <w:pStyle w:val="ListNumber"/>
      <w:lvlText w:val="%1."/>
      <w:lvlJc w:val="left"/>
      <w:pPr>
        <w:tabs>
          <w:tab w:val="num" w:pos="360"/>
        </w:tabs>
        <w:ind w:left="360" w:hanging="360"/>
      </w:pPr>
    </w:lvl>
  </w:abstractNum>
  <w:abstractNum w:abstractNumId="1">
    <w:nsid w:val="FFFFFF89"/>
    <w:multiLevelType w:val="singleLevel"/>
    <w:tmpl w:val="1F4C198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833FA9"/>
    <w:multiLevelType w:val="hybridMultilevel"/>
    <w:tmpl w:val="F4A2AD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A60983"/>
    <w:multiLevelType w:val="hybridMultilevel"/>
    <w:tmpl w:val="F384B11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3BE5104"/>
    <w:multiLevelType w:val="hybridMultilevel"/>
    <w:tmpl w:val="42EA97BE"/>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nsid w:val="0AA6317A"/>
    <w:multiLevelType w:val="hybridMultilevel"/>
    <w:tmpl w:val="9D184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84069B"/>
    <w:multiLevelType w:val="hybridMultilevel"/>
    <w:tmpl w:val="05DE7F52"/>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0F6E2A32"/>
    <w:multiLevelType w:val="hybridMultilevel"/>
    <w:tmpl w:val="EA929CAA"/>
    <w:lvl w:ilvl="0" w:tplc="040C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0F9E5189"/>
    <w:multiLevelType w:val="hybridMultilevel"/>
    <w:tmpl w:val="9B1CF53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nsid w:val="1221306F"/>
    <w:multiLevelType w:val="hybridMultilevel"/>
    <w:tmpl w:val="C70A5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274CF1"/>
    <w:multiLevelType w:val="hybridMultilevel"/>
    <w:tmpl w:val="1E9C8D04"/>
    <w:lvl w:ilvl="0" w:tplc="040C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59D6FEA"/>
    <w:multiLevelType w:val="hybridMultilevel"/>
    <w:tmpl w:val="1BB07C34"/>
    <w:lvl w:ilvl="0" w:tplc="D8165512">
      <w:numFmt w:val="bullet"/>
      <w:lvlText w:val="-"/>
      <w:lvlJc w:val="left"/>
      <w:pPr>
        <w:ind w:left="785" w:hanging="360"/>
      </w:pPr>
      <w:rPr>
        <w:rFonts w:ascii="Times New Roman" w:eastAsia="Times New Roman"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nsid w:val="2F0A447E"/>
    <w:multiLevelType w:val="hybridMultilevel"/>
    <w:tmpl w:val="ADAAC778"/>
    <w:lvl w:ilvl="0" w:tplc="040C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59B145A"/>
    <w:multiLevelType w:val="hybridMultilevel"/>
    <w:tmpl w:val="CC08EFA2"/>
    <w:lvl w:ilvl="0" w:tplc="040C0011">
      <w:start w:val="1"/>
      <w:numFmt w:val="decimal"/>
      <w:lvlText w:val="%1)"/>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5C643927"/>
    <w:multiLevelType w:val="hybridMultilevel"/>
    <w:tmpl w:val="A86CC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223DB1"/>
    <w:multiLevelType w:val="hybridMultilevel"/>
    <w:tmpl w:val="DD0A51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DEF7576"/>
    <w:multiLevelType w:val="hybridMultilevel"/>
    <w:tmpl w:val="8F58A5B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5F4535C4"/>
    <w:multiLevelType w:val="hybridMultilevel"/>
    <w:tmpl w:val="F384B118"/>
    <w:lvl w:ilvl="0" w:tplc="0809000F">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20">
    <w:nsid w:val="60AC0270"/>
    <w:multiLevelType w:val="hybridMultilevel"/>
    <w:tmpl w:val="74C67254"/>
    <w:lvl w:ilvl="0" w:tplc="040C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61EC6B95"/>
    <w:multiLevelType w:val="hybridMultilevel"/>
    <w:tmpl w:val="C6426FA2"/>
    <w:lvl w:ilvl="0" w:tplc="FB1C06D0">
      <w:numFmt w:val="bullet"/>
      <w:lvlText w:val="-"/>
      <w:lvlJc w:val="left"/>
      <w:pPr>
        <w:ind w:left="785" w:hanging="360"/>
      </w:pPr>
      <w:rPr>
        <w:rFonts w:ascii="Times New Roman" w:eastAsia="Times New Roman"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nsid w:val="65A36FB0"/>
    <w:multiLevelType w:val="hybridMultilevel"/>
    <w:tmpl w:val="1B4C8042"/>
    <w:lvl w:ilvl="0" w:tplc="CF023878">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FBE0995"/>
    <w:multiLevelType w:val="hybridMultilevel"/>
    <w:tmpl w:val="B3F2D50C"/>
    <w:lvl w:ilvl="0" w:tplc="0809000F">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abstractNumId w:val="15"/>
  </w:num>
  <w:num w:numId="2">
    <w:abstractNumId w:val="14"/>
    <w:lvlOverride w:ilvl="0">
      <w:startOverride w:val="1"/>
    </w:lvlOverride>
  </w:num>
  <w:num w:numId="3">
    <w:abstractNumId w:val="2"/>
  </w:num>
  <w:num w:numId="4">
    <w:abstractNumId w:val="0"/>
  </w:num>
  <w:num w:numId="5">
    <w:abstractNumId w:val="18"/>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num>
  <w:num w:numId="10">
    <w:abstractNumId w:val="20"/>
  </w:num>
  <w:num w:numId="11">
    <w:abstractNumId w:val="7"/>
  </w:num>
  <w:num w:numId="12">
    <w:abstractNumId w:val="1"/>
  </w:num>
  <w:num w:numId="13">
    <w:abstractNumId w:val="6"/>
  </w:num>
  <w:num w:numId="14">
    <w:abstractNumId w:val="4"/>
  </w:num>
  <w:num w:numId="15">
    <w:abstractNumId w:val="17"/>
  </w:num>
  <w:num w:numId="16">
    <w:abstractNumId w:val="19"/>
  </w:num>
  <w:num w:numId="17">
    <w:abstractNumId w:val="23"/>
  </w:num>
  <w:num w:numId="18">
    <w:abstractNumId w:val="16"/>
  </w:num>
  <w:num w:numId="19">
    <w:abstractNumId w:val="11"/>
  </w:num>
  <w:num w:numId="20">
    <w:abstractNumId w:val="12"/>
  </w:num>
  <w:num w:numId="21">
    <w:abstractNumId w:val="21"/>
  </w:num>
  <w:num w:numId="22">
    <w:abstractNumId w:val="8"/>
  </w:num>
  <w:num w:numId="23">
    <w:abstractNumId w:val="5"/>
  </w:num>
  <w:num w:numId="24">
    <w:abstractNumId w:val="9"/>
  </w:num>
  <w:num w:numId="2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a "/>
    <w:docVar w:name="LW_ANNEX_NBR_FIRST" w:val="1"/>
    <w:docVar w:name="LW_ANNEX_NBR_LAST" w:val="2"/>
    <w:docVar w:name="LW_ANNEX_UNIQUE" w:val="0"/>
    <w:docVar w:name="LW_CORRIGENDUM" w:val="&lt;UNUSED&gt;"/>
    <w:docVar w:name="LW_COVERPAGE_EXISTS" w:val="True"/>
    <w:docVar w:name="LW_COVERPAGE_GUID" w:val="87E44974-1E0E-4BA3-A5A8-D03C3A505074"/>
    <w:docVar w:name="LW_COVERPAGE_TYPE" w:val="1"/>
    <w:docVar w:name="LW_CROSSREFERENCE" w:val="&lt;UNUSED&gt;"/>
    <w:docVar w:name="LW_DocType" w:val="NORMAL"/>
    <w:docVar w:name="LW_EMISSION" w:val="24.6.2020"/>
    <w:docVar w:name="LW_EMISSION_ISODATE" w:val="2020-06-24"/>
    <w:docVar w:name="LW_EMISSION_LOCATION" w:val="BRX"/>
    <w:docVar w:name="LW_EMISSION_PREFIX" w:val="Bruxelles, "/>
    <w:docVar w:name="LW_EMISSION_SUFFIX" w:val=" "/>
    <w:docVar w:name="LW_ID_DOCTYPE_NONLW" w:val="CP-039"/>
    <w:docVar w:name="LW_LANGUE" w:val="RO"/>
    <w:docVar w:name="LW_LEVEL_OF_SENSITIVITY" w:val="Standard treatment"/>
    <w:docVar w:name="LW_NOM.INST" w:val="COMISIA EUROPEAN\u258?"/>
    <w:docVar w:name="LW_NOM.INST_JOINTDOC" w:val="&lt;EMPTY&gt;"/>
    <w:docVar w:name="LW_OBJETACTEPRINCIPAL.CP" w:val="Calea de urmat pentru alinierea acquis-ului din fostul al treilea pilon la normele privind protec\u539?ia datelor"/>
    <w:docVar w:name="LW_PART_NBR" w:val="&lt;UNUSED&gt;"/>
    <w:docVar w:name="LW_PART_NBR_TOTAL" w:val="&lt;UNUSED&gt;"/>
    <w:docVar w:name="LW_REF.INST.NEW" w:val="COM"/>
    <w:docVar w:name="LW_REF.INST.NEW_ADOPTED" w:val="final"/>
    <w:docVar w:name="LW_REF.INST.NEW_TEXT" w:val="(2020) 2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E_x000b_"/>
    <w:docVar w:name="LW_TYPEACTEPRINCIPAL.CP" w:val="COMUNICARE A COMISIEI C\u258?TRE PARLAMENTUL EUROPEAN \u536?I CONSILI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Pr>
      <w:rFonts w:ascii="Times New Roman" w:hAnsi="Times New Roman" w:cs="Times New Roman"/>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PageNumber">
    <w:name w:val="page number"/>
    <w:basedOn w:val="DefaultParagraphFont"/>
    <w:uiPriority w:val="99"/>
    <w:semiHidden/>
    <w:unhideWhenUsed/>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pPr>
      <w:ind w:left="720"/>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ullet0">
    <w:name w:val="Bullet 0"/>
    <w:basedOn w:val="Normal"/>
    <w:pPr>
      <w:numPr>
        <w:numId w:val="2"/>
      </w:numPr>
      <w:spacing w:before="120" w:after="120" w:line="240" w:lineRule="auto"/>
      <w:jc w:val="both"/>
    </w:pPr>
    <w:rPr>
      <w:rFonts w:ascii="Times New Roman" w:hAnsi="Times New Roman" w:cs="Times New Roman"/>
      <w:sz w:val="24"/>
    </w:rPr>
  </w:style>
  <w:style w:type="character" w:customStyle="1" w:styleId="Corpsdutexte5">
    <w:name w:val="Corps du texte5"/>
    <w:uiPriority w:val="99"/>
    <w:rPr>
      <w:rFonts w:ascii="Arial" w:hAnsi="Arial" w:cs="Arial"/>
      <w:color w:val="1A171C"/>
      <w:sz w:val="16"/>
      <w:szCs w:val="16"/>
      <w:shd w:val="clear" w:color="auto" w:fill="FFFFFF"/>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Number">
    <w:name w:val="List Number"/>
    <w:basedOn w:val="Normal"/>
    <w:pPr>
      <w:numPr>
        <w:numId w:val="4"/>
      </w:numPr>
      <w:spacing w:before="120" w:after="120" w:line="240" w:lineRule="auto"/>
      <w:jc w:val="both"/>
    </w:pPr>
    <w:rPr>
      <w:rFonts w:ascii="Times New Roman" w:eastAsia="Times New Roman" w:hAnsi="Times New Roman" w:cs="Times New Roman"/>
      <w:sz w:val="24"/>
      <w:lang w:eastAsia="en-GB"/>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Point0number">
    <w:name w:val="Point 0 (number)"/>
    <w:basedOn w:val="Normal"/>
    <w:pPr>
      <w:numPr>
        <w:numId w:val="7"/>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7"/>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7"/>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7"/>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7"/>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7"/>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7"/>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7"/>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7"/>
      </w:numPr>
      <w:spacing w:before="120" w:after="120" w:line="240" w:lineRule="auto"/>
      <w:jc w:val="both"/>
    </w:pPr>
    <w:rPr>
      <w:rFonts w:ascii="Times New Roman" w:hAnsi="Times New Roman" w:cs="Times New Roman"/>
      <w:sz w:val="24"/>
    </w:rPr>
  </w:style>
  <w:style w:type="paragraph" w:styleId="ListBullet">
    <w:name w:val="List Bullet"/>
    <w:basedOn w:val="Normal"/>
    <w:uiPriority w:val="99"/>
    <w:unhideWhenUsed/>
    <w:pPr>
      <w:numPr>
        <w:numId w:val="12"/>
      </w:numPr>
      <w:contextualSpacing/>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Pr>
      <w:rFonts w:ascii="Times New Roman" w:hAnsi="Times New Roman" w:cs="Times New Roman"/>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PageNumber">
    <w:name w:val="page number"/>
    <w:basedOn w:val="DefaultParagraphFont"/>
    <w:uiPriority w:val="99"/>
    <w:semiHidden/>
    <w:unhideWhenUsed/>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pPr>
      <w:ind w:left="720"/>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ullet0">
    <w:name w:val="Bullet 0"/>
    <w:basedOn w:val="Normal"/>
    <w:pPr>
      <w:numPr>
        <w:numId w:val="2"/>
      </w:numPr>
      <w:spacing w:before="120" w:after="120" w:line="240" w:lineRule="auto"/>
      <w:jc w:val="both"/>
    </w:pPr>
    <w:rPr>
      <w:rFonts w:ascii="Times New Roman" w:hAnsi="Times New Roman" w:cs="Times New Roman"/>
      <w:sz w:val="24"/>
    </w:rPr>
  </w:style>
  <w:style w:type="character" w:customStyle="1" w:styleId="Corpsdutexte5">
    <w:name w:val="Corps du texte5"/>
    <w:uiPriority w:val="99"/>
    <w:rPr>
      <w:rFonts w:ascii="Arial" w:hAnsi="Arial" w:cs="Arial"/>
      <w:color w:val="1A171C"/>
      <w:sz w:val="16"/>
      <w:szCs w:val="16"/>
      <w:shd w:val="clear" w:color="auto" w:fill="FFFFFF"/>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Number">
    <w:name w:val="List Number"/>
    <w:basedOn w:val="Normal"/>
    <w:pPr>
      <w:numPr>
        <w:numId w:val="4"/>
      </w:numPr>
      <w:spacing w:before="120" w:after="120" w:line="240" w:lineRule="auto"/>
      <w:jc w:val="both"/>
    </w:pPr>
    <w:rPr>
      <w:rFonts w:ascii="Times New Roman" w:eastAsia="Times New Roman" w:hAnsi="Times New Roman" w:cs="Times New Roman"/>
      <w:sz w:val="24"/>
      <w:lang w:eastAsia="en-GB"/>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Point0number">
    <w:name w:val="Point 0 (number)"/>
    <w:basedOn w:val="Normal"/>
    <w:pPr>
      <w:numPr>
        <w:numId w:val="7"/>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7"/>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7"/>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7"/>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7"/>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7"/>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7"/>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7"/>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7"/>
      </w:numPr>
      <w:spacing w:before="120" w:after="120" w:line="240" w:lineRule="auto"/>
      <w:jc w:val="both"/>
    </w:pPr>
    <w:rPr>
      <w:rFonts w:ascii="Times New Roman" w:hAnsi="Times New Roman" w:cs="Times New Roman"/>
      <w:sz w:val="24"/>
    </w:rPr>
  </w:style>
  <w:style w:type="paragraph" w:styleId="ListBullet">
    <w:name w:val="List Bullet"/>
    <w:basedOn w:val="Normal"/>
    <w:uiPriority w:val="99"/>
    <w:unhideWhenUsed/>
    <w:pPr>
      <w:numPr>
        <w:numId w:val="12"/>
      </w:numPr>
      <w:contextualSpacing/>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5513">
      <w:bodyDiv w:val="1"/>
      <w:marLeft w:val="0"/>
      <w:marRight w:val="0"/>
      <w:marTop w:val="0"/>
      <w:marBottom w:val="0"/>
      <w:divBdr>
        <w:top w:val="none" w:sz="0" w:space="0" w:color="auto"/>
        <w:left w:val="none" w:sz="0" w:space="0" w:color="auto"/>
        <w:bottom w:val="none" w:sz="0" w:space="0" w:color="auto"/>
        <w:right w:val="none" w:sz="0" w:space="0" w:color="auto"/>
      </w:divBdr>
    </w:div>
    <w:div w:id="490023401">
      <w:bodyDiv w:val="1"/>
      <w:marLeft w:val="0"/>
      <w:marRight w:val="0"/>
      <w:marTop w:val="0"/>
      <w:marBottom w:val="0"/>
      <w:divBdr>
        <w:top w:val="none" w:sz="0" w:space="0" w:color="auto"/>
        <w:left w:val="none" w:sz="0" w:space="0" w:color="auto"/>
        <w:bottom w:val="none" w:sz="0" w:space="0" w:color="auto"/>
        <w:right w:val="none" w:sz="0" w:space="0" w:color="auto"/>
      </w:divBdr>
    </w:div>
    <w:div w:id="671876767">
      <w:bodyDiv w:val="1"/>
      <w:marLeft w:val="0"/>
      <w:marRight w:val="0"/>
      <w:marTop w:val="0"/>
      <w:marBottom w:val="0"/>
      <w:divBdr>
        <w:top w:val="none" w:sz="0" w:space="0" w:color="auto"/>
        <w:left w:val="none" w:sz="0" w:space="0" w:color="auto"/>
        <w:bottom w:val="none" w:sz="0" w:space="0" w:color="auto"/>
        <w:right w:val="none" w:sz="0" w:space="0" w:color="auto"/>
      </w:divBdr>
    </w:div>
    <w:div w:id="926841770">
      <w:bodyDiv w:val="1"/>
      <w:marLeft w:val="0"/>
      <w:marRight w:val="0"/>
      <w:marTop w:val="0"/>
      <w:marBottom w:val="0"/>
      <w:divBdr>
        <w:top w:val="none" w:sz="0" w:space="0" w:color="auto"/>
        <w:left w:val="none" w:sz="0" w:space="0" w:color="auto"/>
        <w:bottom w:val="none" w:sz="0" w:space="0" w:color="auto"/>
        <w:right w:val="none" w:sz="0" w:space="0" w:color="auto"/>
      </w:divBdr>
    </w:div>
    <w:div w:id="1023559111">
      <w:bodyDiv w:val="1"/>
      <w:marLeft w:val="0"/>
      <w:marRight w:val="0"/>
      <w:marTop w:val="0"/>
      <w:marBottom w:val="0"/>
      <w:divBdr>
        <w:top w:val="none" w:sz="0" w:space="0" w:color="auto"/>
        <w:left w:val="none" w:sz="0" w:space="0" w:color="auto"/>
        <w:bottom w:val="none" w:sz="0" w:space="0" w:color="auto"/>
        <w:right w:val="none" w:sz="0" w:space="0" w:color="auto"/>
      </w:divBdr>
    </w:div>
    <w:div w:id="1083259019">
      <w:bodyDiv w:val="1"/>
      <w:marLeft w:val="0"/>
      <w:marRight w:val="0"/>
      <w:marTop w:val="0"/>
      <w:marBottom w:val="0"/>
      <w:divBdr>
        <w:top w:val="none" w:sz="0" w:space="0" w:color="auto"/>
        <w:left w:val="none" w:sz="0" w:space="0" w:color="auto"/>
        <w:bottom w:val="none" w:sz="0" w:space="0" w:color="auto"/>
        <w:right w:val="none" w:sz="0" w:space="0" w:color="auto"/>
      </w:divBdr>
    </w:div>
    <w:div w:id="1237282461">
      <w:bodyDiv w:val="1"/>
      <w:marLeft w:val="0"/>
      <w:marRight w:val="0"/>
      <w:marTop w:val="0"/>
      <w:marBottom w:val="0"/>
      <w:divBdr>
        <w:top w:val="none" w:sz="0" w:space="0" w:color="auto"/>
        <w:left w:val="none" w:sz="0" w:space="0" w:color="auto"/>
        <w:bottom w:val="none" w:sz="0" w:space="0" w:color="auto"/>
        <w:right w:val="none" w:sz="0" w:space="0" w:color="auto"/>
      </w:divBdr>
    </w:div>
    <w:div w:id="1349522557">
      <w:bodyDiv w:val="1"/>
      <w:marLeft w:val="0"/>
      <w:marRight w:val="0"/>
      <w:marTop w:val="0"/>
      <w:marBottom w:val="0"/>
      <w:divBdr>
        <w:top w:val="none" w:sz="0" w:space="0" w:color="auto"/>
        <w:left w:val="none" w:sz="0" w:space="0" w:color="auto"/>
        <w:bottom w:val="none" w:sz="0" w:space="0" w:color="auto"/>
        <w:right w:val="none" w:sz="0" w:space="0" w:color="auto"/>
      </w:divBdr>
    </w:div>
    <w:div w:id="1374967067">
      <w:bodyDiv w:val="1"/>
      <w:marLeft w:val="0"/>
      <w:marRight w:val="0"/>
      <w:marTop w:val="0"/>
      <w:marBottom w:val="0"/>
      <w:divBdr>
        <w:top w:val="none" w:sz="0" w:space="0" w:color="auto"/>
        <w:left w:val="none" w:sz="0" w:space="0" w:color="auto"/>
        <w:bottom w:val="none" w:sz="0" w:space="0" w:color="auto"/>
        <w:right w:val="none" w:sz="0" w:space="0" w:color="auto"/>
      </w:divBdr>
    </w:div>
    <w:div w:id="1442146703">
      <w:bodyDiv w:val="1"/>
      <w:marLeft w:val="0"/>
      <w:marRight w:val="0"/>
      <w:marTop w:val="0"/>
      <w:marBottom w:val="0"/>
      <w:divBdr>
        <w:top w:val="none" w:sz="0" w:space="0" w:color="auto"/>
        <w:left w:val="none" w:sz="0" w:space="0" w:color="auto"/>
        <w:bottom w:val="none" w:sz="0" w:space="0" w:color="auto"/>
        <w:right w:val="none" w:sz="0" w:space="0" w:color="auto"/>
      </w:divBdr>
    </w:div>
    <w:div w:id="1579359674">
      <w:bodyDiv w:val="1"/>
      <w:marLeft w:val="0"/>
      <w:marRight w:val="0"/>
      <w:marTop w:val="0"/>
      <w:marBottom w:val="0"/>
      <w:divBdr>
        <w:top w:val="none" w:sz="0" w:space="0" w:color="auto"/>
        <w:left w:val="none" w:sz="0" w:space="0" w:color="auto"/>
        <w:bottom w:val="none" w:sz="0" w:space="0" w:color="auto"/>
        <w:right w:val="none" w:sz="0" w:space="0" w:color="auto"/>
      </w:divBdr>
    </w:div>
    <w:div w:id="1643388341">
      <w:bodyDiv w:val="1"/>
      <w:marLeft w:val="0"/>
      <w:marRight w:val="0"/>
      <w:marTop w:val="0"/>
      <w:marBottom w:val="0"/>
      <w:divBdr>
        <w:top w:val="none" w:sz="0" w:space="0" w:color="auto"/>
        <w:left w:val="none" w:sz="0" w:space="0" w:color="auto"/>
        <w:bottom w:val="none" w:sz="0" w:space="0" w:color="auto"/>
        <w:right w:val="none" w:sz="0" w:space="0" w:color="auto"/>
      </w:divBdr>
    </w:div>
    <w:div w:id="1689063776">
      <w:bodyDiv w:val="1"/>
      <w:marLeft w:val="0"/>
      <w:marRight w:val="0"/>
      <w:marTop w:val="0"/>
      <w:marBottom w:val="0"/>
      <w:divBdr>
        <w:top w:val="none" w:sz="0" w:space="0" w:color="auto"/>
        <w:left w:val="none" w:sz="0" w:space="0" w:color="auto"/>
        <w:bottom w:val="none" w:sz="0" w:space="0" w:color="auto"/>
        <w:right w:val="none" w:sz="0" w:space="0" w:color="auto"/>
      </w:divBdr>
    </w:div>
    <w:div w:id="1775128996">
      <w:bodyDiv w:val="1"/>
      <w:marLeft w:val="0"/>
      <w:marRight w:val="0"/>
      <w:marTop w:val="0"/>
      <w:marBottom w:val="0"/>
      <w:divBdr>
        <w:top w:val="none" w:sz="0" w:space="0" w:color="auto"/>
        <w:left w:val="none" w:sz="0" w:space="0" w:color="auto"/>
        <w:bottom w:val="none" w:sz="0" w:space="0" w:color="auto"/>
        <w:right w:val="none" w:sz="0" w:space="0" w:color="auto"/>
      </w:divBdr>
    </w:div>
    <w:div w:id="1786728991">
      <w:bodyDiv w:val="1"/>
      <w:marLeft w:val="0"/>
      <w:marRight w:val="0"/>
      <w:marTop w:val="0"/>
      <w:marBottom w:val="0"/>
      <w:divBdr>
        <w:top w:val="none" w:sz="0" w:space="0" w:color="auto"/>
        <w:left w:val="none" w:sz="0" w:space="0" w:color="auto"/>
        <w:bottom w:val="none" w:sz="0" w:space="0" w:color="auto"/>
        <w:right w:val="none" w:sz="0" w:space="0" w:color="auto"/>
      </w:divBdr>
    </w:div>
    <w:div w:id="1900092334">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2021812332">
      <w:bodyDiv w:val="1"/>
      <w:marLeft w:val="0"/>
      <w:marRight w:val="0"/>
      <w:marTop w:val="0"/>
      <w:marBottom w:val="0"/>
      <w:divBdr>
        <w:top w:val="none" w:sz="0" w:space="0" w:color="auto"/>
        <w:left w:val="none" w:sz="0" w:space="0" w:color="auto"/>
        <w:bottom w:val="none" w:sz="0" w:space="0" w:color="auto"/>
        <w:right w:val="none" w:sz="0" w:space="0" w:color="auto"/>
      </w:divBdr>
    </w:div>
    <w:div w:id="20538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218BD-EE2B-4E9E-90CA-D24B7DE1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1117</Words>
  <Characters>6829</Characters>
  <Application>Microsoft Office Word</Application>
  <DocSecurity>0</DocSecurity>
  <Lines>115</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MOSCIBRODA Anna (JUST)</dc:creator>
  <cp:keywords/>
  <dc:description/>
  <cp:lastModifiedBy>DIGIT/C6</cp:lastModifiedBy>
  <cp:revision>14</cp:revision>
  <cp:lastPrinted>2020-03-05T20:03:00Z</cp:lastPrinted>
  <dcterms:created xsi:type="dcterms:W3CDTF">2020-06-19T12:33:00Z</dcterms:created>
  <dcterms:modified xsi:type="dcterms:W3CDTF">2020-06-24T10:27:00Z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2</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7.0.1, Build 20190916</vt:lpwstr>
  </property>
  <property fmtid="{D5CDD505-2E9C-101B-9397-08002B2CF9AE}" pid="11" name="Created using">
    <vt:lpwstr>LW 7.0, Build 20190717</vt:lpwstr>
  </property>
</Properties>
</file>