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D2E883B-FAFC-44AD-82EA-D4F493603C49" style="width:450.8pt;height:293.5pt">
            <v:imagedata r:id="rId13" o:title=""/>
          </v:shape>
        </w:pict>
      </w:r>
    </w:p>
    <w:bookmarkEnd w:id="0"/>
    <w:p>
      <w:pPr>
        <w:pStyle w:val="Heading2"/>
        <w:rPr>
          <w:b w:val="0"/>
          <w:bCs w:val="0"/>
          <w:i w:val="0"/>
          <w:iCs w:val="0"/>
          <w:noProof/>
        </w:rPr>
        <w:sectPr>
          <w:headerReference w:type="even" r:id="rId14"/>
          <w:headerReference w:type="default" r:id="rId15"/>
          <w:footerReference w:type="even" r:id="rId16"/>
          <w:footerReference w:type="default" r:id="rId17"/>
          <w:headerReference w:type="first" r:id="rId18"/>
          <w:footerReference w:type="first" r:id="rId19"/>
          <w:pgSz w:w="11906" w:h="16838" w:code="9"/>
          <w:pgMar w:top="1134" w:right="1417" w:bottom="1134" w:left="1417" w:header="709" w:footer="709" w:gutter="0"/>
          <w:pgNumType w:start="0"/>
          <w:cols w:space="720"/>
          <w:docGrid w:linePitch="360"/>
        </w:sectPr>
      </w:pPr>
    </w:p>
    <w:p>
      <w:pPr>
        <w:pStyle w:val="Heading2"/>
        <w:rPr>
          <w:noProof/>
        </w:rPr>
      </w:pPr>
      <w:bookmarkStart w:id="1" w:name="_GoBack"/>
      <w:bookmarkEnd w:id="1"/>
      <w:r>
        <w:rPr>
          <w:noProof/>
        </w:rPr>
        <w:lastRenderedPageBreak/>
        <w:t>1. INTRODUCERE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Echitatea fiscală este primordială pentru modelul social și economic al UE și pentru sustenabilitatea acestuia. Este esențială pentru venituri sustenabile, pentru un mediu de afaceri competitiv și pentru moralul contribuabililor în ansamblu. Este crucială pentru îndeplinirea unora dintre obiectivele principale ale UE, printre care se numără o societate echitabilă, o piață unică puternică, cu venituri sustenabile, condiții de concurență echitabile pentru toate întreprinderile și o economie stabilă, bazată pe creștere, locuri de muncă și investiții. Din aceste motive, președinta von der Leyen a subliniat că un sistem fiscal echitabil, în care toată lumea își plătește corect partea, reprezintă una dintre prioritățile Comisiei. Pentru redresarea mondială este la fel de important ca țările partenere să cunoască la rândul lor o redresare sprijinită prin mobilizarea resurselor interne, în centrul căreia să se afle un sistem fiscal funcțional. Acest lucru va contribui la combaterea consecințelor socioeconomice ale crizei provocate de pandemia de COVID-19.</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Parlamentul European</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a solicitat, la rândul său, în mod repetat, să se ia măsuri la nivelul UE pentru stoparea concurenței fiscale dăunătoare și a planificării fiscale agresive și pentru combaterea paradisurilor fiscale, pentru o fiscalitate mai echitabilă și mai eficace și pentru reducerea riscului de spălare a banilor. Agenda pentru o fiscalitate echitabilă va fi cu atât mai importantă în lunile și anii următori, întrucât UE acționează în vederea redresării ca urmare a repercusiunilor crizei provocate de pandemia de COVID-19 și în vederea accelerării tranziției verzi și digitale. Ea va fi esențială pentru stabilitatea veniturilor publice, pentru un mediu de afaceri sănătos și pentru investiții în serviciile publice, pentru corectarea disfuncționalităților pieței și pentru transmiterea semnalelor corecte privind prețurile pentru un consum sustenabil, fapt care va contribui la pregătirea terenului pentru o redresare rapidă și sustenabilă în întreaga UE și dincolo de granițele acesteia, după cum se subliniază în recenta comunicare a Comisiei intitulată „Acum este momentul Europei: să reparăm prejudiciile aduse de criză și să pregătim viitorul pentru noua generație”</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Buna guvernanță fiscală reprezintă fundamentul echității fiscale. În linii mari, buna guvernanță fiscală include transparența fiscală, concurența fiscală loială, absența unor măsuri fiscale dăunătoare și aplicarea standardelor convenite la nivel internațional. În ultimii ani, s-au adoptat măsuri importante – atât la nivelul UE, cât și la nivel internațional – pentru a consolida aceste principii și pentru a asigura respectarea lor.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Comisia a promovat o agendă ambițioasă pentru a ameliora buna guvernanță fiscală și pentru combaterea cu fermitate a abuzurilor fiscale, atât în UE, cât și în afara acesteia. Prin urmare, în prezent, statele membre dispun de un cadru solid de transparență fiscală, de măsuri comune împotriva evitării obligațiilor fiscale și de un nou mecanism de soluționare a litigiilor fiscale. Cerințele mai stricte în materie de transparență pentru entitățile și mecanismele juridice au redus riscurile de abuzuri în scopul evitării obligațiilor fiscale. Infracțiunile fiscale au fost adăugate în sfera de cuprindere a infracțiunilor principale în domeniul spălării banilor, iar toți profesioniștii care oferă consultanță sau asistență în chestiuni fiscale se supun în prezent obligației UE de combatere a spălării banilor/combatere a finanțării terorismului, cu scopul de a reduce posibilitățile infractorilor de a spăla veniturile ilicite. Prin intermediul cazurilor de ajutor de stat și al recomandărilor din cadrul semestrului european, Comisia a combătut concurența dăunătoare și a denunțat practicile fiscale neloiale. Totodată, statele membre continuă să își revizuiască reciproc regimurile fiscale, în conformitate cu Codul de conduită în domeniul impozitării întreprinderilor („codul”), pentru a se asigura că respectă principiile concurenței loiale în domeniul fiscal.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În paralel, UE a depus eforturi pentru a promova niveluri mai ridicate de bună guvernanță fiscală și la nivel internațional. Aceasta a sprijinit cu fermitate activitatea OCDE privind transparența fiscală și erodarea bazei impozabile și transferul profiturilor (BEPS) și a oferit un exemplu la nivel mondial prin integrarea noilor norme mondiale în legislația UE. Multe dintre noile inițiative puse în aplicare la nivelul UE au un element extern – inclusiv raportarea pentru fiecare țară în parte, normele comune privind tratamentul neuniform al elementelor hibride și cerințele impuse consultanților fiscali de a raporta sistemele de planificare fiscală. În plus, prin lansarea lucrărilor privind echitatea fiscală în cadrul economiei digitale, UE a contribuit la impulsionarea discuțiilor internaționale pe această temă.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Strategia externă a Comisiei din 2016 pentru impozitarea eficace</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a oferit UE o abordare coerentă și holistică pentru a promova buna guvernanță fiscală la nivel mondial și pentru a colabora cu partenerii săi internaționali în materie fiscală. Strategia externă s-a axat în principal pe consolidarea cooperării cu țările terțe în ceea ce privește buna guvernanță fiscală, prin intermediul unor clauze din acordurile bilaterale, prin sprijinirea țărilor în curs de dezvoltare în domeniul fiscal și prin măsuri de prevenire a efectelor negative ale politicilor fiscale în UE. Cu toate acestea, strategia a lansat, de asemenea, un nou instrument de încurajare a partenerilor internaționali ai UE să adere la standardele de bună guvernanță fiscală convenite, prin intermediul procedurii de listare a UE.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Toate aceste inițiative au contribuit la crearea unui mediu fiscal mai echitabil în UE și în afara acesteia. Cu toate acestea, continuă să apară noi provocări, iar instrumentele UE de reglementare a concurenței fiscale echitabile și de descurajare a practicilor fiscale dăunătoare – atât în interiorul, cât și în afara UE – trebuie să țină pasul. Globalizarea, digitalizarea și modelele moderne de întreprinderi creează noi limite pentru concurența fiscală și noi oportunități de planificare fiscală agresivă. Agenda UE privind buna guvernanță fiscală trebuie să evolueze în continuare, să prevină pierderile pentru bugetele naționale și pentru bugetul UE și să se asigure că cetățenii și întreprinderile din UE se pot baza în continuare pe o fiscalitate echitabilă și eficace în viitor.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Prezenta comunicare face parte dintr-un pachet de măsuri pentru o fiscalitate echitabilă și simplificată în sprijinul redresării UE, care include o comunicare privind un plan de acțiune ce prezintă o serie de inițiative viitoare în domeniul impozitării directe și indirecte în ceea ce privește combaterea fraudei fiscale și simplificarea regimurilor fiscale</w:t>
      </w:r>
      <w:r>
        <w:rPr>
          <w:rFonts w:ascii="Times New Roman" w:hAnsi="Times New Roman" w:cs="Times New Roman"/>
          <w:noProof/>
          <w:sz w:val="24"/>
          <w:szCs w:val="24"/>
          <w:vertAlign w:val="superscript"/>
        </w:rPr>
        <w:footnoteReference w:id="5"/>
      </w:r>
      <w:r>
        <w:rPr>
          <w:rFonts w:ascii="Times New Roman" w:hAnsi="Times New Roman"/>
          <w:noProof/>
          <w:sz w:val="24"/>
          <w:szCs w:val="24"/>
        </w:rPr>
        <w:t>, precum și o propunere legislativă</w:t>
      </w:r>
      <w:r>
        <w:rPr>
          <w:rFonts w:ascii="Times New Roman" w:hAnsi="Times New Roman" w:cs="Times New Roman"/>
          <w:noProof/>
          <w:sz w:val="24"/>
          <w:szCs w:val="24"/>
          <w:vertAlign w:val="superscript"/>
        </w:rPr>
        <w:footnoteReference w:id="6"/>
      </w:r>
      <w:r>
        <w:rPr>
          <w:rFonts w:ascii="Times New Roman" w:hAnsi="Times New Roman"/>
          <w:noProof/>
          <w:sz w:val="24"/>
          <w:szCs w:val="24"/>
        </w:rPr>
        <w:t xml:space="preserve"> de revizuire a Directivei privind cooperarea administrativă</w:t>
      </w:r>
      <w:r>
        <w:rPr>
          <w:rFonts w:ascii="Times New Roman" w:hAnsi="Times New Roman" w:cs="Times New Roman"/>
          <w:noProof/>
          <w:sz w:val="24"/>
          <w:szCs w:val="24"/>
          <w:vertAlign w:val="superscript"/>
        </w:rPr>
        <w:footnoteReference w:id="7"/>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 serie de măsuri suplimentare vor asigura faptul că legislația fiscală a UE este aliniată la economia modernă și este adaptată la orice evoluție internațională în materie de reformă a impozitării întreprinderilor. În completarea acestor măsuri, comunicarea se axează în principal pe măsuri legislative fără caracter obligatoriu și pe acțiuni externe, ținând seama de experiența acumulată până în prezent și identificând schimbările necesare în acest domeniu. Pe această bază, comunicarea stabilește domeniile prioritare de acțiune în următorii ani, pentru consolidarea standardelor de bună guvernanță fiscală și pentru a asigura echitatea fiscală. </w:t>
      </w:r>
    </w:p>
    <w:p>
      <w:pPr>
        <w:pStyle w:val="Heading2"/>
        <w:rPr>
          <w:noProof/>
        </w:rPr>
      </w:pPr>
      <w:r>
        <w:rPr>
          <w:noProof/>
        </w:rPr>
        <w:t>2. REFORMA CODULUI DE CONDUITĂ ÎN DOMENIUL IMPOZITĂRII ÎNTREPRINDERILOR</w:t>
      </w:r>
    </w:p>
    <w:p>
      <w:pPr>
        <w:spacing w:after="0" w:line="276" w:lineRule="auto"/>
        <w:jc w:val="both"/>
        <w:rPr>
          <w:rFonts w:ascii="Times New Roman" w:eastAsia="Calibri" w:hAnsi="Times New Roman" w:cs="Times New Roman"/>
          <w:noProof/>
          <w:sz w:val="24"/>
          <w:szCs w:val="24"/>
        </w:rPr>
      </w:pPr>
      <w:r>
        <w:rPr>
          <w:rFonts w:ascii="Times New Roman" w:hAnsi="Times New Roman"/>
          <w:noProof/>
          <w:sz w:val="24"/>
          <w:szCs w:val="24"/>
        </w:rPr>
        <w:t>Codul de conduită în domeniul impozitării întreprinderilor („codul”) este principalul instrument al UE de prevenire a concurenței fiscale dăunătoare, de la crearea sa în 1997. Acesta funcționează pornind de la premisa că, deși concurența fiscală între țări nu este problematică în sine , trebuie să existe principii comune cu privire la măsura în care țările își pot utiliza regimurile fiscale și politicile de atragere a întreprinderilor și a profiturilor. Acest lucru este deosebit de important în cadrul unei piețe unice, în care libertățile prevăzute în Tratat sporesc mobilitatea profiturilor și a investițiilor.</w:t>
      </w:r>
    </w:p>
    <w:p>
      <w:pPr>
        <w:spacing w:after="0" w:line="276" w:lineRule="auto"/>
        <w:jc w:val="both"/>
        <w:rPr>
          <w:rFonts w:ascii="Times New Roman" w:eastAsia="Calibri" w:hAnsi="Times New Roman" w:cs="Times New Roman"/>
          <w:noProof/>
          <w:sz w:val="24"/>
          <w:szCs w:val="24"/>
        </w:rPr>
      </w:pPr>
    </w:p>
    <w:p>
      <w:pPr>
        <w:spacing w:after="0"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Codul este un instrument legislativ fără caracter obligatoriu, care funcționează pe baza evaluării </w:t>
      </w:r>
      <w:r>
        <w:rPr>
          <w:rFonts w:ascii="Times New Roman" w:hAnsi="Times New Roman"/>
          <w:i/>
          <w:iCs/>
          <w:noProof/>
          <w:sz w:val="24"/>
          <w:szCs w:val="24"/>
        </w:rPr>
        <w:t>inter pares</w:t>
      </w:r>
      <w:r>
        <w:rPr>
          <w:rFonts w:ascii="Times New Roman" w:hAnsi="Times New Roman"/>
          <w:noProof/>
          <w:sz w:val="24"/>
          <w:szCs w:val="24"/>
        </w:rPr>
        <w:t xml:space="preserve"> și a presiunii exercitate reciproc între statele membre. Acesta stabilește principii pentru o concurență fiscală și este utilizat pentru a determina dacă un regim fiscal este dăunător sau nu. Grupul de lucru pentru codul de conduită, alcătuit din reprezentanți naționali la nivel înalt, supraveghează respectarea codului de către statele membre. Grupul evaluează măsurile fiscale ale statelor membre și stabilește dacă acestea sunt dăunătoare, pe baza unei analize tehnice efectuate de Comisie. În cazul în care se constată că o măsură fiscală este dăunătoare, statul membru în cauză trebuie să o modifice sau să o abroge. De la crearea codului, peste 400 de regimuri fiscale au fost evaluate în UE, iar aproximativ 100 dintre acestea s-au dovedit a fi dăunătoare. </w:t>
      </w:r>
    </w:p>
    <w:p>
      <w:pPr>
        <w:spacing w:after="0" w:line="276" w:lineRule="auto"/>
        <w:jc w:val="both"/>
        <w:rPr>
          <w:rFonts w:ascii="Times New Roman" w:eastAsia="Calibri" w:hAnsi="Times New Roman" w:cs="Times New Roman"/>
          <w:noProof/>
          <w:sz w:val="24"/>
          <w:szCs w:val="24"/>
        </w:rPr>
      </w:pPr>
    </w:p>
    <w:p>
      <w:pPr>
        <w:spacing w:after="0"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Pe lângă rezultatele utilizării codului în cadrul UE, în ultimii ani acesta a avut un impact remarcabil și asupra mediului fiscal mondial. Acest lucru s-a întâmplat deoarece codul a constituit baza de evaluare a țărilor terțe în contextul listei UE a jurisdicțiilor fiscale necooperante (a se vedea punctul 2 de mai jos). Rolul central al codului în procesul de listare al UE subliniază importanța sa ca instrument de combatere a concurenței fiscale dăunătoare și de promovare la scară largă a principiilor bunei guvernanțe fiscale. </w:t>
      </w:r>
    </w:p>
    <w:p>
      <w:pPr>
        <w:spacing w:after="0" w:line="276" w:lineRule="auto"/>
        <w:jc w:val="both"/>
        <w:rPr>
          <w:rFonts w:ascii="Times New Roman" w:eastAsia="Calibri" w:hAnsi="Times New Roman" w:cs="Times New Roman"/>
          <w:noProof/>
          <w:sz w:val="24"/>
          <w:szCs w:val="24"/>
        </w:rPr>
      </w:pP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Cu toate acestea, în pofida rezultatelor utilizării codului, este clar că acesta are nevoie de reformă și de modernizare. Natura și forma concurenței fiscale s-au schimbat în mod semnificativ în ultimele două decenii, iar codul nu a evoluat pentru a face față noilor provocări. Globalizarea, digitalizarea, rolul tot mai important al întreprinderilor multinaționale în economia mondială, importanța sporită a activelor necorporale, precum și reducerea barierelor pentru întreprinderi au intensificat presiunea asupra statelor să utilizeze impozitarea pentru a concura pentru investițiile străine. Acest lucru a determinat escaladarea și evoluția concurenței fiscale, punând la încercare chiar fundamentele echității. În acest context, atât statele membre, cât și Parlamentul European au pus sub semnul întrebării capacitatea codului de a aborda formele actuale de concurență fiscală dăunătoare. Eficacitatea codului ar trebui îmbunătățită semnificativ, având în vedere realitățile actuale prezentate mai sus.</w:t>
      </w:r>
    </w:p>
    <w:p>
      <w:pPr>
        <w:spacing w:after="0" w:line="276" w:lineRule="auto"/>
        <w:jc w:val="both"/>
        <w:rPr>
          <w:rFonts w:ascii="Times New Roman" w:hAnsi="Times New Roman" w:cs="Times New Roman"/>
          <w:noProof/>
          <w:sz w:val="24"/>
          <w:szCs w:val="24"/>
        </w:rPr>
      </w:pPr>
    </w:p>
    <w:p>
      <w:pPr>
        <w:spacing w:after="0" w:line="276" w:lineRule="auto"/>
        <w:jc w:val="both"/>
        <w:rPr>
          <w:rFonts w:ascii="Times New Roman" w:hAnsi="Times New Roman" w:cs="Times New Roman"/>
          <w:i/>
          <w:noProof/>
          <w:sz w:val="24"/>
          <w:szCs w:val="24"/>
        </w:rPr>
      </w:pPr>
      <w:r>
        <w:rPr>
          <w:rFonts w:ascii="Times New Roman" w:hAnsi="Times New Roman"/>
          <w:i/>
          <w:noProof/>
          <w:sz w:val="24"/>
          <w:szCs w:val="24"/>
        </w:rPr>
        <w:t>2 (a) Calendarul reformei pentru un efect maxim</w:t>
      </w:r>
    </w:p>
    <w:p>
      <w:pPr>
        <w:spacing w:after="0" w:line="276" w:lineRule="auto"/>
        <w:jc w:val="both"/>
        <w:rPr>
          <w:rFonts w:ascii="Times New Roman" w:hAnsi="Times New Roman" w:cs="Times New Roman"/>
          <w:noProof/>
          <w:sz w:val="24"/>
          <w:szCs w:val="24"/>
        </w:rPr>
      </w:pP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Calendarul reformei codului trebuie analizat cu atenție, astfel încât rezultatul să fie cât mai ambițios și mai eficient posibil. Discuțiile internaționale în curs privind reforma sistemului de impozitare a întreprinderilor, conduse de OCDE, ar putea avea un impact major asupra limitelor admise ale concurenței fiscale în viitor. În special, în cazul în care impozitarea efectivă minimă devine un standard global, va exista un nou nivel minim al cotelor de impozitare la care pot coborî țările pentru a atrage întreprinderi și investiții străine. Acest element va trebui, în mod evident, să fie integrat în măsurile concrete ale UE privind concurența fiscală echitabilă, în cadrul unui cod de conduită reformat. În același timp, în cazul în care nu există un consens privind impozitarea minimă la nivel mondial, acest concept trebuie să fie introdus în cod ca standard al UE, pentru a moderniza și clarifica conceptul de concurență fiscală dăunătoare și pentru a garanta că toate întreprinderile își îndeplinesc obligațiile fiscale în mod echitabil atunci când generează profituri pe piața unică.</w:t>
      </w:r>
    </w:p>
    <w:p>
      <w:pPr>
        <w:spacing w:after="0" w:line="276" w:lineRule="auto"/>
        <w:jc w:val="both"/>
        <w:rPr>
          <w:rFonts w:ascii="Times New Roman" w:hAnsi="Times New Roman" w:cs="Times New Roman"/>
          <w:noProof/>
          <w:sz w:val="24"/>
          <w:szCs w:val="24"/>
        </w:rPr>
      </w:pP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2 (b) Reexaminarea domeniului de aplicare și a criteriilor codului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Cu toate acestea, între timp, există o serie de aspecte care pot fi deja luate în considerare în contextul unei viitoare reforme a codului.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Pentru început, domeniul de aplicare al codului ar trebui extins, pentru a include toate măsurile care prezintă un risc pentru concurența fiscală loială. Definiția domeniului de aplicare ar trebui modificată pentru a include și alte tipuri de regimuri și aspecte generale ale sistemelor naționale de impozit pe profit, precum și alte impozite relevante în afara impozitului pe profit. Potrivit domeniului actual de aplicare al codului, există prea multe tipuri de regimuri dăunătoare care pot eluda evaluarea. De exemplu, codul analizează doar anumite măsuri și regimuri fiscale. Cu toate acestea, din ce în ce mai multe țări folosesc structurile generale ale sistemelor lor fiscale pentru a exercita concurență fiscală, de exemplu prin  norme specifice legate de domiciliul fiscal care pot duce la dubla neimpozitare sau la scutiri fiscale pentru veniturile obținute în străinătate, ceea ce ar putea favoriza practicile fiscale dăunătoare fără garanții adecvate. În plus, codul nu acoperă sistemele speciale de acordare a cetățeniei sau măsurile de atragere a</w:t>
      </w:r>
      <w:r>
        <w:rPr>
          <w:rFonts w:ascii="Times New Roman" w:hAnsi="Times New Roman"/>
          <w:noProof/>
          <w:sz w:val="24"/>
        </w:rPr>
        <w:t xml:space="preserve"> </w:t>
      </w:r>
      <w:r>
        <w:rPr>
          <w:rFonts w:ascii="Times New Roman" w:hAnsi="Times New Roman"/>
          <w:noProof/>
          <w:sz w:val="24"/>
          <w:szCs w:val="24"/>
        </w:rPr>
        <w:t>expatriaților sau a</w:t>
      </w:r>
      <w:r>
        <w:rPr>
          <w:rFonts w:ascii="Times New Roman" w:hAnsi="Times New Roman"/>
          <w:noProof/>
          <w:color w:val="FF0000"/>
          <w:sz w:val="24"/>
          <w:szCs w:val="24"/>
        </w:rPr>
        <w:t xml:space="preserve"> </w:t>
      </w:r>
      <w:r>
        <w:rPr>
          <w:rFonts w:ascii="Times New Roman" w:hAnsi="Times New Roman"/>
          <w:noProof/>
          <w:sz w:val="24"/>
          <w:szCs w:val="24"/>
        </w:rPr>
        <w:t>marilor averi, chiar dacă acestea sunt adesea o ușă secretă pentru a atrage în mod inechitabil întreprinderi și investiții din alte țări. Studii recente ale OCDE</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sugerează, de asemenea, că sistemele de acordare a cetățeniei pot fi utilizate pentru a evita normele de transparență fiscală. Prin urmare, odată cu reformarea codului, este important să se examineze utilizarea sistemelor de acordare a cetățeniei, cum ar fi vizele de aur.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Codul ar trebui, de asemenea, să fie actualizat pentru a asigura analizarea tuturor cazurilor în care se aplică un nivel foarte scăzut al impozitării – atât în interiorul, cât și în afara UE.  UE solicită deja țărilor terțe care au un nivel de impozitare egal cu zero sau fără impozitare să pună în aplicare standarde economice și de transparență stricte, pentru a nu fi incluse pe lista UE. Aceste cerințe ar trebui să fie integrate formal în cod, astfel încât să existe o coerență deplină între criteriile aplicate în UE și cele aplicate în relația cu țările terțe. </w:t>
      </w:r>
    </w:p>
    <w:p>
      <w:pPr>
        <w:spacing w:after="0" w:line="276" w:lineRule="auto"/>
        <w:jc w:val="both"/>
        <w:rPr>
          <w:rFonts w:ascii="Times New Roman" w:hAnsi="Times New Roman" w:cs="Times New Roman"/>
          <w:i/>
          <w:noProof/>
          <w:sz w:val="24"/>
          <w:szCs w:val="24"/>
        </w:rPr>
      </w:pPr>
      <w:r>
        <w:rPr>
          <w:rFonts w:ascii="Times New Roman" w:hAnsi="Times New Roman"/>
          <w:i/>
          <w:noProof/>
          <w:sz w:val="24"/>
          <w:szCs w:val="24"/>
        </w:rPr>
        <w:t>2 (c) Îmbunătățirea guvernanței codului</w:t>
      </w:r>
    </w:p>
    <w:p>
      <w:pPr>
        <w:spacing w:after="0" w:line="276" w:lineRule="auto"/>
        <w:jc w:val="both"/>
        <w:rPr>
          <w:rFonts w:ascii="Times New Roman" w:hAnsi="Times New Roman" w:cs="Times New Roman"/>
          <w:i/>
          <w:noProof/>
          <w:sz w:val="24"/>
          <w:szCs w:val="24"/>
        </w:rPr>
      </w:pP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 xml:space="preserve">Reforma codului ar trebui să ia în considerare, de asemenea, modalitățile în care acesta poate fi aplicat într-o manieră mai transparentă și mai eficientă. Deși în ultimii ani s-au înregistrat unele îmbunătățiri în ceea ce privește guvernanța Grupului de lucru pentru codul de conduită, există posibilitatea de a face mai mult. Grupul de lucru pentru codul de conduită ar putea face publice mai multe informații pe site-ul său web dedicat și ar putea comunica publicului și părților interesate obiectivele atinse în activitatea sa. Grupul ar putea, de asemenea, să introducă votul cu majoritate calificată, să accelereze procesul decizional și să aibă în vedere consecințe efective pentru statele membre care nu se conformează la timp deciziilor grupului. </w:t>
      </w:r>
    </w:p>
    <w:p>
      <w:pPr>
        <w:spacing w:after="0" w:line="276" w:lineRule="auto"/>
        <w:jc w:val="both"/>
        <w:rPr>
          <w:rFonts w:ascii="Times New Roman" w:hAnsi="Times New Roman" w:cs="Times New Roman"/>
          <w:noProof/>
          <w:sz w:val="24"/>
          <w:szCs w:val="24"/>
        </w:rPr>
      </w:pPr>
    </w:p>
    <w:p>
      <w:pPr>
        <w:spacing w:after="0" w:line="276" w:lineRule="auto"/>
        <w:jc w:val="both"/>
        <w:rPr>
          <w:rStyle w:val="CommentReference"/>
          <w:noProof/>
          <w:sz w:val="24"/>
        </w:rPr>
      </w:pPr>
      <w:r>
        <w:rPr>
          <w:rFonts w:ascii="Times New Roman" w:hAnsi="Times New Roman"/>
          <w:noProof/>
          <w:sz w:val="24"/>
          <w:szCs w:val="24"/>
        </w:rPr>
        <w:t>Comisia invită statele membre să înceapă discuțiile cu privire la propunerile de la punctul 1 literele (a) – (c) pentru o reformă ambițioasă a codului, în așteptarea rezultatului discuțiilor internaționale pe teme fiscale (conform planului de lucru al OCDE, până la sfârșitul anului ar trebui să se cunoască cu suficientă claritate rezultatul lucrărilor internaționale privind reforma fiscală). Comisia va colabora cu statele membre pentru a elabora un plan concret de reformă a codului, astfel încât acesta să fie mai bine pregătit să abordeze provocările moderne ale concurenței fiscale – atât în cadrul UE, cât și pe plan extern.</w:t>
      </w:r>
      <w:r>
        <w:rPr>
          <w:noProof/>
        </w:rPr>
        <w:t xml:space="preserve"> </w:t>
      </w:r>
    </w:p>
    <w:p>
      <w:pPr>
        <w:spacing w:after="0" w:line="276" w:lineRule="auto"/>
        <w:jc w:val="both"/>
        <w:rPr>
          <w:rFonts w:ascii="Times New Roman" w:hAnsi="Times New Roman" w:cs="Times New Roman"/>
          <w:b/>
          <w:bCs/>
          <w:i/>
          <w:iCs/>
          <w:noProof/>
          <w:sz w:val="24"/>
          <w:szCs w:val="24"/>
        </w:rPr>
      </w:pPr>
    </w:p>
    <w:p>
      <w:pPr>
        <w:pStyle w:val="Heading2"/>
        <w:rPr>
          <w:noProof/>
        </w:rPr>
      </w:pPr>
      <w:r>
        <w:rPr>
          <w:noProof/>
        </w:rPr>
        <w:t>3. REVIZUIREA LISTEI UE A JURISDICȚIILOR NECOOPERANTE</w:t>
      </w: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Deși codul a fost elaborat inițial ca un instrument de reglementare a concurenței fiscale interne în UE, accentul acestuia a fost extins în ultimul timp pentru a aborda și dimensiunea externă a acestui domeniu de politică. Principiile concurenței fiscale loiale, prevăzute în cod, se numără printre criteriile utilizate pentru evaluarea țărilor terțe în cadrul procesului de listare al UE. Scopul este acela de a îmbunătăți contextul guvernanței fiscale la nivel mondial, de a asigura condiții de concurență echitabile la nivel internațional și de a sprijini guvernele țărilor terțe în eforturile lor de a pune în aplicare angajamentele și măsurile adoptate la nivel mondial (de exemplu, în cadrul inițiativelor G20 privind combaterea erodării bazei impozabile și a transferului profiturilor sau al Agendei de acțiune de la Addis Abeba).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Lista UE a jurisdicțiilor fiscale necooperante a fost propusă pentru prima dată în Strategia externă a Comisiei din 2016, ca instrument de abordare a riscurilor externe de abuzuri fiscale și de concurență fiscale neloială. De atunci, aceasta a devenit un instrument puternic de promovare a bunei guvernanțe fiscale la nivel internațional și a contribuit la combaterea evitării obligațiilor fiscale și a evaziunii fiscale la nivel mondial. În cei patru ani de la începerea procedurii de listare, 95 de jurisdicții au fost evaluate în raport cu trei criterii-cheie: transparența fiscală, echitatea fiscală și punerea în aplicare a standardelor minime ale OCDE privind erodarea bazei impozabile și transferul profiturilor (BEPS). În cazul în care se constată că o jurisdicție prezintă deficiențe în legătură cu unul sau mai multe dintre aceste criterii, acesteia i se solicită să se angajeze să soluționeze problemele respective într-un termen stabilit.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Până la începutul anului 2020, au fost eliminate peste 120 de regimuri fiscale dăunătoare la nivel mondial</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ca răspuns direct la procesul de listare al UE. Zeci de țări terțe au luat, de asemenea, măsuri concrete pentru a-și îmbunătăți standardele de transparență fiscală, în conformitate cu cerințele UE. Acest lucru ameliorează buna guvernanță fiscală la nivel mondial, creează condiții de concurență echitabile între actorii internaționali și reduce posibilitățile de abuz fiscal. Ca atare, lista UE prezintă beneficii dincolo de frontierele UE, în special pentru țările în curs de dezvoltare, care sunt afectate în mod disproporționat de fluxurile financiare ilicite.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Procesul de listare al UE a creat o nouă bază pentru relațiile dintre UE și țările partenere în chestiuni fiscale de interes reciproc, în conformitate cu eforturile sale de a promova o bună guvernanță fiscală la nivel mondial. Dialogul și activitățile de comunicare reprezintă o parte centrală a acestui exercițiu. Discuțiile periodice ale serviciilor Comisiei cu jurisdicțiile, în coordonare cu Serviciul European de Acțiune Externă, au asistat zeci de state în eforturile de respectarea a standardelor impuse. Acest nou canal de comunicare în legătură cu chestiunile fiscale a permis un dialog constructiv cu țările partenere în contextul economiei actuale aflate într-o permanentă evoluție, globalizată și digitalizată, și ar trebui să continue.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patru ani de la lansarea acestui nou exercițiu de listare, Comisia consideră că este timpul să se facă bilanțul experienței acumulate până în prezent și să se analizeze modul în care listarea poate rămâne eficace, echitabilă și adecvată pentru a face față noilor provocări, pe măsură ce acestea continuă să apară. </w:t>
      </w:r>
    </w:p>
    <w:p>
      <w:pPr>
        <w:pStyle w:val="ListParagraph"/>
        <w:numPr>
          <w:ilvl w:val="0"/>
          <w:numId w:val="5"/>
        </w:numPr>
        <w:spacing w:after="200" w:line="276" w:lineRule="auto"/>
        <w:jc w:val="both"/>
        <w:rPr>
          <w:rFonts w:ascii="Times New Roman" w:hAnsi="Times New Roman" w:cs="Times New Roman"/>
          <w:i/>
          <w:noProof/>
          <w:sz w:val="24"/>
          <w:szCs w:val="24"/>
        </w:rPr>
      </w:pPr>
      <w:r>
        <w:rPr>
          <w:rFonts w:ascii="Times New Roman" w:hAnsi="Times New Roman"/>
          <w:i/>
          <w:noProof/>
          <w:sz w:val="24"/>
          <w:szCs w:val="24"/>
        </w:rPr>
        <w:t>(a) Revizuirea zonei geografice acoperite de lista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Când a fost lansat procesul de listare al UE, în 2016, statele membre ale UE au selectat jurisdicțiile care să intre în domeniul său de aplicare, pe baza unui tablou de bord obiectiv al indicatorilor elaborați de Comisie. Statele membre au utilizat acest tablou de bord ca bază pentru a decide ce jurisdicții să verifice, luând în considerare și alți factori relevanți, cum ar fi prezența unui centru financiar. Statele membre au decis încă de la început să excludă țările cel mai puțin dezvoltate din procesul de listare al UE, având în vedere capacitatea lor limitată de a respecta criteriile în termenele prevăzute. Din motive similare, a fost introdusă o anumită flexibilitate pentru țările în curs de dezvoltare care nu dispun de un centru financiar, în ceea ce privește criteriile și termenele pe care trebuie să le respecte acestea.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După câțiva ani de experiență practică în punerea în aplicare a procesului de listare al UE în jurisdicțiile selectate, statele membre și-au exprimat dorința de a revizui zona geografică acoperită de listă. În special, statele membre doresc să se asigure că au fost acoperite toate zonele cu risc și că jurisdicțiile comparabile sunt tratate în mod echitabil și egal în cadrul procesului UE.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Pentru a facilita acest proces de reflecție, Comisia va actualiza, până la sfârșitul anului 2020, tabloul de bord inițial utilizat pentru selectarea celor mai relevante jurisdicții care urmează să fie examinate. Noul tablou de bord va reflecta cele mai recente date, precum și evoluțiile din economia globală și politica fiscală. Acesta va include surse suplimentare de informații pentru a oferi o imagine cuprinzătoare a legăturilor economice și financiare ale UE cu țările terțe. În plus, Comisia va lua în considerare noua metodologie de identificare a țărilor terțe cu grad ridicat de risc în scopul combaterii spălării banilor și a finanțării terorismului</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pentru a se asigura că cele două procese de listare se consolidează reciproc. Revizuirea tabloului de bord va ajuta statele membre ale UE să identifice țări suplimentare pe care ar dori să le verifice, pe baza unor criterii obiective, și va face procesul mai stabil și mai previzibil pentru partenerii UE.</w:t>
      </w:r>
    </w:p>
    <w:p>
      <w:pPr>
        <w:pStyle w:val="ListParagraph"/>
        <w:spacing w:after="200" w:line="276" w:lineRule="auto"/>
        <w:jc w:val="both"/>
        <w:rPr>
          <w:rFonts w:ascii="Times New Roman" w:hAnsi="Times New Roman" w:cs="Times New Roman"/>
          <w:i/>
          <w:noProof/>
          <w:sz w:val="24"/>
          <w:szCs w:val="24"/>
        </w:rPr>
      </w:pPr>
    </w:p>
    <w:p>
      <w:pPr>
        <w:pStyle w:val="ListParagraph"/>
        <w:numPr>
          <w:ilvl w:val="0"/>
          <w:numId w:val="13"/>
        </w:numPr>
        <w:spacing w:after="200" w:line="276" w:lineRule="auto"/>
        <w:jc w:val="both"/>
        <w:rPr>
          <w:rFonts w:ascii="Times New Roman" w:hAnsi="Times New Roman" w:cs="Times New Roman"/>
          <w:i/>
          <w:noProof/>
          <w:sz w:val="24"/>
          <w:szCs w:val="24"/>
        </w:rPr>
      </w:pPr>
      <w:r>
        <w:rPr>
          <w:rFonts w:ascii="Times New Roman" w:hAnsi="Times New Roman"/>
          <w:i/>
          <w:noProof/>
          <w:sz w:val="24"/>
          <w:szCs w:val="24"/>
        </w:rPr>
        <w:t>(b) Revizuirea criteriilor de includere pe lista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 discuție privind zona geografică acoperită de lista UE va trebui să ia în considerare și criteriile pe care trebuie să le respecte jurisdicțiile selectate. Eliminarea oricărei jurisdicții care se află în prezent în domeniul de aplicare al listei UE ar avea un impact asupra condițiilor de concurență echitabile și ar submina activitatea pozitivă a celor mai multe dintre aceste jurisdicții. Cu toate acestea, ar trebui să se analizeze dacă criteriile de includere pe lista UE ar putea fi aplicate într-un mod mai bine direcționat pentru anumite jurisdicții.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Experiența acumulată până în prezent în procesul de listare al UE a arătat că unele jurisdicții, în special partenerii în curs de dezvoltare, se confruntă cu constrângeri în materie de capacitate atunci când pun în aplicare unele dintre angajamentele lor. Este necesar să se analizeze dacă toate criteriile sunt relevante pentru toate jurisdicțiile, în funcție de riscul potențial al mediului lor economic și fiscal. Pentru țările în curs de dezvoltare cu risc scăzut, o opțiune ar putea fi să se aplice numai criteriile cele mai relevante. Există deja un precedent în acest sens în procesul de listare, întrucât țările în curs de dezvoltare care nu dispun de un centru financiar nu trebuie să respecte criteriul schimbului automat de informații. Alternativ sau în tandem, termenele incluse pe lista UE pot fi adaptate pentru țările cu constrângeri severe în materie de capacitate sau fără centre financiare, pentru a reflecta situația specială a respectivelor jurisdicții.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afară de aceasta, criteriile de bună guvernanță fiscală utilizate pentru procesul de listare ar trebui să fie examinate într-un mod mai general, pentru a se asigura că acestea sunt actualizate și suficient de ambițioase. Ca un prim pas, ele ar trebui să fie actualizate pentru a reflecta cele mai recente evoluții la nivel internațional în combaterea evitării obligațiilor fiscale și a evaziunii fiscale, inclusiv în domeniul proprietății efective</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și al punerii în aplicare a standardelor minime ale OCDE privind erodarea bazei impozabile și transferul profiturilor.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Discuțiile la nivel internațional privind impozitarea economiei digitale și reforma fiscală globală vor trebui, de asemenea, să fie luate în considerare în cadrul criteriilor de includere pe lista UE. Acest lucru este deosebit de important dacă se ajunge la un consens global cu privire la impozitarea efectivă minimă. Această chestiune ar trebui analizată în paralel cu viitoarea reformă a codului, după ce se vor clarifica rezultatele discuțiilor internaționale cu privire la reforma fiscală.</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În aceeași ordine de idei, ar trebui revizuite criteriile pentru a se asigura faptul că acestea sunt aplicate pe o scară destul de largă pentru a surprinde toate riscurile. Lucrările au început deja în acest sens. De exemplu, în 2019, statele membre au decis să analizeze anumite scutiri fiscale generale, care ar putea prezenta același risc ca regimurile fiscale preferențiale. Comisia va continua să examineze peisajul fiscal internațional pentru a identifica orice noi practici comerciale și de planificare fiscală care ar putea fi problematice.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În cele din urmă, este important să se monitorizeze îndeaproape jurisdicțiile care au fost deja aprobate în cadrul procesului de listare al UE. Acest lucru va asigura faptul că reformele sunt puse în aplicare în mod eficient și că nu există niciun regres. Comisia va efectua această monitorizare și va raporta statelor membre. De asemenea, Comisia va colabora cu OCDE pentru a se asigura că procesele de monitorizare la nivelul UE și la nivel internațional sunt cât mai bine aliniate cu putință. </w:t>
      </w:r>
    </w:p>
    <w:p>
      <w:pPr>
        <w:pStyle w:val="ListParagraph"/>
        <w:spacing w:line="276" w:lineRule="auto"/>
        <w:jc w:val="both"/>
        <w:rPr>
          <w:rFonts w:ascii="Times New Roman" w:hAnsi="Times New Roman" w:cs="Times New Roman"/>
          <w:noProof/>
          <w:sz w:val="24"/>
          <w:szCs w:val="24"/>
        </w:rPr>
      </w:pPr>
    </w:p>
    <w:p>
      <w:pPr>
        <w:pStyle w:val="ListParagraph"/>
        <w:numPr>
          <w:ilvl w:val="0"/>
          <w:numId w:val="14"/>
        </w:numPr>
        <w:spacing w:after="200" w:line="276" w:lineRule="auto"/>
        <w:jc w:val="both"/>
        <w:rPr>
          <w:rFonts w:ascii="Times New Roman" w:hAnsi="Times New Roman" w:cs="Times New Roman"/>
          <w:i/>
          <w:noProof/>
          <w:sz w:val="24"/>
          <w:szCs w:val="24"/>
        </w:rPr>
      </w:pPr>
      <w:r>
        <w:rPr>
          <w:rFonts w:ascii="Times New Roman" w:hAnsi="Times New Roman"/>
          <w:i/>
          <w:noProof/>
          <w:sz w:val="24"/>
          <w:szCs w:val="24"/>
        </w:rPr>
        <w:t xml:space="preserve">(c) Creșterea transparenței și a responsabilității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Procesul de listare al UE a creat un nou cadru pentru discuții periodice între UE și partenerii săi internaționali cu privire la aspecte legate de buna guvernanță fiscală. Comisia a pus întotdeauna un accent puternic pe nevoia de dialog și comunicare cu țările terțe în cauză. În ultimii patru ani, au existat mii de contacte și schimburi la nivel tehnic, diplomatic și politic, atât în mod direct, cât și prin intermediul forurilor multilaterale. Acest lucru a contribuit la clarificarea așteptărilor UE în ceea ce privește buna guvernanță fiscală la nivel mondial, permițând, în același timp, Uniunii să înțeleagă mai bine pozițiile partenerilor săi internaționali privind aspectele legate de buna guvernanță fiscală. Comisia se angajează să consolideze în continuare acest proces de dialog pozitiv, în acțiunile sale viitoare, în cooperare cu Înaltul Reprezentant. În acest sens, Comisia va depune eforturi pentru a stabili o reuniune anuală a reprezentanților jurisdicțiilor, pentru a discuta aspectele legate de includerea pe lista UE și pentru a face schimb de informații și de bune practici.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Comisia se va baza, de asemenea, pe dialogul cu țările terțe în vederea identificării unor preocupări rezonabile, pe care le va transmite statelor membre în efortul de a găsi soluții. De exemplu, utilizarea în continuare a listelor naționale ale impozitelor din statele membre, în paralel cu procesul de listare al UE, reprezintă o sursă de confuzie și incertitudine pentru un număr mare de țări terțe. Acest lucru se întâmplă în special atunci când criteriile naționale și procesul de listare nu sunt comunicate în mod clar sau atunci când există diferențe între țările incluse pe lista UE și cele incluse pe listele naționale. Există argumente solide în favoarea alinierii acestora la procesul de listare al UE pentru țările care au fost examinate în cadrul acestuia din urmă, pentru a asigura coerența și pentru a oferi claritate țărilor terțe și întreprinderilor. Comisia va lansa o discuție cu statele membre pe această temă și va analiza modalitățile în care să coordoneze în continuare includerea jurisdicțiilor pe listă în scopuri fiscale, astfel încât să se asigure că țările terțe sunt tratate în mod unitar de către UE și statele membre ale acesteia.  </w:t>
      </w: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 xml:space="preserve">În cele din urmă, Comisia va continua să militeze pentru un grad cât mai ridicat de transparență și responsabilitate în cadrul procesului de listare al UE. În acest sens, Parlamentul European ar trebui să fie informat cu regularitate cu privire la evoluția procesului de listare al UE. De asemenea, Comisia va ține la curent societatea civilă în cadrul Platformei pentru bună guvernanță fiscală, care a fost, de asemenea, esențială pentru lansarea procesului de listare al UE. </w:t>
      </w:r>
    </w:p>
    <w:p>
      <w:pPr>
        <w:spacing w:after="0" w:line="276" w:lineRule="auto"/>
        <w:jc w:val="both"/>
        <w:rPr>
          <w:rFonts w:ascii="Times New Roman" w:hAnsi="Times New Roman" w:cs="Times New Roman"/>
          <w:i/>
          <w:noProof/>
          <w:sz w:val="24"/>
          <w:szCs w:val="24"/>
        </w:rPr>
      </w:pPr>
    </w:p>
    <w:p>
      <w:pPr>
        <w:pStyle w:val="ListParagraph"/>
        <w:numPr>
          <w:ilvl w:val="0"/>
          <w:numId w:val="15"/>
        </w:numPr>
        <w:spacing w:after="200" w:line="276" w:lineRule="auto"/>
        <w:jc w:val="both"/>
        <w:rPr>
          <w:rFonts w:ascii="Times New Roman" w:eastAsia="Calibri" w:hAnsi="Times New Roman" w:cs="Times New Roman"/>
          <w:i/>
          <w:noProof/>
          <w:sz w:val="24"/>
          <w:szCs w:val="24"/>
        </w:rPr>
      </w:pPr>
      <w:r>
        <w:rPr>
          <w:rFonts w:ascii="Times New Roman" w:hAnsi="Times New Roman"/>
          <w:i/>
          <w:noProof/>
          <w:sz w:val="24"/>
          <w:szCs w:val="24"/>
        </w:rPr>
        <w:t>(d) Consolidarea bunei guvernanțe fiscale în acordurile cu țările terțe și extinderea dialogului cu țările terțe la taxele de mediu.</w:t>
      </w:r>
    </w:p>
    <w:p>
      <w:pPr>
        <w:spacing w:after="200" w:line="276" w:lineRule="auto"/>
        <w:jc w:val="both"/>
        <w:rPr>
          <w:rFonts w:ascii="Times New Roman" w:eastAsia="Calibri" w:hAnsi="Times New Roman" w:cs="Times New Roman"/>
          <w:noProof/>
          <w:sz w:val="24"/>
          <w:szCs w:val="24"/>
        </w:rPr>
      </w:pPr>
      <w:r>
        <w:rPr>
          <w:rFonts w:ascii="Times New Roman" w:hAnsi="Times New Roman"/>
          <w:noProof/>
          <w:sz w:val="24"/>
          <w:szCs w:val="24"/>
        </w:rPr>
        <w:t>Un alt mod important în care</w:t>
      </w:r>
      <w:r>
        <w:rPr>
          <w:b/>
          <w:noProof/>
        </w:rPr>
        <w:t xml:space="preserve"> </w:t>
      </w:r>
      <w:r>
        <w:rPr>
          <w:rFonts w:ascii="Times New Roman" w:hAnsi="Times New Roman"/>
          <w:noProof/>
          <w:sz w:val="24"/>
          <w:szCs w:val="24"/>
        </w:rPr>
        <w:t>UE promovează echitatea în materie fiscală este reprezentat de includerea unei clauze de bună guvernanță fiscală în acordurile internaționale relevante încheiate cu țări terțe. Parlamentul European consideră clauza de bună guvernanță fiscală drept unul dintre „instrumentele de bază ale politicii externe a UE”</w:t>
      </w:r>
      <w:r>
        <w:rPr>
          <w:rFonts w:ascii="Times New Roman" w:eastAsia="Times New Roman" w:hAnsi="Times New Roman" w:cs="Times New Roman"/>
          <w:noProof/>
          <w:sz w:val="24"/>
          <w:szCs w:val="24"/>
          <w:vertAlign w:val="superscript"/>
          <w:lang w:eastAsia="en-GB"/>
        </w:rPr>
        <w:footnoteReference w:id="12"/>
      </w:r>
      <w:r>
        <w:rPr>
          <w:rFonts w:ascii="Times New Roman" w:hAnsi="Times New Roman"/>
          <w:noProof/>
          <w:sz w:val="24"/>
          <w:szCs w:val="24"/>
        </w:rPr>
        <w:t xml:space="preserve"> și a solicitat în mod repetat includerea sa în orice acord relevant încheiat de UE cu țări și regiuni terțe. În Strategia externă din 2016, Comisia a propus actualizarea și consolidarea clauzei standard de bună guvernanță, în vederea alinierii la cele mai recente norme internaționale. Statele membre au aprobat un text nou în luna mai 2018 și au confirmat că această formulare ar trebui inclusă în toate acordurile internaționale relevante. </w:t>
      </w:r>
    </w:p>
    <w:p>
      <w:pPr>
        <w:spacing w:after="200" w:line="276" w:lineRule="auto"/>
        <w:jc w:val="both"/>
        <w:rPr>
          <w:rFonts w:ascii="Times New Roman" w:eastAsia="Times New Roman" w:hAnsi="Times New Roman" w:cs="Times New Roman"/>
          <w:noProof/>
          <w:sz w:val="24"/>
          <w:szCs w:val="24"/>
        </w:rPr>
      </w:pPr>
      <w:r>
        <w:rPr>
          <w:rFonts w:ascii="Times New Roman" w:hAnsi="Times New Roman"/>
          <w:noProof/>
          <w:sz w:val="24"/>
        </w:rPr>
        <w:t>De atunci, Comisia a prezentat clauza actualizată în toate negocierile noi și în curs de desfășurare relevante, multe dintre acestea fiind în curs de a fi încheiate cu succes. Comisia va continua să insiste asupra includerii clauzei de bună guvernanță fiscală în toate negocierile viitoare relevante ale acordurilor internaționale. În cazul în care o țară terță refuză să accepte clauza sau insistă să o modifice astfel încât aceasta nu mai servește scopului avut în vedere, Comisia și statele membre trebuie să ia în considerare un răspuns corespunzător. Aceste țări ar putea fi monitorizate în cadrul exercițiului de listare al UE.</w:t>
      </w:r>
    </w:p>
    <w:p>
      <w:pPr>
        <w:spacing w:after="200"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În cadrul dialogului său cu țările terțe, Comisia va pune accentul, de asemenea, pe principiul „poluatorul plătește”, consacrat în Tratatul privind funcționarea Uniunii Europene, care prevede stabilirea prețurilor pentru externalitățile negative ale poluării sau ale altor activități dăunătoare. Taxele de mediu au un potențial insuficient explorat de a contribui la sisteme fiscale mai progresive și sustenabile și la societăți mai echitabile în țările în curs de dezvoltare. În multe țări în curs de dezvoltare, creșterea volumului de venituri colectate prin intermediul taxelor de mediu are, de asemenea, potențialul de a reduce dependența statului de ajutoare și de finanțarea prin îndatorare și de a facilita mobilizarea resurselor interne pentru serviciile publice. Având în vedere că taxele de mediu sunt mai greu de evitat decât, de exemplu, impozitul pe profit sau impozitul pe venit, acestea au, de asemenea, potențialul de a consolida răspunderea statului, de a îmbunătăți civismul fiscal și de a consolida guvernanța fiscală. </w:t>
      </w:r>
    </w:p>
    <w:p>
      <w:pPr>
        <w:spacing w:after="0" w:line="276" w:lineRule="auto"/>
        <w:jc w:val="both"/>
        <w:rPr>
          <w:rFonts w:ascii="Times New Roman" w:eastAsia="Calibri" w:hAnsi="Times New Roman" w:cs="Times New Roman"/>
          <w:b/>
          <w:noProof/>
          <w:sz w:val="24"/>
          <w:szCs w:val="24"/>
          <w:u w:val="single"/>
        </w:rPr>
      </w:pPr>
    </w:p>
    <w:p>
      <w:pPr>
        <w:pStyle w:val="Heading2"/>
        <w:rPr>
          <w:noProof/>
        </w:rPr>
      </w:pPr>
      <w:r>
        <w:rPr>
          <w:noProof/>
        </w:rPr>
        <w:t>4. ÎMBUNĂTĂȚIREA MĂSURILOR DE CONSOLIDARE A BUNEI GUVERNANȚE</w:t>
      </w: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 xml:space="preserve">Includerea pe listă a unei jurisdicții ar trebui să fie o opțiune de ultimă instanță, rezervată țărilor care refuză să recunoască sau să abordeze în mod corespunzător preocupările UE în ceea ce privește sistemele lor fiscale. Cu toate acestea, odată ce o jurisdicție este inclusă pe listă, ar trebui să existe consecințe, pentru a se garanta faptul că lista UE rămâne eficace. </w:t>
      </w:r>
    </w:p>
    <w:p>
      <w:pPr>
        <w:spacing w:after="0" w:line="276" w:lineRule="auto"/>
        <w:jc w:val="both"/>
        <w:rPr>
          <w:rFonts w:ascii="Times New Roman" w:hAnsi="Times New Roman" w:cs="Times New Roman"/>
          <w:noProof/>
          <w:sz w:val="24"/>
          <w:szCs w:val="24"/>
        </w:rPr>
      </w:pP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De la stabilirea listei UE, au fost lansate contramăsuri împotriva jurisdicțiilor incluse pe listă cu privire la două aspecte. În primul rând, UE a adoptat dispoziții mai stricte în legislația sa fundamentală în materie de finanțare</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pentru a evita ca fondurile UE să fie investite în mod indirect în jurisdicțiile UE incluse pe listă sau canalizate prin acestea. În plus, statele membre ale UE au convenit să aplice în mod coordonat măsuri de protecție împotriva jurisdicțiilor incluse pe lista UE. Contramăsurile aferente listei UE ar trebui revizuite în mod regulat, pentru a se garanta că acestea sunt cât se poate de disuasive și de eficiente. </w:t>
      </w:r>
    </w:p>
    <w:p>
      <w:pPr>
        <w:spacing w:after="0" w:line="276" w:lineRule="auto"/>
        <w:jc w:val="both"/>
        <w:rPr>
          <w:rFonts w:ascii="Times New Roman" w:hAnsi="Times New Roman" w:cs="Times New Roman"/>
          <w:noProof/>
          <w:sz w:val="24"/>
          <w:szCs w:val="24"/>
        </w:rPr>
      </w:pPr>
    </w:p>
    <w:p>
      <w:pPr>
        <w:spacing w:after="0" w:line="276" w:lineRule="auto"/>
        <w:jc w:val="both"/>
        <w:rPr>
          <w:rFonts w:ascii="Times New Roman" w:hAnsi="Times New Roman" w:cs="Times New Roman"/>
          <w:i/>
          <w:iCs/>
          <w:noProof/>
          <w:sz w:val="24"/>
          <w:szCs w:val="24"/>
        </w:rPr>
      </w:pPr>
      <w:r>
        <w:rPr>
          <w:rFonts w:ascii="Times New Roman" w:hAnsi="Times New Roman"/>
          <w:i/>
          <w:iCs/>
          <w:noProof/>
          <w:sz w:val="24"/>
          <w:szCs w:val="24"/>
        </w:rPr>
        <w:t>4 (a) Promovarea bunei guvernanțe fiscale prin fondurile UE</w:t>
      </w:r>
    </w:p>
    <w:p>
      <w:pPr>
        <w:spacing w:after="0" w:line="276" w:lineRule="auto"/>
        <w:jc w:val="both"/>
        <w:rPr>
          <w:rFonts w:ascii="Times New Roman" w:hAnsi="Times New Roman" w:cs="Times New Roman"/>
          <w:iCs/>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După cum s-a anunțat în Strategia externă din 2016, UE a introdus o legătură obligatorie din punct de vedere juridic între standardele de bună guvernanță fiscală și utilizarea fondurilor UE. Acest lucru se reflectă într-o serie de instrumente juridice esențiale</w:t>
      </w:r>
      <w:r>
        <w:rPr>
          <w:rStyle w:val="FootnoteReference"/>
          <w:rFonts w:ascii="Times New Roman" w:hAnsi="Times New Roman" w:cs="Times New Roman"/>
          <w:iCs/>
          <w:noProof/>
          <w:sz w:val="24"/>
          <w:szCs w:val="24"/>
        </w:rPr>
        <w:footnoteReference w:id="14"/>
      </w:r>
      <w:r>
        <w:rPr>
          <w:rFonts w:ascii="Times New Roman" w:hAnsi="Times New Roman"/>
          <w:iCs/>
          <w:noProof/>
          <w:sz w:val="24"/>
          <w:szCs w:val="24"/>
        </w:rPr>
        <w:t xml:space="preserve">, care împiedică fondurile UE să sprijine proiecte care contribuie la evitarea obligațiilor fiscale. În plus, pentru instrumentele financiare și garanțiile bugetare, cadrul juridic împiedică utilizarea jurisdicțiilor incluse pe lista neagră a UE în scopuri fiscale sau pe lista UE a țărilor terțe cu un grad ridicat de risc în ceea ce privește combaterea spălării banilor și a finanțării terorismului. Cu toate acestea, în cazul în care proiectul este pus în aplicare fizic în jurisdicția respectivă, finanțarea poate fi, totuși, permisă pentru a menține obiectivele de dezvoltare și de sustenabilitate. </w:t>
      </w:r>
    </w:p>
    <w:p>
      <w:pPr>
        <w:spacing w:after="0" w:line="276" w:lineRule="auto"/>
        <w:jc w:val="both"/>
        <w:rPr>
          <w:rFonts w:ascii="Times New Roman" w:hAnsi="Times New Roman" w:cs="Times New Roman"/>
          <w:iCs/>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Comisia a oferit, de asemenea, orientări</w:t>
      </w:r>
      <w:r>
        <w:rPr>
          <w:rStyle w:val="FootnoteReference"/>
          <w:rFonts w:ascii="Times New Roman" w:hAnsi="Times New Roman" w:cs="Times New Roman"/>
          <w:iCs/>
          <w:noProof/>
          <w:sz w:val="24"/>
          <w:szCs w:val="24"/>
        </w:rPr>
        <w:footnoteReference w:id="15"/>
      </w:r>
      <w:r>
        <w:rPr>
          <w:rFonts w:ascii="Times New Roman" w:hAnsi="Times New Roman"/>
          <w:iCs/>
          <w:noProof/>
          <w:sz w:val="24"/>
          <w:szCs w:val="24"/>
        </w:rPr>
        <w:t xml:space="preserve"> partenerilor de implementare ai UE și le-a solicitat să se asigure că politicile lor interne le permit să pună în aplicare fondurile UE în conformitate cu noile cerințe fiscale ale UE. Banca Europeană pentru Reconstrucție și Dezvoltare (BERD) și Grupul Băncii Europene de Investiții (BEI) au publicat politici interne, pentru a ține seama de recentele evoluții fiscale internaționale</w:t>
      </w:r>
      <w:r>
        <w:rPr>
          <w:rStyle w:val="FootnoteReference"/>
          <w:rFonts w:ascii="Times New Roman" w:hAnsi="Times New Roman" w:cs="Times New Roman"/>
          <w:iCs/>
          <w:noProof/>
          <w:sz w:val="24"/>
          <w:szCs w:val="24"/>
        </w:rPr>
        <w:footnoteReference w:id="16"/>
      </w:r>
      <w:r>
        <w:rPr>
          <w:rFonts w:ascii="Times New Roman" w:hAnsi="Times New Roman"/>
          <w:iCs/>
          <w:noProof/>
          <w:sz w:val="24"/>
          <w:szCs w:val="24"/>
        </w:rPr>
        <w:t>. Acțiunile la nivel internațional și normele stricte privind utilizarea fondurilor UE au determinat, de asemenea, o serie de instituții financiare internaționale și agenții naționale să își îmbunătățească controalele aferente obligației de diligență. Acest lucru încurajează operatorii de pe piață ca, la rândul lor, să se distanțeze de regimurile din jurisdicțiile necooperante și să fie mai vigilenți în ceea ce privește riscurile de evitare a obligațiilor fiscale.</w:t>
      </w:r>
    </w:p>
    <w:p>
      <w:pPr>
        <w:spacing w:after="0" w:line="276" w:lineRule="auto"/>
        <w:jc w:val="both"/>
        <w:rPr>
          <w:rFonts w:ascii="Times New Roman" w:hAnsi="Times New Roman" w:cs="Times New Roman"/>
          <w:iCs/>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 xml:space="preserve">Pe baza aplicării acestor norme până în prezent, Comisia consideră că acestea ar putea fi utilizate pe scară mai largă, pentru a consolida principiile bunei guvernanțe fiscale. Statele membre ale UE ar trebui să reflecte eforturile UE în ceea ce privește utilizarea fondurilor lor proprii. Comisia îndeamnă statele membre care nu au făcut încă acest lucru să reflecte cerințele UE în politicile lor naționale de finanțare și în normele de conformitate ale băncilor lor de promovare economică și ale agențiilor lor de dezvoltare. În acest mod, nici fondurile din partea UE, nici cele ale statelor sale membre nu ar fi direcționate prin intermediul entităților din jurisdicțiile incluse pe listă și nu ar fi implicate în mecanisme de evitare a obligațiilor fiscale. Acest lucru ar conferi UE mai multă greutate și credibilitate în promovarea standardelor de bună guvernanță fiscală la nivel internațional. </w:t>
      </w:r>
    </w:p>
    <w:p>
      <w:pPr>
        <w:spacing w:after="0" w:line="276" w:lineRule="auto"/>
        <w:jc w:val="both"/>
        <w:rPr>
          <w:rFonts w:ascii="Times New Roman" w:hAnsi="Times New Roman" w:cs="Times New Roman"/>
          <w:iCs/>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În aceeași ordine de idei, Comisia a prezentat o recomandare</w:t>
      </w:r>
      <w:r>
        <w:rPr>
          <w:rStyle w:val="FootnoteReference"/>
          <w:rFonts w:ascii="Times New Roman" w:hAnsi="Times New Roman" w:cs="Times New Roman"/>
          <w:iCs/>
          <w:noProof/>
          <w:sz w:val="24"/>
          <w:szCs w:val="24"/>
        </w:rPr>
        <w:footnoteReference w:id="17"/>
      </w:r>
      <w:r>
        <w:rPr>
          <w:rFonts w:ascii="Times New Roman" w:hAnsi="Times New Roman"/>
          <w:iCs/>
          <w:noProof/>
          <w:sz w:val="24"/>
          <w:szCs w:val="24"/>
        </w:rPr>
        <w:t xml:space="preserve"> în temeiul căreia statele membre ar trebui să condiționeze acordarea de sprijin financiar întreprinderilor de absența legăturilor între întreprinderile respective și jurisdicțiile care figurează pe lista UE a jurisdicțiilor necooperante în scopuri fiscale, astfel încât să se asigure că eforturile considerabile depuse de statele membre pentru a sprijini redresarea sunt puse în aplicare într-un mod compatibil cu necesitatea de a asigura echitatea fiscală la nivel internațional. </w:t>
      </w:r>
    </w:p>
    <w:p>
      <w:pPr>
        <w:spacing w:after="0" w:line="276" w:lineRule="auto"/>
        <w:jc w:val="both"/>
        <w:rPr>
          <w:rFonts w:ascii="Times New Roman" w:hAnsi="Times New Roman" w:cs="Times New Roman"/>
          <w:iCs/>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 xml:space="preserve">Cel mai probabil până la sfârșitul anului 2020, Comisia va lansa și o dezbatere cu statele membre pentru a examina modul în care poate fi realizată această aliniere a politicilor de finanțare ale UE și a celor naționale. De asemenea, Comisia va lua în considerare, în acest context, dacă utilizarea fondurilor UE și ale statelor membre și măsurile de protecție ale statelor membre pot fi aliniate mai bine pentru a concentra impactul asupra jurisdicțiilor necooperante. </w:t>
      </w:r>
    </w:p>
    <w:p>
      <w:pPr>
        <w:spacing w:after="0" w:line="276" w:lineRule="auto"/>
        <w:jc w:val="both"/>
        <w:rPr>
          <w:rFonts w:ascii="Times New Roman" w:hAnsi="Times New Roman" w:cs="Times New Roman"/>
          <w:iCs/>
          <w:noProof/>
          <w:sz w:val="24"/>
          <w:szCs w:val="24"/>
        </w:rPr>
      </w:pPr>
    </w:p>
    <w:p>
      <w:pPr>
        <w:spacing w:after="0" w:line="276" w:lineRule="auto"/>
        <w:jc w:val="both"/>
        <w:rPr>
          <w:rFonts w:ascii="Times New Roman" w:hAnsi="Times New Roman" w:cs="Times New Roman"/>
          <w:noProof/>
          <w:sz w:val="24"/>
          <w:szCs w:val="24"/>
        </w:rPr>
      </w:pPr>
      <w:r>
        <w:rPr>
          <w:rFonts w:ascii="Times New Roman" w:hAnsi="Times New Roman"/>
          <w:iCs/>
          <w:noProof/>
          <w:sz w:val="24"/>
          <w:szCs w:val="24"/>
        </w:rPr>
        <w:t xml:space="preserve">Într-o a doua etapă, pe baza experienței acumulate la nivelul UE, Comisia va analiza în ce mod pot fi cooptați și alți donatori internaționali pentru a preveni evaziunea fiscală în utilizarea tuturor fondurilor publice. Comisia va prezenta un raport privind activitatea internă de coordonare a UE până la jumătatea anului 2022 și apoi va analiza </w:t>
      </w:r>
      <w:r>
        <w:rPr>
          <w:rFonts w:ascii="Times New Roman" w:hAnsi="Times New Roman"/>
          <w:noProof/>
          <w:sz w:val="24"/>
          <w:szCs w:val="24"/>
        </w:rPr>
        <w:t xml:space="preserve">modalitățile de promovare a celor mai bune practici la nivel internațional în ansamblu. </w:t>
      </w: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 xml:space="preserve"> </w:t>
      </w: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 xml:space="preserve">În paralel, Comisia va continua să se implice într-un dialog strâns cu instituțiile financiare internaționale și cu alți parteneri de implementare, pentru a examina impactul pe care l-au avut noile cerințe ale UE asupra activității și proceselor lor. În special, aceasta va analiza dacă orientările trebuie să fie clarificate sau actualizate. Pentru a facilita punerea în aplicare, a identifica cele mai bune practici și a promova condiții de concurență echitabile, Comisia va lansa discuții cu partenerii UE de implementare pe această temă înainte de sfârșitul anului 2020. Pe baza acestor discuții, Comisia va prezenta un raport Parlamentului European și Consiliului, începând din 2022, cu clarificări și soluții pentru anumite aspecte, după cum este necesar. </w:t>
      </w:r>
    </w:p>
    <w:p>
      <w:pPr>
        <w:spacing w:after="0" w:line="276" w:lineRule="auto"/>
        <w:jc w:val="both"/>
        <w:rPr>
          <w:rFonts w:ascii="Times New Roman" w:hAnsi="Times New Roman" w:cs="Times New Roman"/>
          <w:b/>
          <w:iCs/>
          <w:noProof/>
          <w:sz w:val="24"/>
          <w:szCs w:val="24"/>
        </w:rPr>
      </w:pPr>
    </w:p>
    <w:p>
      <w:pPr>
        <w:spacing w:after="0" w:line="276" w:lineRule="auto"/>
        <w:jc w:val="both"/>
        <w:rPr>
          <w:rFonts w:ascii="Times New Roman" w:hAnsi="Times New Roman" w:cs="Times New Roman"/>
          <w:i/>
          <w:iCs/>
          <w:noProof/>
          <w:sz w:val="24"/>
          <w:szCs w:val="24"/>
        </w:rPr>
      </w:pPr>
      <w:r>
        <w:rPr>
          <w:rFonts w:ascii="Times New Roman" w:hAnsi="Times New Roman"/>
          <w:i/>
          <w:iCs/>
          <w:noProof/>
          <w:sz w:val="24"/>
          <w:szCs w:val="24"/>
        </w:rPr>
        <w:t>4 (b) Consolidarea măsurilor de protecție împotriva jurisdicțiilor necooperante</w:t>
      </w:r>
    </w:p>
    <w:p>
      <w:pPr>
        <w:spacing w:after="0" w:line="276" w:lineRule="auto"/>
        <w:jc w:val="both"/>
        <w:rPr>
          <w:rFonts w:ascii="Times New Roman" w:hAnsi="Times New Roman" w:cs="Times New Roman"/>
          <w:i/>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În plus față de punerea în aplicare a unor dispoziții mai stricte privind fondurile UE, Comisia a solicitat în mod constant statelor membre să aplice măsuri de protecție puternice, disuasive și coordonate împotriva țărilor incluse pe lista UE. Este important să existe o abordare comună a măsurilor de protecție, pentru a garanta că lista UE are un impact real și, de asemenea, pentru a oferi claritate și certitudine țărilor terțe și investitorilor. În decembrie 2017, statele membre au luat primele măsuri în vederea coordonării, convenind asupra unor măsuri administrative, cum ar fi intensificarea auditurilor, care să se aplice întreprinderilor și investitorilor din țările incluse pe lista UE</w:t>
      </w:r>
      <w:r>
        <w:rPr>
          <w:rStyle w:val="FootnoteReference"/>
          <w:rFonts w:ascii="Times New Roman" w:hAnsi="Times New Roman" w:cs="Times New Roman"/>
          <w:iCs/>
          <w:noProof/>
          <w:sz w:val="24"/>
          <w:szCs w:val="24"/>
        </w:rPr>
        <w:footnoteReference w:id="18"/>
      </w:r>
      <w:r>
        <w:rPr>
          <w:rFonts w:ascii="Times New Roman" w:hAnsi="Times New Roman"/>
          <w:iCs/>
          <w:noProof/>
          <w:sz w:val="24"/>
          <w:szCs w:val="24"/>
        </w:rPr>
        <w:t>. Acest efort a fost consolidat în decembrie 2019, când statele membre au convenit asupra unui set de măsuri de protecție care să se aplice împotriva țărilor incluse pe lista UE</w:t>
      </w:r>
      <w:r>
        <w:rPr>
          <w:rStyle w:val="FootnoteReference"/>
          <w:rFonts w:ascii="Times New Roman" w:hAnsi="Times New Roman" w:cs="Times New Roman"/>
          <w:iCs/>
          <w:noProof/>
          <w:sz w:val="24"/>
          <w:szCs w:val="24"/>
        </w:rPr>
        <w:footnoteReference w:id="19"/>
      </w:r>
      <w:r>
        <w:rPr>
          <w:rFonts w:ascii="Times New Roman" w:hAnsi="Times New Roman"/>
          <w:iCs/>
          <w:noProof/>
          <w:sz w:val="24"/>
          <w:szCs w:val="24"/>
        </w:rPr>
        <w:t>. Statele membre vor începe să aplice aceste măsuri de protecție în 2021 și au convenit să evalueze necesitatea unei coordonări suplimentare în 2022.</w:t>
      </w:r>
    </w:p>
    <w:p>
      <w:pPr>
        <w:spacing w:after="0" w:line="276" w:lineRule="auto"/>
        <w:jc w:val="both"/>
        <w:rPr>
          <w:rFonts w:ascii="Times New Roman" w:hAnsi="Times New Roman" w:cs="Times New Roman"/>
          <w:iCs/>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iCs/>
          <w:noProof/>
          <w:sz w:val="24"/>
          <w:szCs w:val="24"/>
        </w:rPr>
        <w:t xml:space="preserve">Această abordare coordonată merge în direcția cea bună, dar este lipsită de ambiție. În special, faptul că statele membre pot alege ce și câte măsuri să aplice din setul de instrumente ar putea duce la o situație fragmentată în cadrul pieței unice. Există riscul ca preocupările întreprinderilor cu privire la insecuritatea juridică și sarcinile administrative să nu se facă auzite. Este, de asemenea, posibil ca unii contribuabili să aibă capacitatea de a exploata neconcordanțele dintre măsurile statelor membre pentru a continua să transfere profiturile neimpozitate în afara pieței unice. </w:t>
      </w:r>
    </w:p>
    <w:p>
      <w:pPr>
        <w:spacing w:after="0" w:line="276" w:lineRule="auto"/>
        <w:jc w:val="both"/>
        <w:rPr>
          <w:rFonts w:ascii="Times New Roman" w:hAnsi="Times New Roman" w:cs="Times New Roman"/>
          <w:noProof/>
          <w:sz w:val="24"/>
          <w:szCs w:val="24"/>
        </w:rPr>
      </w:pPr>
    </w:p>
    <w:p>
      <w:pPr>
        <w:spacing w:after="0" w:line="276" w:lineRule="auto"/>
        <w:jc w:val="both"/>
        <w:rPr>
          <w:rFonts w:ascii="Times New Roman" w:hAnsi="Times New Roman" w:cs="Times New Roman"/>
          <w:iCs/>
          <w:noProof/>
          <w:sz w:val="24"/>
          <w:szCs w:val="24"/>
        </w:rPr>
      </w:pPr>
      <w:r>
        <w:rPr>
          <w:rFonts w:ascii="Times New Roman" w:hAnsi="Times New Roman"/>
          <w:noProof/>
          <w:sz w:val="24"/>
          <w:szCs w:val="24"/>
        </w:rPr>
        <w:t>Comisia va monitoriza situația cu atenție, pe măsură ce statele membre încep să aplice măsurile de protecție convenite, și va efectua o evaluare a măsurilor respective. Dacă abordarea de tip „set de instrumente” nu este suficient de eficace, pe baza evaluării din 2022 menționate mai sus, aceasta va</w:t>
      </w:r>
      <w:r>
        <w:rPr>
          <w:rFonts w:ascii="Times New Roman" w:hAnsi="Times New Roman"/>
          <w:iCs/>
          <w:noProof/>
          <w:sz w:val="24"/>
          <w:szCs w:val="24"/>
        </w:rPr>
        <w:t xml:space="preserve"> lua în considerare prezentarea unei propuneri legislative pentru măsuri de protecție coordonate. Acest lucru ar permite UE să ofere o incisivitate reală listei UE și ar asigura o politică cu adevărat coordonată față de țările incluse pe lista UE. </w:t>
      </w:r>
    </w:p>
    <w:p>
      <w:pPr>
        <w:spacing w:after="0" w:line="276" w:lineRule="auto"/>
        <w:jc w:val="both"/>
        <w:rPr>
          <w:rFonts w:ascii="Times New Roman" w:hAnsi="Times New Roman" w:cs="Times New Roman"/>
          <w:noProof/>
          <w:sz w:val="24"/>
          <w:szCs w:val="24"/>
        </w:rPr>
      </w:pPr>
    </w:p>
    <w:p>
      <w:pPr>
        <w:spacing w:after="0" w:line="276" w:lineRule="auto"/>
        <w:jc w:val="both"/>
        <w:rPr>
          <w:rFonts w:ascii="Times New Roman" w:hAnsi="Times New Roman" w:cs="Times New Roman"/>
          <w:noProof/>
          <w:sz w:val="24"/>
          <w:szCs w:val="24"/>
        </w:rPr>
      </w:pPr>
    </w:p>
    <w:p>
      <w:pPr>
        <w:pStyle w:val="Heading2"/>
        <w:rPr>
          <w:noProof/>
        </w:rPr>
      </w:pPr>
      <w:r>
        <w:rPr>
          <w:noProof/>
        </w:rPr>
        <w:t>5. SPRIJINIREA ȚĂRILOR PARTENERE ÎN CEEA CE PRIVEȘTE BUNA GUVERNANȚĂ FISCALĂ</w:t>
      </w:r>
    </w:p>
    <w:p>
      <w:pPr>
        <w:spacing w:line="276" w:lineRule="auto"/>
        <w:jc w:val="both"/>
        <w:rPr>
          <w:rFonts w:ascii="Times New Roman" w:hAnsi="Times New Roman" w:cs="Times New Roman"/>
          <w:noProof/>
          <w:sz w:val="24"/>
          <w:szCs w:val="24"/>
        </w:rPr>
      </w:pPr>
      <w:r>
        <w:rPr>
          <w:rFonts w:ascii="Times New Roman" w:hAnsi="Times New Roman"/>
          <w:bCs/>
          <w:iCs/>
          <w:noProof/>
          <w:sz w:val="24"/>
          <w:szCs w:val="24"/>
        </w:rPr>
        <w:t>Agenda UE privind buna guvernanță fiscală se extinde dincolo de preocupările de politică fiscală</w:t>
      </w:r>
      <w:r>
        <w:rPr>
          <w:rFonts w:ascii="Times New Roman" w:hAnsi="Times New Roman"/>
          <w:noProof/>
          <w:sz w:val="24"/>
          <w:szCs w:val="24"/>
        </w:rPr>
        <w:t>. În calitate de cel mai mare donator de ajutor pentru dezvoltare din lume și susținător al guvernanței globale, UE este conștientă de importanța bunei guvernanțe pentru partenerii în curs de dezvoltare.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Colectarea unor venituri suficiente rămâne o provocare pentru multe țări în curs de dezvoltare. Peste o treime dintre țările africane au un raport impozite-PIB mai mic de 15 %</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nivel considerat a fi minimul necesar pentru a putea furniza servicii sociale de bază. Țările în curs de dezvoltare depind aproape de două ori mai mult de impozitul pe profit pentru veniturile obținute comparativ cu țările dezvoltate</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Ca atare, acestea sunt mult mai afectate de problemele legate de frauda fiscală, de evaziunea fiscală și de evitarea obligațiilor fiscale. De asemenea, este probabil ca acestea să beneficieze de eforturile UE și internaționale pentru a ridica standardele mondiale și pentru a reduce planificarea fiscală agresivă la nivel mondial.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Strategia externă din 2016 a subliniat necesitatea unei mai mari coerențe între politica fiscală a UE și obiectivele sale internaționale în materie de dezvoltare. Prin inițiativa sa „Creșterea veniturilor colectate - eficientizarea cheltuielilor”</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Comisia a stabilit măsuri clare pentru a ajuta țările partenere să își îmbunătățească și să își protejeze bazele de impozitare, să genereze venituri sustenabile și să îmbunătățească eficiența cheltuielilor publice. De atunci, UE a sprijinit țările partenere să își îmbunătățească mobilizarea resurselor interne și să pună în aplicare sisteme fiscale echitabile, transparente și eficiente. Acest lucru este în conformitate cu angajamentele asumate de UE în cadrul Inițiativei fiscale de la Addis Abeba</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prin care s-a angajat să sporească atât sprijinul tehnic, cât și sprijinul financiar pentru mobilizarea veniturilor interne în țările în curs de dezvoltare.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conformitate cu angajamentele pe care și le-a asumat, UE este pe calea cea bună pentru a dubla sprijinul acordat țărilor în curs de dezvoltare în domeniul mobilizării resurselor interne. Începând din 2015, Comisia a sporit constant sprijinul acordat în acest domeniu, ajungând la aproximativ 1 000 de milioane EUR în 2019 și, printre altele, a cofinanțat un instrument</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de sprijinire a reformelor în 94 de administrații fiscale din întreaga lume. Operațiunile bilaterale de sprijin bugetar includ din ce în ce mai mult asistență pentru mobilizarea veniturilor interne și pentru punerea în aplicare a standardelor de bună guvernanță fiscală. Acest sprijin financiar și tehnic rămâne esențial pentru susținerea țărilor cu capacități administrative și financiare limitate, iar UE va continua să investească masiv în acest domeniu.</w:t>
      </w:r>
    </w:p>
    <w:p>
      <w:pPr>
        <w:spacing w:line="276" w:lineRule="auto"/>
        <w:jc w:val="both"/>
        <w:rPr>
          <w:rFonts w:ascii="Times New Roman" w:hAnsi="Times New Roman" w:cs="Times New Roman"/>
          <w:b/>
          <w:bCs/>
          <w:i/>
          <w:iCs/>
          <w:noProof/>
          <w:sz w:val="24"/>
          <w:szCs w:val="24"/>
        </w:rPr>
      </w:pPr>
      <w:r>
        <w:rPr>
          <w:rFonts w:ascii="Times New Roman" w:hAnsi="Times New Roman"/>
          <w:noProof/>
          <w:sz w:val="24"/>
          <w:szCs w:val="24"/>
        </w:rPr>
        <w:t>În plus, Comisia a analizat, de asemenea, posibilele efecte de propagare ale convențiilor de evitare a dublei impuneri semnate de statele membre cu țările în curs de dezvoltare, în special cu cele mai sărace țări. Comisia a elaborat un set de instrumente</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pe care statele membre ar putea să-l ia în considerare la negocierea convențiilor de evitare a dublei impuneri cu țările în curs de dezvoltare pentru a sprijini mobilizarea veniturilor lor interne. Problema efectelor de propagare a fost analizată în detaliu de Platforma pentru buna guvernanță fiscală, iar Comisia a organizat un seminar la nivel de experți pe această temă în 2018. Lucrările vor continua pe această temă în cadrul noului mandat al Platformei pentru buna guvernanță fiscală.  </w:t>
      </w:r>
    </w:p>
    <w:p>
      <w:pPr>
        <w:spacing w:line="276" w:lineRule="auto"/>
        <w:jc w:val="both"/>
        <w:rPr>
          <w:rFonts w:ascii="Times New Roman" w:hAnsi="Times New Roman" w:cs="Times New Roman"/>
          <w:b/>
          <w:bCs/>
          <w:i/>
          <w:iCs/>
          <w:noProof/>
          <w:sz w:val="24"/>
          <w:szCs w:val="24"/>
        </w:rPr>
      </w:pPr>
    </w:p>
    <w:p>
      <w:pPr>
        <w:keepNext/>
        <w:spacing w:line="276" w:lineRule="auto"/>
        <w:jc w:val="both"/>
        <w:rPr>
          <w:rFonts w:ascii="Times New Roman" w:hAnsi="Times New Roman" w:cs="Times New Roman"/>
          <w:noProof/>
          <w:sz w:val="24"/>
          <w:szCs w:val="24"/>
        </w:rPr>
      </w:pPr>
      <w:r>
        <w:rPr>
          <w:rFonts w:ascii="Times New Roman" w:hAnsi="Times New Roman"/>
          <w:b/>
          <w:bCs/>
          <w:i/>
          <w:iCs/>
          <w:noProof/>
          <w:sz w:val="24"/>
          <w:szCs w:val="24"/>
        </w:rPr>
        <w:t>5 (a) Consolidarea parteneriatului și a cooperării la nivel internațional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Odată cu începerea Deceniului de acțiune pentru punerea în aplicare a obiectivelor de dezvoltare durabilă</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buna guvernanță fiscală rămâne un aspect-cheie în privința căruia toate țările trebuie să acționeze. Acest demers este, de asemenea, în conformitate cu principiul coerenței politicilor pentru dezvoltare. Prin urmare, Comisia este hotărâtă să dea un impuls și mai puternic măsurilor de bună guvernanță fiscală și inițiativelor de stimulare a mobilizării veniturilor interne în rândul partenerilor UE în curs de dezvoltare.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Inițiativa fiscală de la Addis Abeba trebuia să se încheie în 2020. Cu toate acestea, semnatarii acestei inițiative au fost de acord să prelungească activitatea, având în vedere contribuția pozitivă pe care o poate avea la dezvoltarea durabilă pe termen lung a țărilor. Comisia contribuie în mod activ la definirea planului pentru următoarea etapă de lucru în cadrul Inițiativei fiscale de la Addis Abeba, pentru perioada de după 2020. Ea este ferm convinsă că activitatea în acest domeniu ar trebui să fie pe deplin aliniată la obiectivele de dezvoltare durabilă și că ar trebui accelerate activitățile de mobilizare a veniturilor interne la nivel internațional.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UE nu poate acționa singură în ceea ce privește buna guvernanță fiscală și punerea sa în aplicare în țările în curs de dezvoltare. Colaborarea strânsă cu OCDE, ONU, FMI și alți actori internaționali este esențială pentru coordonarea eficace a asistenței și a sprijinului. De exemplu, cadrele de finanțare naționale integrate – care identifică modul în care strategia de dezvoltare durabilă a fiecărei țări va fi finanțată din toate sursele de finanțare (publice/private, interne/internaționale) – ar reprezenta un cadru ideal pentru discutarea celor mai bune modalități de direcționare a finanțării. Comisia va continua, de asemenea, să încurajeze și să sprijine statele membre în furnizarea de expertiză tehnică în materie fiscală partenerilor UE care sunt țări în curs de dezvoltare, prin intermediul instrumentelor UE existente, cum ar fi înfrățirea instituțională și instrumentul de asistență tehnică și schimb de informații (TAIEX). </w:t>
      </w:r>
    </w:p>
    <w:p>
      <w:pPr>
        <w:spacing w:line="276" w:lineRule="auto"/>
        <w:jc w:val="both"/>
        <w:rPr>
          <w:rFonts w:ascii="Times New Roman" w:hAnsi="Times New Roman" w:cs="Times New Roman"/>
          <w:b/>
          <w:bCs/>
          <w:i/>
          <w:iCs/>
          <w:noProof/>
          <w:sz w:val="24"/>
          <w:szCs w:val="24"/>
        </w:rPr>
      </w:pPr>
      <w:r>
        <w:rPr>
          <w:rFonts w:ascii="Times New Roman" w:hAnsi="Times New Roman"/>
          <w:b/>
          <w:bCs/>
          <w:i/>
          <w:iCs/>
          <w:noProof/>
          <w:sz w:val="24"/>
          <w:szCs w:val="24"/>
        </w:rPr>
        <w:t>5 (b) Integrarea țărilor în curs de dezvoltare în cadrul fiscal mondial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Eforturile UE de a ajuta țările în curs de dezvoltare să combată abuzurile fiscale și să mobilizeze veniturile interne pot fi eficace doar dacă jurisdicțiile însele își asumă responsabilitatea pentru acest lucru. Eforturile globale de îmbunătățire a bunei guvernanțe necesită o abordare la nivel mondial complet favorabilă incluziunii și colaborativă. Din acest motiv, UE a sprijinit în mod activ participarea țărilor în curs de dezvoltare la forumurile fiscale internaționale, în cadrul cărora se stabilesc standarde și se efectuează evaluări </w:t>
      </w:r>
      <w:r>
        <w:rPr>
          <w:rFonts w:ascii="Times New Roman" w:hAnsi="Times New Roman"/>
          <w:i/>
          <w:iCs/>
          <w:noProof/>
          <w:sz w:val="24"/>
          <w:szCs w:val="24"/>
        </w:rPr>
        <w:t>inter pares</w:t>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Prin intermediul procesului de listare al UE, toate țările au fost încurajate să se alăture Cadrului cuprinzător al OCDE privind erodarea bazei impozabile și transferul profiturilor (BEPS) și Forumului mondial privind transparența și schimburile de informații. În calitate de participanți la aceste forumuri sau la alte organizații, țările în curs de dezvoltare se pot exprima atunci când se stabilesc noi standarde mondiale și se efectuează evaluări </w:t>
      </w:r>
      <w:r>
        <w:rPr>
          <w:rFonts w:ascii="Times New Roman" w:hAnsi="Times New Roman"/>
          <w:i/>
          <w:iCs/>
          <w:noProof/>
          <w:sz w:val="24"/>
          <w:szCs w:val="24"/>
        </w:rPr>
        <w:t>inter pares</w:t>
      </w:r>
      <w:r>
        <w:rPr>
          <w:rFonts w:ascii="Times New Roman" w:hAnsi="Times New Roman"/>
          <w:noProof/>
          <w:sz w:val="24"/>
          <w:szCs w:val="24"/>
        </w:rPr>
        <w:t>. De asemenea, UE a acordat finanțare țărilor în curs de dezvoltare, prin intermediul organizațiilor internaționale, pentru asistență tehnică în ceea ce privește punerea în aplicare a standardelor de bună guvernanță fiscală convenite. Finanțarea a inclus, de exemplu, 2 milioane EUR pentru Forumul mondial din 2019, pentru a ajuta țările în curs de dezvoltare să își îmbunătățească măsurile de transparență fiscală. Comisia va continua să sprijine participarea activă a țărilor în curs de dezvoltare la aceste organisme și va depune eforturi pentru a asigura o asistență mai bine direcționată</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și un dialog politic consolidat în vederea sprijinirii mobilizării veniturilor lor interne. </w:t>
      </w:r>
    </w:p>
    <w:p>
      <w:pPr>
        <w:spacing w:line="276" w:lineRule="auto"/>
        <w:jc w:val="both"/>
        <w:rPr>
          <w:rFonts w:ascii="Times New Roman" w:hAnsi="Times New Roman" w:cs="Times New Roman"/>
          <w:b/>
          <w:bCs/>
          <w:i/>
          <w:iCs/>
          <w:noProof/>
          <w:sz w:val="24"/>
          <w:szCs w:val="24"/>
        </w:rPr>
      </w:pPr>
      <w:r>
        <w:rPr>
          <w:rFonts w:ascii="Times New Roman" w:hAnsi="Times New Roman"/>
          <w:b/>
          <w:bCs/>
          <w:i/>
          <w:iCs/>
          <w:noProof/>
          <w:sz w:val="24"/>
          <w:szCs w:val="24"/>
        </w:rPr>
        <w:t>5 (c) Extinderea agendei de politici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Comisia, în cooperare cu Înaltul Reprezentant, va reflecta, de asemenea, asupra modalităților de integrare a priorităților fiscale mai ample în relațiile UE cu țările în curs de dezvoltare. Deși nu au legătură directă cu buna guvernanță fiscală, unele priorități în materie de politici sunt deosebit de relevante pentru sprijinirea unor sisteme fiscale mai sustenabile, solide și adaptate exigențelor viitorului în țările în curs de dezvoltare. Acest lucru este valabil în special pentru impozitarea ecologică, pentru impozitarea economiei digitale și pentru posibilele reforme internaționale în domeniul impozitului pe profit. Țările ar trebui să fie încurajate să acționeze în direcția unei tranziții fiscale sustenabile, care trebuie să fie introdusă în cadrul unor pachete mai ample de reforme fiscale pentru a evita riscul de creștere a inegalităților sociale, care sunt adesea deja semnificative.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Legătura dintre politicile comerciale și prioritățile în materie de venituri în țările terțe și în alte domenii de politici necesită, de asemenea, o analiză. De exemplu, țările în curs de dezvoltare ar trebui să fie sprijinite în identificarea veniturilor fiscale alternative sustenabile, pentru a compensa scăderea veniturilor vamale, care poate apărea ca urmare a unei mai bune integrări a acestora în economia regională și internațională, însoțită de reduceri tarifare corespunzătoare. UE ar trebui să ajute țările în curs de dezvoltare care doresc să reducă barierele din calea întreprinderilor și să scadă tarifele prin identificarea unor venituri alternative durabile și prin îmbunătățirea guvernanței administrative în domeniul vamal și fiscal. Acestea pot include taxe de mediu, dintre care multe sunt, în principiu, mai dificil de eludat și care vizează sprijinirea dezvoltării durabile. UE a oferit deja sprijin în aceste domenii și va continua să contribuie la eforturile depuse de țările respective în vederea alinierii cadrului lor juridic la normele internaționale, în cazul în care țările terțe solicită acest lucru și într-un mod care să corespundă cel mai bine țărilor terțe.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Comisia va monitoriza propunerea privind un nou Instrument de vecinătate, cooperare pentru dezvoltare și cooperare internațională</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care prevede că </w:t>
      </w:r>
      <w:r>
        <w:rPr>
          <w:rFonts w:ascii="Times New Roman" w:hAnsi="Times New Roman"/>
          <w:i/>
          <w:iCs/>
          <w:noProof/>
          <w:sz w:val="24"/>
          <w:szCs w:val="24"/>
        </w:rPr>
        <w:t>„impozitele, taxele și alte impuneri aplicate de țările partenere pot fi eligibile pentru finanțare”</w:t>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Se va aplica o abordare politică holistică și transsectorială prin care să se continue acțiunile menționate anterior, în conformitate cu principiul coerenței politicilor în favoarea dezvoltării. </w:t>
      </w:r>
    </w:p>
    <w:p>
      <w:pPr>
        <w:pStyle w:val="Heading2"/>
        <w:rPr>
          <w:noProof/>
        </w:rPr>
      </w:pPr>
      <w:r>
        <w:rPr>
          <w:noProof/>
        </w:rPr>
        <w:t>6. CONCLUZIE</w:t>
      </w:r>
    </w:p>
    <w:p>
      <w:pPr>
        <w:pStyle w:val="Normal1"/>
        <w:spacing w:before="0" w:beforeAutospacing="0" w:after="0" w:afterAutospacing="0" w:line="276" w:lineRule="auto"/>
        <w:jc w:val="both"/>
        <w:rPr>
          <w:noProof/>
        </w:rPr>
      </w:pPr>
      <w:r>
        <w:rPr>
          <w:noProof/>
        </w:rPr>
        <w:t xml:space="preserve">Impozitarea echitabilă și buna guvernanță fiscală – atât în interiorul UE, cât și în afara acesteia – rămân obiective fundamentale ale activității Comisiei în următorii ani. Prezenta comunicare răspunde solicitărilor Parlamentului European, ale Consiliului și ale societății civile de a revizui măsurile UE de asigurare a bunei guvernanțe, a concurenței loiale și a unor condiții de concurență echitabile pe piața unică și la nivel mondial. Aceasta recunoaște, de asemenea, rolul important pe care îl are impozitarea în punerea în aplicare a Agendei 2030 pentru dezvoltare durabilă. </w:t>
      </w:r>
    </w:p>
    <w:p>
      <w:pPr>
        <w:pStyle w:val="Normal1"/>
        <w:spacing w:before="0" w:beforeAutospacing="0" w:after="0" w:afterAutospacing="0" w:line="276" w:lineRule="auto"/>
        <w:jc w:val="both"/>
        <w:rPr>
          <w:noProof/>
        </w:rPr>
      </w:pPr>
      <w:r>
        <w:rPr>
          <w:noProof/>
        </w:rPr>
        <w:t xml:space="preserve"> </w:t>
      </w:r>
    </w:p>
    <w:p>
      <w:pPr>
        <w:pStyle w:val="Normal1"/>
        <w:spacing w:before="0" w:beforeAutospacing="0" w:after="0" w:afterAutospacing="0" w:line="276" w:lineRule="auto"/>
        <w:jc w:val="both"/>
        <w:rPr>
          <w:noProof/>
        </w:rPr>
      </w:pPr>
      <w:r>
        <w:rPr>
          <w:noProof/>
        </w:rPr>
        <w:t xml:space="preserve">Măsurile propuse în prezenta comunicare pot contribui la creșterea nivelului de impozitare echitabilă în cadrul UE și la crearea unui mediu fiscal mai echitabil la nivel internațional. Comisia invită Consiliul să acorde o prioritate politică ridicată acestor măsuri și să contribuie la punerea lor în aplicare. </w:t>
      </w:r>
    </w:p>
    <w:p>
      <w:pPr>
        <w:spacing w:line="276" w:lineRule="auto"/>
        <w:jc w:val="both"/>
        <w:rPr>
          <w:rFonts w:ascii="Times New Roman" w:hAnsi="Times New Roman"/>
          <w:noProof/>
          <w:sz w:val="24"/>
        </w:rPr>
      </w:pPr>
    </w:p>
    <w:sectPr>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76077" w16cid:durableId="221DC11C"/>
  <w16cid:commentId w16cid:paraId="33EED4F0" w16cid:durableId="221DC23A"/>
  <w16cid:commentId w16cid:paraId="407C7DFC" w16cid:durableId="221DC11D"/>
  <w16cid:commentId w16cid:paraId="02FA14B4" w16cid:durableId="221DC11E"/>
  <w16cid:commentId w16cid:paraId="6B5EC61C" w16cid:durableId="221DCCA1"/>
  <w16cid:commentId w16cid:paraId="4EF8DCEF" w16cid:durableId="221DC11F"/>
  <w16cid:commentId w16cid:paraId="3607B052" w16cid:durableId="221DC50D"/>
  <w16cid:commentId w16cid:paraId="3FB41353" w16cid:durableId="221DC40F"/>
  <w16cid:commentId w16cid:paraId="3C40A8B9" w16cid:durableId="221DC120"/>
  <w16cid:commentId w16cid:paraId="0165D851" w16cid:durableId="221DC121"/>
  <w16cid:commentId w16cid:paraId="121EEBEB" w16cid:durableId="221DC6B2"/>
  <w16cid:commentId w16cid:paraId="5B68377B" w16cid:durableId="221DD419"/>
  <w16cid:commentId w16cid:paraId="47F62F02" w16cid:durableId="221DC1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89693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Rezoluția Comisiei TAXE din 25 noiembrie 2015 referitoare la deciziile fiscale și alte măsuri similare sau cu efecte similare; Rezoluția Comisiei TAX2 din 6 iulie 2016 referitoare la deciziile fiscale și alte măsuri similare sau cu efecte similare, Recomandarea comisiei PANA din 13 decembrie 2017 în urma anchetei privind spălarea de bani, evitarea obligațiilor fiscale și evaziunea fiscală, Rezoluția TAX3 din 26 martie 2019 referitoare la infracțiunile financiare, evaziunea fiscală și evitarea obligațiilor fiscale. </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COM(2020)456 final.</w:t>
      </w:r>
    </w:p>
  </w:footnote>
  <w:footnote w:id="4">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COM(2016) 24 final. </w:t>
      </w:r>
    </w:p>
  </w:footnote>
  <w:footnote w:id="5">
    <w:p>
      <w:pPr>
        <w:pStyle w:val="FootnoteText"/>
        <w:contextualSpacing/>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312 final.</w:t>
      </w:r>
    </w:p>
  </w:footnote>
  <w:footnote w:id="6">
    <w:p>
      <w:pPr>
        <w:pStyle w:val="FootnoteText"/>
        <w:contextualSpacing/>
      </w:pPr>
      <w:r>
        <w:rPr>
          <w:rStyle w:val="FootnoteReference"/>
          <w:rFonts w:ascii="Times New Roman" w:hAnsi="Times New Roman" w:cs="Times New Roman"/>
        </w:rPr>
        <w:footnoteRef/>
      </w:r>
      <w:r>
        <w:rPr>
          <w:rFonts w:ascii="Times New Roman" w:hAnsi="Times New Roman"/>
        </w:rPr>
        <w:t xml:space="preserve"> COM(2020) 314 final.</w:t>
      </w:r>
    </w:p>
  </w:footnote>
  <w:footnote w:id="7">
    <w:p>
      <w:pPr>
        <w:pStyle w:val="NormalWeb"/>
        <w:shd w:val="clear" w:color="auto" w:fill="FFFFFF"/>
        <w:spacing w:before="0" w:beforeAutospacing="0" w:after="0" w:afterAutospacing="0"/>
        <w:contextualSpacing/>
        <w:rPr>
          <w:rFonts w:eastAsia="Arial Unicode MS" w:cs="Arial Unicode MS"/>
        </w:rPr>
      </w:pPr>
      <w:r>
        <w:rPr>
          <w:rStyle w:val="FootnoteReference"/>
          <w:sz w:val="20"/>
          <w:szCs w:val="20"/>
        </w:rPr>
        <w:footnoteRef/>
      </w:r>
      <w:r>
        <w:rPr>
          <w:sz w:val="20"/>
          <w:szCs w:val="20"/>
        </w:rPr>
        <w:t xml:space="preserve"> </w:t>
      </w:r>
      <w:r>
        <w:rPr>
          <w:rStyle w:val="Aucun"/>
          <w:color w:val="000000"/>
          <w:sz w:val="20"/>
          <w:szCs w:val="20"/>
        </w:rPr>
        <w:t xml:space="preserve">Directiva 2011/16/UE a Consiliului din 15 februarie 2011 privind cooperarea </w:t>
      </w:r>
      <w:r>
        <w:rPr>
          <w:rStyle w:val="Aucun"/>
          <w:color w:val="000000"/>
          <w:sz w:val="20"/>
          <w:szCs w:val="20"/>
          <w:u w:color="000000"/>
          <w:bdr w:val="nil"/>
        </w:rPr>
        <w:t xml:space="preserve">administrativă în domeniul fiscal, </w:t>
      </w:r>
      <w:r>
        <w:rPr>
          <w:rStyle w:val="Aucun"/>
          <w:color w:val="000000"/>
          <w:sz w:val="20"/>
          <w:szCs w:val="20"/>
        </w:rPr>
        <w:t>JO L 64, 11.3.2011, p. 1</w:t>
      </w:r>
      <w:r>
        <w:rPr>
          <w:rStyle w:val="Aucun"/>
          <w:color w:val="000000"/>
          <w:sz w:val="20"/>
          <w:szCs w:val="20"/>
          <w:u w:color="000000"/>
          <w:bdr w:val="nil"/>
        </w:rPr>
        <w:t>.</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https://www.oecd.org/tax/automatic-exchange/crs-implementation-and-assistance/residence-citizenship-by-investment/</w:t>
      </w:r>
      <w:r>
        <w:t>.</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https://data.consilium.europa.eu/doc/document/ST-8603-2020-REV-1/en/pdf</w:t>
      </w:r>
      <w:r>
        <w:t>.</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https://ec.europa.eu/info/files/200507-anti-money-laundering-terrorism-financing-action-plan-methodology_en</w:t>
      </w:r>
      <w:r>
        <w:t>.</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Ținând seama în mod corespunzător de activitatea din acest domeniu la nivel internațional. În contextul procesului de listare al UE pentru combaterea spălării banilor/finanțării terorismului, care se concentrează în sens larg asupra aspectelor legate de proprietatea efectivă, ar putea fi introduse cerințe suplimentare față de standardele internaționale, în conformitate cu prioritățile subliniate de Comisie în planul de acțiune pentru o politică amplă a Uniunii în materie de prevenire a spălării banilor și a finanțării terorismului (a se vedea: </w:t>
      </w:r>
      <w:hyperlink r:id="rId1" w:history="1">
        <w:r>
          <w:rPr>
            <w:rStyle w:val="Hyperlink"/>
            <w:rFonts w:ascii="Times New Roman" w:hAnsi="Times New Roman"/>
          </w:rPr>
          <w:t>https://ec.europa.eu/finance/docs/law/200507-anti-money-laundering-terrorism-financing-action-plan_en.pdf</w:t>
        </w:r>
      </w:hyperlink>
      <w:r>
        <w:rPr>
          <w:rFonts w:ascii="Times New Roman" w:hAnsi="Times New Roman"/>
        </w:rPr>
        <w:t xml:space="preserve"> ).</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Cs/>
        </w:rPr>
        <w:t>Raportul TAXE 3, 26.3.2019</w:t>
      </w:r>
      <w:r>
        <w:rPr>
          <w:rFonts w:ascii="Times New Roman" w:hAnsi="Times New Roman"/>
        </w:rPr>
        <w:t>.</w:t>
      </w:r>
    </w:p>
  </w:footnote>
  <w:footnote w:id="13">
    <w:p>
      <w:pPr>
        <w:pStyle w:val="FootnoteText"/>
        <w:jc w:val="both"/>
      </w:pPr>
      <w:r>
        <w:rPr>
          <w:rStyle w:val="FootnoteReference"/>
        </w:rPr>
        <w:footnoteRef/>
      </w:r>
      <w:r>
        <w:t xml:space="preserve"> </w:t>
      </w:r>
      <w:r>
        <w:rPr>
          <w:rFonts w:ascii="Times New Roman" w:hAnsi="Times New Roman"/>
          <w:iCs/>
        </w:rPr>
        <w:t>Printre acestea se numără actualul Regulament financiar al UE (RF), Regulamentul (UE) 2017/1601 privind Fondul european pentru dezvoltare durabilă (FEDD), Decizia 466/2014/UE privind mandatul de acordare a împrumuturilor externe (ELM) și Regulamentul (UE) 2015/1017 privind Fondul european pentru investiții strategice (FEIS).</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Cs/>
        </w:rPr>
        <w:t>Regulamentul financiar, Fondul european pentru dezvoltare durabilă (FEDD), Fondul european pentru investiții strategice (FEIS) și mandatul de acordare a împrumuturilor externe (ELM).</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Comunicarea Comisiei privind noile cerințe împotriva evitării obligațiilor fiscale în legislația UE care reglementează în special operațiunile de finanțare și de investiții [C (2018) 1756, 18.3.2018].</w:t>
      </w:r>
    </w:p>
  </w:footnote>
  <w:footnote w:id="16">
    <w:p>
      <w:pPr>
        <w:pStyle w:val="FootnoteText"/>
        <w:jc w:val="both"/>
      </w:pPr>
      <w:r>
        <w:rPr>
          <w:rStyle w:val="FootnoteReference"/>
          <w:rFonts w:ascii="Times New Roman" w:hAnsi="Times New Roman" w:cs="Times New Roman"/>
        </w:rPr>
        <w:footnoteRef/>
      </w:r>
      <w:r>
        <w:rPr>
          <w:rFonts w:ascii="Times New Roman" w:hAnsi="Times New Roman"/>
        </w:rPr>
        <w:t xml:space="preserve"> A se vedea </w:t>
      </w:r>
      <w:hyperlink r:id="rId2" w:history="1">
        <w:r>
          <w:rPr>
            <w:rStyle w:val="Hyperlink"/>
            <w:rFonts w:ascii="Times New Roman" w:hAnsi="Times New Roman"/>
          </w:rPr>
          <w:t>Domicilierea clienților BERD</w:t>
        </w:r>
      </w:hyperlink>
      <w:r>
        <w:rPr>
          <w:rFonts w:ascii="Times New Roman" w:hAnsi="Times New Roman"/>
        </w:rPr>
        <w:t xml:space="preserve"> și </w:t>
      </w:r>
      <w:hyperlink r:id="rId3" w:history="1">
        <w:r>
          <w:rPr>
            <w:rStyle w:val="Hyperlink"/>
            <w:rFonts w:ascii="Times New Roman" w:hAnsi="Times New Roman"/>
          </w:rPr>
          <w:t>politica Grupului BEI față de jurisdicțiile slab reglementate, netransparente și necooperante și buna guvernanță fiscală</w:t>
        </w:r>
      </w:hyperlink>
      <w:r>
        <w:rPr>
          <w:rFonts w:ascii="Times New Roman" w:hAnsi="Times New Roman"/>
        </w:rPr>
        <w:t xml:space="preserve"> (2019)</w:t>
      </w:r>
      <w:r>
        <w:t>.</w:t>
      </w:r>
    </w:p>
  </w:footnote>
  <w:footnote w:id="1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C(2020) 4885 final.</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anexa III la Concluziile Consiliului privind lista UE a jurisdicțiilor necooperante în scopuri fiscale (https://www.consilium.europa.eu/media/31945/st15429en17.pdf)</w:t>
      </w:r>
      <w:r>
        <w:t>.</w:t>
      </w:r>
    </w:p>
  </w:footnote>
  <w:footnote w:id="19">
    <w:p>
      <w:pPr>
        <w:pStyle w:val="FootnoteText"/>
        <w:jc w:val="both"/>
      </w:pPr>
      <w:r>
        <w:rPr>
          <w:rStyle w:val="FootnoteReference"/>
          <w:rFonts w:ascii="Times New Roman" w:hAnsi="Times New Roman" w:cs="Times New Roman"/>
        </w:rPr>
        <w:footnoteRef/>
      </w:r>
      <w:r>
        <w:rPr>
          <w:rFonts w:ascii="Times New Roman" w:hAnsi="Times New Roman"/>
        </w:rPr>
        <w:t xml:space="preserve"> A se vedea Anexa IV la Raportul Grupului pentru codul de conduită (impozitarea întreprinderilor) către Consiliu (https://data.consilium.europa.eu/doc/document/ST-14114-2019-INIT/en/pdf).</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Conform statisticilor OCDE privind veniturile.</w:t>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Impozitul pe profit reprezintă 16 % din totalul veniturilor fiscale în economiile cu venituri mici și medii, comparativ cu 8 % în țările dezvoltate.</w:t>
      </w:r>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https://ec.europa.eu/international-partnerships/system/files/swd-collect-more-spend-better_en.pdf</w:t>
        </w:r>
      </w:hyperlink>
      <w:r>
        <w:rPr>
          <w:rFonts w:ascii="Times New Roman" w:hAnsi="Times New Roman"/>
        </w:rPr>
        <w:t xml:space="preserve"> </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Inițiativă specifică din cadrul Agendei de acțiune de la Addis Abeba, axată pe creșterea asistenței pentru dezvoltare în ceea ce privește capacitatea fiscală și promovarea coerenței politicilor în favoarea dezvoltării. A se vedea: http://www.addistaxinitiative.net/.</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Instrumentul de evaluare și diagnostic pentru administrația fiscală (TADAT).</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https://ec.europa.eu/taxation_customs/sites/taxation/files/toolbox_dtas_spill_overs_en.pdf</w:t>
        </w:r>
      </w:hyperlink>
      <w:r>
        <w:rPr>
          <w:rFonts w:ascii="Times New Roman" w:hAnsi="Times New Roman"/>
        </w:rPr>
        <w:t xml:space="preserve"> </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https://www.un.org/sustainabledevelopment/decade-of-action/</w:t>
        </w:r>
      </w:hyperlink>
      <w:r>
        <w:rPr>
          <w:rFonts w:ascii="Times New Roman" w:hAnsi="Times New Roman"/>
        </w:rPr>
        <w:t xml:space="preserve"> </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împreună cu mai multe state membre ale UE și alți donatori internaționali, sprijină și optimizează programul  OCDE pentru relații internaționale și dezvoltare. A se vedea: </w:t>
      </w:r>
      <w:hyperlink r:id="rId7" w:history="1">
        <w:r>
          <w:rPr>
            <w:rStyle w:val="Hyperlink"/>
            <w:rFonts w:ascii="Times New Roman" w:hAnsi="Times New Roman"/>
          </w:rPr>
          <w:t>https://www.oecd.org/ctp/tax-global/</w:t>
        </w:r>
      </w:hyperlink>
      <w:r>
        <w:rPr>
          <w:rFonts w:ascii="Times New Roman" w:hAnsi="Times New Roman"/>
        </w:rPr>
        <w:t xml:space="preserve"> </w:t>
      </w:r>
    </w:p>
  </w:footnote>
  <w:footnote w:id="2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rPr>
          <w:t>https://eur-lex.europa.eu/legal-content/RO/TXT/?uri=COM%3A2018%3A460%3AFIN</w:t>
        </w:r>
      </w:hyperlink>
      <w:r>
        <w:t>.</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742"/>
    <w:multiLevelType w:val="hybridMultilevel"/>
    <w:tmpl w:val="F4DC4A62"/>
    <w:lvl w:ilvl="0" w:tplc="C882D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BE34A5"/>
    <w:multiLevelType w:val="hybridMultilevel"/>
    <w:tmpl w:val="BE0A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4B6CE5"/>
    <w:multiLevelType w:val="hybridMultilevel"/>
    <w:tmpl w:val="D6A87120"/>
    <w:lvl w:ilvl="0" w:tplc="C53E6D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121953"/>
    <w:multiLevelType w:val="hybridMultilevel"/>
    <w:tmpl w:val="CA98D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924259"/>
    <w:multiLevelType w:val="hybridMultilevel"/>
    <w:tmpl w:val="363E7170"/>
    <w:lvl w:ilvl="0" w:tplc="424E2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2621C"/>
    <w:multiLevelType w:val="hybridMultilevel"/>
    <w:tmpl w:val="D2023390"/>
    <w:lvl w:ilvl="0" w:tplc="33D61C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DB3D7D"/>
    <w:multiLevelType w:val="hybridMultilevel"/>
    <w:tmpl w:val="6B80913A"/>
    <w:lvl w:ilvl="0" w:tplc="CDB676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76152C"/>
    <w:multiLevelType w:val="hybridMultilevel"/>
    <w:tmpl w:val="C9DA2A04"/>
    <w:lvl w:ilvl="0" w:tplc="68A4F71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1420B8"/>
    <w:multiLevelType w:val="hybridMultilevel"/>
    <w:tmpl w:val="B98A691C"/>
    <w:lvl w:ilvl="0" w:tplc="FA46E2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42A72FF"/>
    <w:multiLevelType w:val="hybridMultilevel"/>
    <w:tmpl w:val="DAE8778C"/>
    <w:lvl w:ilvl="0" w:tplc="44CA70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F2FF9"/>
    <w:multiLevelType w:val="hybridMultilevel"/>
    <w:tmpl w:val="45E86BE2"/>
    <w:lvl w:ilvl="0" w:tplc="DC32FF4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B3309D"/>
    <w:multiLevelType w:val="hybridMultilevel"/>
    <w:tmpl w:val="55B4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6017E1"/>
    <w:multiLevelType w:val="hybridMultilevel"/>
    <w:tmpl w:val="6B76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3D5C2D"/>
    <w:multiLevelType w:val="hybridMultilevel"/>
    <w:tmpl w:val="E0ACD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6F43F9"/>
    <w:multiLevelType w:val="hybridMultilevel"/>
    <w:tmpl w:val="AA16A1E4"/>
    <w:lvl w:ilvl="0" w:tplc="3266EDE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12"/>
  </w:num>
  <w:num w:numId="5">
    <w:abstractNumId w:val="14"/>
  </w:num>
  <w:num w:numId="6">
    <w:abstractNumId w:val="5"/>
  </w:num>
  <w:num w:numId="7">
    <w:abstractNumId w:val="8"/>
  </w:num>
  <w:num w:numId="8">
    <w:abstractNumId w:val="2"/>
  </w:num>
  <w:num w:numId="9">
    <w:abstractNumId w:val="6"/>
  </w:num>
  <w:num w:numId="10">
    <w:abstractNumId w:val="4"/>
  </w:num>
  <w:num w:numId="11">
    <w:abstractNumId w:val="9"/>
  </w:num>
  <w:num w:numId="12">
    <w:abstractNumId w:val="13"/>
  </w:num>
  <w:num w:numId="13">
    <w:abstractNumId w:val="0"/>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D2E883B-FAFC-44AD-82EA-D4F493603C49"/>
    <w:docVar w:name="LW_COVERPAGE_TYPE" w:val="1"/>
    <w:docVar w:name="LW_CROSSREFERENCE" w:val="&lt;UNUSED&gt;"/>
    <w:docVar w:name="LW_DocType" w:val="NORMAL"/>
    <w:docVar w:name="LW_EMISSION" w:val="15.7.2020"/>
    <w:docVar w:name="LW_EMISSION_ISODATE" w:val="2020-07-15"/>
    <w:docVar w:name="LW_EMISSION_LOCATION" w:val="BRX"/>
    <w:docVar w:name="LW_EMISSION_PREFIX" w:val="Bruxelles, "/>
    <w:docVar w:name="LW_EMISSION_SUFFIX" w:val=" "/>
    <w:docVar w:name="LW_ID_DOCTYPE_NONLW" w:val="CP-012"/>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3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eferitoare la buna guvernan\u539?\u259? fiscal\u259?, atât în UE, cât \u537?i în afara acesteia&lt;/FMT&gt;"/>
    <w:docVar w:name="LW_TYPE.DOC.CP" w:val="COMUNICARE A COMISIEI C\u258?TRE PARLAMENTUL EUROPEAN \u536?I CONSILI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both"/>
      <w:outlineLvl w:val="0"/>
    </w:pPr>
    <w:rPr>
      <w:rFonts w:ascii="Times New Roman" w:eastAsia="SimSun" w:hAnsi="Times New Roman" w:cs="Times New Roman"/>
      <w:b/>
      <w:szCs w:val="20"/>
    </w:rPr>
  </w:style>
  <w:style w:type="paragraph" w:styleId="Heading2">
    <w:name w:val="heading 2"/>
    <w:basedOn w:val="Normal"/>
    <w:next w:val="Normal"/>
    <w:link w:val="Heading2Char"/>
    <w:uiPriority w:val="9"/>
    <w:unhideWhenUsed/>
    <w:qFormat/>
    <w:pPr>
      <w:keepNext/>
      <w:spacing w:line="276"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f Char"/>
    <w:basedOn w:val="DefaultParagraphFont"/>
    <w:link w:val="FootnoteText1"/>
    <w:uiPriority w:val="99"/>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Pr>
      <w:vertAlign w:val="superscript"/>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Footnote Text Char2,f,Schriftart: 9 pt,fn"/>
    <w:basedOn w:val="Normal"/>
    <w:link w:val="FootnoteTextChar1"/>
    <w:uiPriority w:val="99"/>
    <w:unhideWhenUsed/>
    <w:pPr>
      <w:spacing w:after="0" w:line="240" w:lineRule="auto"/>
    </w:pPr>
    <w:rPr>
      <w:sz w:val="20"/>
      <w:szCs w:val="20"/>
    </w:rPr>
  </w:style>
  <w:style w:type="character" w:customStyle="1" w:styleId="FootnoteTextChar1">
    <w:name w:val="Footnote Text Char1"/>
    <w:aliases w:val="Footnote Text Char3 Char1,Footnote Text Char1 Char1 Char1,Footnote Text Char2 Char Char Char1,Footnote Text Char1 Char1 Char Char Char1,Footnote Text Char2 Char Char Char Char Char1,Footnote Text Char1 Char1 Char Char Char Char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ind w:right="-28"/>
    </w:pPr>
    <w:rPr>
      <w:vertAlign w:val="superscript"/>
    </w:rPr>
  </w:style>
  <w:style w:type="paragraph" w:customStyle="1" w:styleId="Text1">
    <w:name w:val="Text 1"/>
    <w:basedOn w:val="Normal"/>
    <w:link w:val="Text1Char"/>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Pr>
      <w:rFonts w:ascii="Times New Roman" w:eastAsia="Times New Roman" w:hAnsi="Times New Roman" w:cs="Times New Roman"/>
      <w:sz w:val="24"/>
      <w:szCs w:val="20"/>
      <w:lang w:val="ro-RO"/>
    </w:rPr>
  </w:style>
  <w:style w:type="character" w:customStyle="1" w:styleId="num">
    <w:name w:val="num"/>
    <w:basedOn w:val="DefaultParagraphFont"/>
  </w:style>
  <w:style w:type="character" w:customStyle="1" w:styleId="Hyperlink1">
    <w:name w:val="Hyperlink1"/>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rPr>
      <w:rFonts w:ascii="Times New Roman" w:eastAsia="SimSun" w:hAnsi="Times New Roman" w:cs="Times New Roman"/>
      <w:b/>
      <w:szCs w:val="20"/>
    </w:rPr>
  </w:style>
  <w:style w:type="paragraph" w:customStyle="1" w:styleId="H1">
    <w:name w:val="_ H_1"/>
    <w:basedOn w:val="Normal"/>
    <w:next w:val="Normal"/>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Calibri" w:hAnsi="Times New Roman" w:cs="Times New Roman"/>
      <w:b/>
      <w:spacing w:val="4"/>
      <w:w w:val="103"/>
      <w:kern w:val="14"/>
      <w:sz w:val="24"/>
      <w:szCs w:val="20"/>
    </w:rPr>
  </w:style>
  <w:style w:type="character" w:customStyle="1" w:styleId="Aucun">
    <w:name w:val="Aucun"/>
  </w:style>
  <w:style w:type="paragraph" w:customStyle="1" w:styleId="Corps">
    <w:name w:val="Corps"/>
    <w:link w:val="CorpsChar"/>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eastAsia="en-GB"/>
      <w14:textOutline w14:w="0" w14:cap="flat" w14:cmpd="sng" w14:algn="ctr">
        <w14:noFill/>
        <w14:prstDash w14:val="solid"/>
        <w14:bevel/>
      </w14:textOutline>
    </w:rPr>
  </w:style>
  <w:style w:type="character" w:customStyle="1" w:styleId="CorpsChar">
    <w:name w:val="Corps Char"/>
    <w:basedOn w:val="DefaultParagraphFont"/>
    <w:link w:val="Corps"/>
    <w:rPr>
      <w:rFonts w:ascii="Times New Roman" w:eastAsia="Times New Roman" w:hAnsi="Times New Roman" w:cs="Times New Roman"/>
      <w:color w:val="000000"/>
      <w:sz w:val="24"/>
      <w:szCs w:val="24"/>
      <w:u w:color="000000"/>
      <w:bdr w:val="nil"/>
      <w:lang w:val="ro-RO" w:eastAsia="en-GB"/>
      <w14:textOutline w14:w="0" w14:cap="flat" w14:cmpd="sng" w14:algn="ctr">
        <w14:noFill/>
        <w14:prstDash w14:val="solid"/>
        <w14:bevel/>
      </w14:textOutli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Pr>
      <w:rFonts w:ascii="Times New Roman" w:hAnsi="Times New Roman" w:cs="Times New Roman"/>
      <w:b/>
      <w:bCs/>
      <w:i/>
      <w:iCs/>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both"/>
      <w:outlineLvl w:val="0"/>
    </w:pPr>
    <w:rPr>
      <w:rFonts w:ascii="Times New Roman" w:eastAsia="SimSun" w:hAnsi="Times New Roman" w:cs="Times New Roman"/>
      <w:b/>
      <w:szCs w:val="20"/>
    </w:rPr>
  </w:style>
  <w:style w:type="paragraph" w:styleId="Heading2">
    <w:name w:val="heading 2"/>
    <w:basedOn w:val="Normal"/>
    <w:next w:val="Normal"/>
    <w:link w:val="Heading2Char"/>
    <w:uiPriority w:val="9"/>
    <w:unhideWhenUsed/>
    <w:qFormat/>
    <w:pPr>
      <w:keepNext/>
      <w:spacing w:line="276"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f Char"/>
    <w:basedOn w:val="DefaultParagraphFont"/>
    <w:link w:val="FootnoteText1"/>
    <w:uiPriority w:val="99"/>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Pr>
      <w:vertAlign w:val="superscript"/>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Footnote Text Char2,f,Schriftart: 9 pt,fn"/>
    <w:basedOn w:val="Normal"/>
    <w:link w:val="FootnoteTextChar1"/>
    <w:uiPriority w:val="99"/>
    <w:unhideWhenUsed/>
    <w:pPr>
      <w:spacing w:after="0" w:line="240" w:lineRule="auto"/>
    </w:pPr>
    <w:rPr>
      <w:sz w:val="20"/>
      <w:szCs w:val="20"/>
    </w:rPr>
  </w:style>
  <w:style w:type="character" w:customStyle="1" w:styleId="FootnoteTextChar1">
    <w:name w:val="Footnote Text Char1"/>
    <w:aliases w:val="Footnote Text Char3 Char1,Footnote Text Char1 Char1 Char1,Footnote Text Char2 Char Char Char1,Footnote Text Char1 Char1 Char Char Char1,Footnote Text Char2 Char Char Char Char Char1,Footnote Text Char1 Char1 Char Char Char Char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ind w:right="-28"/>
    </w:pPr>
    <w:rPr>
      <w:vertAlign w:val="superscript"/>
    </w:rPr>
  </w:style>
  <w:style w:type="paragraph" w:customStyle="1" w:styleId="Text1">
    <w:name w:val="Text 1"/>
    <w:basedOn w:val="Normal"/>
    <w:link w:val="Text1Char"/>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Pr>
      <w:rFonts w:ascii="Times New Roman" w:eastAsia="Times New Roman" w:hAnsi="Times New Roman" w:cs="Times New Roman"/>
      <w:sz w:val="24"/>
      <w:szCs w:val="20"/>
      <w:lang w:val="ro-RO"/>
    </w:rPr>
  </w:style>
  <w:style w:type="character" w:customStyle="1" w:styleId="num">
    <w:name w:val="num"/>
    <w:basedOn w:val="DefaultParagraphFont"/>
  </w:style>
  <w:style w:type="character" w:customStyle="1" w:styleId="Hyperlink1">
    <w:name w:val="Hyperlink1"/>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rPr>
      <w:rFonts w:ascii="Times New Roman" w:eastAsia="SimSun" w:hAnsi="Times New Roman" w:cs="Times New Roman"/>
      <w:b/>
      <w:szCs w:val="20"/>
    </w:rPr>
  </w:style>
  <w:style w:type="paragraph" w:customStyle="1" w:styleId="H1">
    <w:name w:val="_ H_1"/>
    <w:basedOn w:val="Normal"/>
    <w:next w:val="Normal"/>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Calibri" w:hAnsi="Times New Roman" w:cs="Times New Roman"/>
      <w:b/>
      <w:spacing w:val="4"/>
      <w:w w:val="103"/>
      <w:kern w:val="14"/>
      <w:sz w:val="24"/>
      <w:szCs w:val="20"/>
    </w:rPr>
  </w:style>
  <w:style w:type="character" w:customStyle="1" w:styleId="Aucun">
    <w:name w:val="Aucun"/>
  </w:style>
  <w:style w:type="paragraph" w:customStyle="1" w:styleId="Corps">
    <w:name w:val="Corps"/>
    <w:link w:val="CorpsChar"/>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eastAsia="en-GB"/>
      <w14:textOutline w14:w="0" w14:cap="flat" w14:cmpd="sng" w14:algn="ctr">
        <w14:noFill/>
        <w14:prstDash w14:val="solid"/>
        <w14:bevel/>
      </w14:textOutline>
    </w:rPr>
  </w:style>
  <w:style w:type="character" w:customStyle="1" w:styleId="CorpsChar">
    <w:name w:val="Corps Char"/>
    <w:basedOn w:val="DefaultParagraphFont"/>
    <w:link w:val="Corps"/>
    <w:rPr>
      <w:rFonts w:ascii="Times New Roman" w:eastAsia="Times New Roman" w:hAnsi="Times New Roman" w:cs="Times New Roman"/>
      <w:color w:val="000000"/>
      <w:sz w:val="24"/>
      <w:szCs w:val="24"/>
      <w:u w:color="000000"/>
      <w:bdr w:val="nil"/>
      <w:lang w:val="ro-RO" w:eastAsia="en-GB"/>
      <w14:textOutline w14:w="0" w14:cap="flat" w14:cmpd="sng" w14:algn="ctr">
        <w14:noFill/>
        <w14:prstDash w14:val="solid"/>
        <w14:bevel/>
      </w14:textOutli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Pr>
      <w:rFonts w:ascii="Times New Roman" w:hAnsi="Times New Roman" w:cs="Times New Roman"/>
      <w:b/>
      <w:bCs/>
      <w:i/>
      <w:i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4953">
      <w:bodyDiv w:val="1"/>
      <w:marLeft w:val="0"/>
      <w:marRight w:val="0"/>
      <w:marTop w:val="0"/>
      <w:marBottom w:val="0"/>
      <w:divBdr>
        <w:top w:val="none" w:sz="0" w:space="0" w:color="auto"/>
        <w:left w:val="none" w:sz="0" w:space="0" w:color="auto"/>
        <w:bottom w:val="none" w:sz="0" w:space="0" w:color="auto"/>
        <w:right w:val="none" w:sz="0" w:space="0" w:color="auto"/>
      </w:divBdr>
    </w:div>
    <w:div w:id="1330866299">
      <w:bodyDiv w:val="1"/>
      <w:marLeft w:val="0"/>
      <w:marRight w:val="0"/>
      <w:marTop w:val="0"/>
      <w:marBottom w:val="0"/>
      <w:divBdr>
        <w:top w:val="none" w:sz="0" w:space="0" w:color="auto"/>
        <w:left w:val="none" w:sz="0" w:space="0" w:color="auto"/>
        <w:bottom w:val="none" w:sz="0" w:space="0" w:color="auto"/>
        <w:right w:val="none" w:sz="0" w:space="0" w:color="auto"/>
      </w:divBdr>
    </w:div>
    <w:div w:id="16219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RO/TXT/?uri=COM:2018:460:FIN" TargetMode="External"/><Relationship Id="rId3" Type="http://schemas.openxmlformats.org/officeDocument/2006/relationships/hyperlink" Target="https://www.eib.org/attachments/strategies/eib_group_ncj_policy_en.pdf" TargetMode="External"/><Relationship Id="rId7" Type="http://schemas.openxmlformats.org/officeDocument/2006/relationships/hyperlink" Target="https://www.oecd.org/ctp/tax-global/" TargetMode="External"/><Relationship Id="rId2" Type="http://schemas.openxmlformats.org/officeDocument/2006/relationships/hyperlink" Target="https://www.ebrd.com/what-we-do/strategies-and-policies.html" TargetMode="External"/><Relationship Id="rId1" Type="http://schemas.openxmlformats.org/officeDocument/2006/relationships/hyperlink" Target="https://ec.europa.eu/finance/docs/law/200507-anti-money-laundering-terrorism-financing-action-plan_en.pdf" TargetMode="External"/><Relationship Id="rId6" Type="http://schemas.openxmlformats.org/officeDocument/2006/relationships/hyperlink" Target="https://www.un.org/sustainabledevelopment/decade-of-action/" TargetMode="External"/><Relationship Id="rId5" Type="http://schemas.openxmlformats.org/officeDocument/2006/relationships/hyperlink" Target="https://ec.europa.eu/taxation_customs/sites/taxation/files/toolbox_dtas_spill_overs_en.pdf" TargetMode="External"/><Relationship Id="rId4" Type="http://schemas.openxmlformats.org/officeDocument/2006/relationships/hyperlink" Target="https://ec.europa.eu/international-partnerships/system/files/swd-collect-more-spend-better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854e86e4-aa1e-45db-b9e8-ab43264c33fa">EN</EC_Collab_DocumentLanguage>
    <EC_Collab_Status xmlns="854e86e4-aa1e-45db-b9e8-ab43264c33fa">Not Started</EC_Collab_Status>
    <EC_Collab_Reference xmlns="854e86e4-aa1e-45db-b9e8-ab43264c33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735F6FC079E4FA3D1715B7C735EF2" ma:contentTypeVersion="1" ma:contentTypeDescription="Create a new document in this library." ma:contentTypeScope="" ma:versionID="c60dff60fa9944708975c9241d964771">
  <xsd:schema xmlns:xsd="http://www.w3.org/2001/XMLSchema" xmlns:xs="http://www.w3.org/2001/XMLSchema" xmlns:p="http://schemas.microsoft.com/office/2006/metadata/properties" xmlns:ns3="854e86e4-aa1e-45db-b9e8-ab43264c33fa" targetNamespace="http://schemas.microsoft.com/office/2006/metadata/properties" ma:root="true" ma:fieldsID="c8b0a543e1d400058d3c599eb83784b5" ns3:_="">
    <xsd:import namespace="854e86e4-aa1e-45db-b9e8-ab43264c33fa"/>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86e4-aa1e-45db-b9e8-ab43264c33f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67EE001CA8E0A4899D01D595B590C26" ma:contentTypeVersion="4" ma:contentTypeDescription="Create a new document in this library." ma:contentTypeScope="" ma:versionID="6c36f239c72216d1e57e73ef7676e7b1">
  <xsd:schema xmlns:xsd="http://www.w3.org/2001/XMLSchema" xmlns:xs="http://www.w3.org/2001/XMLSchema" xmlns:p="http://schemas.microsoft.com/office/2006/metadata/properties" xmlns:ns3="a512c867-4806-4c0c-b1ec-a4edf6233e31" targetNamespace="http://schemas.microsoft.com/office/2006/metadata/properties" ma:root="true" ma:fieldsID="55a570639c34a996aad4d5f27036da96" ns3:_="">
    <xsd:import namespace="a512c867-4806-4c0c-b1ec-a4edf6233e31"/>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2c867-4806-4c0c-b1ec-a4edf6233e3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C39116-A8D1-4B33-869C-EB0762929906}">
  <ds:schemaRefs>
    <ds:schemaRef ds:uri="http://schemas.microsoft.com/office/2006/documentManagement/types"/>
    <ds:schemaRef ds:uri="854e86e4-aa1e-45db-b9e8-ab43264c33fa"/>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C2AB08-B1F9-43DA-9E22-65405EA6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86e4-aa1e-45db-b9e8-ab43264c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776A-BE19-4AE9-8D68-D581A646A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2c867-4806-4c0c-b1ec-a4edf6233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1D4B4-A8C9-4E4E-8D15-9E3B7CA8AE33}">
  <ds:schemaRefs>
    <ds:schemaRef ds:uri="http://schemas.microsoft.com/sharepoint/v3/contenttype/forms"/>
  </ds:schemaRefs>
</ds:datastoreItem>
</file>

<file path=customXml/itemProps5.xml><?xml version="1.0" encoding="utf-8"?>
<ds:datastoreItem xmlns:ds="http://schemas.openxmlformats.org/officeDocument/2006/customXml" ds:itemID="{8AB40730-3267-4A24-B84D-1F11157B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7527</Words>
  <Characters>42379</Characters>
  <Application>Microsoft Office Word</Application>
  <DocSecurity>0</DocSecurity>
  <Lines>605</Lines>
  <Paragraphs>100</Paragraphs>
  <ScaleCrop>false</ScaleCrop>
  <HeadingPairs>
    <vt:vector size="2" baseType="variant">
      <vt:variant>
        <vt:lpstr>Title</vt:lpstr>
      </vt:variant>
      <vt:variant>
        <vt:i4>1</vt:i4>
      </vt:variant>
    </vt:vector>
  </HeadingPairs>
  <TitlesOfParts>
    <vt:vector size="1" baseType="lpstr">
      <vt:lpstr>Draft Communication on Tax Good Governance</vt:lpstr>
    </vt:vector>
  </TitlesOfParts>
  <Manager/>
  <Company/>
  <LinksUpToDate>false</LinksUpToDate>
  <CharactersWithSpaces>49806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Communication on Tax Good Governance</dc:title>
  <dc:subject/>
  <dc:creator/>
  <cp:keywords/>
  <dc:description>Version updated to take into account ISSG comments</dc:description>
  <cp:lastModifiedBy>DIGIT/C6</cp:lastModifiedBy>
  <cp:revision>17</cp:revision>
  <cp:lastPrinted>2020-03-18T12:25:00Z</cp:lastPrinted>
  <dcterms:created xsi:type="dcterms:W3CDTF">2020-07-14T16:02:00Z</dcterms:created>
  <dcterms:modified xsi:type="dcterms:W3CDTF">2020-07-20T14:05:00Z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_LW_INVALIDATED_ContentTypeId">
    <vt:lpwstr>0x010100258AA79CEB83498886A3A08681123250003B9735F6FC079E4FA3D1715B7C735EF2</vt:lpwstr>
  </property>
  <property fmtid="{D5CDD505-2E9C-101B-9397-08002B2CF9AE}" pid="10" name="_LW_INVALIDATED__LW_INVALIDATED__LW_INVALIDATED__LW_INVALIDATED_ContentTypeId">
    <vt:lpwstr>0x010100258AA79CEB83498886A3A0868112325000167EE001CA8E0A4899D01D595B590C26</vt:lpwstr>
  </property>
</Properties>
</file>