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48C" w:rsidRDefault="00231628">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CBB5265-9C67-4993-B219-9C1D5C9B9407" style="width:450.6pt;height:361.8pt">
            <v:imagedata r:id="rId8" o:title=""/>
          </v:shape>
        </w:pict>
      </w:r>
    </w:p>
    <w:bookmarkEnd w:id="0"/>
    <w:p w:rsidR="00A7448C" w:rsidRDefault="00A7448C">
      <w:pPr>
        <w:rPr>
          <w:noProof/>
        </w:rPr>
        <w:sectPr w:rsidR="00A7448C">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A7448C" w:rsidRDefault="00A7448C">
      <w:pPr>
        <w:pStyle w:val="TOCHeading"/>
        <w:rPr>
          <w:rFonts w:eastAsiaTheme="minorHAnsi" w:cstheme="minorBidi"/>
          <w:b w:val="0"/>
          <w:smallCaps w:val="0"/>
          <w:noProof/>
          <w:color w:val="auto"/>
          <w:sz w:val="24"/>
          <w:szCs w:val="22"/>
          <w:lang w:val="en-GB"/>
        </w:rPr>
      </w:pPr>
    </w:p>
    <w:sdt>
      <w:sdtPr>
        <w:rPr>
          <w:rFonts w:eastAsiaTheme="minorHAnsi" w:cstheme="minorBidi"/>
          <w:b w:val="0"/>
          <w:smallCaps w:val="0"/>
          <w:noProof/>
          <w:color w:val="auto"/>
          <w:sz w:val="24"/>
          <w:szCs w:val="22"/>
        </w:rPr>
        <w:id w:val="-255520447"/>
        <w:docPartObj>
          <w:docPartGallery w:val="Table of Contents"/>
          <w:docPartUnique/>
        </w:docPartObj>
      </w:sdtPr>
      <w:sdtEndPr>
        <w:rPr>
          <w:bCs/>
        </w:rPr>
      </w:sdtEndPr>
      <w:sdtContent>
        <w:p w:rsidR="00A7448C" w:rsidRDefault="00231628">
          <w:pPr>
            <w:pStyle w:val="TOCHeading"/>
            <w:rPr>
              <w:noProof/>
            </w:rPr>
          </w:pPr>
          <w:r>
            <w:rPr>
              <w:noProof/>
            </w:rPr>
            <w:t>Inhaltsverzeichnis</w:t>
          </w:r>
        </w:p>
        <w:p w:rsidR="00A7448C" w:rsidRDefault="00231628">
          <w:pPr>
            <w:pStyle w:val="TOC1"/>
            <w:tabs>
              <w:tab w:val="right" w:leader="dot" w:pos="9062"/>
            </w:tabs>
            <w:rPr>
              <w:rFonts w:asciiTheme="minorHAnsi" w:eastAsiaTheme="minorEastAsia" w:hAnsiTheme="minorHAnsi"/>
              <w:noProof/>
              <w:sz w:val="22"/>
              <w:lang w:val="en-GB" w:eastAsia="en-GB"/>
            </w:rPr>
          </w:pPr>
          <w:r>
            <w:rPr>
              <w:noProof/>
            </w:rPr>
            <w:fldChar w:fldCharType="begin"/>
          </w:r>
          <w:r>
            <w:rPr>
              <w:noProof/>
            </w:rPr>
            <w:instrText xml:space="preserve"> TOC \o "1-3" \h \z \u </w:instrText>
          </w:r>
          <w:r>
            <w:rPr>
              <w:noProof/>
            </w:rPr>
            <w:fldChar w:fldCharType="separate"/>
          </w:r>
          <w:hyperlink w:anchor="_Toc46140213" w:history="1">
            <w:r>
              <w:rPr>
                <w:rStyle w:val="Hyperlink"/>
                <w:noProof/>
              </w:rPr>
              <w:t>1. Einleitung</w:t>
            </w:r>
            <w:r>
              <w:rPr>
                <w:noProof/>
                <w:webHidden/>
              </w:rPr>
              <w:tab/>
            </w:r>
            <w:r>
              <w:rPr>
                <w:noProof/>
                <w:webHidden/>
              </w:rPr>
              <w:fldChar w:fldCharType="begin"/>
            </w:r>
            <w:r>
              <w:rPr>
                <w:noProof/>
                <w:webHidden/>
              </w:rPr>
              <w:instrText xml:space="preserve"> PAGEREF _Toc46140213 \h </w:instrText>
            </w:r>
            <w:r>
              <w:rPr>
                <w:noProof/>
                <w:webHidden/>
              </w:rPr>
            </w:r>
            <w:r>
              <w:rPr>
                <w:noProof/>
                <w:webHidden/>
              </w:rPr>
              <w:fldChar w:fldCharType="separate"/>
            </w:r>
            <w:r>
              <w:rPr>
                <w:noProof/>
                <w:webHidden/>
              </w:rPr>
              <w:t>2</w:t>
            </w:r>
            <w:r>
              <w:rPr>
                <w:noProof/>
                <w:webHidden/>
              </w:rPr>
              <w:fldChar w:fldCharType="end"/>
            </w:r>
          </w:hyperlink>
        </w:p>
        <w:p w:rsidR="00A7448C" w:rsidRDefault="00231628">
          <w:pPr>
            <w:pStyle w:val="TOC1"/>
            <w:tabs>
              <w:tab w:val="right" w:leader="dot" w:pos="9062"/>
            </w:tabs>
            <w:rPr>
              <w:rFonts w:asciiTheme="minorHAnsi" w:eastAsiaTheme="minorEastAsia" w:hAnsiTheme="minorHAnsi"/>
              <w:noProof/>
              <w:sz w:val="22"/>
              <w:lang w:val="en-GB" w:eastAsia="en-GB"/>
            </w:rPr>
          </w:pPr>
          <w:hyperlink w:anchor="_Toc46140214" w:history="1">
            <w:r>
              <w:rPr>
                <w:rStyle w:val="Hyperlink"/>
                <w:noProof/>
              </w:rPr>
              <w:t>2. Operative Rahmenbedingungen</w:t>
            </w:r>
            <w:r>
              <w:rPr>
                <w:noProof/>
                <w:webHidden/>
              </w:rPr>
              <w:tab/>
            </w:r>
            <w:r>
              <w:rPr>
                <w:noProof/>
                <w:webHidden/>
              </w:rPr>
              <w:fldChar w:fldCharType="begin"/>
            </w:r>
            <w:r>
              <w:rPr>
                <w:noProof/>
                <w:webHidden/>
              </w:rPr>
              <w:instrText xml:space="preserve"> PAGEREF _Toc46140214 \h </w:instrText>
            </w:r>
            <w:r>
              <w:rPr>
                <w:noProof/>
                <w:webHidden/>
              </w:rPr>
            </w:r>
            <w:r>
              <w:rPr>
                <w:noProof/>
                <w:webHidden/>
              </w:rPr>
              <w:fldChar w:fldCharType="separate"/>
            </w:r>
            <w:r>
              <w:rPr>
                <w:noProof/>
                <w:webHidden/>
              </w:rPr>
              <w:t>2</w:t>
            </w:r>
            <w:r>
              <w:rPr>
                <w:noProof/>
                <w:webHidden/>
              </w:rPr>
              <w:fldChar w:fldCharType="end"/>
            </w:r>
          </w:hyperlink>
        </w:p>
        <w:p w:rsidR="00A7448C" w:rsidRDefault="00231628">
          <w:pPr>
            <w:pStyle w:val="TOC1"/>
            <w:tabs>
              <w:tab w:val="right" w:leader="dot" w:pos="9062"/>
            </w:tabs>
            <w:rPr>
              <w:rFonts w:asciiTheme="minorHAnsi" w:eastAsiaTheme="minorEastAsia" w:hAnsiTheme="minorHAnsi"/>
              <w:noProof/>
              <w:sz w:val="22"/>
              <w:lang w:val="en-GB" w:eastAsia="en-GB"/>
            </w:rPr>
          </w:pPr>
          <w:hyperlink w:anchor="_Toc46140215" w:history="1">
            <w:r>
              <w:rPr>
                <w:rStyle w:val="Hyperlink"/>
                <w:noProof/>
              </w:rPr>
              <w:t>3. V</w:t>
            </w:r>
            <w:r>
              <w:rPr>
                <w:rStyle w:val="Hyperlink"/>
                <w:noProof/>
              </w:rPr>
              <w:t>erwaltung des EFSD-Garantiefonds im Jahr 2019</w:t>
            </w:r>
            <w:r>
              <w:rPr>
                <w:noProof/>
                <w:webHidden/>
              </w:rPr>
              <w:tab/>
            </w:r>
            <w:r>
              <w:rPr>
                <w:noProof/>
                <w:webHidden/>
              </w:rPr>
              <w:fldChar w:fldCharType="begin"/>
            </w:r>
            <w:r>
              <w:rPr>
                <w:noProof/>
                <w:webHidden/>
              </w:rPr>
              <w:instrText xml:space="preserve"> PAGEREF _Toc46140215 \h </w:instrText>
            </w:r>
            <w:r>
              <w:rPr>
                <w:noProof/>
                <w:webHidden/>
              </w:rPr>
            </w:r>
            <w:r>
              <w:rPr>
                <w:noProof/>
                <w:webHidden/>
              </w:rPr>
              <w:fldChar w:fldCharType="separate"/>
            </w:r>
            <w:r>
              <w:rPr>
                <w:noProof/>
                <w:webHidden/>
              </w:rPr>
              <w:t>3</w:t>
            </w:r>
            <w:r>
              <w:rPr>
                <w:noProof/>
                <w:webHidden/>
              </w:rPr>
              <w:fldChar w:fldCharType="end"/>
            </w:r>
          </w:hyperlink>
        </w:p>
        <w:p w:rsidR="00A7448C" w:rsidRDefault="00231628">
          <w:pPr>
            <w:pStyle w:val="TOC2"/>
            <w:tabs>
              <w:tab w:val="right" w:leader="dot" w:pos="9062"/>
            </w:tabs>
            <w:rPr>
              <w:rFonts w:asciiTheme="minorHAnsi" w:eastAsiaTheme="minorEastAsia" w:hAnsiTheme="minorHAnsi"/>
              <w:noProof/>
              <w:sz w:val="22"/>
              <w:lang w:val="en-GB" w:eastAsia="en-GB"/>
            </w:rPr>
          </w:pPr>
          <w:hyperlink w:anchor="_Toc46140216" w:history="1">
            <w:r>
              <w:rPr>
                <w:rStyle w:val="Hyperlink"/>
                <w:noProof/>
              </w:rPr>
              <w:t>3.1. Haushaltsführung</w:t>
            </w:r>
            <w:r>
              <w:rPr>
                <w:noProof/>
                <w:webHidden/>
              </w:rPr>
              <w:tab/>
            </w:r>
            <w:r>
              <w:rPr>
                <w:noProof/>
                <w:webHidden/>
              </w:rPr>
              <w:fldChar w:fldCharType="begin"/>
            </w:r>
            <w:r>
              <w:rPr>
                <w:noProof/>
                <w:webHidden/>
              </w:rPr>
              <w:instrText xml:space="preserve"> PAGEREF _Toc46140216 \h </w:instrText>
            </w:r>
            <w:r>
              <w:rPr>
                <w:noProof/>
                <w:webHidden/>
              </w:rPr>
            </w:r>
            <w:r>
              <w:rPr>
                <w:noProof/>
                <w:webHidden/>
              </w:rPr>
              <w:fldChar w:fldCharType="separate"/>
            </w:r>
            <w:r>
              <w:rPr>
                <w:noProof/>
                <w:webHidden/>
              </w:rPr>
              <w:t>3</w:t>
            </w:r>
            <w:r>
              <w:rPr>
                <w:noProof/>
                <w:webHidden/>
              </w:rPr>
              <w:fldChar w:fldCharType="end"/>
            </w:r>
          </w:hyperlink>
        </w:p>
        <w:p w:rsidR="00A7448C" w:rsidRDefault="00231628">
          <w:pPr>
            <w:pStyle w:val="TOC2"/>
            <w:tabs>
              <w:tab w:val="right" w:leader="dot" w:pos="9062"/>
            </w:tabs>
            <w:rPr>
              <w:rFonts w:asciiTheme="minorHAnsi" w:eastAsiaTheme="minorEastAsia" w:hAnsiTheme="minorHAnsi"/>
              <w:noProof/>
              <w:sz w:val="22"/>
              <w:lang w:val="en-GB" w:eastAsia="en-GB"/>
            </w:rPr>
          </w:pPr>
          <w:hyperlink w:anchor="_Toc46140217" w:history="1">
            <w:r>
              <w:rPr>
                <w:rStyle w:val="Hyperlink"/>
                <w:noProof/>
              </w:rPr>
              <w:t>3.2. Zusammensetzung und Hauptmerkmale des Portfolios</w:t>
            </w:r>
            <w:r>
              <w:rPr>
                <w:noProof/>
                <w:webHidden/>
              </w:rPr>
              <w:tab/>
            </w:r>
            <w:r>
              <w:rPr>
                <w:noProof/>
                <w:webHidden/>
              </w:rPr>
              <w:fldChar w:fldCharType="begin"/>
            </w:r>
            <w:r>
              <w:rPr>
                <w:noProof/>
                <w:webHidden/>
              </w:rPr>
              <w:instrText xml:space="preserve"> PAGEREF _Toc46140217 \h </w:instrText>
            </w:r>
            <w:r>
              <w:rPr>
                <w:noProof/>
                <w:webHidden/>
              </w:rPr>
            </w:r>
            <w:r>
              <w:rPr>
                <w:noProof/>
                <w:webHidden/>
              </w:rPr>
              <w:fldChar w:fldCharType="separate"/>
            </w:r>
            <w:r>
              <w:rPr>
                <w:noProof/>
                <w:webHidden/>
              </w:rPr>
              <w:t>3</w:t>
            </w:r>
            <w:r>
              <w:rPr>
                <w:noProof/>
                <w:webHidden/>
              </w:rPr>
              <w:fldChar w:fldCharType="end"/>
            </w:r>
          </w:hyperlink>
        </w:p>
        <w:p w:rsidR="00A7448C" w:rsidRDefault="00231628">
          <w:pPr>
            <w:pStyle w:val="TOC2"/>
            <w:tabs>
              <w:tab w:val="right" w:leader="dot" w:pos="9062"/>
            </w:tabs>
            <w:rPr>
              <w:rFonts w:asciiTheme="minorHAnsi" w:eastAsiaTheme="minorEastAsia" w:hAnsiTheme="minorHAnsi"/>
              <w:noProof/>
              <w:sz w:val="22"/>
              <w:lang w:val="en-GB" w:eastAsia="en-GB"/>
            </w:rPr>
          </w:pPr>
          <w:hyperlink w:anchor="_Toc46140218" w:history="1">
            <w:r>
              <w:rPr>
                <w:rStyle w:val="Hyperlink"/>
                <w:noProof/>
              </w:rPr>
              <w:t>3.3. Wertentwicklung</w:t>
            </w:r>
            <w:r>
              <w:rPr>
                <w:noProof/>
                <w:webHidden/>
              </w:rPr>
              <w:tab/>
            </w:r>
            <w:r>
              <w:rPr>
                <w:noProof/>
                <w:webHidden/>
              </w:rPr>
              <w:fldChar w:fldCharType="begin"/>
            </w:r>
            <w:r>
              <w:rPr>
                <w:noProof/>
                <w:webHidden/>
              </w:rPr>
              <w:instrText xml:space="preserve"> PAGEREF _Toc46140218 \h </w:instrText>
            </w:r>
            <w:r>
              <w:rPr>
                <w:noProof/>
                <w:webHidden/>
              </w:rPr>
            </w:r>
            <w:r>
              <w:rPr>
                <w:noProof/>
                <w:webHidden/>
              </w:rPr>
              <w:fldChar w:fldCharType="separate"/>
            </w:r>
            <w:r>
              <w:rPr>
                <w:noProof/>
                <w:webHidden/>
              </w:rPr>
              <w:t>4</w:t>
            </w:r>
            <w:r>
              <w:rPr>
                <w:noProof/>
                <w:webHidden/>
              </w:rPr>
              <w:fldChar w:fldCharType="end"/>
            </w:r>
          </w:hyperlink>
        </w:p>
        <w:p w:rsidR="00A7448C" w:rsidRDefault="00231628">
          <w:pPr>
            <w:pStyle w:val="TOC1"/>
            <w:tabs>
              <w:tab w:val="right" w:leader="dot" w:pos="9062"/>
            </w:tabs>
            <w:rPr>
              <w:rFonts w:asciiTheme="minorHAnsi" w:eastAsiaTheme="minorEastAsia" w:hAnsiTheme="minorHAnsi"/>
              <w:noProof/>
              <w:sz w:val="22"/>
              <w:lang w:val="en-GB" w:eastAsia="en-GB"/>
            </w:rPr>
          </w:pPr>
          <w:hyperlink w:anchor="_Toc46140219" w:history="1">
            <w:r>
              <w:rPr>
                <w:rStyle w:val="Hyperlink"/>
                <w:noProof/>
              </w:rPr>
              <w:t>4. Finanzkonten</w:t>
            </w:r>
            <w:r>
              <w:rPr>
                <w:noProof/>
                <w:webHidden/>
              </w:rPr>
              <w:tab/>
            </w:r>
            <w:r>
              <w:rPr>
                <w:noProof/>
                <w:webHidden/>
              </w:rPr>
              <w:fldChar w:fldCharType="begin"/>
            </w:r>
            <w:r>
              <w:rPr>
                <w:noProof/>
                <w:webHidden/>
              </w:rPr>
              <w:instrText xml:space="preserve"> PAGEREF _Toc46140219 \h </w:instrText>
            </w:r>
            <w:r>
              <w:rPr>
                <w:noProof/>
                <w:webHidden/>
              </w:rPr>
            </w:r>
            <w:r>
              <w:rPr>
                <w:noProof/>
                <w:webHidden/>
              </w:rPr>
              <w:fldChar w:fldCharType="separate"/>
            </w:r>
            <w:r>
              <w:rPr>
                <w:noProof/>
                <w:webHidden/>
              </w:rPr>
              <w:t>4</w:t>
            </w:r>
            <w:r>
              <w:rPr>
                <w:noProof/>
                <w:webHidden/>
              </w:rPr>
              <w:fldChar w:fldCharType="end"/>
            </w:r>
          </w:hyperlink>
        </w:p>
        <w:p w:rsidR="00A7448C" w:rsidRDefault="00231628">
          <w:pPr>
            <w:pStyle w:val="TOC2"/>
            <w:tabs>
              <w:tab w:val="right" w:leader="dot" w:pos="9062"/>
            </w:tabs>
            <w:rPr>
              <w:rFonts w:asciiTheme="minorHAnsi" w:eastAsiaTheme="minorEastAsia" w:hAnsiTheme="minorHAnsi"/>
              <w:noProof/>
              <w:sz w:val="22"/>
              <w:lang w:val="en-GB" w:eastAsia="en-GB"/>
            </w:rPr>
          </w:pPr>
          <w:hyperlink w:anchor="_Toc46140220" w:history="1">
            <w:r>
              <w:rPr>
                <w:rStyle w:val="Hyperlink"/>
                <w:noProof/>
              </w:rPr>
              <w:t xml:space="preserve">4.1. Jahresabschluss des </w:t>
            </w:r>
            <w:bookmarkStart w:id="1" w:name="_GoBack"/>
            <w:bookmarkEnd w:id="1"/>
            <w:r>
              <w:rPr>
                <w:rStyle w:val="Hyperlink"/>
                <w:noProof/>
              </w:rPr>
              <w:t>EFSD-Garantiefonds zum 31. Dezember 2019</w:t>
            </w:r>
            <w:r>
              <w:rPr>
                <w:noProof/>
                <w:webHidden/>
              </w:rPr>
              <w:tab/>
            </w:r>
            <w:r>
              <w:rPr>
                <w:noProof/>
                <w:webHidden/>
              </w:rPr>
              <w:fldChar w:fldCharType="begin"/>
            </w:r>
            <w:r>
              <w:rPr>
                <w:noProof/>
                <w:webHidden/>
              </w:rPr>
              <w:instrText xml:space="preserve"> PAGEREF _Toc46140220 \h </w:instrText>
            </w:r>
            <w:r>
              <w:rPr>
                <w:noProof/>
                <w:webHidden/>
              </w:rPr>
            </w:r>
            <w:r>
              <w:rPr>
                <w:noProof/>
                <w:webHidden/>
              </w:rPr>
              <w:fldChar w:fldCharType="separate"/>
            </w:r>
            <w:r>
              <w:rPr>
                <w:noProof/>
                <w:webHidden/>
              </w:rPr>
              <w:t>5</w:t>
            </w:r>
            <w:r>
              <w:rPr>
                <w:noProof/>
                <w:webHidden/>
              </w:rPr>
              <w:fldChar w:fldCharType="end"/>
            </w:r>
          </w:hyperlink>
        </w:p>
        <w:p w:rsidR="00A7448C" w:rsidRDefault="00231628">
          <w:pPr>
            <w:pStyle w:val="TOC2"/>
            <w:tabs>
              <w:tab w:val="right" w:leader="dot" w:pos="9062"/>
            </w:tabs>
            <w:rPr>
              <w:rFonts w:asciiTheme="minorHAnsi" w:eastAsiaTheme="minorEastAsia" w:hAnsiTheme="minorHAnsi"/>
              <w:noProof/>
              <w:sz w:val="22"/>
              <w:lang w:val="en-GB" w:eastAsia="en-GB"/>
            </w:rPr>
          </w:pPr>
          <w:hyperlink w:anchor="_Toc46140221" w:history="1">
            <w:r>
              <w:rPr>
                <w:rStyle w:val="Hyperlink"/>
                <w:noProof/>
              </w:rPr>
              <w:t>4.2. Ausstattung</w:t>
            </w:r>
            <w:r>
              <w:rPr>
                <w:noProof/>
                <w:webHidden/>
              </w:rPr>
              <w:tab/>
            </w:r>
            <w:r>
              <w:rPr>
                <w:noProof/>
                <w:webHidden/>
              </w:rPr>
              <w:fldChar w:fldCharType="begin"/>
            </w:r>
            <w:r>
              <w:rPr>
                <w:noProof/>
                <w:webHidden/>
              </w:rPr>
              <w:instrText xml:space="preserve"> PAGEREF _Toc46140221 \h </w:instrText>
            </w:r>
            <w:r>
              <w:rPr>
                <w:noProof/>
                <w:webHidden/>
              </w:rPr>
            </w:r>
            <w:r>
              <w:rPr>
                <w:noProof/>
                <w:webHidden/>
              </w:rPr>
              <w:fldChar w:fldCharType="separate"/>
            </w:r>
            <w:r>
              <w:rPr>
                <w:noProof/>
                <w:webHidden/>
              </w:rPr>
              <w:t>8</w:t>
            </w:r>
            <w:r>
              <w:rPr>
                <w:noProof/>
                <w:webHidden/>
              </w:rPr>
              <w:fldChar w:fldCharType="end"/>
            </w:r>
          </w:hyperlink>
        </w:p>
        <w:p w:rsidR="00A7448C" w:rsidRDefault="00231628">
          <w:pPr>
            <w:pStyle w:val="TOC1"/>
            <w:tabs>
              <w:tab w:val="right" w:leader="dot" w:pos="9062"/>
            </w:tabs>
            <w:rPr>
              <w:rFonts w:asciiTheme="minorHAnsi" w:eastAsiaTheme="minorEastAsia" w:hAnsiTheme="minorHAnsi"/>
              <w:noProof/>
              <w:sz w:val="22"/>
              <w:lang w:val="en-GB" w:eastAsia="en-GB"/>
            </w:rPr>
          </w:pPr>
          <w:hyperlink w:anchor="_Toc46140222" w:history="1">
            <w:r>
              <w:rPr>
                <w:rStyle w:val="Hyperlink"/>
                <w:noProof/>
              </w:rPr>
              <w:t>5. Bewertung der Angemessenheit des Zielbetrags und des Umfangs des EFSD-Garantiefonds</w:t>
            </w:r>
            <w:r>
              <w:rPr>
                <w:noProof/>
                <w:webHidden/>
              </w:rPr>
              <w:tab/>
            </w:r>
            <w:r>
              <w:rPr>
                <w:noProof/>
                <w:webHidden/>
              </w:rPr>
              <w:fldChar w:fldCharType="begin"/>
            </w:r>
            <w:r>
              <w:rPr>
                <w:noProof/>
                <w:webHidden/>
              </w:rPr>
              <w:instrText xml:space="preserve"> PAGEREF _Toc46140222 \h </w:instrText>
            </w:r>
            <w:r>
              <w:rPr>
                <w:noProof/>
                <w:webHidden/>
              </w:rPr>
            </w:r>
            <w:r>
              <w:rPr>
                <w:noProof/>
                <w:webHidden/>
              </w:rPr>
              <w:fldChar w:fldCharType="separate"/>
            </w:r>
            <w:r>
              <w:rPr>
                <w:noProof/>
                <w:webHidden/>
              </w:rPr>
              <w:t>8</w:t>
            </w:r>
            <w:r>
              <w:rPr>
                <w:noProof/>
                <w:webHidden/>
              </w:rPr>
              <w:fldChar w:fldCharType="end"/>
            </w:r>
          </w:hyperlink>
        </w:p>
        <w:p w:rsidR="00A7448C" w:rsidRDefault="00231628">
          <w:pPr>
            <w:rPr>
              <w:noProof/>
            </w:rPr>
          </w:pPr>
          <w:r>
            <w:rPr>
              <w:b/>
              <w:bCs/>
              <w:noProof/>
            </w:rPr>
            <w:fldChar w:fldCharType="end"/>
          </w:r>
        </w:p>
      </w:sdtContent>
    </w:sdt>
    <w:p w:rsidR="00A7448C" w:rsidRDefault="00231628">
      <w:pPr>
        <w:rPr>
          <w:noProof/>
        </w:rPr>
      </w:pPr>
      <w:r>
        <w:rPr>
          <w:noProof/>
        </w:rPr>
        <w:br w:type="page"/>
      </w:r>
    </w:p>
    <w:p w:rsidR="00A7448C" w:rsidRDefault="00231628">
      <w:pPr>
        <w:pStyle w:val="Heading1"/>
        <w:rPr>
          <w:noProof/>
        </w:rPr>
      </w:pPr>
      <w:bookmarkStart w:id="2" w:name="_Toc38891111"/>
      <w:bookmarkStart w:id="3" w:name="_Toc46140213"/>
      <w:r>
        <w:rPr>
          <w:noProof/>
        </w:rPr>
        <w:t>1. Einleitung</w:t>
      </w:r>
      <w:bookmarkEnd w:id="2"/>
      <w:bookmarkEnd w:id="3"/>
    </w:p>
    <w:p w:rsidR="00A7448C" w:rsidRDefault="00231628">
      <w:pPr>
        <w:jc w:val="both"/>
        <w:rPr>
          <w:noProof/>
        </w:rPr>
      </w:pPr>
      <w:r>
        <w:rPr>
          <w:noProof/>
        </w:rPr>
        <w:t>Rechtsgrundlage für diesen Bericht ist die Verordnung (EU) 2017/1601 (im Folgenden „EFSD-Verordnung“)</w:t>
      </w:r>
      <w:r>
        <w:rPr>
          <w:rStyle w:val="FootnoteReference"/>
          <w:noProof/>
        </w:rPr>
        <w:footnoteReference w:id="2"/>
      </w:r>
      <w:r>
        <w:rPr>
          <w:noProof/>
        </w:rPr>
        <w:t>. Artikel 16 Absatz 3 der EFSD-Verordnung sieht vor, dass die Kommission dem Europäischen Parlament, dem Rat und</w:t>
      </w:r>
      <w:r>
        <w:rPr>
          <w:noProof/>
        </w:rPr>
        <w:t xml:space="preserve"> dem Rechnungshof einen Bericht über die Verwaltung des Garantiefonds für den Europäischen Fonds für nachhaltige Entwicklung (EFSD) im vorangegangenen Kalenderjahr, einschließlich einer Beurteilung der Angemessenheit der Ausstattung und der Höhe des EFSD-G</w:t>
      </w:r>
      <w:r>
        <w:rPr>
          <w:noProof/>
        </w:rPr>
        <w:t>arantiefonds und der Frage, ob seine Wiederauffüllung erforderlich ist, übermittelt.</w:t>
      </w:r>
    </w:p>
    <w:p w:rsidR="00A7448C" w:rsidRDefault="00231628">
      <w:pPr>
        <w:pStyle w:val="Heading1"/>
        <w:rPr>
          <w:noProof/>
        </w:rPr>
      </w:pPr>
      <w:bookmarkStart w:id="4" w:name="_Toc38891112"/>
      <w:bookmarkStart w:id="5" w:name="_Toc46140214"/>
      <w:r>
        <w:rPr>
          <w:noProof/>
        </w:rPr>
        <w:t>2. Operative Rahmenbedingungen</w:t>
      </w:r>
      <w:bookmarkEnd w:id="4"/>
      <w:bookmarkEnd w:id="5"/>
    </w:p>
    <w:p w:rsidR="00A7448C" w:rsidRDefault="00231628">
      <w:pPr>
        <w:jc w:val="both"/>
        <w:rPr>
          <w:noProof/>
          <w:szCs w:val="24"/>
        </w:rPr>
      </w:pPr>
      <w:r>
        <w:rPr>
          <w:noProof/>
        </w:rPr>
        <w:t>Der EFSD deckt die Finanzierung von Maßnahmen in Afrika und der EU-Nachbarschaft ab und schließt sowohl Mischfinanzierungen als auch die EFS</w:t>
      </w:r>
      <w:r>
        <w:rPr>
          <w:noProof/>
        </w:rPr>
        <w:t>D-Garantie ein. Die EFSD-Garantie ist ein wichtiges innovatives Element, mit dem die Risiken für Investitionen in nachhaltige Entwicklung in den Partnerländern verringert werden sollen, wodurch zur Mobilisierung von Investitionen, zur Stärkung einer nachha</w:t>
      </w:r>
      <w:r>
        <w:rPr>
          <w:noProof/>
        </w:rPr>
        <w:t>ltigen und inklusiven wirtschaftlichen und sozialen Entwicklung, zur Maximierung der Zusätzlichkeit und zur Einbeziehung von Mitteln der Privatwirtschaft (Crowding-in) beigetragen wird. Die Garantie soll als Risikominderungsmechanismus dienen, um Finanzmit</w:t>
      </w:r>
      <w:r>
        <w:rPr>
          <w:noProof/>
        </w:rPr>
        <w:t>tel des Privatsektors zu mobilisieren und gleichzeitig Marktverzerrungen zu vermeiden.</w:t>
      </w:r>
    </w:p>
    <w:p w:rsidR="00A7448C" w:rsidRDefault="00231628">
      <w:pPr>
        <w:jc w:val="both"/>
        <w:rPr>
          <w:noProof/>
          <w:szCs w:val="24"/>
        </w:rPr>
      </w:pPr>
      <w:r>
        <w:rPr>
          <w:noProof/>
        </w:rPr>
        <w:t>Die EFSD-Garantie wurde für einen Gesamtbetrag von 1,5 Mrd. EUR eingerichtet, der aus dem Gesamthaushaltsplan abzudecken ist. Ende 2019 umfassten die zusätzlichen Beiträ</w:t>
      </w:r>
      <w:r>
        <w:rPr>
          <w:noProof/>
        </w:rPr>
        <w:t>ge zur Unterstützung des EFSD-Garantiefonds 50 Mio. USD von der Bill-und-Melinda-Gates-Stiftung, 9,6 Mio. EUR von Dänemark, 300 000 EUR von der Tschechischen Republik und 100 000 EUR von Estland.</w:t>
      </w:r>
    </w:p>
    <w:p w:rsidR="00A7448C" w:rsidRDefault="00231628">
      <w:pPr>
        <w:jc w:val="both"/>
        <w:rPr>
          <w:noProof/>
        </w:rPr>
      </w:pPr>
      <w:r>
        <w:rPr>
          <w:noProof/>
        </w:rPr>
        <w:t>Mit Artikel 14 der EFSD-Verordnung wird der EFSD-Garantiefon</w:t>
      </w:r>
      <w:r>
        <w:rPr>
          <w:noProof/>
        </w:rPr>
        <w:t>ds eingerichtet, der als Liquiditätspuffer dient, aus dem die förderfähigen Partnereinrichtungen bei Inanspruchnahme der EFSD-Garantie Zahlungen erhalten. Zur Deckung ihrer finanziellen Verbindlichkeiten hat die Union 750 Mio. EUR zur Verfügung gestellt, w</w:t>
      </w:r>
      <w:r>
        <w:rPr>
          <w:noProof/>
        </w:rPr>
        <w:t xml:space="preserve">as 50 % der Garantieverpflichtungen der EU entspricht. </w:t>
      </w:r>
    </w:p>
    <w:p w:rsidR="00A7448C" w:rsidRDefault="00231628">
      <w:pPr>
        <w:jc w:val="both"/>
        <w:rPr>
          <w:noProof/>
        </w:rPr>
      </w:pPr>
      <w:r>
        <w:rPr>
          <w:noProof/>
        </w:rPr>
        <w:t xml:space="preserve">Der EFSD-Garantiefonds wurde 2018 effektiv eingerichtet. Bis zum 31. Dezember 2019 wurden insgesamt 600,1 Mio. EUR in den Fonds eingezahlt. </w:t>
      </w:r>
    </w:p>
    <w:p w:rsidR="00A7448C" w:rsidRDefault="00231628">
      <w:pPr>
        <w:jc w:val="both"/>
        <w:rPr>
          <w:noProof/>
          <w:szCs w:val="24"/>
        </w:rPr>
      </w:pPr>
      <w:r>
        <w:rPr>
          <w:noProof/>
        </w:rPr>
        <w:t xml:space="preserve">Informationen über die Durchführung des EFSD wurden in den </w:t>
      </w:r>
      <w:r>
        <w:rPr>
          <w:noProof/>
        </w:rPr>
        <w:t>jüngsten Bericht der Kommission an das Europäische Parlament und den Rat</w:t>
      </w:r>
      <w:r>
        <w:rPr>
          <w:rStyle w:val="FootnoteReference"/>
          <w:noProof/>
        </w:rPr>
        <w:footnoteReference w:id="3"/>
      </w:r>
      <w:r>
        <w:rPr>
          <w:noProof/>
        </w:rPr>
        <w:t xml:space="preserve"> aufgenommen.  Der Bericht, der sich auf die Ergebnisse einer unabhängigen externen Bewertung stützt, kommt zu dem Schluss, dass der EFSD mit Blick auf die Notwendigkeit eines neuen g</w:t>
      </w:r>
      <w:r>
        <w:rPr>
          <w:noProof/>
        </w:rPr>
        <w:t xml:space="preserve">lobalen Entwicklungsfinanzierungsmodells und mit Blick auf den Investitionsbedarf in Subsahara-Afrika und in der EU-Nachbarschaft von hoher Relevanz ist. </w:t>
      </w:r>
    </w:p>
    <w:p w:rsidR="00A7448C" w:rsidRDefault="00231628">
      <w:pPr>
        <w:pStyle w:val="Heading1"/>
        <w:rPr>
          <w:noProof/>
          <w:szCs w:val="24"/>
        </w:rPr>
      </w:pPr>
      <w:bookmarkStart w:id="6" w:name="_Toc38891113"/>
      <w:bookmarkStart w:id="7" w:name="_Toc46140215"/>
      <w:r>
        <w:rPr>
          <w:noProof/>
        </w:rPr>
        <w:t>3. Verwaltung des EFSD-Garantiefonds im Jahr 2019</w:t>
      </w:r>
      <w:bookmarkEnd w:id="6"/>
      <w:bookmarkEnd w:id="7"/>
    </w:p>
    <w:p w:rsidR="00A7448C" w:rsidRDefault="00231628">
      <w:pPr>
        <w:pStyle w:val="Heading2"/>
        <w:rPr>
          <w:noProof/>
        </w:rPr>
      </w:pPr>
      <w:bookmarkStart w:id="8" w:name="_Toc38891114"/>
      <w:bookmarkStart w:id="9" w:name="_Toc46140216"/>
      <w:r>
        <w:rPr>
          <w:noProof/>
        </w:rPr>
        <w:t>3.1. Haushaltsführung</w:t>
      </w:r>
      <w:bookmarkEnd w:id="8"/>
      <w:bookmarkEnd w:id="9"/>
      <w:r>
        <w:rPr>
          <w:noProof/>
        </w:rPr>
        <w:t xml:space="preserve"> </w:t>
      </w:r>
    </w:p>
    <w:p w:rsidR="00A7448C" w:rsidRDefault="00231628">
      <w:pPr>
        <w:jc w:val="both"/>
        <w:rPr>
          <w:noProof/>
        </w:rPr>
      </w:pPr>
      <w:r>
        <w:rPr>
          <w:noProof/>
        </w:rPr>
        <w:t xml:space="preserve">Die Vermögenswerte des EFSD-Garantiefonds werden nach den Grundsätzen des Beschlusses </w:t>
      </w:r>
      <w:hyperlink r:id="rId15" w:history="1">
        <w:r>
          <w:rPr>
            <w:noProof/>
          </w:rPr>
          <w:t>C(2017) 7693</w:t>
        </w:r>
      </w:hyperlink>
      <w:r>
        <w:rPr>
          <w:noProof/>
        </w:rPr>
        <w:t xml:space="preserve"> der Kommission vom 22. November 2017 zur Billigung der Leitli</w:t>
      </w:r>
      <w:r>
        <w:rPr>
          <w:noProof/>
        </w:rPr>
        <w:t>nien für die Verwaltung der Vermögenswerte des EFSD-Garantiefonds angelegt.</w:t>
      </w:r>
    </w:p>
    <w:p w:rsidR="00A7448C" w:rsidRDefault="00231628">
      <w:pPr>
        <w:jc w:val="both"/>
        <w:rPr>
          <w:noProof/>
        </w:rPr>
      </w:pPr>
      <w:r>
        <w:rPr>
          <w:noProof/>
        </w:rPr>
        <w:t>Nach diesen Leitlinien müssen die verwalteten Vermögenswerte mit Blick auf eine mögliche Inanspruchnahme der Garantie ausreichend liquide, jedoch gleichzeitig darauf ausgerichtet s</w:t>
      </w:r>
      <w:r>
        <w:rPr>
          <w:noProof/>
        </w:rPr>
        <w:t>ein, unter Wahrung eines hohen Maßes an Sicherheit und Stabilität die Rendite und das Risikoniveau zu optimieren.</w:t>
      </w:r>
    </w:p>
    <w:p w:rsidR="00A7448C" w:rsidRDefault="00231628">
      <w:pPr>
        <w:jc w:val="both"/>
        <w:rPr>
          <w:noProof/>
        </w:rPr>
      </w:pPr>
      <w:r>
        <w:rPr>
          <w:noProof/>
        </w:rPr>
        <w:t>Die Anlage- und Risikomanagementstrategien wurden mit Blick auf die Investitionsziele und die zu erwartenden Marktbedingungen beschlossen. Bei</w:t>
      </w:r>
      <w:r>
        <w:rPr>
          <w:noProof/>
        </w:rPr>
        <w:t xml:space="preserve"> den Investitionen wurde das Ziel einer stärkeren Diversifizierung in verschiedenen festverzinslichen Anlageklassen verfolgt.</w:t>
      </w:r>
    </w:p>
    <w:p w:rsidR="00A7448C" w:rsidRDefault="00231628">
      <w:pPr>
        <w:pStyle w:val="Heading2"/>
        <w:rPr>
          <w:noProof/>
        </w:rPr>
      </w:pPr>
      <w:bookmarkStart w:id="10" w:name="_Toc38891115"/>
      <w:bookmarkStart w:id="11" w:name="_Toc46140217"/>
      <w:r>
        <w:rPr>
          <w:noProof/>
        </w:rPr>
        <w:t xml:space="preserve">3.2. </w:t>
      </w:r>
      <w:bookmarkStart w:id="12" w:name="_Toc38891116"/>
      <w:bookmarkEnd w:id="10"/>
      <w:r>
        <w:rPr>
          <w:noProof/>
        </w:rPr>
        <w:t>Zusammensetzung und Hauptmerkmale des Portfolios</w:t>
      </w:r>
      <w:bookmarkEnd w:id="12"/>
      <w:bookmarkEnd w:id="11"/>
    </w:p>
    <w:p w:rsidR="00A7448C" w:rsidRDefault="00231628">
      <w:pPr>
        <w:jc w:val="both"/>
        <w:rPr>
          <w:noProof/>
        </w:rPr>
      </w:pPr>
      <w:r>
        <w:rPr>
          <w:noProof/>
        </w:rPr>
        <w:t>Als Richtschnur für die Verwaltung der Vermögenswerte des Anlageportfolios d</w:t>
      </w:r>
      <w:r>
        <w:rPr>
          <w:noProof/>
        </w:rPr>
        <w:t>es EFSD-Garantiefonds dient eine Anlagestrategie, mit der die Anlageziele erreicht werden sollen. Diese Anlagestrategie wird als Referenzwert ausgedrückt, mit dem die indikativen Zielallokationen für verschiedene Kategorien infrage kommender finanzieller V</w:t>
      </w:r>
      <w:r>
        <w:rPr>
          <w:noProof/>
        </w:rPr>
        <w:t>ermögenswerte im Portfolio festgelegt werden.</w:t>
      </w:r>
    </w:p>
    <w:p w:rsidR="00A7448C" w:rsidRDefault="00231628">
      <w:pPr>
        <w:jc w:val="both"/>
        <w:rPr>
          <w:noProof/>
        </w:rPr>
      </w:pPr>
      <w:r>
        <w:rPr>
          <w:noProof/>
        </w:rPr>
        <w:t>Am 31. Dezember 2019 bestand das Anlageportfolio überwiegend aus Staatsanleihen, Anleihen subnationaler und supranationaler Organisationen sowie Behörden (SSA) und anderer Staaten (45 % des Marktwerts gegenüber</w:t>
      </w:r>
      <w:r>
        <w:rPr>
          <w:noProof/>
        </w:rPr>
        <w:t xml:space="preserve"> einem Referenzwert von 52 %), ungesicherten Schuldverschreibungen von Unternehmen und Finanzinstituten (22 % des Marktwerts gegenüber einem Referenzwert von 18 %) und gedeckten Schuldverschreibungen (14 % des Marktwerts gegenüber einem Referenzwert von 0 </w:t>
      </w:r>
      <w:r>
        <w:rPr>
          <w:noProof/>
        </w:rPr>
        <w:t xml:space="preserve">%). Der Rest wurde hauptsächlich in Geldmarktfonds angelegt. </w:t>
      </w:r>
    </w:p>
    <w:p w:rsidR="00A7448C" w:rsidRDefault="00231628">
      <w:pPr>
        <w:jc w:val="both"/>
        <w:rPr>
          <w:noProof/>
        </w:rPr>
      </w:pPr>
      <w:r>
        <w:rPr>
          <w:noProof/>
        </w:rPr>
        <w:t xml:space="preserve">Zum Jahresende 2019 war das Portfolio-Engagement in Anleihen, die die Umwelt-, Sozial- und Governance-Kriterien erfüllten, über zwei Mal so hoch wie der entsprechende Referenzwert. </w:t>
      </w:r>
    </w:p>
    <w:p w:rsidR="00A7448C" w:rsidRDefault="00231628">
      <w:pPr>
        <w:jc w:val="both"/>
        <w:rPr>
          <w:noProof/>
        </w:rPr>
      </w:pPr>
      <w:r>
        <w:rPr>
          <w:noProof/>
        </w:rPr>
        <w:t>Ende 2019 be</w:t>
      </w:r>
      <w:r>
        <w:rPr>
          <w:noProof/>
        </w:rPr>
        <w:t>trug die Duration des Portfolios 2,51 Jahre und die Ratings der Wertpapiere im EFSD verteilten sich wie folgt:</w:t>
      </w:r>
      <w:r>
        <w:rPr>
          <w:noProof/>
          <w:color w:val="1F497D"/>
        </w:rPr>
        <w:t xml:space="preserve"> </w:t>
      </w:r>
    </w:p>
    <w:p w:rsidR="00A7448C" w:rsidRDefault="00231628">
      <w:pPr>
        <w:pStyle w:val="Default"/>
        <w:jc w:val="center"/>
        <w:rPr>
          <w:rFonts w:ascii="Calibri" w:hAnsi="Calibri" w:cs="Calibri"/>
          <w:noProof/>
          <w:color w:val="1F497D"/>
          <w:sz w:val="22"/>
          <w:szCs w:val="22"/>
        </w:rPr>
      </w:pPr>
      <w:r>
        <w:rPr>
          <w:noProof/>
          <w:lang w:val="fr-BE" w:eastAsia="fr-BE"/>
        </w:rPr>
        <w:drawing>
          <wp:inline distT="0" distB="0" distL="0" distR="0">
            <wp:extent cx="3321268" cy="1929162"/>
            <wp:effectExtent l="0" t="0" r="0" b="0"/>
            <wp:docPr id="2" name="Picture 2" descr="cid:image001.jpg@01D6134B.2AD5A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6134B.2AD5ADD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363512" cy="1953700"/>
                    </a:xfrm>
                    <a:prstGeom prst="rect">
                      <a:avLst/>
                    </a:prstGeom>
                    <a:noFill/>
                    <a:ln>
                      <a:noFill/>
                    </a:ln>
                  </pic:spPr>
                </pic:pic>
              </a:graphicData>
            </a:graphic>
          </wp:inline>
        </w:drawing>
      </w:r>
    </w:p>
    <w:p w:rsidR="00A7448C" w:rsidRDefault="00231628">
      <w:pPr>
        <w:jc w:val="both"/>
        <w:rPr>
          <w:noProof/>
        </w:rPr>
      </w:pPr>
      <w:r>
        <w:rPr>
          <w:noProof/>
        </w:rPr>
        <w:t xml:space="preserve">Der Großteil des Portfolios ist in liquiden Wertpapieren angelegt, und ein angemessener Teil (14 % des Portfolio-Gesamtwerts) wird in weniger </w:t>
      </w:r>
      <w:r>
        <w:rPr>
          <w:noProof/>
        </w:rPr>
        <w:t xml:space="preserve">als zwölf Monaten fällig. </w:t>
      </w:r>
    </w:p>
    <w:p w:rsidR="00A7448C" w:rsidRDefault="00231628">
      <w:pPr>
        <w:jc w:val="both"/>
        <w:rPr>
          <w:noProof/>
        </w:rPr>
      </w:pPr>
      <w:r>
        <w:rPr>
          <w:noProof/>
        </w:rPr>
        <w:t>Das Profil des Portfolios im Hinblick auf Duration, Kreditrisiko und Liquidität ist auf die prognostizierten Cashflows aus den mit der EU-Garantie abgesicherten EFSD-Geschäften (z. B. projizierte Inanspruchnahmen, Einnahmen) abge</w:t>
      </w:r>
      <w:r>
        <w:rPr>
          <w:noProof/>
        </w:rPr>
        <w:t>stimmt.</w:t>
      </w:r>
    </w:p>
    <w:p w:rsidR="00A7448C" w:rsidRDefault="00231628">
      <w:pPr>
        <w:pStyle w:val="Heading2"/>
        <w:rPr>
          <w:noProof/>
        </w:rPr>
      </w:pPr>
      <w:bookmarkStart w:id="13" w:name="_Toc38891117"/>
      <w:bookmarkStart w:id="14" w:name="_Toc46140218"/>
      <w:r>
        <w:rPr>
          <w:noProof/>
        </w:rPr>
        <w:t>3.3. Wertentwicklung</w:t>
      </w:r>
      <w:bookmarkEnd w:id="13"/>
      <w:bookmarkEnd w:id="14"/>
    </w:p>
    <w:p w:rsidR="00A7448C" w:rsidRDefault="00231628">
      <w:pPr>
        <w:jc w:val="both"/>
        <w:rPr>
          <w:noProof/>
        </w:rPr>
      </w:pPr>
      <w:r>
        <w:rPr>
          <w:noProof/>
        </w:rPr>
        <w:t xml:space="preserve">Die jährliche Wertentwicklung wird zeitgewichtet berechnet, damit sie durch die Größe des Portfolios, die im Jahresverlauf beträchtlich angewachsen ist, nicht verzerrt wird. </w:t>
      </w:r>
    </w:p>
    <w:p w:rsidR="00A7448C" w:rsidRDefault="00231628">
      <w:pPr>
        <w:jc w:val="both"/>
        <w:rPr>
          <w:noProof/>
        </w:rPr>
      </w:pPr>
      <w:r>
        <w:rPr>
          <w:noProof/>
        </w:rPr>
        <w:t>In einem sehr schwierigen Marktumfeld, das von insgesamt negativen oder historisch niedrigen Renditen bei gleichzeitig erheblicher Marktvolatilität und Unsicherheit geprägt war, erreichte der Fonds im Jahr 2019 eine jährliche absolute Wertentwicklung von 0</w:t>
      </w:r>
      <w:r>
        <w:rPr>
          <w:noProof/>
        </w:rPr>
        <w:t>,242 % (zeitgewichtete Wertentwicklung, vor Kosten und Gebühren). Diese Rendite entspricht der jährlichen Leistung des EFSD-Referenzwerts (0,149 %) und wurde vor dem Hintergrund negativer Zinssätze im Euroraum (insbesondere für Positionen, die in Europa vo</w:t>
      </w:r>
      <w:r>
        <w:rPr>
          <w:noProof/>
        </w:rPr>
        <w:t xml:space="preserve">n den Märkten als „kreditrisikofreie“ und liquide Risikopositionen eingestuft werden). </w:t>
      </w:r>
    </w:p>
    <w:p w:rsidR="00A7448C" w:rsidRDefault="00231628">
      <w:pPr>
        <w:pStyle w:val="Heading1"/>
        <w:rPr>
          <w:noProof/>
        </w:rPr>
      </w:pPr>
      <w:bookmarkStart w:id="15" w:name="_Toc38891118"/>
      <w:bookmarkStart w:id="16" w:name="_Toc46140219"/>
      <w:r>
        <w:rPr>
          <w:noProof/>
        </w:rPr>
        <w:t>4. Finanzkonten</w:t>
      </w:r>
      <w:bookmarkEnd w:id="15"/>
      <w:bookmarkEnd w:id="16"/>
    </w:p>
    <w:p w:rsidR="00A7448C" w:rsidRDefault="00231628">
      <w:pPr>
        <w:rPr>
          <w:noProof/>
          <w:szCs w:val="24"/>
        </w:rPr>
      </w:pPr>
      <w:r>
        <w:rPr>
          <w:noProof/>
        </w:rPr>
        <w:t>Nachstehend werden die Finanzinformationen zum EFSD-Garantiefonds dargelegt. Die EFSD-Garantie wurde 2019 nicht in Anspruch genommen.</w:t>
      </w:r>
    </w:p>
    <w:p w:rsidR="00A7448C" w:rsidRDefault="00231628">
      <w:pPr>
        <w:pStyle w:val="Heading2"/>
        <w:jc w:val="both"/>
        <w:rPr>
          <w:noProof/>
        </w:rPr>
      </w:pPr>
      <w:bookmarkStart w:id="17" w:name="_Toc38891119"/>
      <w:bookmarkStart w:id="18" w:name="_Toc46140220"/>
      <w:r>
        <w:rPr>
          <w:noProof/>
        </w:rPr>
        <w:t>4.1. Jahresabschlu</w:t>
      </w:r>
      <w:r>
        <w:rPr>
          <w:noProof/>
        </w:rPr>
        <w:t>ss des EFSD-Garantiefonds zum 31. Dezember 2019</w:t>
      </w:r>
      <w:bookmarkEnd w:id="17"/>
      <w:bookmarkEnd w:id="18"/>
      <w:r>
        <w:rPr>
          <w:noProof/>
        </w:rPr>
        <w:t xml:space="preserve"> </w:t>
      </w:r>
    </w:p>
    <w:p w:rsidR="00A7448C" w:rsidRDefault="00231628">
      <w:pPr>
        <w:jc w:val="both"/>
        <w:rPr>
          <w:noProof/>
        </w:rPr>
      </w:pPr>
      <w:r>
        <w:rPr>
          <w:noProof/>
        </w:rPr>
        <w:t>Aufgrund der positiven Marktentwicklungen, dem Abflachen der EUR-Renditekurve in Verbindung mit der guten Leistung der meisten festverzinslichen Anlagen (siehe Abschnitt 3.3), blieb das Gesamtvermögen des EF</w:t>
      </w:r>
      <w:r>
        <w:rPr>
          <w:noProof/>
        </w:rPr>
        <w:t>SD-Garantiefonds nahezu auf dem Niveau der Gesamtbeiträge in Höhe von 600,1 Mio. EUR und belief sich am 31. Dezember 2019 trotz der Auswirkungen der Negativzinsen auf 599,59 Mio. EUR. Das Gesamtvermögen umfasste den als zur Veräußerung verfügbar eingestuft</w:t>
      </w:r>
      <w:r>
        <w:rPr>
          <w:noProof/>
        </w:rPr>
        <w:t>en Wertpapierbestand (594,71 Mio. EUR) und Barmittel (4,88 Mio. EUR).</w:t>
      </w:r>
    </w:p>
    <w:p w:rsidR="00A7448C" w:rsidRDefault="00231628">
      <w:pPr>
        <w:jc w:val="both"/>
        <w:rPr>
          <w:noProof/>
        </w:rPr>
      </w:pPr>
      <w:r>
        <w:rPr>
          <w:noProof/>
        </w:rPr>
        <w:t>Ausgehend von der Ergebnisrechnung 2019 schloss der EFSD-Garantiefonds das Jahr mit einem leicht negativen wirtschaftlichen Ergebnis von ‑0,26 Mio. EUR</w:t>
      </w:r>
      <w:r>
        <w:rPr>
          <w:rStyle w:val="FootnoteReference"/>
          <w:noProof/>
          <w:lang w:val="en-IE"/>
        </w:rPr>
        <w:footnoteReference w:id="4"/>
      </w:r>
      <w:r>
        <w:rPr>
          <w:noProof/>
        </w:rPr>
        <w:t xml:space="preserve"> ab. Hauptgrund hierfür sind die e</w:t>
      </w:r>
      <w:r>
        <w:rPr>
          <w:noProof/>
        </w:rPr>
        <w:t>inem überwiegend negativen Zinsumfeld geschuldeten Aufwendungen für Negativzinsen auf Kassenbestände und Wertpapiere (-0,45 Mio. EUR), die nur teilweise durch realisierte Gewinne aus Wertpapierverkäufen und Erträge aus Wertpapierleihgeschäften (0,19 Mio. E</w:t>
      </w:r>
      <w:r>
        <w:rPr>
          <w:noProof/>
        </w:rPr>
        <w:t xml:space="preserve">UR) ausgeglichen werden konnten. </w:t>
      </w:r>
    </w:p>
    <w:p w:rsidR="00A7448C" w:rsidRDefault="00231628">
      <w:pPr>
        <w:rPr>
          <w:noProof/>
        </w:rPr>
      </w:pPr>
      <w:r>
        <w:rPr>
          <w:noProof/>
        </w:rPr>
        <w:br w:type="page"/>
      </w:r>
    </w:p>
    <w:p w:rsidR="00A7448C" w:rsidRDefault="00231628">
      <w:pPr>
        <w:rPr>
          <w:b/>
          <w:noProof/>
        </w:rPr>
      </w:pPr>
      <w:r>
        <w:rPr>
          <w:b/>
          <w:noProof/>
        </w:rPr>
        <w:t>Vermögensübersicht zum 31. Dezember 2019</w:t>
      </w:r>
    </w:p>
    <w:p w:rsidR="00A7448C" w:rsidRDefault="00231628">
      <w:pPr>
        <w:spacing w:after="0" w:line="240" w:lineRule="auto"/>
        <w:ind w:left="-284" w:firstLine="284"/>
        <w:rPr>
          <w:rFonts w:cs="Arial"/>
          <w:b/>
          <w:bCs/>
          <w:noProof/>
          <w:sz w:val="20"/>
        </w:rPr>
      </w:pPr>
      <w:r>
        <w:rPr>
          <w:noProof/>
          <w:sz w:val="20"/>
        </w:rPr>
        <w:t>(in Euro ausgedrückte Beträge)</w:t>
      </w:r>
    </w:p>
    <w:p w:rsidR="00A7448C" w:rsidRDefault="00A7448C">
      <w:pPr>
        <w:spacing w:after="0" w:line="240" w:lineRule="auto"/>
        <w:ind w:left="-284"/>
        <w:rPr>
          <w:rFonts w:cs="Arial"/>
          <w:noProof/>
          <w:sz w:val="20"/>
        </w:rPr>
      </w:pPr>
    </w:p>
    <w:tbl>
      <w:tblPr>
        <w:tblW w:w="8505" w:type="dxa"/>
        <w:tblLayout w:type="fixed"/>
        <w:tblCellMar>
          <w:left w:w="0" w:type="dxa"/>
          <w:right w:w="0" w:type="dxa"/>
        </w:tblCellMar>
        <w:tblLook w:val="04A0" w:firstRow="1" w:lastRow="0" w:firstColumn="1" w:lastColumn="0" w:noHBand="0" w:noVBand="1"/>
      </w:tblPr>
      <w:tblGrid>
        <w:gridCol w:w="4678"/>
        <w:gridCol w:w="1985"/>
        <w:gridCol w:w="1842"/>
      </w:tblGrid>
      <w:tr w:rsidR="00A7448C">
        <w:trPr>
          <w:trHeight w:hRule="exact" w:val="283"/>
        </w:trPr>
        <w:tc>
          <w:tcPr>
            <w:tcW w:w="4678" w:type="dxa"/>
            <w:noWrap/>
            <w:vAlign w:val="bottom"/>
            <w:hideMark/>
          </w:tcPr>
          <w:p w:rsidR="00A7448C" w:rsidRDefault="00231628">
            <w:pPr>
              <w:rPr>
                <w:rFonts w:eastAsia="Arial Unicode MS" w:cs="Arial"/>
                <w:b/>
                <w:noProof/>
                <w:sz w:val="20"/>
                <w:u w:val="single"/>
              </w:rPr>
            </w:pPr>
            <w:r>
              <w:rPr>
                <w:b/>
                <w:noProof/>
                <w:sz w:val="20"/>
                <w:u w:val="single"/>
              </w:rPr>
              <w:t>VERMÖGENSWERTE</w:t>
            </w:r>
          </w:p>
        </w:tc>
        <w:tc>
          <w:tcPr>
            <w:tcW w:w="1985" w:type="dxa"/>
            <w:noWrap/>
            <w:vAlign w:val="bottom"/>
          </w:tcPr>
          <w:p w:rsidR="00A7448C" w:rsidRDefault="00A7448C">
            <w:pPr>
              <w:rPr>
                <w:rFonts w:eastAsia="Arial Unicode MS" w:cs="Arial"/>
                <w:noProof/>
                <w:sz w:val="20"/>
              </w:rPr>
            </w:pPr>
          </w:p>
        </w:tc>
        <w:tc>
          <w:tcPr>
            <w:tcW w:w="1842" w:type="dxa"/>
            <w:noWrap/>
            <w:vAlign w:val="bottom"/>
          </w:tcPr>
          <w:p w:rsidR="00A7448C" w:rsidRDefault="00A7448C">
            <w:pPr>
              <w:rPr>
                <w:rFonts w:eastAsia="Arial Unicode MS" w:cs="Arial"/>
                <w:noProof/>
                <w:sz w:val="20"/>
              </w:rPr>
            </w:pPr>
          </w:p>
        </w:tc>
      </w:tr>
      <w:tr w:rsidR="00A7448C">
        <w:trPr>
          <w:trHeight w:hRule="exact" w:val="283"/>
        </w:trPr>
        <w:tc>
          <w:tcPr>
            <w:tcW w:w="4678" w:type="dxa"/>
            <w:tcBorders>
              <w:top w:val="nil"/>
              <w:left w:val="nil"/>
              <w:bottom w:val="single" w:sz="4" w:space="0" w:color="auto"/>
              <w:right w:val="nil"/>
            </w:tcBorders>
            <w:noWrap/>
            <w:vAlign w:val="bottom"/>
          </w:tcPr>
          <w:p w:rsidR="00A7448C" w:rsidRDefault="00A7448C">
            <w:pPr>
              <w:rPr>
                <w:rFonts w:eastAsia="Arial Unicode MS" w:cs="Arial"/>
                <w:noProof/>
                <w:sz w:val="20"/>
                <w:u w:val="single"/>
              </w:rPr>
            </w:pPr>
          </w:p>
        </w:tc>
        <w:tc>
          <w:tcPr>
            <w:tcW w:w="1985" w:type="dxa"/>
            <w:tcBorders>
              <w:top w:val="nil"/>
              <w:left w:val="nil"/>
              <w:bottom w:val="single" w:sz="4" w:space="0" w:color="auto"/>
              <w:right w:val="nil"/>
            </w:tcBorders>
            <w:noWrap/>
            <w:vAlign w:val="bottom"/>
          </w:tcPr>
          <w:p w:rsidR="00A7448C" w:rsidRDefault="00A7448C">
            <w:pPr>
              <w:rPr>
                <w:rFonts w:eastAsia="Arial Unicode MS" w:cs="Arial"/>
                <w:noProof/>
                <w:sz w:val="20"/>
              </w:rPr>
            </w:pPr>
          </w:p>
        </w:tc>
        <w:tc>
          <w:tcPr>
            <w:tcW w:w="1842" w:type="dxa"/>
            <w:tcBorders>
              <w:top w:val="nil"/>
              <w:left w:val="nil"/>
              <w:bottom w:val="single" w:sz="4" w:space="0" w:color="auto"/>
              <w:right w:val="nil"/>
            </w:tcBorders>
            <w:noWrap/>
            <w:vAlign w:val="bottom"/>
          </w:tcPr>
          <w:p w:rsidR="00A7448C" w:rsidRDefault="00A7448C">
            <w:pPr>
              <w:rPr>
                <w:rFonts w:eastAsia="Arial Unicode MS" w:cs="Arial"/>
                <w:noProof/>
                <w:sz w:val="20"/>
              </w:rPr>
            </w:pP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rPr>
                <w:rFonts w:eastAsia="Arial Unicode MS" w:cs="Arial"/>
                <w:noProof/>
                <w:sz w:val="20"/>
              </w:rPr>
            </w:pPr>
            <w:r>
              <w:rPr>
                <w:noProof/>
                <w:sz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jc w:val="center"/>
              <w:rPr>
                <w:rFonts w:eastAsia="Arial Unicode MS" w:cs="Arial"/>
                <w:b/>
                <w:bCs/>
                <w:noProof/>
                <w:sz w:val="20"/>
              </w:rPr>
            </w:pPr>
            <w:r>
              <w:rPr>
                <w:b/>
                <w:bCs/>
                <w:noProof/>
                <w:sz w:val="20"/>
              </w:rPr>
              <w:t>31. Dezember 2019</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jc w:val="center"/>
              <w:rPr>
                <w:rFonts w:eastAsia="Arial Unicode MS" w:cs="Arial"/>
                <w:b/>
                <w:bCs/>
                <w:noProof/>
                <w:sz w:val="20"/>
              </w:rPr>
            </w:pPr>
            <w:r>
              <w:rPr>
                <w:b/>
                <w:bCs/>
                <w:noProof/>
                <w:sz w:val="20"/>
              </w:rPr>
              <w:t>31. Dezember 2018</w:t>
            </w: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rPr>
                <w:rFonts w:eastAsia="Times New Roman" w:cs="Arial"/>
                <w:noProof/>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jc w:val="center"/>
              <w:rPr>
                <w:rFonts w:cs="Arial"/>
                <w:b/>
                <w:bCs/>
                <w:noProof/>
                <w:sz w:val="20"/>
              </w:rPr>
            </w:pPr>
            <w:r>
              <w:rPr>
                <w:b/>
                <w:bCs/>
                <w:noProof/>
                <w:sz w:val="20"/>
              </w:rPr>
              <w:t>EUR</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jc w:val="center"/>
              <w:rPr>
                <w:rFonts w:cs="Arial"/>
                <w:b/>
                <w:bCs/>
                <w:noProof/>
                <w:sz w:val="20"/>
              </w:rPr>
            </w:pPr>
            <w:r>
              <w:rPr>
                <w:b/>
                <w:bCs/>
                <w:noProof/>
                <w:sz w:val="20"/>
              </w:rPr>
              <w:t>EUR</w:t>
            </w: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rPr>
                <w:rFonts w:cs="Arial"/>
                <w:b/>
                <w:bCs/>
                <w:noProof/>
                <w:sz w:val="20"/>
              </w:rPr>
            </w:pPr>
            <w:r>
              <w:rPr>
                <w:b/>
                <w:bCs/>
                <w:noProof/>
                <w:sz w:val="20"/>
              </w:rPr>
              <w:t>LANGFRISTIGE VERMÖGENSWERTE</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cs="Arial"/>
                <w:b/>
                <w:noProof/>
                <w:sz w:val="20"/>
              </w:rPr>
            </w:pPr>
            <w:r>
              <w:rPr>
                <w:b/>
                <w:noProof/>
                <w:sz w:val="20"/>
              </w:rPr>
              <w:t>348 061 980</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cs="Arial"/>
                <w:b/>
                <w:noProof/>
                <w:sz w:val="20"/>
              </w:rPr>
            </w:pPr>
            <w:r>
              <w:rPr>
                <w:b/>
                <w:noProof/>
                <w:sz w:val="20"/>
              </w:rPr>
              <w:t>3 577 001</w:t>
            </w: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rPr>
                <w:rFonts w:eastAsia="Arial Unicode MS" w:cs="Arial"/>
                <w:b/>
                <w:bCs/>
                <w:noProof/>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ind w:right="142"/>
              <w:jc w:val="right"/>
              <w:rPr>
                <w:rFonts w:cs="Arial"/>
                <w:b/>
                <w:noProof/>
                <w:sz w:val="20"/>
                <w:lang w:eastAsia="ko-KR"/>
              </w:rPr>
            </w:pP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ind w:right="142"/>
              <w:jc w:val="right"/>
              <w:rPr>
                <w:rFonts w:cs="Arial"/>
                <w:b/>
                <w:noProof/>
                <w:sz w:val="20"/>
                <w:lang w:eastAsia="ko-KR"/>
              </w:rPr>
            </w:pP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rPr>
                <w:rFonts w:cs="Arial"/>
                <w:bCs/>
                <w:noProof/>
                <w:sz w:val="20"/>
              </w:rPr>
            </w:pPr>
            <w:r>
              <w:rPr>
                <w:bCs/>
                <w:noProof/>
                <w:sz w:val="20"/>
              </w:rPr>
              <w:t xml:space="preserve">Zur Veräußerung </w:t>
            </w:r>
            <w:r>
              <w:rPr>
                <w:bCs/>
                <w:noProof/>
                <w:sz w:val="20"/>
              </w:rPr>
              <w:t>verfügbare finanzielle Vermögenswerte</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cs="Arial"/>
                <w:noProof/>
                <w:sz w:val="20"/>
              </w:rPr>
            </w:pPr>
            <w:r>
              <w:rPr>
                <w:noProof/>
                <w:sz w:val="20"/>
              </w:rPr>
              <w:t>348 061 980</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cs="Arial"/>
                <w:noProof/>
                <w:sz w:val="20"/>
              </w:rPr>
            </w:pPr>
            <w:r>
              <w:rPr>
                <w:noProof/>
                <w:sz w:val="20"/>
              </w:rPr>
              <w:t>3 577 001</w:t>
            </w: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rPr>
                <w:rFonts w:cs="Arial"/>
                <w:b/>
                <w:bCs/>
                <w:noProof/>
                <w:sz w:val="20"/>
                <w:lang w:val="fr-FR"/>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ind w:right="142"/>
              <w:jc w:val="right"/>
              <w:rPr>
                <w:rFonts w:cs="Arial"/>
                <w:b/>
                <w:noProof/>
                <w:sz w:val="20"/>
                <w:lang w:eastAsia="ko-KR"/>
              </w:rPr>
            </w:pP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ind w:right="142"/>
              <w:jc w:val="right"/>
              <w:rPr>
                <w:rFonts w:cs="Arial"/>
                <w:b/>
                <w:noProof/>
                <w:sz w:val="20"/>
                <w:lang w:eastAsia="ko-KR"/>
              </w:rPr>
            </w:pP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rPr>
                <w:rFonts w:eastAsia="Arial Unicode MS" w:cs="Arial"/>
                <w:b/>
                <w:bCs/>
                <w:noProof/>
                <w:sz w:val="20"/>
              </w:rPr>
            </w:pPr>
            <w:r>
              <w:rPr>
                <w:b/>
                <w:bCs/>
                <w:noProof/>
                <w:sz w:val="20"/>
              </w:rPr>
              <w:t>KURZFRISTIGE VERMÖGENSWERTE</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eastAsia="Times New Roman" w:cs="Arial"/>
                <w:b/>
                <w:noProof/>
                <w:sz w:val="20"/>
              </w:rPr>
            </w:pPr>
            <w:r>
              <w:rPr>
                <w:b/>
                <w:noProof/>
                <w:sz w:val="20"/>
              </w:rPr>
              <w:t>251 527 281</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cs="Arial"/>
                <w:b/>
                <w:noProof/>
                <w:sz w:val="20"/>
              </w:rPr>
            </w:pPr>
            <w:r>
              <w:rPr>
                <w:b/>
                <w:noProof/>
                <w:sz w:val="20"/>
              </w:rPr>
              <w:t>271 469 460</w:t>
            </w: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rPr>
                <w:rFonts w:eastAsia="Arial Unicode MS" w:cs="Arial"/>
                <w:b/>
                <w:bCs/>
                <w:noProof/>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line="240" w:lineRule="auto"/>
              <w:jc w:val="right"/>
              <w:rPr>
                <w:rFonts w:cs="Arial"/>
                <w:b/>
                <w:noProof/>
                <w:sz w:val="20"/>
                <w:lang w:eastAsia="ko-KR"/>
              </w:rPr>
            </w:pP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line="240" w:lineRule="auto"/>
              <w:jc w:val="right"/>
              <w:rPr>
                <w:rFonts w:cs="Arial"/>
                <w:b/>
                <w:noProof/>
                <w:sz w:val="20"/>
                <w:lang w:eastAsia="ko-KR"/>
              </w:rPr>
            </w:pP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rPr>
                <w:rFonts w:eastAsia="Arial Unicode MS" w:cs="Arial"/>
                <w:bCs/>
                <w:noProof/>
                <w:sz w:val="20"/>
              </w:rPr>
            </w:pPr>
            <w:r>
              <w:rPr>
                <w:bCs/>
                <w:noProof/>
                <w:sz w:val="20"/>
              </w:rPr>
              <w:t>Zur Veräußerung verfügbare finanzielle Vermögenswerte</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eastAsia="Arial Unicode MS" w:cs="Arial"/>
                <w:noProof/>
                <w:sz w:val="20"/>
              </w:rPr>
            </w:pPr>
            <w:r>
              <w:rPr>
                <w:noProof/>
                <w:sz w:val="20"/>
              </w:rPr>
              <w:t>246 643 539</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eastAsia="Arial Unicode MS" w:cs="Arial"/>
                <w:noProof/>
                <w:sz w:val="20"/>
              </w:rPr>
            </w:pPr>
            <w:r>
              <w:rPr>
                <w:noProof/>
                <w:sz w:val="20"/>
              </w:rPr>
              <w:t>5 795 882</w:t>
            </w: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vAlign w:val="bottom"/>
          </w:tcPr>
          <w:p w:rsidR="00A7448C" w:rsidRDefault="00A7448C">
            <w:pPr>
              <w:spacing w:after="0"/>
              <w:rPr>
                <w:rFonts w:eastAsia="Times New Roman" w:cs="Arial"/>
                <w:bCs/>
                <w:noProof/>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ind w:right="142"/>
              <w:jc w:val="right"/>
              <w:rPr>
                <w:rFonts w:eastAsia="Times New Roman" w:cs="Arial"/>
                <w:noProof/>
                <w:sz w:val="20"/>
                <w:highlight w:val="yellow"/>
                <w:lang w:eastAsia="ko-KR"/>
              </w:rPr>
            </w:pP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ind w:right="142"/>
              <w:jc w:val="right"/>
              <w:rPr>
                <w:rFonts w:cs="Arial"/>
                <w:noProof/>
                <w:sz w:val="20"/>
                <w:highlight w:val="yellow"/>
                <w:lang w:eastAsia="ko-KR"/>
              </w:rPr>
            </w:pP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448C" w:rsidRDefault="00231628">
            <w:pPr>
              <w:spacing w:after="0"/>
              <w:rPr>
                <w:rFonts w:cs="Arial"/>
                <w:bCs/>
                <w:noProof/>
                <w:sz w:val="20"/>
              </w:rPr>
            </w:pPr>
            <w:r>
              <w:rPr>
                <w:bCs/>
                <w:noProof/>
                <w:sz w:val="20"/>
              </w:rPr>
              <w:t>Forderungen (d. h. Wertpapierleihgebühren)</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eastAsia="Arial Unicode MS" w:cs="Arial"/>
                <w:noProof/>
                <w:sz w:val="20"/>
              </w:rPr>
            </w:pPr>
            <w:r>
              <w:rPr>
                <w:noProof/>
                <w:sz w:val="20"/>
              </w:rPr>
              <w:t>1 595</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eastAsia="Arial Unicode MS" w:cs="Arial"/>
                <w:noProof/>
                <w:sz w:val="20"/>
              </w:rPr>
            </w:pPr>
            <w:r>
              <w:rPr>
                <w:noProof/>
                <w:sz w:val="20"/>
              </w:rPr>
              <w:t>-</w:t>
            </w: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vAlign w:val="bottom"/>
          </w:tcPr>
          <w:p w:rsidR="00A7448C" w:rsidRDefault="00A7448C">
            <w:pPr>
              <w:spacing w:after="0"/>
              <w:rPr>
                <w:rFonts w:eastAsia="Times New Roman" w:cs="Arial"/>
                <w:bCs/>
                <w:noProof/>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ind w:right="142"/>
              <w:jc w:val="right"/>
              <w:rPr>
                <w:rFonts w:eastAsia="Times New Roman" w:cs="Arial"/>
                <w:noProof/>
                <w:sz w:val="20"/>
                <w:highlight w:val="yellow"/>
                <w:lang w:eastAsia="ko-KR"/>
              </w:rPr>
            </w:pP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ind w:right="142"/>
              <w:jc w:val="right"/>
              <w:rPr>
                <w:rFonts w:cs="Arial"/>
                <w:noProof/>
                <w:sz w:val="20"/>
                <w:highlight w:val="yellow"/>
                <w:lang w:eastAsia="ko-KR"/>
              </w:rPr>
            </w:pP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vAlign w:val="bottom"/>
          </w:tcPr>
          <w:p w:rsidR="00A7448C" w:rsidRDefault="00A7448C">
            <w:pPr>
              <w:spacing w:after="0"/>
              <w:rPr>
                <w:rFonts w:eastAsia="Arial Unicode MS" w:cs="Arial"/>
                <w:bCs/>
                <w:noProof/>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ind w:right="142"/>
              <w:jc w:val="right"/>
              <w:rPr>
                <w:rFonts w:eastAsia="Arial Unicode MS" w:cs="Arial"/>
                <w:noProof/>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ind w:right="142"/>
              <w:jc w:val="right"/>
              <w:rPr>
                <w:rFonts w:eastAsia="Arial Unicode MS" w:cs="Arial"/>
                <w:noProof/>
                <w:sz w:val="20"/>
              </w:rPr>
            </w:pP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448C" w:rsidRDefault="00231628">
            <w:pPr>
              <w:spacing w:after="0"/>
              <w:rPr>
                <w:rFonts w:eastAsia="Arial Unicode MS" w:cs="Arial"/>
                <w:b/>
                <w:bCs/>
                <w:noProof/>
                <w:sz w:val="20"/>
              </w:rPr>
            </w:pPr>
            <w:r>
              <w:rPr>
                <w:b/>
                <w:bCs/>
                <w:noProof/>
                <w:sz w:val="20"/>
              </w:rPr>
              <w:t>Barmittel und Barmitteläquivalente</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eastAsia="Arial Unicode MS" w:cs="Arial"/>
                <w:noProof/>
                <w:sz w:val="20"/>
              </w:rPr>
            </w:pPr>
            <w:r>
              <w:rPr>
                <w:noProof/>
                <w:sz w:val="20"/>
              </w:rPr>
              <w:t>4 882 147</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eastAsia="Arial Unicode MS" w:cs="Arial"/>
                <w:noProof/>
                <w:sz w:val="20"/>
              </w:rPr>
            </w:pPr>
            <w:r>
              <w:rPr>
                <w:noProof/>
                <w:sz w:val="20"/>
              </w:rPr>
              <w:t>265 673 578</w:t>
            </w: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448C" w:rsidRDefault="00231628">
            <w:pPr>
              <w:spacing w:after="0"/>
              <w:ind w:firstLine="142"/>
              <w:rPr>
                <w:rFonts w:eastAsia="Arial Unicode MS" w:cs="Arial"/>
                <w:bCs/>
                <w:i/>
                <w:noProof/>
                <w:sz w:val="20"/>
              </w:rPr>
            </w:pPr>
            <w:r>
              <w:rPr>
                <w:bCs/>
                <w:i/>
                <w:noProof/>
                <w:sz w:val="20"/>
              </w:rPr>
              <w:t>Sichtkonten</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eastAsia="Arial Unicode MS" w:cs="Arial"/>
                <w:i/>
                <w:noProof/>
                <w:sz w:val="20"/>
              </w:rPr>
            </w:pPr>
            <w:r>
              <w:rPr>
                <w:i/>
                <w:noProof/>
                <w:sz w:val="20"/>
              </w:rPr>
              <w:t>4 885 215</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eastAsia="Arial Unicode MS" w:cs="Arial"/>
                <w:i/>
                <w:noProof/>
                <w:sz w:val="20"/>
              </w:rPr>
            </w:pPr>
            <w:r>
              <w:rPr>
                <w:i/>
                <w:noProof/>
                <w:sz w:val="20"/>
              </w:rPr>
              <w:t>265 721 781</w:t>
            </w:r>
          </w:p>
        </w:tc>
      </w:tr>
      <w:tr w:rsidR="00A7448C">
        <w:trPr>
          <w:trHeight w:hRule="exact" w:val="611"/>
        </w:trPr>
        <w:tc>
          <w:tcPr>
            <w:tcW w:w="467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448C" w:rsidRDefault="00231628">
            <w:pPr>
              <w:spacing w:after="0"/>
              <w:ind w:firstLine="142"/>
              <w:rPr>
                <w:bCs/>
                <w:i/>
                <w:noProof/>
                <w:sz w:val="20"/>
              </w:rPr>
            </w:pPr>
            <w:r>
              <w:rPr>
                <w:bCs/>
                <w:i/>
                <w:noProof/>
                <w:sz w:val="20"/>
              </w:rPr>
              <w:t xml:space="preserve">Aufgelaufene Zinsen auf Barmittel und </w:t>
            </w:r>
          </w:p>
          <w:p w:rsidR="00A7448C" w:rsidRDefault="00231628">
            <w:pPr>
              <w:spacing w:after="0"/>
              <w:ind w:firstLine="142"/>
              <w:rPr>
                <w:rFonts w:eastAsia="Times New Roman" w:cs="Arial"/>
                <w:bCs/>
                <w:i/>
                <w:noProof/>
                <w:sz w:val="20"/>
              </w:rPr>
            </w:pPr>
            <w:r>
              <w:rPr>
                <w:bCs/>
                <w:i/>
                <w:noProof/>
                <w:sz w:val="20"/>
              </w:rPr>
              <w:t>Barmitteläquivalente</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eastAsia="Arial Unicode MS" w:cs="Arial"/>
                <w:i/>
                <w:noProof/>
                <w:sz w:val="20"/>
              </w:rPr>
            </w:pPr>
            <w:r>
              <w:rPr>
                <w:i/>
                <w:noProof/>
                <w:sz w:val="20"/>
              </w:rPr>
              <w:t>(3 068)</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eastAsia="Arial Unicode MS" w:cs="Arial"/>
                <w:i/>
                <w:noProof/>
                <w:sz w:val="20"/>
              </w:rPr>
            </w:pPr>
            <w:r>
              <w:rPr>
                <w:i/>
                <w:noProof/>
                <w:sz w:val="20"/>
              </w:rPr>
              <w:t>(48 203)</w:t>
            </w: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rPr>
                <w:rFonts w:eastAsia="Arial Unicode MS" w:cs="Arial"/>
                <w:b/>
                <w:bCs/>
                <w:noProof/>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ind w:right="142"/>
              <w:jc w:val="right"/>
              <w:rPr>
                <w:rFonts w:eastAsia="Arial Unicode MS" w:cs="Arial"/>
                <w:noProof/>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ind w:right="142"/>
              <w:jc w:val="right"/>
              <w:rPr>
                <w:rFonts w:eastAsia="Arial Unicode MS" w:cs="Arial"/>
                <w:noProof/>
                <w:sz w:val="20"/>
              </w:rPr>
            </w:pP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rPr>
                <w:rFonts w:eastAsia="Arial Unicode MS" w:cs="Arial"/>
                <w:b/>
                <w:bCs/>
                <w:noProof/>
                <w:sz w:val="20"/>
              </w:rPr>
            </w:pPr>
            <w:r>
              <w:rPr>
                <w:b/>
                <w:bCs/>
                <w:noProof/>
                <w:sz w:val="20"/>
              </w:rPr>
              <w:t xml:space="preserve">SUMME DER VERMÖGENSWERTE </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eastAsia="Arial Unicode MS" w:cs="Arial"/>
                <w:b/>
                <w:bCs/>
                <w:noProof/>
                <w:sz w:val="20"/>
              </w:rPr>
            </w:pPr>
            <w:r>
              <w:rPr>
                <w:b/>
                <w:bCs/>
                <w:noProof/>
                <w:sz w:val="20"/>
              </w:rPr>
              <w:t>599 589 261</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eastAsia="Arial Unicode MS" w:cs="Arial"/>
                <w:b/>
                <w:bCs/>
                <w:noProof/>
                <w:sz w:val="20"/>
              </w:rPr>
            </w:pPr>
            <w:r>
              <w:rPr>
                <w:b/>
                <w:bCs/>
                <w:noProof/>
                <w:sz w:val="20"/>
              </w:rPr>
              <w:t>275 046 461</w:t>
            </w:r>
          </w:p>
        </w:tc>
      </w:tr>
      <w:tr w:rsidR="00A7448C">
        <w:trPr>
          <w:trHeight w:hRule="exact" w:val="283"/>
        </w:trPr>
        <w:tc>
          <w:tcPr>
            <w:tcW w:w="4678" w:type="dxa"/>
            <w:tcBorders>
              <w:top w:val="single" w:sz="4" w:space="0" w:color="auto"/>
              <w:left w:val="nil"/>
              <w:bottom w:val="nil"/>
              <w:right w:val="nil"/>
            </w:tcBorders>
            <w:noWrap/>
            <w:vAlign w:val="bottom"/>
          </w:tcPr>
          <w:p w:rsidR="00A7448C" w:rsidRDefault="00A7448C">
            <w:pPr>
              <w:spacing w:after="0"/>
              <w:rPr>
                <w:rFonts w:eastAsia="Arial Unicode MS" w:cs="Arial"/>
                <w:noProof/>
                <w:sz w:val="20"/>
                <w:u w:val="single"/>
              </w:rPr>
            </w:pPr>
          </w:p>
        </w:tc>
        <w:tc>
          <w:tcPr>
            <w:tcW w:w="1985" w:type="dxa"/>
            <w:tcBorders>
              <w:top w:val="single" w:sz="4" w:space="0" w:color="auto"/>
              <w:left w:val="nil"/>
              <w:bottom w:val="nil"/>
              <w:right w:val="nil"/>
            </w:tcBorders>
            <w:noWrap/>
            <w:vAlign w:val="bottom"/>
          </w:tcPr>
          <w:p w:rsidR="00A7448C" w:rsidRDefault="00A7448C">
            <w:pPr>
              <w:spacing w:after="0"/>
              <w:rPr>
                <w:rFonts w:eastAsia="Arial Unicode MS" w:cs="Arial"/>
                <w:noProof/>
                <w:sz w:val="20"/>
              </w:rPr>
            </w:pPr>
          </w:p>
        </w:tc>
        <w:tc>
          <w:tcPr>
            <w:tcW w:w="1842" w:type="dxa"/>
            <w:tcBorders>
              <w:top w:val="single" w:sz="4" w:space="0" w:color="auto"/>
              <w:left w:val="nil"/>
              <w:bottom w:val="nil"/>
              <w:right w:val="nil"/>
            </w:tcBorders>
            <w:noWrap/>
            <w:vAlign w:val="bottom"/>
          </w:tcPr>
          <w:p w:rsidR="00A7448C" w:rsidRDefault="00A7448C">
            <w:pPr>
              <w:spacing w:after="0"/>
              <w:rPr>
                <w:rFonts w:eastAsia="Arial Unicode MS" w:cs="Arial"/>
                <w:noProof/>
                <w:sz w:val="20"/>
              </w:rPr>
            </w:pPr>
          </w:p>
        </w:tc>
      </w:tr>
      <w:tr w:rsidR="00A7448C">
        <w:trPr>
          <w:trHeight w:hRule="exact" w:val="283"/>
        </w:trPr>
        <w:tc>
          <w:tcPr>
            <w:tcW w:w="4678" w:type="dxa"/>
            <w:noWrap/>
            <w:vAlign w:val="bottom"/>
          </w:tcPr>
          <w:p w:rsidR="00A7448C" w:rsidRDefault="00A7448C">
            <w:pPr>
              <w:spacing w:after="0" w:line="240" w:lineRule="auto"/>
              <w:rPr>
                <w:rFonts w:eastAsia="Arial Unicode MS" w:cs="Arial"/>
                <w:noProof/>
                <w:sz w:val="20"/>
                <w:u w:val="single"/>
              </w:rPr>
            </w:pPr>
          </w:p>
        </w:tc>
        <w:tc>
          <w:tcPr>
            <w:tcW w:w="1985" w:type="dxa"/>
            <w:noWrap/>
            <w:vAlign w:val="bottom"/>
          </w:tcPr>
          <w:p w:rsidR="00A7448C" w:rsidRDefault="00A7448C">
            <w:pPr>
              <w:spacing w:after="0" w:line="240" w:lineRule="auto"/>
              <w:rPr>
                <w:rFonts w:eastAsia="Arial Unicode MS" w:cs="Arial"/>
                <w:noProof/>
                <w:sz w:val="20"/>
              </w:rPr>
            </w:pPr>
          </w:p>
        </w:tc>
        <w:tc>
          <w:tcPr>
            <w:tcW w:w="1842" w:type="dxa"/>
            <w:noWrap/>
            <w:vAlign w:val="bottom"/>
          </w:tcPr>
          <w:p w:rsidR="00A7448C" w:rsidRDefault="00A7448C">
            <w:pPr>
              <w:spacing w:after="0" w:line="240" w:lineRule="auto"/>
              <w:rPr>
                <w:rFonts w:eastAsia="Arial Unicode MS" w:cs="Arial"/>
                <w:noProof/>
                <w:sz w:val="20"/>
              </w:rPr>
            </w:pPr>
          </w:p>
        </w:tc>
      </w:tr>
      <w:tr w:rsidR="00A7448C">
        <w:trPr>
          <w:trHeight w:hRule="exact" w:val="283"/>
        </w:trPr>
        <w:tc>
          <w:tcPr>
            <w:tcW w:w="4678" w:type="dxa"/>
            <w:noWrap/>
            <w:vAlign w:val="bottom"/>
            <w:hideMark/>
          </w:tcPr>
          <w:p w:rsidR="00A7448C" w:rsidRDefault="00231628">
            <w:pPr>
              <w:spacing w:after="0"/>
              <w:rPr>
                <w:rFonts w:eastAsia="Arial Unicode MS" w:cs="Arial"/>
                <w:b/>
                <w:noProof/>
                <w:sz w:val="20"/>
                <w:u w:val="single"/>
              </w:rPr>
            </w:pPr>
            <w:r>
              <w:rPr>
                <w:b/>
                <w:noProof/>
                <w:sz w:val="20"/>
                <w:u w:val="single"/>
              </w:rPr>
              <w:t xml:space="preserve">NETTOVERMÖGEN </w:t>
            </w:r>
            <w:r>
              <w:rPr>
                <w:b/>
                <w:noProof/>
                <w:sz w:val="20"/>
                <w:u w:val="single"/>
              </w:rPr>
              <w:t>UND VERBINDLICHKEITEN</w:t>
            </w:r>
          </w:p>
        </w:tc>
        <w:tc>
          <w:tcPr>
            <w:tcW w:w="1985" w:type="dxa"/>
            <w:noWrap/>
            <w:vAlign w:val="bottom"/>
          </w:tcPr>
          <w:p w:rsidR="00A7448C" w:rsidRDefault="00A7448C">
            <w:pPr>
              <w:spacing w:after="0"/>
              <w:rPr>
                <w:rFonts w:eastAsia="Arial Unicode MS" w:cs="Arial"/>
                <w:noProof/>
                <w:sz w:val="20"/>
                <w:lang w:val="fr-FR"/>
              </w:rPr>
            </w:pPr>
          </w:p>
        </w:tc>
        <w:tc>
          <w:tcPr>
            <w:tcW w:w="1842" w:type="dxa"/>
            <w:noWrap/>
            <w:vAlign w:val="bottom"/>
          </w:tcPr>
          <w:p w:rsidR="00A7448C" w:rsidRDefault="00A7448C">
            <w:pPr>
              <w:spacing w:after="0"/>
              <w:rPr>
                <w:rFonts w:eastAsia="Arial Unicode MS" w:cs="Arial"/>
                <w:noProof/>
                <w:sz w:val="20"/>
                <w:lang w:val="fr-FR"/>
              </w:rPr>
            </w:pPr>
          </w:p>
        </w:tc>
      </w:tr>
      <w:tr w:rsidR="00A7448C">
        <w:trPr>
          <w:trHeight w:hRule="exact" w:val="283"/>
        </w:trPr>
        <w:tc>
          <w:tcPr>
            <w:tcW w:w="4678" w:type="dxa"/>
            <w:tcBorders>
              <w:top w:val="nil"/>
              <w:left w:val="nil"/>
              <w:bottom w:val="single" w:sz="4" w:space="0" w:color="auto"/>
              <w:right w:val="nil"/>
            </w:tcBorders>
            <w:noWrap/>
            <w:vAlign w:val="bottom"/>
          </w:tcPr>
          <w:p w:rsidR="00A7448C" w:rsidRDefault="00A7448C">
            <w:pPr>
              <w:spacing w:after="0"/>
              <w:rPr>
                <w:rFonts w:eastAsia="Arial Unicode MS" w:cs="Arial"/>
                <w:noProof/>
                <w:sz w:val="20"/>
                <w:u w:val="single"/>
                <w:lang w:val="fr-FR"/>
              </w:rPr>
            </w:pPr>
          </w:p>
        </w:tc>
        <w:tc>
          <w:tcPr>
            <w:tcW w:w="1985" w:type="dxa"/>
            <w:tcBorders>
              <w:top w:val="nil"/>
              <w:left w:val="nil"/>
              <w:bottom w:val="single" w:sz="4" w:space="0" w:color="auto"/>
              <w:right w:val="nil"/>
            </w:tcBorders>
            <w:noWrap/>
            <w:vAlign w:val="bottom"/>
          </w:tcPr>
          <w:p w:rsidR="00A7448C" w:rsidRDefault="00A7448C">
            <w:pPr>
              <w:spacing w:after="0"/>
              <w:rPr>
                <w:rFonts w:eastAsia="Arial Unicode MS" w:cs="Arial"/>
                <w:noProof/>
                <w:sz w:val="20"/>
                <w:lang w:val="fr-FR"/>
              </w:rPr>
            </w:pPr>
          </w:p>
        </w:tc>
        <w:tc>
          <w:tcPr>
            <w:tcW w:w="1842" w:type="dxa"/>
            <w:tcBorders>
              <w:top w:val="nil"/>
              <w:left w:val="nil"/>
              <w:bottom w:val="single" w:sz="4" w:space="0" w:color="auto"/>
              <w:right w:val="nil"/>
            </w:tcBorders>
            <w:noWrap/>
            <w:vAlign w:val="bottom"/>
          </w:tcPr>
          <w:p w:rsidR="00A7448C" w:rsidRDefault="00A7448C">
            <w:pPr>
              <w:spacing w:after="0"/>
              <w:rPr>
                <w:rFonts w:eastAsia="Arial Unicode MS" w:cs="Arial"/>
                <w:noProof/>
                <w:sz w:val="20"/>
                <w:lang w:val="fr-FR"/>
              </w:rPr>
            </w:pP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rPr>
                <w:rFonts w:eastAsia="Arial Unicode MS" w:cs="Arial"/>
                <w:noProof/>
                <w:sz w:val="20"/>
              </w:rPr>
            </w:pPr>
            <w:r>
              <w:rPr>
                <w:noProof/>
                <w:sz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jc w:val="center"/>
              <w:rPr>
                <w:rFonts w:eastAsia="Arial Unicode MS" w:cs="Arial"/>
                <w:b/>
                <w:bCs/>
                <w:noProof/>
                <w:sz w:val="20"/>
              </w:rPr>
            </w:pPr>
            <w:r>
              <w:rPr>
                <w:b/>
                <w:bCs/>
                <w:noProof/>
                <w:sz w:val="20"/>
              </w:rPr>
              <w:t>31. Dezember 2019</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jc w:val="center"/>
              <w:rPr>
                <w:rFonts w:eastAsia="Arial Unicode MS" w:cs="Arial"/>
                <w:b/>
                <w:bCs/>
                <w:noProof/>
                <w:sz w:val="20"/>
              </w:rPr>
            </w:pPr>
            <w:r>
              <w:rPr>
                <w:b/>
                <w:bCs/>
                <w:noProof/>
                <w:sz w:val="20"/>
              </w:rPr>
              <w:t>31. Dezember 2018</w:t>
            </w: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rPr>
                <w:rFonts w:eastAsia="Times New Roman" w:cs="Arial"/>
                <w:noProof/>
                <w:sz w:val="20"/>
                <w:lang w:val="fr-FR"/>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jc w:val="center"/>
              <w:rPr>
                <w:rFonts w:cs="Arial"/>
                <w:b/>
                <w:bCs/>
                <w:noProof/>
                <w:sz w:val="20"/>
              </w:rPr>
            </w:pPr>
            <w:r>
              <w:rPr>
                <w:b/>
                <w:bCs/>
                <w:noProof/>
                <w:sz w:val="20"/>
              </w:rPr>
              <w:t>EUR</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jc w:val="center"/>
              <w:rPr>
                <w:rFonts w:cs="Arial"/>
                <w:b/>
                <w:bCs/>
                <w:noProof/>
                <w:sz w:val="20"/>
              </w:rPr>
            </w:pPr>
            <w:r>
              <w:rPr>
                <w:b/>
                <w:bCs/>
                <w:noProof/>
                <w:sz w:val="20"/>
              </w:rPr>
              <w:t>EUR</w:t>
            </w: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rPr>
                <w:rFonts w:eastAsia="Arial Unicode MS" w:cs="Arial"/>
                <w:b/>
                <w:bCs/>
                <w:noProof/>
                <w:sz w:val="20"/>
              </w:rPr>
            </w:pPr>
            <w:r>
              <w:rPr>
                <w:b/>
                <w:bCs/>
                <w:noProof/>
                <w:sz w:val="20"/>
              </w:rPr>
              <w:t>NETTOVERMÖGEN</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eastAsia="Times New Roman" w:cs="Arial"/>
                <w:b/>
                <w:bCs/>
                <w:noProof/>
                <w:sz w:val="20"/>
              </w:rPr>
            </w:pPr>
            <w:r>
              <w:rPr>
                <w:b/>
                <w:bCs/>
                <w:noProof/>
                <w:sz w:val="20"/>
              </w:rPr>
              <w:t>599 567 587</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cs="Arial"/>
                <w:b/>
                <w:bCs/>
                <w:noProof/>
                <w:sz w:val="20"/>
              </w:rPr>
            </w:pPr>
            <w:r>
              <w:rPr>
                <w:b/>
                <w:bCs/>
                <w:noProof/>
                <w:sz w:val="20"/>
              </w:rPr>
              <w:t>275 030 778</w:t>
            </w: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rPr>
                <w:rFonts w:cs="Arial"/>
                <w:b/>
                <w:bCs/>
                <w:noProof/>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jc w:val="right"/>
              <w:rPr>
                <w:rFonts w:cs="Arial"/>
                <w:b/>
                <w:bCs/>
                <w:noProof/>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jc w:val="right"/>
              <w:rPr>
                <w:rFonts w:cs="Arial"/>
                <w:b/>
                <w:bCs/>
                <w:noProof/>
                <w:sz w:val="20"/>
              </w:rPr>
            </w:pP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rPr>
                <w:rFonts w:cs="Arial"/>
                <w:b/>
                <w:bCs/>
                <w:noProof/>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jc w:val="right"/>
              <w:rPr>
                <w:rFonts w:cs="Arial"/>
                <w:b/>
                <w:bCs/>
                <w:noProof/>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jc w:val="right"/>
              <w:rPr>
                <w:rFonts w:cs="Arial"/>
                <w:b/>
                <w:bCs/>
                <w:noProof/>
                <w:sz w:val="20"/>
              </w:rPr>
            </w:pP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rPr>
                <w:rFonts w:cs="Arial"/>
                <w:bCs/>
                <w:noProof/>
                <w:sz w:val="20"/>
              </w:rPr>
            </w:pPr>
            <w:r>
              <w:rPr>
                <w:bCs/>
                <w:noProof/>
                <w:sz w:val="20"/>
              </w:rPr>
              <w:t>Beitrag aus dem EU-Haushalt</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cs="Arial"/>
                <w:bCs/>
                <w:noProof/>
                <w:sz w:val="20"/>
              </w:rPr>
            </w:pPr>
            <w:r>
              <w:rPr>
                <w:bCs/>
                <w:noProof/>
                <w:sz w:val="20"/>
              </w:rPr>
              <w:t>600 100 000</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cs="Arial"/>
                <w:bCs/>
                <w:noProof/>
                <w:sz w:val="20"/>
              </w:rPr>
            </w:pPr>
            <w:r>
              <w:rPr>
                <w:bCs/>
                <w:noProof/>
                <w:sz w:val="20"/>
              </w:rPr>
              <w:t>275 100 000</w:t>
            </w: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rPr>
                <w:rFonts w:eastAsia="Arial Unicode MS" w:cs="Arial"/>
                <w:bCs/>
                <w:noProof/>
                <w:sz w:val="20"/>
              </w:rPr>
            </w:pPr>
            <w:r>
              <w:rPr>
                <w:bCs/>
                <w:noProof/>
                <w:sz w:val="20"/>
              </w:rPr>
              <w:t>Neubewertungsreserve</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eastAsia="Times New Roman" w:cs="Arial"/>
                <w:bCs/>
                <w:noProof/>
                <w:sz w:val="20"/>
              </w:rPr>
            </w:pPr>
            <w:r>
              <w:rPr>
                <w:bCs/>
                <w:noProof/>
                <w:sz w:val="20"/>
              </w:rPr>
              <w:t>(188 713)</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cs="Arial"/>
                <w:bCs/>
                <w:noProof/>
                <w:sz w:val="20"/>
              </w:rPr>
            </w:pPr>
            <w:r>
              <w:rPr>
                <w:bCs/>
                <w:noProof/>
                <w:sz w:val="20"/>
              </w:rPr>
              <w:t>(655)</w:t>
            </w: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rPr>
                <w:rFonts w:cs="Arial"/>
                <w:noProof/>
                <w:sz w:val="20"/>
              </w:rPr>
            </w:pPr>
            <w:r>
              <w:rPr>
                <w:noProof/>
                <w:sz w:val="20"/>
              </w:rPr>
              <w:t>Einbehaltene Gewinne</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231628">
            <w:pPr>
              <w:spacing w:after="0"/>
              <w:ind w:right="142"/>
              <w:jc w:val="right"/>
              <w:rPr>
                <w:rFonts w:eastAsia="Arial Unicode MS" w:cs="Arial"/>
                <w:noProof/>
                <w:sz w:val="20"/>
              </w:rPr>
            </w:pPr>
            <w:r>
              <w:rPr>
                <w:noProof/>
                <w:sz w:val="20"/>
              </w:rPr>
              <w:t>(68 567)</w:t>
            </w:r>
          </w:p>
          <w:p w:rsidR="00A7448C" w:rsidRDefault="00A7448C">
            <w:pPr>
              <w:spacing w:after="0"/>
              <w:ind w:right="142"/>
              <w:jc w:val="right"/>
              <w:rPr>
                <w:rFonts w:eastAsia="Times New Roman" w:cs="Arial"/>
                <w:noProof/>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231628">
            <w:pPr>
              <w:spacing w:after="0"/>
              <w:ind w:right="142"/>
              <w:jc w:val="right"/>
              <w:rPr>
                <w:rFonts w:eastAsia="Arial Unicode MS" w:cs="Arial"/>
                <w:noProof/>
                <w:sz w:val="20"/>
              </w:rPr>
            </w:pPr>
            <w:r>
              <w:rPr>
                <w:noProof/>
                <w:sz w:val="20"/>
              </w:rPr>
              <w:t>-</w:t>
            </w:r>
          </w:p>
          <w:p w:rsidR="00A7448C" w:rsidRDefault="00A7448C">
            <w:pPr>
              <w:spacing w:after="0"/>
              <w:ind w:right="142"/>
              <w:jc w:val="right"/>
              <w:rPr>
                <w:rFonts w:eastAsia="Times New Roman" w:cs="Arial"/>
                <w:noProof/>
                <w:sz w:val="20"/>
              </w:rPr>
            </w:pPr>
          </w:p>
        </w:tc>
      </w:tr>
      <w:tr w:rsidR="00A7448C">
        <w:trPr>
          <w:trHeight w:hRule="exact" w:val="297"/>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231628">
            <w:pPr>
              <w:spacing w:after="0"/>
              <w:rPr>
                <w:rFonts w:cs="Arial"/>
                <w:noProof/>
                <w:sz w:val="20"/>
              </w:rPr>
            </w:pPr>
            <w:r>
              <w:rPr>
                <w:noProof/>
                <w:sz w:val="20"/>
              </w:rPr>
              <w:t>Wirtschaftliches Ergebnis des Jahres</w:t>
            </w:r>
          </w:p>
          <w:p w:rsidR="00A7448C" w:rsidRDefault="00A7448C">
            <w:pPr>
              <w:spacing w:after="0"/>
              <w:rPr>
                <w:rFonts w:cs="Arial"/>
                <w:noProof/>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cs="Arial"/>
                <w:noProof/>
                <w:sz w:val="20"/>
              </w:rPr>
            </w:pPr>
            <w:r>
              <w:rPr>
                <w:noProof/>
                <w:sz w:val="20"/>
              </w:rPr>
              <w:t>(275 133)</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cs="Arial"/>
                <w:noProof/>
                <w:sz w:val="20"/>
              </w:rPr>
            </w:pPr>
            <w:r>
              <w:rPr>
                <w:noProof/>
                <w:sz w:val="20"/>
              </w:rPr>
              <w:t>(68 567)</w:t>
            </w: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rPr>
                <w:rFonts w:eastAsia="Arial Unicode MS" w:cs="Arial"/>
                <w:b/>
                <w:bCs/>
                <w:noProof/>
                <w:sz w:val="20"/>
                <w:lang w:val="fr-FR"/>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jc w:val="right"/>
              <w:rPr>
                <w:rFonts w:cs="Arial"/>
                <w:b/>
                <w:noProof/>
                <w:sz w:val="20"/>
                <w:lang w:val="fr-FR"/>
              </w:rPr>
            </w:pP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jc w:val="right"/>
              <w:rPr>
                <w:rFonts w:cs="Arial"/>
                <w:b/>
                <w:noProof/>
                <w:sz w:val="20"/>
                <w:lang w:val="fr-FR"/>
              </w:rPr>
            </w:pP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rPr>
                <w:rFonts w:eastAsia="Arial Unicode MS" w:cs="Arial"/>
                <w:b/>
                <w:bCs/>
                <w:noProof/>
                <w:sz w:val="20"/>
              </w:rPr>
            </w:pPr>
            <w:r>
              <w:rPr>
                <w:b/>
                <w:bCs/>
                <w:noProof/>
                <w:sz w:val="20"/>
              </w:rPr>
              <w:t>KURZFRISTIGE VERBINDLICHKEITEN</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tabs>
                <w:tab w:val="left" w:pos="1558"/>
              </w:tabs>
              <w:spacing w:after="0"/>
              <w:ind w:right="143"/>
              <w:jc w:val="right"/>
              <w:rPr>
                <w:rFonts w:eastAsia="Arial Unicode MS" w:cs="Arial"/>
                <w:b/>
                <w:noProof/>
                <w:sz w:val="20"/>
              </w:rPr>
            </w:pPr>
            <w:r>
              <w:rPr>
                <w:b/>
                <w:noProof/>
                <w:sz w:val="20"/>
              </w:rPr>
              <w:t>21 674</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tabs>
                <w:tab w:val="left" w:pos="1558"/>
              </w:tabs>
              <w:spacing w:after="0"/>
              <w:ind w:right="143"/>
              <w:jc w:val="right"/>
              <w:rPr>
                <w:rFonts w:eastAsia="Arial Unicode MS" w:cs="Arial"/>
                <w:b/>
                <w:noProof/>
                <w:sz w:val="20"/>
              </w:rPr>
            </w:pPr>
            <w:r>
              <w:rPr>
                <w:b/>
                <w:noProof/>
                <w:sz w:val="20"/>
              </w:rPr>
              <w:t>15 683</w:t>
            </w: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rPr>
                <w:rFonts w:eastAsia="Times New Roman" w:cs="Arial"/>
                <w:b/>
                <w:bCs/>
                <w:noProof/>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jc w:val="right"/>
              <w:rPr>
                <w:rFonts w:cs="Arial"/>
                <w:noProof/>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jc w:val="right"/>
              <w:rPr>
                <w:rFonts w:cs="Arial"/>
                <w:noProof/>
                <w:sz w:val="20"/>
              </w:rPr>
            </w:pPr>
          </w:p>
        </w:tc>
      </w:tr>
      <w:tr w:rsidR="00A7448C">
        <w:trPr>
          <w:trHeight w:hRule="exact" w:val="344"/>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rPr>
                <w:rFonts w:cs="Arial"/>
                <w:bCs/>
                <w:noProof/>
                <w:sz w:val="20"/>
              </w:rPr>
            </w:pPr>
            <w:r>
              <w:rPr>
                <w:bCs/>
                <w:noProof/>
                <w:sz w:val="20"/>
              </w:rPr>
              <w:t>Sonstige Verbindlichkeiten</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cs="Arial"/>
                <w:noProof/>
                <w:sz w:val="20"/>
              </w:rPr>
            </w:pPr>
            <w:r>
              <w:rPr>
                <w:noProof/>
                <w:sz w:val="20"/>
              </w:rPr>
              <w:t>21 674</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cs="Arial"/>
                <w:noProof/>
                <w:sz w:val="20"/>
              </w:rPr>
            </w:pPr>
            <w:r>
              <w:rPr>
                <w:noProof/>
                <w:sz w:val="20"/>
              </w:rPr>
              <w:t>15 683</w:t>
            </w:r>
          </w:p>
        </w:tc>
      </w:tr>
      <w:tr w:rsidR="00A7448C">
        <w:trPr>
          <w:trHeight w:hRule="exact" w:val="283"/>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rPr>
                <w:rFonts w:eastAsia="Arial Unicode MS" w:cs="Arial"/>
                <w:bCs/>
                <w:noProof/>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ind w:right="142"/>
              <w:jc w:val="right"/>
              <w:rPr>
                <w:rFonts w:eastAsia="Arial Unicode MS" w:cs="Arial"/>
                <w:noProof/>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spacing w:after="0"/>
              <w:ind w:right="142"/>
              <w:jc w:val="right"/>
              <w:rPr>
                <w:rFonts w:eastAsia="Arial Unicode MS" w:cs="Arial"/>
                <w:noProof/>
                <w:sz w:val="20"/>
              </w:rPr>
            </w:pPr>
          </w:p>
        </w:tc>
      </w:tr>
      <w:tr w:rsidR="00A7448C">
        <w:trPr>
          <w:trHeight w:hRule="exact" w:val="489"/>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rPr>
                <w:rFonts w:eastAsia="Arial Unicode MS" w:cs="Arial"/>
                <w:b/>
                <w:bCs/>
                <w:noProof/>
                <w:sz w:val="20"/>
              </w:rPr>
            </w:pPr>
            <w:r>
              <w:rPr>
                <w:b/>
                <w:bCs/>
                <w:noProof/>
                <w:sz w:val="20"/>
              </w:rPr>
              <w:t>SUMME AUS NETTOVERMÖGEN UND VERBINDLICHKEITEN</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eastAsia="Times New Roman" w:cs="Arial"/>
                <w:b/>
                <w:noProof/>
                <w:sz w:val="20"/>
              </w:rPr>
            </w:pPr>
            <w:r>
              <w:rPr>
                <w:b/>
                <w:bCs/>
                <w:noProof/>
                <w:sz w:val="20"/>
              </w:rPr>
              <w:t>599 589 261</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spacing w:after="0"/>
              <w:ind w:right="142"/>
              <w:jc w:val="right"/>
              <w:rPr>
                <w:rFonts w:cs="Arial"/>
                <w:b/>
                <w:noProof/>
                <w:sz w:val="20"/>
              </w:rPr>
            </w:pPr>
            <w:r>
              <w:rPr>
                <w:b/>
                <w:bCs/>
                <w:noProof/>
                <w:sz w:val="20"/>
              </w:rPr>
              <w:t>275 046 461</w:t>
            </w:r>
          </w:p>
        </w:tc>
      </w:tr>
    </w:tbl>
    <w:p w:rsidR="00A7448C" w:rsidRDefault="00231628">
      <w:pPr>
        <w:rPr>
          <w:noProof/>
        </w:rPr>
      </w:pPr>
      <w:r>
        <w:rPr>
          <w:noProof/>
        </w:rPr>
        <w:br w:type="page"/>
      </w:r>
    </w:p>
    <w:p w:rsidR="00A7448C" w:rsidRDefault="00231628">
      <w:pPr>
        <w:jc w:val="both"/>
        <w:rPr>
          <w:b/>
          <w:noProof/>
        </w:rPr>
      </w:pPr>
      <w:r>
        <w:rPr>
          <w:b/>
          <w:noProof/>
        </w:rPr>
        <w:t xml:space="preserve">Ergebnisrechnung für das </w:t>
      </w:r>
      <w:r>
        <w:rPr>
          <w:b/>
          <w:noProof/>
        </w:rPr>
        <w:t>am 31. Dezember 2019 endende Jahr</w:t>
      </w:r>
    </w:p>
    <w:p w:rsidR="00A7448C" w:rsidRDefault="00231628">
      <w:pPr>
        <w:spacing w:after="0" w:line="240" w:lineRule="auto"/>
        <w:ind w:left="-142" w:firstLine="120"/>
        <w:rPr>
          <w:rFonts w:cs="Arial"/>
          <w:noProof/>
          <w:sz w:val="20"/>
        </w:rPr>
      </w:pPr>
      <w:r>
        <w:rPr>
          <w:noProof/>
          <w:sz w:val="20"/>
        </w:rPr>
        <w:t>(in Euro ausgedrückte Beträge)</w:t>
      </w:r>
    </w:p>
    <w:p w:rsidR="00A7448C" w:rsidRDefault="00A7448C">
      <w:pPr>
        <w:spacing w:after="0" w:line="240" w:lineRule="auto"/>
        <w:ind w:left="-142" w:firstLine="120"/>
        <w:rPr>
          <w:rFonts w:cs="Arial"/>
          <w:b/>
          <w:bCs/>
          <w:noProof/>
          <w:sz w:val="20"/>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8"/>
        <w:gridCol w:w="1985"/>
        <w:gridCol w:w="1842"/>
      </w:tblGrid>
      <w:tr w:rsidR="00A7448C">
        <w:trPr>
          <w:trHeight w:hRule="exact" w:val="284"/>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rPr>
                <w:rFonts w:eastAsia="Arial Unicode MS" w:cs="Arial"/>
                <w:noProof/>
                <w:sz w:val="20"/>
              </w:rPr>
            </w:pPr>
            <w:r>
              <w:rPr>
                <w:b/>
                <w:bCs/>
                <w:noProof/>
                <w:sz w:val="20"/>
              </w:rPr>
              <w:t xml:space="preserve"> </w:t>
            </w:r>
            <w:r>
              <w:rPr>
                <w:noProof/>
                <w:sz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jc w:val="center"/>
              <w:rPr>
                <w:rFonts w:eastAsia="Arial Unicode MS" w:cs="Arial"/>
                <w:b/>
                <w:bCs/>
                <w:noProof/>
                <w:sz w:val="20"/>
              </w:rPr>
            </w:pPr>
            <w:r>
              <w:rPr>
                <w:b/>
                <w:bCs/>
                <w:noProof/>
                <w:sz w:val="20"/>
              </w:rPr>
              <w:t>2019</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448C" w:rsidRDefault="00231628">
            <w:pPr>
              <w:jc w:val="center"/>
              <w:rPr>
                <w:rFonts w:eastAsia="Arial Unicode MS" w:cs="Arial"/>
                <w:b/>
                <w:bCs/>
                <w:noProof/>
                <w:sz w:val="20"/>
              </w:rPr>
            </w:pPr>
            <w:r>
              <w:rPr>
                <w:b/>
                <w:bCs/>
                <w:noProof/>
                <w:sz w:val="20"/>
              </w:rPr>
              <w:t>2018</w:t>
            </w:r>
          </w:p>
        </w:tc>
      </w:tr>
      <w:tr w:rsidR="00A7448C">
        <w:trPr>
          <w:trHeight w:hRule="exact" w:val="284"/>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7448C" w:rsidRDefault="00A7448C">
            <w:pPr>
              <w:rPr>
                <w:rFonts w:eastAsia="Times New Roman" w:cs="Arial"/>
                <w:noProof/>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jc w:val="center"/>
              <w:rPr>
                <w:rFonts w:cs="Arial"/>
                <w:b/>
                <w:bCs/>
                <w:noProof/>
                <w:sz w:val="20"/>
              </w:rPr>
            </w:pPr>
            <w:r>
              <w:rPr>
                <w:b/>
                <w:bCs/>
                <w:noProof/>
                <w:sz w:val="20"/>
              </w:rPr>
              <w:t>EUR</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448C" w:rsidRDefault="00231628">
            <w:pPr>
              <w:jc w:val="center"/>
              <w:rPr>
                <w:rFonts w:cs="Arial"/>
                <w:b/>
                <w:bCs/>
                <w:noProof/>
                <w:sz w:val="20"/>
              </w:rPr>
            </w:pPr>
            <w:r>
              <w:rPr>
                <w:b/>
                <w:bCs/>
                <w:noProof/>
                <w:sz w:val="20"/>
              </w:rPr>
              <w:t>EUR</w:t>
            </w:r>
          </w:p>
        </w:tc>
      </w:tr>
      <w:tr w:rsidR="00A7448C">
        <w:trPr>
          <w:trHeight w:hRule="exact" w:val="284"/>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rPr>
                <w:rFonts w:cs="Arial"/>
                <w:noProof/>
                <w:sz w:val="20"/>
              </w:rPr>
            </w:pPr>
            <w:r>
              <w:rPr>
                <w:b/>
                <w:noProof/>
                <w:sz w:val="20"/>
              </w:rPr>
              <w:t>Betrieblicher Ertrag</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tabs>
                <w:tab w:val="left" w:pos="1558"/>
              </w:tabs>
              <w:spacing w:after="0"/>
              <w:ind w:right="143"/>
              <w:jc w:val="right"/>
              <w:rPr>
                <w:rFonts w:eastAsia="Times New Roman" w:cs="Arial"/>
                <w:b/>
                <w:noProof/>
                <w:sz w:val="20"/>
              </w:rPr>
            </w:pPr>
            <w:r>
              <w:rPr>
                <w:noProof/>
                <w:sz w:val="20"/>
              </w:rPr>
              <w:t>-</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448C" w:rsidRDefault="00231628">
            <w:pPr>
              <w:tabs>
                <w:tab w:val="left" w:pos="1558"/>
              </w:tabs>
              <w:spacing w:after="0"/>
              <w:ind w:right="143"/>
              <w:jc w:val="right"/>
              <w:rPr>
                <w:rFonts w:cs="Arial"/>
                <w:b/>
                <w:noProof/>
                <w:sz w:val="20"/>
              </w:rPr>
            </w:pPr>
            <w:r>
              <w:rPr>
                <w:noProof/>
                <w:sz w:val="20"/>
              </w:rPr>
              <w:t>-</w:t>
            </w:r>
          </w:p>
        </w:tc>
      </w:tr>
      <w:tr w:rsidR="00A7448C">
        <w:trPr>
          <w:trHeight w:hRule="exact" w:val="284"/>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7448C" w:rsidRDefault="00A7448C">
            <w:pPr>
              <w:rPr>
                <w:rFonts w:cs="Arial"/>
                <w:noProof/>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7448C" w:rsidRDefault="00A7448C">
            <w:pPr>
              <w:tabs>
                <w:tab w:val="left" w:pos="1558"/>
              </w:tabs>
              <w:ind w:right="143"/>
              <w:jc w:val="right"/>
              <w:rPr>
                <w:rFonts w:eastAsia="Times New Roman" w:cs="Arial"/>
                <w:noProof/>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bottom"/>
          </w:tcPr>
          <w:p w:rsidR="00A7448C" w:rsidRDefault="00A7448C">
            <w:pPr>
              <w:tabs>
                <w:tab w:val="left" w:pos="1558"/>
              </w:tabs>
              <w:ind w:right="143"/>
              <w:jc w:val="right"/>
              <w:rPr>
                <w:rFonts w:cs="Arial"/>
                <w:noProof/>
                <w:sz w:val="20"/>
              </w:rPr>
            </w:pPr>
          </w:p>
        </w:tc>
      </w:tr>
      <w:tr w:rsidR="00A7448C">
        <w:trPr>
          <w:trHeight w:hRule="exact" w:val="284"/>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rPr>
                <w:rFonts w:cs="Arial"/>
                <w:noProof/>
                <w:sz w:val="20"/>
              </w:rPr>
            </w:pPr>
            <w:r>
              <w:rPr>
                <w:b/>
                <w:noProof/>
                <w:sz w:val="20"/>
              </w:rPr>
              <w:t>Betriebliche Aufwendungen</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7448C" w:rsidRDefault="00231628">
            <w:pPr>
              <w:tabs>
                <w:tab w:val="left" w:pos="1558"/>
              </w:tabs>
              <w:spacing w:after="0"/>
              <w:ind w:right="143"/>
              <w:jc w:val="right"/>
              <w:rPr>
                <w:rFonts w:eastAsia="Times New Roman" w:cs="Arial"/>
                <w:b/>
                <w:noProof/>
                <w:sz w:val="20"/>
              </w:rPr>
            </w:pPr>
            <w:r>
              <w:rPr>
                <w:noProof/>
                <w:sz w:val="20"/>
              </w:rPr>
              <w:t>-</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448C" w:rsidRDefault="00231628">
            <w:pPr>
              <w:tabs>
                <w:tab w:val="left" w:pos="1558"/>
              </w:tabs>
              <w:spacing w:after="0"/>
              <w:ind w:right="143"/>
              <w:jc w:val="right"/>
              <w:rPr>
                <w:rFonts w:cs="Arial"/>
                <w:b/>
                <w:noProof/>
                <w:sz w:val="20"/>
              </w:rPr>
            </w:pPr>
            <w:r>
              <w:rPr>
                <w:noProof/>
                <w:sz w:val="20"/>
              </w:rPr>
              <w:t>-</w:t>
            </w:r>
          </w:p>
        </w:tc>
      </w:tr>
      <w:tr w:rsidR="00A7448C">
        <w:trPr>
          <w:trHeight w:hRule="exact" w:val="284"/>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spacing w:after="0"/>
              <w:rPr>
                <w:rFonts w:cs="Arial"/>
                <w:noProof/>
                <w:sz w:val="20"/>
              </w:rPr>
            </w:pPr>
            <w:r>
              <w:rPr>
                <w:bCs/>
                <w:noProof/>
                <w:sz w:val="20"/>
              </w:rPr>
              <w:t>Sonstige betriebliche Aufwendungen</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tabs>
                <w:tab w:val="left" w:pos="1558"/>
              </w:tabs>
              <w:spacing w:after="0"/>
              <w:ind w:right="143"/>
              <w:jc w:val="right"/>
              <w:rPr>
                <w:rFonts w:eastAsia="Arial Unicode MS" w:cs="Arial"/>
                <w:b/>
                <w:noProof/>
                <w:sz w:val="20"/>
              </w:rPr>
            </w:pPr>
            <w:r>
              <w:rPr>
                <w:noProof/>
                <w:sz w:val="20"/>
              </w:rPr>
              <w:t>(15 000)</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448C" w:rsidRDefault="00231628">
            <w:pPr>
              <w:tabs>
                <w:tab w:val="left" w:pos="1558"/>
              </w:tabs>
              <w:spacing w:after="0"/>
              <w:ind w:right="143"/>
              <w:jc w:val="right"/>
              <w:rPr>
                <w:rFonts w:eastAsia="Arial Unicode MS" w:cs="Arial"/>
                <w:b/>
                <w:noProof/>
                <w:sz w:val="20"/>
              </w:rPr>
            </w:pPr>
            <w:r>
              <w:rPr>
                <w:noProof/>
                <w:sz w:val="20"/>
              </w:rPr>
              <w:t>(15 000)</w:t>
            </w:r>
          </w:p>
        </w:tc>
      </w:tr>
      <w:tr w:rsidR="00A7448C">
        <w:trPr>
          <w:trHeight w:hRule="exact" w:val="284"/>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spacing w:after="0"/>
              <w:rPr>
                <w:rFonts w:eastAsia="Arial Unicode MS" w:cs="Arial"/>
                <w:i/>
                <w:noProof/>
                <w:sz w:val="20"/>
              </w:rPr>
            </w:pPr>
            <w:r>
              <w:rPr>
                <w:i/>
                <w:noProof/>
                <w:sz w:val="20"/>
              </w:rPr>
              <w:t xml:space="preserve">     Prüfungshonorare</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tabs>
                <w:tab w:val="left" w:pos="1558"/>
              </w:tabs>
              <w:spacing w:after="0"/>
              <w:ind w:right="143"/>
              <w:jc w:val="right"/>
              <w:rPr>
                <w:rFonts w:cs="Arial"/>
                <w:i/>
                <w:noProof/>
                <w:sz w:val="20"/>
              </w:rPr>
            </w:pPr>
            <w:r>
              <w:rPr>
                <w:i/>
                <w:noProof/>
                <w:sz w:val="20"/>
              </w:rPr>
              <w:t>(15 000)</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448C" w:rsidRDefault="00231628">
            <w:pPr>
              <w:tabs>
                <w:tab w:val="left" w:pos="1558"/>
              </w:tabs>
              <w:spacing w:after="0"/>
              <w:ind w:right="143"/>
              <w:jc w:val="right"/>
              <w:rPr>
                <w:rFonts w:cs="Arial"/>
                <w:i/>
                <w:noProof/>
                <w:sz w:val="20"/>
              </w:rPr>
            </w:pPr>
            <w:r>
              <w:rPr>
                <w:i/>
                <w:noProof/>
                <w:sz w:val="20"/>
              </w:rPr>
              <w:t>(15 000)</w:t>
            </w:r>
          </w:p>
        </w:tc>
      </w:tr>
      <w:tr w:rsidR="00A7448C">
        <w:trPr>
          <w:trHeight w:hRule="exact" w:val="284"/>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7448C" w:rsidRDefault="00A7448C">
            <w:pPr>
              <w:spacing w:after="0"/>
              <w:rPr>
                <w:rFonts w:cs="Arial"/>
                <w:noProof/>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7448C" w:rsidRDefault="00A7448C">
            <w:pPr>
              <w:tabs>
                <w:tab w:val="left" w:pos="1558"/>
              </w:tabs>
              <w:spacing w:after="0"/>
              <w:ind w:right="143"/>
              <w:jc w:val="right"/>
              <w:rPr>
                <w:rFonts w:cs="Arial"/>
                <w:i/>
                <w:noProof/>
                <w:sz w:val="20"/>
                <w:lang w:eastAsia="ko-KR"/>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7448C" w:rsidRDefault="00A7448C">
            <w:pPr>
              <w:tabs>
                <w:tab w:val="left" w:pos="1558"/>
              </w:tabs>
              <w:spacing w:after="0"/>
              <w:ind w:right="143"/>
              <w:jc w:val="right"/>
              <w:rPr>
                <w:rFonts w:cs="Arial"/>
                <w:i/>
                <w:noProof/>
                <w:sz w:val="20"/>
                <w:lang w:eastAsia="ko-KR"/>
              </w:rPr>
            </w:pPr>
          </w:p>
        </w:tc>
      </w:tr>
      <w:tr w:rsidR="00A7448C">
        <w:trPr>
          <w:trHeight w:hRule="exact" w:val="284"/>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spacing w:after="0"/>
              <w:rPr>
                <w:rFonts w:cs="Arial"/>
                <w:noProof/>
                <w:sz w:val="20"/>
              </w:rPr>
            </w:pPr>
            <w:r>
              <w:rPr>
                <w:b/>
                <w:bCs/>
                <w:noProof/>
                <w:sz w:val="20"/>
              </w:rPr>
              <w:t>BETRIEBSERGEBNIS</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tabs>
                <w:tab w:val="left" w:pos="1558"/>
              </w:tabs>
              <w:spacing w:after="0"/>
              <w:ind w:right="143"/>
              <w:jc w:val="right"/>
              <w:rPr>
                <w:rFonts w:cs="Arial"/>
                <w:b/>
                <w:noProof/>
                <w:sz w:val="20"/>
              </w:rPr>
            </w:pPr>
            <w:r>
              <w:rPr>
                <w:b/>
                <w:noProof/>
                <w:sz w:val="20"/>
              </w:rPr>
              <w:t>(15 000)</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448C" w:rsidRDefault="00231628">
            <w:pPr>
              <w:tabs>
                <w:tab w:val="left" w:pos="1558"/>
              </w:tabs>
              <w:spacing w:after="0"/>
              <w:ind w:right="143"/>
              <w:jc w:val="right"/>
              <w:rPr>
                <w:rFonts w:cs="Arial"/>
                <w:b/>
                <w:noProof/>
                <w:sz w:val="20"/>
              </w:rPr>
            </w:pPr>
            <w:r>
              <w:rPr>
                <w:b/>
                <w:noProof/>
                <w:sz w:val="20"/>
              </w:rPr>
              <w:t>(15 000)</w:t>
            </w:r>
          </w:p>
        </w:tc>
      </w:tr>
      <w:tr w:rsidR="00A7448C">
        <w:trPr>
          <w:trHeight w:hRule="exact" w:val="284"/>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7448C" w:rsidRDefault="00A7448C">
            <w:pPr>
              <w:spacing w:after="0"/>
              <w:rPr>
                <w:rFonts w:cs="Arial"/>
                <w:noProof/>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7448C" w:rsidRDefault="00A7448C">
            <w:pPr>
              <w:tabs>
                <w:tab w:val="left" w:pos="1558"/>
              </w:tabs>
              <w:spacing w:after="0"/>
              <w:ind w:right="143"/>
              <w:jc w:val="right"/>
              <w:rPr>
                <w:rFonts w:cs="Arial"/>
                <w:i/>
                <w:noProof/>
                <w:sz w:val="20"/>
                <w:lang w:eastAsia="ko-KR"/>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7448C" w:rsidRDefault="00A7448C">
            <w:pPr>
              <w:tabs>
                <w:tab w:val="left" w:pos="1558"/>
              </w:tabs>
              <w:spacing w:after="0"/>
              <w:ind w:right="143"/>
              <w:jc w:val="right"/>
              <w:rPr>
                <w:rFonts w:cs="Arial"/>
                <w:i/>
                <w:noProof/>
                <w:sz w:val="20"/>
                <w:lang w:eastAsia="ko-KR"/>
              </w:rPr>
            </w:pPr>
          </w:p>
        </w:tc>
      </w:tr>
      <w:tr w:rsidR="00A7448C">
        <w:trPr>
          <w:trHeight w:hRule="exact" w:val="284"/>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spacing w:after="0"/>
              <w:rPr>
                <w:rFonts w:eastAsia="Arial Unicode MS" w:cs="Arial"/>
                <w:b/>
                <w:bCs/>
                <w:noProof/>
                <w:sz w:val="20"/>
              </w:rPr>
            </w:pPr>
            <w:r>
              <w:rPr>
                <w:b/>
                <w:bCs/>
                <w:noProof/>
                <w:sz w:val="20"/>
              </w:rPr>
              <w:t xml:space="preserve">Finanzerträge </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tabs>
                <w:tab w:val="left" w:pos="1558"/>
              </w:tabs>
              <w:spacing w:after="0"/>
              <w:ind w:right="143"/>
              <w:jc w:val="right"/>
              <w:rPr>
                <w:rFonts w:eastAsia="Arial Unicode MS" w:cs="Arial"/>
                <w:b/>
                <w:noProof/>
                <w:sz w:val="20"/>
              </w:rPr>
            </w:pPr>
            <w:r>
              <w:rPr>
                <w:b/>
                <w:noProof/>
                <w:sz w:val="20"/>
              </w:rPr>
              <w:t>188 403</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448C" w:rsidRDefault="00231628">
            <w:pPr>
              <w:tabs>
                <w:tab w:val="left" w:pos="1558"/>
              </w:tabs>
              <w:spacing w:after="0"/>
              <w:ind w:right="143"/>
              <w:jc w:val="right"/>
              <w:rPr>
                <w:rFonts w:eastAsia="Arial Unicode MS" w:cs="Arial"/>
                <w:b/>
                <w:noProof/>
                <w:sz w:val="20"/>
              </w:rPr>
            </w:pPr>
            <w:r>
              <w:rPr>
                <w:b/>
                <w:noProof/>
                <w:sz w:val="20"/>
              </w:rPr>
              <w:t>(1 088)</w:t>
            </w:r>
          </w:p>
        </w:tc>
      </w:tr>
      <w:tr w:rsidR="00A7448C">
        <w:trPr>
          <w:trHeight w:hRule="exact" w:val="284"/>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spacing w:after="0"/>
              <w:rPr>
                <w:rFonts w:eastAsia="Arial Unicode MS" w:cs="Arial"/>
                <w:noProof/>
                <w:sz w:val="20"/>
              </w:rPr>
            </w:pPr>
            <w:r>
              <w:rPr>
                <w:noProof/>
                <w:sz w:val="20"/>
              </w:rPr>
              <w:t>Zinserträge:</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tabs>
                <w:tab w:val="left" w:pos="1558"/>
              </w:tabs>
              <w:spacing w:after="0"/>
              <w:ind w:right="143"/>
              <w:jc w:val="right"/>
              <w:rPr>
                <w:rFonts w:eastAsia="Arial Unicode MS" w:cs="Arial"/>
                <w:noProof/>
                <w:sz w:val="20"/>
              </w:rPr>
            </w:pPr>
            <w:r>
              <w:rPr>
                <w:noProof/>
                <w:sz w:val="20"/>
              </w:rPr>
              <w:t>(54 689)</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448C" w:rsidRDefault="00231628">
            <w:pPr>
              <w:tabs>
                <w:tab w:val="left" w:pos="1558"/>
              </w:tabs>
              <w:spacing w:after="0"/>
              <w:ind w:right="143"/>
              <w:jc w:val="right"/>
              <w:rPr>
                <w:rFonts w:eastAsia="Arial Unicode MS" w:cs="Arial"/>
                <w:noProof/>
                <w:sz w:val="20"/>
              </w:rPr>
            </w:pPr>
            <w:r>
              <w:rPr>
                <w:noProof/>
                <w:sz w:val="20"/>
              </w:rPr>
              <w:t>(1 088)</w:t>
            </w:r>
          </w:p>
        </w:tc>
      </w:tr>
      <w:tr w:rsidR="00A7448C">
        <w:trPr>
          <w:trHeight w:hRule="exact" w:val="284"/>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spacing w:after="0"/>
              <w:rPr>
                <w:rFonts w:eastAsia="Arial Unicode MS" w:cs="Arial"/>
                <w:i/>
                <w:noProof/>
                <w:sz w:val="20"/>
              </w:rPr>
            </w:pPr>
            <w:r>
              <w:rPr>
                <w:i/>
                <w:noProof/>
                <w:sz w:val="20"/>
              </w:rPr>
              <w:t xml:space="preserve">     aus Barmitteln und Barmitteläquivalenten</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tabs>
                <w:tab w:val="left" w:pos="1558"/>
              </w:tabs>
              <w:spacing w:after="0"/>
              <w:ind w:right="143"/>
              <w:jc w:val="right"/>
              <w:rPr>
                <w:rFonts w:eastAsia="Times New Roman" w:cs="Arial"/>
                <w:i/>
                <w:noProof/>
                <w:sz w:val="20"/>
              </w:rPr>
            </w:pPr>
            <w:r>
              <w:rPr>
                <w:noProof/>
                <w:sz w:val="20"/>
              </w:rPr>
              <w:t>-</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448C" w:rsidRDefault="00231628">
            <w:pPr>
              <w:tabs>
                <w:tab w:val="left" w:pos="1558"/>
              </w:tabs>
              <w:spacing w:after="0"/>
              <w:ind w:right="143"/>
              <w:jc w:val="right"/>
              <w:rPr>
                <w:rFonts w:cs="Arial"/>
                <w:i/>
                <w:noProof/>
                <w:sz w:val="20"/>
              </w:rPr>
            </w:pPr>
            <w:r>
              <w:rPr>
                <w:noProof/>
                <w:sz w:val="20"/>
              </w:rPr>
              <w:t>-</w:t>
            </w:r>
          </w:p>
        </w:tc>
      </w:tr>
      <w:tr w:rsidR="00A7448C">
        <w:trPr>
          <w:trHeight w:hRule="exact" w:val="281"/>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spacing w:after="0"/>
              <w:rPr>
                <w:rFonts w:cs="Arial"/>
                <w:i/>
                <w:noProof/>
                <w:sz w:val="20"/>
              </w:rPr>
            </w:pPr>
            <w:r>
              <w:rPr>
                <w:i/>
                <w:noProof/>
                <w:sz w:val="20"/>
              </w:rPr>
              <w:t xml:space="preserve">     aus zur Veräußerung verfügbaren Anlagen</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tabs>
                <w:tab w:val="left" w:pos="1558"/>
              </w:tabs>
              <w:spacing w:after="0"/>
              <w:ind w:right="143"/>
              <w:jc w:val="right"/>
              <w:rPr>
                <w:rFonts w:eastAsia="Times New Roman" w:cs="Arial"/>
                <w:i/>
                <w:noProof/>
                <w:sz w:val="20"/>
              </w:rPr>
            </w:pPr>
            <w:r>
              <w:rPr>
                <w:i/>
                <w:noProof/>
                <w:sz w:val="20"/>
              </w:rPr>
              <w:t>(54 689)</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448C" w:rsidRDefault="00231628">
            <w:pPr>
              <w:tabs>
                <w:tab w:val="left" w:pos="1558"/>
              </w:tabs>
              <w:spacing w:after="0"/>
              <w:ind w:right="143"/>
              <w:jc w:val="right"/>
              <w:rPr>
                <w:rFonts w:cs="Arial"/>
                <w:i/>
                <w:noProof/>
                <w:sz w:val="20"/>
              </w:rPr>
            </w:pPr>
            <w:r>
              <w:rPr>
                <w:i/>
                <w:noProof/>
                <w:sz w:val="20"/>
              </w:rPr>
              <w:t>(1 088)</w:t>
            </w:r>
          </w:p>
        </w:tc>
      </w:tr>
      <w:tr w:rsidR="00A7448C">
        <w:trPr>
          <w:trHeight w:hRule="exact" w:val="281"/>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spacing w:after="0"/>
              <w:ind w:firstLine="284"/>
              <w:rPr>
                <w:rFonts w:cs="Arial"/>
                <w:i/>
                <w:noProof/>
                <w:sz w:val="20"/>
              </w:rPr>
            </w:pPr>
            <w:r>
              <w:rPr>
                <w:i/>
                <w:noProof/>
                <w:sz w:val="20"/>
              </w:rPr>
              <w:t>Sonstige Zinserträge</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tabs>
                <w:tab w:val="left" w:pos="1558"/>
              </w:tabs>
              <w:spacing w:after="0"/>
              <w:ind w:right="143"/>
              <w:jc w:val="right"/>
              <w:rPr>
                <w:rFonts w:eastAsia="Times New Roman" w:cs="Arial"/>
                <w:i/>
                <w:noProof/>
                <w:sz w:val="20"/>
              </w:rPr>
            </w:pPr>
            <w:r>
              <w:rPr>
                <w:i/>
                <w:noProof/>
                <w:sz w:val="20"/>
              </w:rPr>
              <w:t>-</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448C" w:rsidRDefault="00231628">
            <w:pPr>
              <w:tabs>
                <w:tab w:val="left" w:pos="1558"/>
              </w:tabs>
              <w:spacing w:after="0"/>
              <w:ind w:right="143"/>
              <w:jc w:val="right"/>
              <w:rPr>
                <w:rFonts w:cs="Arial"/>
                <w:i/>
                <w:noProof/>
                <w:sz w:val="20"/>
              </w:rPr>
            </w:pPr>
            <w:r>
              <w:rPr>
                <w:i/>
                <w:noProof/>
                <w:sz w:val="20"/>
              </w:rPr>
              <w:t>-</w:t>
            </w:r>
          </w:p>
        </w:tc>
      </w:tr>
      <w:tr w:rsidR="00A7448C">
        <w:trPr>
          <w:trHeight w:hRule="exact" w:val="281"/>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7448C" w:rsidRDefault="00A7448C">
            <w:pPr>
              <w:spacing w:after="0"/>
              <w:rPr>
                <w:rFonts w:cs="Arial"/>
                <w:i/>
                <w:noProof/>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7448C" w:rsidRDefault="00A7448C">
            <w:pPr>
              <w:tabs>
                <w:tab w:val="left" w:pos="1558"/>
              </w:tabs>
              <w:spacing w:after="0"/>
              <w:ind w:right="143"/>
              <w:jc w:val="right"/>
              <w:rPr>
                <w:rFonts w:eastAsia="Times New Roman" w:cs="Arial"/>
                <w:i/>
                <w:noProof/>
                <w:sz w:val="20"/>
                <w:lang w:eastAsia="ko-KR"/>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7448C" w:rsidRDefault="00A7448C">
            <w:pPr>
              <w:tabs>
                <w:tab w:val="left" w:pos="1558"/>
              </w:tabs>
              <w:spacing w:after="0"/>
              <w:ind w:right="143"/>
              <w:jc w:val="right"/>
              <w:rPr>
                <w:rFonts w:cs="Arial"/>
                <w:i/>
                <w:noProof/>
                <w:sz w:val="20"/>
                <w:lang w:eastAsia="ko-KR"/>
              </w:rPr>
            </w:pPr>
          </w:p>
        </w:tc>
      </w:tr>
      <w:tr w:rsidR="00A7448C">
        <w:trPr>
          <w:trHeight w:hRule="exact" w:val="281"/>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spacing w:after="0"/>
              <w:rPr>
                <w:rFonts w:cs="Arial"/>
                <w:i/>
                <w:noProof/>
                <w:sz w:val="20"/>
              </w:rPr>
            </w:pPr>
            <w:r>
              <w:rPr>
                <w:noProof/>
                <w:sz w:val="20"/>
              </w:rPr>
              <w:t xml:space="preserve">Bei </w:t>
            </w:r>
            <w:r>
              <w:rPr>
                <w:noProof/>
                <w:sz w:val="20"/>
              </w:rPr>
              <w:t>Veräußerung von AFS-Anlagen realisierte Gewinne</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tabs>
                <w:tab w:val="left" w:pos="1558"/>
              </w:tabs>
              <w:spacing w:after="0"/>
              <w:ind w:right="143"/>
              <w:jc w:val="right"/>
              <w:rPr>
                <w:rFonts w:eastAsia="Times New Roman" w:cs="Arial"/>
                <w:i/>
                <w:noProof/>
                <w:sz w:val="20"/>
              </w:rPr>
            </w:pPr>
            <w:r>
              <w:rPr>
                <w:noProof/>
                <w:sz w:val="20"/>
              </w:rPr>
              <w:t>240 839</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448C" w:rsidRDefault="00231628">
            <w:pPr>
              <w:tabs>
                <w:tab w:val="left" w:pos="1558"/>
              </w:tabs>
              <w:spacing w:after="0"/>
              <w:ind w:right="143"/>
              <w:jc w:val="right"/>
              <w:rPr>
                <w:rFonts w:cs="Arial"/>
                <w:i/>
                <w:noProof/>
                <w:sz w:val="20"/>
              </w:rPr>
            </w:pPr>
            <w:r>
              <w:rPr>
                <w:i/>
                <w:noProof/>
                <w:sz w:val="20"/>
              </w:rPr>
              <w:t>-</w:t>
            </w:r>
          </w:p>
        </w:tc>
      </w:tr>
      <w:tr w:rsidR="00A7448C">
        <w:trPr>
          <w:trHeight w:hRule="exact" w:val="281"/>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7448C" w:rsidRDefault="00A7448C">
            <w:pPr>
              <w:spacing w:after="0"/>
              <w:rPr>
                <w:rFonts w:cs="Arial"/>
                <w:i/>
                <w:noProof/>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7448C" w:rsidRDefault="00A7448C">
            <w:pPr>
              <w:tabs>
                <w:tab w:val="left" w:pos="1558"/>
              </w:tabs>
              <w:spacing w:after="0"/>
              <w:ind w:right="143"/>
              <w:jc w:val="right"/>
              <w:rPr>
                <w:rFonts w:eastAsia="Times New Roman" w:cs="Arial"/>
                <w:i/>
                <w:noProof/>
                <w:sz w:val="20"/>
                <w:lang w:eastAsia="ko-KR"/>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7448C" w:rsidRDefault="00A7448C">
            <w:pPr>
              <w:tabs>
                <w:tab w:val="left" w:pos="1558"/>
              </w:tabs>
              <w:spacing w:after="0"/>
              <w:ind w:right="143"/>
              <w:jc w:val="right"/>
              <w:rPr>
                <w:rFonts w:cs="Arial"/>
                <w:i/>
                <w:noProof/>
                <w:sz w:val="20"/>
                <w:lang w:eastAsia="ko-KR"/>
              </w:rPr>
            </w:pPr>
          </w:p>
        </w:tc>
      </w:tr>
      <w:tr w:rsidR="00A7448C">
        <w:trPr>
          <w:trHeight w:hRule="exact" w:val="281"/>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spacing w:after="0"/>
              <w:rPr>
                <w:rFonts w:cs="Arial"/>
                <w:i/>
                <w:noProof/>
                <w:sz w:val="20"/>
              </w:rPr>
            </w:pPr>
            <w:r>
              <w:rPr>
                <w:bCs/>
                <w:noProof/>
                <w:sz w:val="20"/>
              </w:rPr>
              <w:t>Erträge aus Wertpapierleihgeschäften</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tabs>
                <w:tab w:val="left" w:pos="1558"/>
              </w:tabs>
              <w:spacing w:after="0"/>
              <w:ind w:right="143"/>
              <w:jc w:val="right"/>
              <w:rPr>
                <w:rFonts w:eastAsia="Times New Roman" w:cs="Arial"/>
                <w:i/>
                <w:noProof/>
                <w:sz w:val="20"/>
              </w:rPr>
            </w:pPr>
            <w:r>
              <w:rPr>
                <w:noProof/>
                <w:sz w:val="20"/>
              </w:rPr>
              <w:t>2 253</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448C" w:rsidRDefault="00231628">
            <w:pPr>
              <w:tabs>
                <w:tab w:val="left" w:pos="1558"/>
              </w:tabs>
              <w:spacing w:after="0"/>
              <w:ind w:right="143"/>
              <w:jc w:val="right"/>
              <w:rPr>
                <w:rFonts w:cs="Arial"/>
                <w:i/>
                <w:noProof/>
                <w:sz w:val="20"/>
              </w:rPr>
            </w:pPr>
            <w:r>
              <w:rPr>
                <w:i/>
                <w:noProof/>
                <w:sz w:val="20"/>
              </w:rPr>
              <w:t>-</w:t>
            </w:r>
          </w:p>
        </w:tc>
      </w:tr>
      <w:tr w:rsidR="00A7448C">
        <w:trPr>
          <w:trHeight w:hRule="exact" w:val="281"/>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7448C" w:rsidRDefault="00A7448C">
            <w:pPr>
              <w:spacing w:after="0"/>
              <w:rPr>
                <w:rFonts w:cs="Arial"/>
                <w:i/>
                <w:noProof/>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7448C" w:rsidRDefault="00A7448C">
            <w:pPr>
              <w:tabs>
                <w:tab w:val="left" w:pos="1558"/>
              </w:tabs>
              <w:spacing w:after="0"/>
              <w:ind w:right="143"/>
              <w:jc w:val="right"/>
              <w:rPr>
                <w:rFonts w:eastAsia="Times New Roman" w:cs="Arial"/>
                <w:i/>
                <w:noProof/>
                <w:sz w:val="20"/>
                <w:lang w:eastAsia="ko-KR"/>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7448C" w:rsidRDefault="00A7448C">
            <w:pPr>
              <w:tabs>
                <w:tab w:val="left" w:pos="1558"/>
              </w:tabs>
              <w:spacing w:after="0"/>
              <w:ind w:right="143"/>
              <w:jc w:val="right"/>
              <w:rPr>
                <w:rFonts w:cs="Arial"/>
                <w:i/>
                <w:noProof/>
                <w:sz w:val="20"/>
                <w:lang w:eastAsia="ko-KR"/>
              </w:rPr>
            </w:pPr>
          </w:p>
        </w:tc>
      </w:tr>
      <w:tr w:rsidR="00A7448C">
        <w:trPr>
          <w:trHeight w:hRule="exact" w:val="284"/>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spacing w:after="0"/>
              <w:rPr>
                <w:rFonts w:eastAsia="Arial Unicode MS" w:cs="Arial"/>
                <w:b/>
                <w:bCs/>
                <w:noProof/>
                <w:sz w:val="20"/>
              </w:rPr>
            </w:pPr>
            <w:r>
              <w:rPr>
                <w:b/>
                <w:bCs/>
                <w:noProof/>
                <w:sz w:val="20"/>
              </w:rPr>
              <w:t xml:space="preserve">Finanzaufwendungen </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tabs>
                <w:tab w:val="left" w:pos="1558"/>
              </w:tabs>
              <w:spacing w:after="0"/>
              <w:ind w:right="143"/>
              <w:jc w:val="right"/>
              <w:rPr>
                <w:rFonts w:eastAsia="Arial Unicode MS" w:cs="Arial"/>
                <w:b/>
                <w:noProof/>
                <w:sz w:val="20"/>
              </w:rPr>
            </w:pPr>
            <w:r>
              <w:rPr>
                <w:b/>
                <w:noProof/>
                <w:sz w:val="20"/>
              </w:rPr>
              <w:t>(448 536)</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448C" w:rsidRDefault="00231628">
            <w:pPr>
              <w:tabs>
                <w:tab w:val="left" w:pos="1558"/>
              </w:tabs>
              <w:spacing w:after="0"/>
              <w:ind w:right="143"/>
              <w:jc w:val="right"/>
              <w:rPr>
                <w:rFonts w:eastAsia="Arial Unicode MS" w:cs="Arial"/>
                <w:b/>
                <w:noProof/>
                <w:sz w:val="20"/>
              </w:rPr>
            </w:pPr>
            <w:r>
              <w:rPr>
                <w:b/>
                <w:noProof/>
                <w:sz w:val="20"/>
              </w:rPr>
              <w:t>(52 479)</w:t>
            </w:r>
          </w:p>
        </w:tc>
      </w:tr>
      <w:tr w:rsidR="00A7448C">
        <w:trPr>
          <w:trHeight w:hRule="exact" w:val="613"/>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spacing w:after="0"/>
              <w:rPr>
                <w:rFonts w:eastAsia="Times New Roman" w:cs="Arial"/>
                <w:bCs/>
                <w:noProof/>
                <w:sz w:val="20"/>
              </w:rPr>
            </w:pPr>
            <w:r>
              <w:rPr>
                <w:noProof/>
                <w:sz w:val="20"/>
              </w:rPr>
              <w:t>Zinsaufwendungen für Barmittel und Barmitteläquivalente</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tabs>
                <w:tab w:val="left" w:pos="1558"/>
              </w:tabs>
              <w:spacing w:after="0"/>
              <w:ind w:right="143"/>
              <w:jc w:val="right"/>
              <w:rPr>
                <w:rFonts w:eastAsia="Times New Roman" w:cs="Arial"/>
                <w:noProof/>
                <w:sz w:val="20"/>
              </w:rPr>
            </w:pPr>
            <w:r>
              <w:rPr>
                <w:noProof/>
                <w:sz w:val="20"/>
              </w:rPr>
              <w:t>(404 272)</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448C" w:rsidRDefault="00231628">
            <w:pPr>
              <w:tabs>
                <w:tab w:val="left" w:pos="1558"/>
              </w:tabs>
              <w:spacing w:after="0"/>
              <w:ind w:right="143"/>
              <w:jc w:val="right"/>
              <w:rPr>
                <w:rFonts w:cs="Arial"/>
                <w:b/>
                <w:noProof/>
                <w:sz w:val="20"/>
              </w:rPr>
            </w:pPr>
            <w:r>
              <w:rPr>
                <w:noProof/>
                <w:sz w:val="20"/>
              </w:rPr>
              <w:t>(50 958)</w:t>
            </w:r>
          </w:p>
        </w:tc>
      </w:tr>
      <w:tr w:rsidR="00A7448C">
        <w:trPr>
          <w:trHeight w:hRule="exact" w:val="284"/>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7448C" w:rsidRDefault="00A7448C">
            <w:pPr>
              <w:spacing w:after="0"/>
              <w:rPr>
                <w:rFonts w:cs="Arial"/>
                <w:b/>
                <w:bCs/>
                <w:noProof/>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7448C" w:rsidRDefault="00A7448C">
            <w:pPr>
              <w:tabs>
                <w:tab w:val="left" w:pos="1558"/>
              </w:tabs>
              <w:spacing w:after="0"/>
              <w:ind w:right="143"/>
              <w:jc w:val="right"/>
              <w:rPr>
                <w:rFonts w:eastAsia="Times New Roman" w:cs="Arial"/>
                <w:b/>
                <w:noProof/>
                <w:sz w:val="20"/>
                <w:lang w:eastAsia="ko-KR"/>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7448C" w:rsidRDefault="00A7448C">
            <w:pPr>
              <w:tabs>
                <w:tab w:val="left" w:pos="1558"/>
              </w:tabs>
              <w:spacing w:after="0"/>
              <w:ind w:right="143"/>
              <w:jc w:val="right"/>
              <w:rPr>
                <w:rFonts w:cs="Arial"/>
                <w:b/>
                <w:noProof/>
                <w:sz w:val="20"/>
                <w:lang w:eastAsia="ko-KR"/>
              </w:rPr>
            </w:pPr>
          </w:p>
        </w:tc>
      </w:tr>
      <w:tr w:rsidR="00A7448C">
        <w:trPr>
          <w:trHeight w:hRule="exact" w:val="284"/>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spacing w:after="0"/>
              <w:rPr>
                <w:rFonts w:cs="Arial"/>
                <w:b/>
                <w:bCs/>
                <w:noProof/>
                <w:sz w:val="20"/>
              </w:rPr>
            </w:pPr>
            <w:r>
              <w:rPr>
                <w:bCs/>
                <w:noProof/>
                <w:sz w:val="20"/>
              </w:rPr>
              <w:t xml:space="preserve">Bei Veräußerung von </w:t>
            </w:r>
            <w:r>
              <w:rPr>
                <w:bCs/>
                <w:noProof/>
                <w:sz w:val="20"/>
              </w:rPr>
              <w:t>AFS-Anlagen realisierte Verluste</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tabs>
                <w:tab w:val="left" w:pos="1558"/>
              </w:tabs>
              <w:spacing w:after="0"/>
              <w:ind w:right="143"/>
              <w:jc w:val="right"/>
              <w:rPr>
                <w:rFonts w:eastAsia="Times New Roman" w:cs="Arial"/>
                <w:noProof/>
                <w:sz w:val="20"/>
              </w:rPr>
            </w:pPr>
            <w:r>
              <w:rPr>
                <w:noProof/>
                <w:sz w:val="20"/>
              </w:rPr>
              <w:t>(15)</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448C" w:rsidRDefault="00231628">
            <w:pPr>
              <w:tabs>
                <w:tab w:val="left" w:pos="1558"/>
              </w:tabs>
              <w:spacing w:after="0"/>
              <w:ind w:right="143"/>
              <w:jc w:val="right"/>
              <w:rPr>
                <w:rFonts w:cs="Arial"/>
                <w:noProof/>
                <w:sz w:val="20"/>
              </w:rPr>
            </w:pPr>
            <w:r>
              <w:rPr>
                <w:i/>
                <w:noProof/>
                <w:sz w:val="20"/>
              </w:rPr>
              <w:t>-</w:t>
            </w:r>
          </w:p>
        </w:tc>
      </w:tr>
      <w:tr w:rsidR="00A7448C">
        <w:trPr>
          <w:trHeight w:hRule="exact" w:val="284"/>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7448C" w:rsidRDefault="00A7448C">
            <w:pPr>
              <w:spacing w:after="0"/>
              <w:rPr>
                <w:rFonts w:cs="Arial"/>
                <w:b/>
                <w:bCs/>
                <w:noProof/>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7448C" w:rsidRDefault="00A7448C">
            <w:pPr>
              <w:tabs>
                <w:tab w:val="left" w:pos="1558"/>
              </w:tabs>
              <w:spacing w:after="0"/>
              <w:ind w:right="143"/>
              <w:jc w:val="right"/>
              <w:rPr>
                <w:rFonts w:eastAsia="Times New Roman" w:cs="Arial"/>
                <w:b/>
                <w:noProof/>
                <w:sz w:val="20"/>
                <w:lang w:eastAsia="ko-KR"/>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7448C" w:rsidRDefault="00A7448C">
            <w:pPr>
              <w:tabs>
                <w:tab w:val="left" w:pos="1558"/>
              </w:tabs>
              <w:spacing w:after="0"/>
              <w:ind w:right="143"/>
              <w:jc w:val="right"/>
              <w:rPr>
                <w:rFonts w:cs="Arial"/>
                <w:b/>
                <w:noProof/>
                <w:sz w:val="20"/>
                <w:lang w:eastAsia="ko-KR"/>
              </w:rPr>
            </w:pPr>
          </w:p>
        </w:tc>
      </w:tr>
      <w:tr w:rsidR="00A7448C">
        <w:trPr>
          <w:trHeight w:hRule="exact" w:val="284"/>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spacing w:after="0"/>
              <w:rPr>
                <w:rFonts w:cs="Arial"/>
                <w:bCs/>
                <w:noProof/>
                <w:sz w:val="20"/>
              </w:rPr>
            </w:pPr>
            <w:r>
              <w:rPr>
                <w:bCs/>
                <w:noProof/>
                <w:sz w:val="20"/>
              </w:rPr>
              <w:t>Verwahrungsgebühren und sonstige Finanzaufwendungen</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tabs>
                <w:tab w:val="left" w:pos="1558"/>
              </w:tabs>
              <w:spacing w:after="0"/>
              <w:ind w:right="143"/>
              <w:jc w:val="right"/>
              <w:rPr>
                <w:rFonts w:cs="Arial"/>
                <w:noProof/>
                <w:sz w:val="20"/>
              </w:rPr>
            </w:pPr>
            <w:r>
              <w:rPr>
                <w:noProof/>
                <w:sz w:val="20"/>
              </w:rPr>
              <w:t>(44 249)</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448C" w:rsidRDefault="00231628">
            <w:pPr>
              <w:tabs>
                <w:tab w:val="left" w:pos="1558"/>
              </w:tabs>
              <w:spacing w:after="0"/>
              <w:ind w:right="143"/>
              <w:jc w:val="right"/>
              <w:rPr>
                <w:rFonts w:cs="Arial"/>
                <w:noProof/>
                <w:sz w:val="20"/>
              </w:rPr>
            </w:pPr>
            <w:r>
              <w:rPr>
                <w:noProof/>
                <w:sz w:val="20"/>
              </w:rPr>
              <w:t>(1 521)</w:t>
            </w:r>
          </w:p>
        </w:tc>
      </w:tr>
      <w:tr w:rsidR="00A7448C">
        <w:trPr>
          <w:trHeight w:hRule="exact" w:val="284"/>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7448C" w:rsidRDefault="00A7448C">
            <w:pPr>
              <w:spacing w:after="0"/>
              <w:rPr>
                <w:rFonts w:cs="Arial"/>
                <w:bCs/>
                <w:noProof/>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7448C" w:rsidRDefault="00A7448C">
            <w:pPr>
              <w:tabs>
                <w:tab w:val="left" w:pos="1558"/>
              </w:tabs>
              <w:spacing w:after="0"/>
              <w:ind w:right="143"/>
              <w:jc w:val="right"/>
              <w:rPr>
                <w:rFonts w:eastAsia="Times New Roman" w:cs="Arial"/>
                <w:noProof/>
                <w:sz w:val="20"/>
                <w:lang w:eastAsia="ko-KR"/>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7448C" w:rsidRDefault="00A7448C">
            <w:pPr>
              <w:tabs>
                <w:tab w:val="left" w:pos="1558"/>
              </w:tabs>
              <w:spacing w:after="0"/>
              <w:ind w:right="143"/>
              <w:jc w:val="right"/>
              <w:rPr>
                <w:rFonts w:cs="Arial"/>
                <w:noProof/>
                <w:sz w:val="20"/>
                <w:lang w:eastAsia="ko-KR"/>
              </w:rPr>
            </w:pPr>
          </w:p>
        </w:tc>
      </w:tr>
      <w:tr w:rsidR="00A7448C">
        <w:trPr>
          <w:trHeight w:hRule="exact" w:val="284"/>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spacing w:after="0"/>
              <w:rPr>
                <w:rFonts w:cs="Arial"/>
                <w:b/>
                <w:bCs/>
                <w:noProof/>
                <w:sz w:val="20"/>
              </w:rPr>
            </w:pPr>
            <w:r>
              <w:rPr>
                <w:b/>
                <w:bCs/>
                <w:noProof/>
                <w:sz w:val="20"/>
              </w:rPr>
              <w:t>FINANZERGEBNIS</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tabs>
                <w:tab w:val="left" w:pos="1558"/>
              </w:tabs>
              <w:spacing w:after="0"/>
              <w:ind w:right="143"/>
              <w:jc w:val="right"/>
              <w:rPr>
                <w:rFonts w:eastAsia="Arial Unicode MS" w:cs="Arial"/>
                <w:b/>
                <w:noProof/>
                <w:sz w:val="20"/>
              </w:rPr>
            </w:pPr>
            <w:r>
              <w:rPr>
                <w:b/>
                <w:noProof/>
                <w:sz w:val="20"/>
              </w:rPr>
              <w:t>(260 133)</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448C" w:rsidRDefault="00231628">
            <w:pPr>
              <w:tabs>
                <w:tab w:val="left" w:pos="1558"/>
              </w:tabs>
              <w:spacing w:after="0"/>
              <w:ind w:right="143"/>
              <w:jc w:val="right"/>
              <w:rPr>
                <w:rFonts w:eastAsia="Arial Unicode MS" w:cs="Arial"/>
                <w:b/>
                <w:noProof/>
                <w:sz w:val="20"/>
              </w:rPr>
            </w:pPr>
            <w:r>
              <w:rPr>
                <w:b/>
                <w:noProof/>
                <w:sz w:val="20"/>
              </w:rPr>
              <w:t>(53 567)</w:t>
            </w:r>
          </w:p>
        </w:tc>
      </w:tr>
      <w:tr w:rsidR="00A7448C">
        <w:trPr>
          <w:trHeight w:hRule="exact" w:val="284"/>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7448C" w:rsidRDefault="00A7448C">
            <w:pPr>
              <w:spacing w:after="0"/>
              <w:rPr>
                <w:rFonts w:eastAsia="Times New Roman" w:cs="Arial"/>
                <w:noProof/>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7448C" w:rsidRDefault="00A7448C">
            <w:pPr>
              <w:tabs>
                <w:tab w:val="left" w:pos="1558"/>
              </w:tabs>
              <w:spacing w:after="0"/>
              <w:ind w:right="143"/>
              <w:jc w:val="right"/>
              <w:rPr>
                <w:rFonts w:cs="Arial"/>
                <w:noProof/>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7448C" w:rsidRDefault="00A7448C">
            <w:pPr>
              <w:tabs>
                <w:tab w:val="left" w:pos="1558"/>
              </w:tabs>
              <w:spacing w:after="0"/>
              <w:ind w:right="143"/>
              <w:jc w:val="right"/>
              <w:rPr>
                <w:rFonts w:cs="Arial"/>
                <w:noProof/>
                <w:sz w:val="20"/>
              </w:rPr>
            </w:pPr>
          </w:p>
        </w:tc>
      </w:tr>
      <w:tr w:rsidR="00A7448C">
        <w:trPr>
          <w:trHeight w:hRule="exact" w:val="284"/>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spacing w:after="0"/>
              <w:rPr>
                <w:rFonts w:eastAsia="Arial Unicode MS" w:cs="Arial"/>
                <w:b/>
                <w:bCs/>
                <w:noProof/>
                <w:sz w:val="20"/>
              </w:rPr>
            </w:pPr>
            <w:r>
              <w:rPr>
                <w:b/>
                <w:bCs/>
                <w:noProof/>
                <w:sz w:val="20"/>
              </w:rPr>
              <w:t>WIRTSCHAFTLICHES ERGEBNIS DES JAHRES</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448C" w:rsidRDefault="00231628">
            <w:pPr>
              <w:tabs>
                <w:tab w:val="left" w:pos="1558"/>
              </w:tabs>
              <w:spacing w:after="0"/>
              <w:ind w:right="143"/>
              <w:jc w:val="right"/>
              <w:rPr>
                <w:rFonts w:eastAsia="Times New Roman" w:cs="Arial"/>
                <w:b/>
                <w:noProof/>
                <w:sz w:val="20"/>
                <w:highlight w:val="yellow"/>
              </w:rPr>
            </w:pPr>
            <w:r>
              <w:rPr>
                <w:b/>
                <w:noProof/>
                <w:sz w:val="20"/>
              </w:rPr>
              <w:t>(275 133)</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448C" w:rsidRDefault="00231628">
            <w:pPr>
              <w:tabs>
                <w:tab w:val="left" w:pos="1558"/>
              </w:tabs>
              <w:spacing w:after="0"/>
              <w:ind w:right="143"/>
              <w:jc w:val="right"/>
              <w:rPr>
                <w:rFonts w:cs="Arial"/>
                <w:b/>
                <w:noProof/>
                <w:sz w:val="20"/>
                <w:highlight w:val="yellow"/>
              </w:rPr>
            </w:pPr>
            <w:r>
              <w:rPr>
                <w:b/>
                <w:noProof/>
                <w:sz w:val="20"/>
              </w:rPr>
              <w:t>(68 567)</w:t>
            </w:r>
          </w:p>
        </w:tc>
      </w:tr>
    </w:tbl>
    <w:p w:rsidR="00A7448C" w:rsidRDefault="00A7448C">
      <w:pPr>
        <w:pStyle w:val="Footer"/>
        <w:tabs>
          <w:tab w:val="left" w:pos="708"/>
        </w:tabs>
        <w:rPr>
          <w:rFonts w:ascii="Arial" w:hAnsi="Arial" w:cs="Arial"/>
          <w:noProof/>
          <w:sz w:val="22"/>
          <w:szCs w:val="20"/>
        </w:rPr>
      </w:pPr>
    </w:p>
    <w:p w:rsidR="00A7448C" w:rsidRDefault="00231628">
      <w:pPr>
        <w:rPr>
          <w:noProof/>
        </w:rPr>
      </w:pPr>
      <w:r>
        <w:rPr>
          <w:noProof/>
        </w:rPr>
        <w:br w:type="page"/>
      </w:r>
    </w:p>
    <w:p w:rsidR="00A7448C" w:rsidRDefault="00231628">
      <w:pPr>
        <w:pStyle w:val="Heading2"/>
        <w:rPr>
          <w:noProof/>
        </w:rPr>
      </w:pPr>
      <w:bookmarkStart w:id="19" w:name="_Toc38891120"/>
      <w:bookmarkStart w:id="20" w:name="_Toc46140221"/>
      <w:r>
        <w:rPr>
          <w:noProof/>
        </w:rPr>
        <w:t>4.2. Ausstattung</w:t>
      </w:r>
      <w:bookmarkEnd w:id="19"/>
      <w:bookmarkEnd w:id="20"/>
    </w:p>
    <w:p w:rsidR="00A7448C" w:rsidRDefault="00231628">
      <w:pPr>
        <w:jc w:val="both"/>
        <w:rPr>
          <w:noProof/>
          <w:szCs w:val="24"/>
        </w:rPr>
      </w:pPr>
      <w:r>
        <w:rPr>
          <w:noProof/>
        </w:rPr>
        <w:t xml:space="preserve">Die Ausstattung des </w:t>
      </w:r>
      <w:r>
        <w:rPr>
          <w:noProof/>
        </w:rPr>
        <w:t>EFSD-Garantiefonds erfolgt aus dem Haushalt der Union und dem Europäischen Entwicklungsfonds (EEF). Für den laufenden MFR (2014-2020) sind im Einzelnen folgende Finanzierungsquellen des EFSD-Garantiefonds vorgesehen: 400 000 000 EUR aus der allgemeinen Res</w:t>
      </w:r>
      <w:r>
        <w:rPr>
          <w:noProof/>
        </w:rPr>
        <w:t>erve des EEF und 350 000 000 EUR aus dem Gesamthaushaltsplan der Union, einschließlich aus dem Europäischen Nachbarschaftsinstrument (ENI). Der EFSD-Garantiefonds kann auch freiwillige Beiträge von Mitgliedstaaten oder sonstigen beitragleistenden Parteien,</w:t>
      </w:r>
      <w:r>
        <w:rPr>
          <w:noProof/>
        </w:rPr>
        <w:t xml:space="preserve"> Einnahmen aus investierten Mitteln, Einnahmen und von säumigen Schuldnern eingezogene Beträge umfassen. Estland, die Tschechische Republik, Dänemark und die Bill-und-Melinda-Gates-Stiftung unterzeichneten bis Ende 2019 Vereinbarungen über zusätzliche Beit</w:t>
      </w:r>
      <w:r>
        <w:rPr>
          <w:noProof/>
        </w:rPr>
        <w:t>räge in Höhe von insgesamt etwa 49 Mio. EUR</w:t>
      </w:r>
      <w:r>
        <w:rPr>
          <w:rStyle w:val="FootnoteReference"/>
          <w:noProof/>
          <w:szCs w:val="24"/>
        </w:rPr>
        <w:footnoteReference w:id="5"/>
      </w:r>
      <w:r>
        <w:rPr>
          <w:noProof/>
        </w:rPr>
        <w:t xml:space="preserve">. </w:t>
      </w:r>
    </w:p>
    <w:p w:rsidR="00A7448C" w:rsidRDefault="00231628">
      <w:pPr>
        <w:suppressAutoHyphens/>
        <w:jc w:val="both"/>
        <w:rPr>
          <w:noProof/>
          <w:szCs w:val="24"/>
        </w:rPr>
      </w:pPr>
      <w:r>
        <w:rPr>
          <w:noProof/>
        </w:rPr>
        <w:t>Der Garantiefonds wurde im Jahr 2018 eingerichtet und die erste Zahlung in Höhe von 75 Mio. EUR erfolgte im November 2018. Bis zum 31. Dezember 2019 beliefen sich die Beträge, die dem EU-Haushalt in den Garant</w:t>
      </w:r>
      <w:r>
        <w:rPr>
          <w:noProof/>
        </w:rPr>
        <w:t>iefonds eingezahlt wurden, auf insgesamt 600,1 Mio. EUR.  Bis Ende 2019 wurde die EFSD-Garantie nicht in Anspruch genommen.</w:t>
      </w:r>
    </w:p>
    <w:p w:rsidR="00A7448C" w:rsidRDefault="00231628">
      <w:pPr>
        <w:pStyle w:val="Heading1"/>
        <w:rPr>
          <w:noProof/>
        </w:rPr>
      </w:pPr>
      <w:bookmarkStart w:id="21" w:name="_Toc38891121"/>
      <w:bookmarkStart w:id="22" w:name="_Toc46140222"/>
      <w:r>
        <w:rPr>
          <w:noProof/>
        </w:rPr>
        <w:t>5. Bewertung der Angemessenheit des Zielbetrags und des Umfangs des EFSD-Garantiefonds</w:t>
      </w:r>
      <w:bookmarkEnd w:id="21"/>
      <w:bookmarkEnd w:id="22"/>
      <w:r>
        <w:rPr>
          <w:noProof/>
        </w:rPr>
        <w:t xml:space="preserve"> </w:t>
      </w:r>
    </w:p>
    <w:p w:rsidR="00A7448C" w:rsidRDefault="00231628">
      <w:pPr>
        <w:jc w:val="both"/>
        <w:rPr>
          <w:noProof/>
        </w:rPr>
      </w:pPr>
      <w:r>
        <w:rPr>
          <w:noProof/>
        </w:rPr>
        <w:t>Bis zum 31. Dezember 2019 wurden insgesamt d</w:t>
      </w:r>
      <w:r>
        <w:rPr>
          <w:noProof/>
        </w:rPr>
        <w:t>rei EFSD-Garantievereinbarungen in Höhe von 165 Mio. EUR geschlossen, darunter eine im Jahr 2018 und zwei im Jahr 2019</w:t>
      </w:r>
      <w:r>
        <w:rPr>
          <w:rStyle w:val="FootnoteReference"/>
          <w:noProof/>
        </w:rPr>
        <w:footnoteReference w:id="6"/>
      </w:r>
      <w:r>
        <w:rPr>
          <w:noProof/>
        </w:rPr>
        <w:t xml:space="preserve">.  </w:t>
      </w:r>
    </w:p>
    <w:p w:rsidR="00A7448C" w:rsidRDefault="00231628">
      <w:pPr>
        <w:jc w:val="both"/>
        <w:rPr>
          <w:noProof/>
        </w:rPr>
      </w:pPr>
      <w:r>
        <w:rPr>
          <w:noProof/>
        </w:rPr>
        <w:t>Der Zielbetrag des EFSD-Garantiefonds wurde auf 50 % der Gesamtgarantieverpflichtungen der EU festgesetzt. Die aus dem EU-Haushalt in</w:t>
      </w:r>
      <w:r>
        <w:rPr>
          <w:noProof/>
        </w:rPr>
        <w:t xml:space="preserve"> den Garantiefonds eingezahlten Beträge beliefen sich zum 31. Dezember 2019 auf insgesamt 600,1 Mio. EUR, sodass die Ausstattung das Risiko der unterzeichneten Garantien vollständig abdeckt. </w:t>
      </w:r>
    </w:p>
    <w:p w:rsidR="00A7448C" w:rsidRDefault="00231628">
      <w:pPr>
        <w:jc w:val="both"/>
        <w:rPr>
          <w:noProof/>
        </w:rPr>
      </w:pPr>
      <w:r>
        <w:rPr>
          <w:noProof/>
        </w:rPr>
        <w:t xml:space="preserve">Im Einklang mit Artikel 4 Absatz 2 der EFSD-Verordnung wird die </w:t>
      </w:r>
      <w:r>
        <w:rPr>
          <w:noProof/>
        </w:rPr>
        <w:t>Kommission bei der operativen Verwaltung des EFSD von der Gruppe für fachliche Bewertung im Bereich Garantien (G-TAG) unterstützt, die sich aus Kreditrisiko-Experten mehrerer europäischer Finanzinstitutionen zusammensetzt. Die Aufgabe der G-TAG besteht dar</w:t>
      </w:r>
      <w:r>
        <w:rPr>
          <w:noProof/>
        </w:rPr>
        <w:t xml:space="preserve">in, der Kommission unabhängiges und unparteiisches Fachwissen zu bankenbezogenen Fragen zur Verfügung zu stellen und ihre Entscheidungen im Zusammenhang mit der Zuweisung der EFSD-Garantie sowie die Risikoüberwachung während der Durchführung der Projekte, </w:t>
      </w:r>
      <w:r>
        <w:rPr>
          <w:noProof/>
        </w:rPr>
        <w:t>die von der Garantie profitieren, zu unterstützen.</w:t>
      </w:r>
    </w:p>
    <w:sectPr w:rsidR="00A7448C">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48C" w:rsidRDefault="00231628">
      <w:pPr>
        <w:spacing w:after="0" w:line="240" w:lineRule="auto"/>
      </w:pPr>
      <w:r>
        <w:separator/>
      </w:r>
    </w:p>
  </w:endnote>
  <w:endnote w:type="continuationSeparator" w:id="0">
    <w:p w:rsidR="00A7448C" w:rsidRDefault="00231628">
      <w:pPr>
        <w:spacing w:after="0" w:line="240" w:lineRule="auto"/>
      </w:pPr>
      <w:r>
        <w:continuationSeparator/>
      </w:r>
    </w:p>
  </w:endnote>
  <w:endnote w:type="continuationNotice" w:id="1">
    <w:p w:rsidR="00A7448C" w:rsidRDefault="00A744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8C" w:rsidRDefault="00A74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8C" w:rsidRDefault="00231628">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8C" w:rsidRDefault="00A7448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8C" w:rsidRDefault="00A744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79673"/>
      <w:docPartObj>
        <w:docPartGallery w:val="Page Numbers (Bottom of Page)"/>
        <w:docPartUnique/>
      </w:docPartObj>
    </w:sdtPr>
    <w:sdtEndPr>
      <w:rPr>
        <w:noProof/>
      </w:rPr>
    </w:sdtEndPr>
    <w:sdtContent>
      <w:p w:rsidR="00A7448C" w:rsidRDefault="00231628">
        <w:pPr>
          <w:pStyle w:val="Footer"/>
          <w:jc w:val="right"/>
        </w:pPr>
        <w:r>
          <w:fldChar w:fldCharType="begin"/>
        </w:r>
        <w:r>
          <w:instrText xml:space="preserve"> PAGE   \* MERGEFORMAT </w:instrText>
        </w:r>
        <w:r>
          <w:fldChar w:fldCharType="separate"/>
        </w:r>
        <w:r>
          <w:rPr>
            <w:noProof/>
          </w:rPr>
          <w:t>8</w:t>
        </w:r>
        <w:r>
          <w:fldChar w:fldCharType="end"/>
        </w:r>
      </w:p>
    </w:sdtContent>
  </w:sdt>
  <w:p w:rsidR="00A7448C" w:rsidRDefault="00A7448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8C" w:rsidRDefault="00A74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48C" w:rsidRDefault="00231628">
      <w:pPr>
        <w:spacing w:after="0" w:line="240" w:lineRule="auto"/>
      </w:pPr>
      <w:r>
        <w:separator/>
      </w:r>
    </w:p>
  </w:footnote>
  <w:footnote w:type="continuationSeparator" w:id="0">
    <w:p w:rsidR="00A7448C" w:rsidRDefault="00231628">
      <w:pPr>
        <w:spacing w:after="0" w:line="240" w:lineRule="auto"/>
      </w:pPr>
      <w:r>
        <w:continuationSeparator/>
      </w:r>
    </w:p>
  </w:footnote>
  <w:footnote w:type="continuationNotice" w:id="1">
    <w:p w:rsidR="00A7448C" w:rsidRDefault="00A7448C">
      <w:pPr>
        <w:spacing w:after="0" w:line="240" w:lineRule="auto"/>
      </w:pPr>
    </w:p>
  </w:footnote>
  <w:footnote w:id="2">
    <w:p w:rsidR="00A7448C" w:rsidRDefault="00231628">
      <w:pPr>
        <w:pStyle w:val="FootnoteText"/>
        <w:ind w:left="284" w:hanging="284"/>
        <w:jc w:val="both"/>
      </w:pPr>
      <w:r>
        <w:rPr>
          <w:rStyle w:val="FootnoteReference"/>
        </w:rPr>
        <w:footnoteRef/>
      </w:r>
      <w:r>
        <w:t xml:space="preserve"> Verordnung (EU) 2017/1601 des Europäischen Parlaments und des Rates vom 26. September 2017 zur Einrichtung des Europäischen Fonds für nachhaltige Entwicklung (EFSD), der EFSD-Garantie und des EFSD-Garantiefonds.</w:t>
      </w:r>
    </w:p>
  </w:footnote>
  <w:footnote w:id="3">
    <w:p w:rsidR="00A7448C" w:rsidRDefault="00231628">
      <w:pPr>
        <w:pStyle w:val="FootnoteText"/>
        <w:ind w:left="284" w:hanging="284"/>
        <w:jc w:val="both"/>
      </w:pPr>
      <w:r>
        <w:rPr>
          <w:rStyle w:val="FootnoteReference"/>
        </w:rPr>
        <w:footnoteRef/>
      </w:r>
      <w:r>
        <w:t xml:space="preserve"> COM(2020) 224, Bericht der Kommission an </w:t>
      </w:r>
      <w:r>
        <w:t xml:space="preserve">das Europäische Parlament und den Rat über die Durchführung des Europäischen Fonds für nachhaltige Entwicklung. </w:t>
      </w:r>
    </w:p>
  </w:footnote>
  <w:footnote w:id="4">
    <w:p w:rsidR="00A7448C" w:rsidRDefault="00231628">
      <w:pPr>
        <w:pStyle w:val="FootnoteText"/>
        <w:ind w:left="284" w:hanging="284"/>
        <w:jc w:val="both"/>
      </w:pPr>
      <w:r>
        <w:rPr>
          <w:rStyle w:val="FootnoteReference"/>
        </w:rPr>
        <w:footnoteRef/>
      </w:r>
      <w:r>
        <w:t xml:space="preserve"> Dies steht im Einklang mit der geldgewichteten Rendite von -0,103 %, bei der das im Jahr 2019 aufgrund von Haushaltsbeiträgen in der Aufbauph</w:t>
      </w:r>
      <w:r>
        <w:t>ase erheblich wachsende Volumen des EFSD-Garantiefonds berücksichtigt wird. Die geldgewichtete Rendite war 2019 niedriger als die zeitgewichtete Wertenwicklung nach Abschnitt 3.3. Die zeitgewichtete Rendite ist die offizielle Leistung, die für alle Vermöge</w:t>
      </w:r>
      <w:r>
        <w:t>nsverwaltungstätigkeiten der Europäischen Kommission ausgewiesen wird, da sie eine Beseitigung der durch Zu- und Abflüsse verursachten Verzerrungen ermöglicht.</w:t>
      </w:r>
    </w:p>
  </w:footnote>
  <w:footnote w:id="5">
    <w:p w:rsidR="00A7448C" w:rsidRDefault="00231628">
      <w:pPr>
        <w:pStyle w:val="FootnoteText"/>
        <w:ind w:left="284" w:hanging="284"/>
      </w:pPr>
      <w:r>
        <w:rPr>
          <w:rStyle w:val="FootnoteReference"/>
        </w:rPr>
        <w:footnoteRef/>
      </w:r>
      <w:r>
        <w:t xml:space="preserve"> Estland: 100 000 EUR; Tschechische Republik: 300 000 EUR; Dänemark: ca. 9,4 Mio. EUR; Bill-und</w:t>
      </w:r>
      <w:r>
        <w:t>-Melinda-Gates-Stiftung: ca. 39,2 Mio. EUR (50 Mio. USD) – davon wurden insgesamt 19,2 Mio. EUR bereits eingezahlt.</w:t>
      </w:r>
    </w:p>
  </w:footnote>
  <w:footnote w:id="6">
    <w:p w:rsidR="00A7448C" w:rsidRDefault="00231628">
      <w:pPr>
        <w:pStyle w:val="FootnoteText"/>
        <w:ind w:left="284" w:hanging="284"/>
        <w:jc w:val="both"/>
      </w:pPr>
      <w:r>
        <w:rPr>
          <w:rStyle w:val="FootnoteReference"/>
        </w:rPr>
        <w:footnoteRef/>
      </w:r>
      <w:r>
        <w:t xml:space="preserve"> Bis April 2020 wurden vier weitere über einen Gesamtbetrag von 196 Mio. EUR unterzeichnet.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8C" w:rsidRDefault="00A74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8C" w:rsidRDefault="00A7448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8C" w:rsidRDefault="00A7448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8C" w:rsidRDefault="00A744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8C" w:rsidRDefault="00A7448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8C" w:rsidRDefault="00A74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734728B7"/>
    <w:multiLevelType w:val="hybridMultilevel"/>
    <w:tmpl w:val="66D0BF5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CBB5265-9C67-4993-B219-9C1D5C9B9407"/>
    <w:docVar w:name="LW_COVERPAGE_TYPE" w:val="1"/>
    <w:docVar w:name="LW_CROSSREFERENCE" w:val="&lt;UNUSED&gt;"/>
    <w:docVar w:name="LW_DocType" w:val="NORMAL"/>
    <w:docVar w:name="LW_EMISSION" w:val="31.7.2020"/>
    <w:docVar w:name="LW_EMISSION_ISODATE" w:val="2020-07-31"/>
    <w:docVar w:name="LW_EMISSION_LOCATION" w:val="BRX"/>
    <w:docVar w:name="LW_EMISSION_PREFIX" w:val="Brüssel, den "/>
    <w:docVar w:name="LW_EMISSION_SUFFIX" w:val=" "/>
    <w:docVar w:name="LW_ID_DOCTYPE_NONLW" w:val="CP-035"/>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lt;UNUSED&gt;"/>
    <w:docVar w:name="LW_REF.II.NEW.CP_NUMBER" w:val="&lt;UNUSED&gt;"/>
    <w:docVar w:name="LW_REF.II.NEW.CP_YEAR" w:val="2020"/>
    <w:docVar w:name="LW_REF.INST.NEW" w:val="COM"/>
    <w:docVar w:name="LW_REF.INST.NEW_ADOPTED" w:val="final"/>
    <w:docVar w:name="LW_REF.INST.NEW_TEXT" w:val="(2020) 3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über die Verwaltung des Garantiefonds für den Europäischen Fonds für nachhaltige Entwicklung_x000d__x000d__x000b__x000d__x000d__x000b_"/>
    <w:docVar w:name="LW_TYPE.DOC.CP" w:val="BERICHT DER KOMMISSION AN DAS EUROPÄISCHE PARLAMENT, DEN RAT UND DEN RECHNUNGSHOF_x000b_"/>
  </w:docVars>
  <w:rsids>
    <w:rsidRoot w:val="00A7448C"/>
    <w:rsid w:val="00231628"/>
    <w:rsid w:val="00A74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70CC228F-285B-4480-ACF6-1D64947C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pPr>
      <w:keepNext/>
      <w:keepLines/>
      <w:spacing w:before="600" w:after="360"/>
      <w:outlineLvl w:val="0"/>
    </w:pPr>
    <w:rPr>
      <w:rFonts w:eastAsiaTheme="majorEastAsia" w:cstheme="majorBidi"/>
      <w:b/>
      <w:smallCaps/>
      <w:color w:val="000000" w:themeColor="text1"/>
      <w:sz w:val="28"/>
      <w:szCs w:val="32"/>
    </w:rPr>
  </w:style>
  <w:style w:type="paragraph" w:styleId="Heading2">
    <w:name w:val="heading 2"/>
    <w:basedOn w:val="Normal"/>
    <w:next w:val="Normal"/>
    <w:link w:val="Heading2Char"/>
    <w:uiPriority w:val="9"/>
    <w:unhideWhenUsed/>
    <w:qFormat/>
    <w:pPr>
      <w:keepNext/>
      <w:keepLines/>
      <w:spacing w:before="360" w:after="36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mallCaps/>
      <w:color w:val="000000" w:themeColor="text1"/>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color w:val="000000" w:themeColor="text1"/>
      <w:sz w:val="24"/>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sz w:val="24"/>
    </w:rPr>
  </w:style>
  <w:style w:type="paragraph" w:styleId="TOCHeading">
    <w:name w:val="TOC Heading"/>
    <w:basedOn w:val="Heading1"/>
    <w:next w:val="Normal"/>
    <w:link w:val="TOCHeadingChar"/>
    <w:uiPriority w:val="39"/>
    <w:unhideWhenUsed/>
    <w:qFormat/>
    <w:pPr>
      <w:spacing w:line="259" w:lineRule="auto"/>
      <w:outlineLvl w:val="9"/>
    </w:pPr>
  </w:style>
  <w:style w:type="paragraph" w:styleId="FootnoteText">
    <w:name w:val="footnote text"/>
    <w:aliases w:val="Fußnotentext Char1,Fußnotentext Char Char,Fußnotentext Char1 Char Char,Fußnotentext Char Char Char Char,Fußnotentext Char1 Char Char Char Char,Fußnotentext Char Char Char Char Char Char,Fußnotentext Char Char1 Char Char,Footnote,Fußnote,fn"/>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ußnotentext Char1 Char,Fußnotentext Char Char Char,Fußnotentext Char1 Char Char Char,Fußnotentext Char Char Char Char Char,Fußnotentext Char1 Char Char Char Char Char,Fußnotentext Char Char Char Char Char Char Char,Footnote Char"/>
    <w:basedOn w:val="DefaultParagraphFont"/>
    <w:link w:val="FootnoteText"/>
    <w:uiPriority w:val="99"/>
    <w:rPr>
      <w:rFonts w:ascii="Times New Roman" w:hAnsi="Times New Roman"/>
      <w:sz w:val="20"/>
      <w:szCs w:val="20"/>
    </w:rPr>
  </w:style>
  <w:style w:type="character" w:styleId="FootnoteReference">
    <w:name w:val="footnote reference"/>
    <w:aliases w:val="number,SUPERS,Footnote Reference Superscript,-E Fuﬂnotenzeichen,-E Fuûnotenzeichen,-E Fußnotenzeichen,EN Footnote Reference,Footnote number,stylish,Footnote symbol,(Footnote Reference),Footnote reference number,note TESI,BVI fnr,ftref"/>
    <w:basedOn w:val="DefaultParagraphFont"/>
    <w:link w:val="BVIfnrChar"/>
    <w:uiPriority w:val="99"/>
    <w:unhideWhenUsed/>
    <w:qFormat/>
    <w:rPr>
      <w:vertAlign w:val="superscript"/>
    </w:rPr>
  </w:style>
  <w:style w:type="paragraph" w:customStyle="1" w:styleId="BVIfnrChar">
    <w:name w:val="BVI fnr Char"/>
    <w:aliases w:val="Appel note de bas de p.;BVI fnr Car Car Car Car, BVI fnr Car Car,BVI fnr Car, BVI fnr Car Car Car Car, BVI fnr Car Car Car Car Char,Appel note de bas de p..BVI fnr Car Car Car Car, BVI fnr Char,Appel note de bas de p."/>
    <w:basedOn w:val="Normal"/>
    <w:link w:val="FootnoteReference"/>
    <w:uiPriority w:val="99"/>
    <w:pPr>
      <w:spacing w:after="160" w:line="240" w:lineRule="exact"/>
    </w:pPr>
    <w:rPr>
      <w:rFonts w:asciiTheme="minorHAnsi" w:hAnsiTheme="minorHAnsi"/>
      <w:sz w:val="22"/>
      <w:vertAlign w:val="superscript"/>
    </w:r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000FF" w:themeColor="hyperlink"/>
      <w:u w:val="single"/>
    </w:rPr>
  </w:style>
  <w:style w:type="paragraph" w:styleId="TOC2">
    <w:name w:val="toc 2"/>
    <w:basedOn w:val="Normal"/>
    <w:next w:val="Normal"/>
    <w:autoRedefine/>
    <w:uiPriority w:val="39"/>
    <w:unhideWhenUsed/>
    <w:pPr>
      <w:spacing w:after="100"/>
      <w:ind w:left="240"/>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style>
  <w:style w:type="character" w:customStyle="1" w:styleId="TOCHeadingChar">
    <w:name w:val="TOC Heading Char"/>
    <w:basedOn w:val="Heading1Char"/>
    <w:link w:val="TOCHeading"/>
    <w:uiPriority w:val="39"/>
    <w:rPr>
      <w:rFonts w:ascii="Times New Roman" w:eastAsiaTheme="majorEastAsia" w:hAnsi="Times New Roman" w:cstheme="majorBidi"/>
      <w:b/>
      <w:smallCaps/>
      <w:color w:val="000000" w:themeColor="text1"/>
      <w:sz w:val="28"/>
      <w:szCs w:val="32"/>
      <w:lang w:val="de-DE"/>
    </w:rPr>
  </w:style>
  <w:style w:type="character" w:customStyle="1" w:styleId="FooterCoverPageChar">
    <w:name w:val="Footer Cover Page Char"/>
    <w:basedOn w:val="TOCHeadingChar"/>
    <w:link w:val="FooterCoverPage"/>
    <w:rPr>
      <w:rFonts w:ascii="Times New Roman" w:eastAsiaTheme="majorEastAsia" w:hAnsi="Times New Roman" w:cstheme="majorBidi"/>
      <w:b w:val="0"/>
      <w:smallCaps w:val="0"/>
      <w:color w:val="000000" w:themeColor="text1"/>
      <w:sz w:val="24"/>
      <w:szCs w:val="32"/>
      <w:lang w:val="de-D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TOCHeadingChar"/>
    <w:link w:val="FooterSensitivity"/>
    <w:rPr>
      <w:rFonts w:ascii="Times New Roman" w:eastAsiaTheme="majorEastAsia" w:hAnsi="Times New Roman" w:cstheme="majorBidi"/>
      <w:b/>
      <w:smallCaps w:val="0"/>
      <w:color w:val="000000" w:themeColor="text1"/>
      <w:sz w:val="32"/>
      <w:szCs w:val="32"/>
      <w:lang w:val="de-D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TOCHeadingChar"/>
    <w:link w:val="HeaderCoverPage"/>
    <w:rPr>
      <w:rFonts w:ascii="Times New Roman" w:eastAsiaTheme="majorEastAsia" w:hAnsi="Times New Roman" w:cstheme="majorBidi"/>
      <w:b w:val="0"/>
      <w:smallCaps w:val="0"/>
      <w:color w:val="000000" w:themeColor="text1"/>
      <w:sz w:val="24"/>
      <w:szCs w:val="32"/>
      <w:lang w:val="de-D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TOCHeadingChar"/>
    <w:link w:val="HeaderSensitivity"/>
    <w:rPr>
      <w:rFonts w:ascii="Times New Roman" w:eastAsiaTheme="majorEastAsia" w:hAnsi="Times New Roman" w:cstheme="majorBidi"/>
      <w:b/>
      <w:smallCaps w:val="0"/>
      <w:color w:val="000000" w:themeColor="text1"/>
      <w:sz w:val="32"/>
      <w:szCs w:val="32"/>
      <w:lang w:val="de-DE"/>
    </w:rPr>
  </w:style>
  <w:style w:type="paragraph" w:customStyle="1" w:styleId="HeaderSensitivityRight">
    <w:name w:val="Header Sensitivity Right"/>
    <w:basedOn w:val="Normal"/>
    <w:link w:val="HeaderSensitivityRightChar"/>
    <w:pPr>
      <w:spacing w:after="120" w:line="240" w:lineRule="auto"/>
      <w:jc w:val="right"/>
    </w:pPr>
    <w:rPr>
      <w:sz w:val="28"/>
    </w:rPr>
  </w:style>
  <w:style w:type="character" w:customStyle="1" w:styleId="HeaderSensitivityRightChar">
    <w:name w:val="Header Sensitivity Right Char"/>
    <w:basedOn w:val="TOCHeadingChar"/>
    <w:link w:val="HeaderSensitivityRight"/>
    <w:rPr>
      <w:rFonts w:ascii="Times New Roman" w:eastAsiaTheme="majorEastAsia" w:hAnsi="Times New Roman" w:cstheme="majorBidi"/>
      <w:b w:val="0"/>
      <w:smallCaps w:val="0"/>
      <w:color w:val="000000" w:themeColor="text1"/>
      <w:sz w:val="28"/>
      <w:szCs w:val="32"/>
      <w:lang w:val="de-D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egalNumPar">
    <w:name w:val="LegalNumPar"/>
    <w:basedOn w:val="Normal"/>
    <w:pPr>
      <w:numPr>
        <w:numId w:val="4"/>
      </w:numPr>
      <w:spacing w:line="360" w:lineRule="auto"/>
    </w:pPr>
  </w:style>
  <w:style w:type="paragraph" w:customStyle="1" w:styleId="LegalNumPar2">
    <w:name w:val="LegalNumPar2"/>
    <w:basedOn w:val="Normal"/>
    <w:pPr>
      <w:numPr>
        <w:ilvl w:val="1"/>
        <w:numId w:val="4"/>
      </w:numPr>
      <w:spacing w:line="360" w:lineRule="auto"/>
    </w:pPr>
  </w:style>
  <w:style w:type="paragraph" w:customStyle="1" w:styleId="LegalNumPar3">
    <w:name w:val="LegalNumPar3"/>
    <w:basedOn w:val="Normal"/>
    <w:pPr>
      <w:numPr>
        <w:ilvl w:val="2"/>
        <w:numId w:val="4"/>
      </w:numPr>
      <w:spacing w:line="360" w:lineRule="auto"/>
    </w:pPr>
  </w:style>
  <w:style w:type="paragraph" w:styleId="ListParagraph">
    <w:name w:val="List Paragraph"/>
    <w:basedOn w:val="Normal"/>
    <w:uiPriority w:val="34"/>
    <w:qFormat/>
    <w:pPr>
      <w:spacing w:after="0" w:line="240" w:lineRule="auto"/>
      <w:ind w:left="720"/>
    </w:pPr>
    <w:rPr>
      <w:rFonts w:ascii="Calibri" w:hAnsi="Calibri" w:cs="Calibri"/>
      <w:sz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character" w:customStyle="1" w:styleId="e24kjd">
    <w:name w:val="e24kjd"/>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6252">
      <w:bodyDiv w:val="1"/>
      <w:marLeft w:val="0"/>
      <w:marRight w:val="0"/>
      <w:marTop w:val="0"/>
      <w:marBottom w:val="0"/>
      <w:divBdr>
        <w:top w:val="none" w:sz="0" w:space="0" w:color="auto"/>
        <w:left w:val="none" w:sz="0" w:space="0" w:color="auto"/>
        <w:bottom w:val="none" w:sz="0" w:space="0" w:color="auto"/>
        <w:right w:val="none" w:sz="0" w:space="0" w:color="auto"/>
      </w:divBdr>
    </w:div>
    <w:div w:id="183785835">
      <w:bodyDiv w:val="1"/>
      <w:marLeft w:val="0"/>
      <w:marRight w:val="0"/>
      <w:marTop w:val="0"/>
      <w:marBottom w:val="0"/>
      <w:divBdr>
        <w:top w:val="none" w:sz="0" w:space="0" w:color="auto"/>
        <w:left w:val="none" w:sz="0" w:space="0" w:color="auto"/>
        <w:bottom w:val="none" w:sz="0" w:space="0" w:color="auto"/>
        <w:right w:val="none" w:sz="0" w:space="0" w:color="auto"/>
      </w:divBdr>
    </w:div>
    <w:div w:id="992370353">
      <w:bodyDiv w:val="1"/>
      <w:marLeft w:val="0"/>
      <w:marRight w:val="0"/>
      <w:marTop w:val="0"/>
      <w:marBottom w:val="0"/>
      <w:divBdr>
        <w:top w:val="none" w:sz="0" w:space="0" w:color="auto"/>
        <w:left w:val="none" w:sz="0" w:space="0" w:color="auto"/>
        <w:bottom w:val="none" w:sz="0" w:space="0" w:color="auto"/>
        <w:right w:val="none" w:sz="0" w:space="0" w:color="auto"/>
      </w:divBdr>
    </w:div>
    <w:div w:id="106622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cid:image001.jpg@01D6134B.2AD5ADD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c.cec/sg/vista/home?documentDetails&amp;DocRef=C/2017/7693&amp;ComCat=SPINE" TargetMode="Externa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18044-4BC7-4715-B86D-7D36C728A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1720</Words>
  <Characters>11301</Characters>
  <Application>Microsoft Office Word</Application>
  <DocSecurity>0</DocSecurity>
  <Lines>403</Lines>
  <Paragraphs>210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LAGES CARVALHO Patrick (SG)</cp:lastModifiedBy>
  <cp:revision>22</cp:revision>
  <dcterms:created xsi:type="dcterms:W3CDTF">2020-07-17T11:55:00Z</dcterms:created>
  <dcterms:modified xsi:type="dcterms:W3CDTF">2020-07-23T09:34:00Z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CP-035</vt:lpwstr>
  </property>
  <property fmtid="{D5CDD505-2E9C-101B-9397-08002B2CF9AE}" pid="7" name="Last edited using">
    <vt:lpwstr>LW 7.0, Build 20190717</vt:lpwstr>
  </property>
  <property fmtid="{D5CDD505-2E9C-101B-9397-08002B2CF9AE}" pid="8" name="Created using">
    <vt:lpwstr>LW 7.0.1, Build 20190916</vt:lpwstr>
  </property>
</Properties>
</file>