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91272E7B-0C4B-4E19-B4EE-0CF8F71643B7" style="width:450.75pt;height:43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EXPUNERE DE MOTIVE</w:t>
      </w:r>
    </w:p>
    <w:p>
      <w:pPr>
        <w:pStyle w:val="ManualHeading1"/>
        <w:rPr>
          <w:noProof/>
        </w:rPr>
      </w:pPr>
      <w:r>
        <w:rPr>
          <w:noProof/>
        </w:rPr>
        <w:t>1.</w:t>
      </w:r>
      <w:r>
        <w:rPr>
          <w:noProof/>
        </w:rPr>
        <w:tab/>
        <w:t>CONTEXTUL PROPUNERII</w:t>
      </w:r>
    </w:p>
    <w:p>
      <w:pPr>
        <w:pStyle w:val="ManualHeading2"/>
        <w:rPr>
          <w:rFonts w:eastAsia="Arial Unicode MS"/>
          <w:noProof/>
        </w:rPr>
      </w:pPr>
      <w:r>
        <w:rPr>
          <w:noProof/>
          <w:color w:val="000000"/>
          <w:u w:color="000000"/>
          <w:bdr w:val="nil"/>
        </w:rPr>
        <w:t>•</w:t>
      </w:r>
      <w:r>
        <w:rPr>
          <w:noProof/>
        </w:rPr>
        <w:tab/>
        <w:t>Temeiurile și obiectivele propunerii</w:t>
      </w:r>
    </w:p>
    <w:p>
      <w:pPr>
        <w:pBdr>
          <w:top w:val="nil"/>
          <w:left w:val="nil"/>
          <w:bottom w:val="nil"/>
          <w:right w:val="nil"/>
          <w:between w:val="nil"/>
          <w:bar w:val="nil"/>
        </w:pBdr>
        <w:spacing w:before="0" w:after="240"/>
        <w:rPr>
          <w:noProof/>
        </w:rPr>
      </w:pPr>
      <w:r>
        <w:rPr>
          <w:noProof/>
        </w:rPr>
        <w:t>Regulamentul (UE) nr. 575/2013</w:t>
      </w:r>
      <w:r>
        <w:rPr>
          <w:rStyle w:val="FootnoteReference"/>
          <w:noProof/>
        </w:rPr>
        <w:footnoteReference w:id="1"/>
      </w:r>
      <w:r>
        <w:rPr>
          <w:noProof/>
        </w:rPr>
        <w:t xml:space="preserve"> al Parlamentului European și al Consiliului, cunoscut sub denumirea de „Regulamentul privind cerințele de capital” (în continuare „CRR”), stabilește, împreună cu Directiva 2013/36/UE</w:t>
      </w:r>
      <w:r>
        <w:rPr>
          <w:rStyle w:val="FootnoteReference"/>
          <w:noProof/>
        </w:rPr>
        <w:footnoteReference w:id="2"/>
      </w:r>
      <w:r>
        <w:rPr>
          <w:noProof/>
        </w:rPr>
        <w:t xml:space="preserve">, cunoscută sub denumirea de „Directiva privind cerințele de capital” (în continuare „CRD”), cadrul de reglementare prudențială pentru instituțiile de credit care își desfășoară activitatea în Uniune. CRR și CRD au fost adoptate în urma crizei financiare din 2008-2009 pentru a spori reziliența instituțiilor din sectorul financiar al UE și sunt bazate în mare parte pe standardele globale convenite cu partenerii internaționali ai UE, în special cu Comitetul de la Basel pentru supraveghere bancară (BCBS). </w:t>
      </w:r>
    </w:p>
    <w:p>
      <w:pPr>
        <w:pBdr>
          <w:top w:val="nil"/>
          <w:left w:val="nil"/>
          <w:bottom w:val="nil"/>
          <w:right w:val="nil"/>
          <w:between w:val="nil"/>
          <w:bar w:val="nil"/>
        </w:pBdr>
        <w:spacing w:before="0" w:after="240"/>
        <w:rPr>
          <w:noProof/>
        </w:rPr>
      </w:pPr>
      <w:r>
        <w:rPr>
          <w:noProof/>
        </w:rPr>
        <w:t>CRR a fost modificat ulterior, în mai multe rânduri, pentru a aborda deficiențele rămase în cadrul de reglementare prudențială și pentru a pune în aplicare unele elemente restante ale reformei globale a serviciilor financiare care sunt esențiale pentru a asigura reziliența instituțiilor. Un set de modificări, cuprins în Regulamentul (UE) nr. 2017/2401</w:t>
      </w:r>
      <w:r>
        <w:rPr>
          <w:rStyle w:val="FootnoteReference"/>
          <w:noProof/>
        </w:rPr>
        <w:footnoteReference w:id="3"/>
      </w:r>
      <w:r>
        <w:rPr>
          <w:noProof/>
        </w:rPr>
        <w:t>, a pus în aplicare cadrul de securitizare revizuit adoptat de BCBS în decembrie 2014</w:t>
      </w:r>
      <w:r>
        <w:rPr>
          <w:rStyle w:val="FootnoteReference"/>
          <w:noProof/>
        </w:rPr>
        <w:footnoteReference w:id="4"/>
      </w:r>
      <w:r>
        <w:rPr>
          <w:noProof/>
        </w:rPr>
        <w:t xml:space="preserve"> („cadrul Basel revizuit”). Cadrul Basel revizuit a fost conceput pentru a reduce complexitatea cerințelor de capital reglementat aplicabile în momentul respectiv, pentru a reflecta mai bine riscurile pozițiilor dintr-o securitizare și pentru a le permite instituțiilor să determine cerințele de capital prin calcule proprii și pe baza informațiilor pe care le au la dispoziție, reducând astfel dependența de ratingurile externe. </w:t>
      </w:r>
    </w:p>
    <w:p>
      <w:pPr>
        <w:spacing w:before="0" w:after="0"/>
        <w:rPr>
          <w:noProof/>
        </w:rPr>
      </w:pPr>
      <w:r>
        <w:rPr>
          <w:noProof/>
        </w:rPr>
        <w:t>Pentru a promova în continuare dezvoltarea unei piețe a securitizărilor de înaltă calitate în UE, bazată pe practici solide, Regulamentul (UE) 2017/2401 a inclus și modificări menite să asigure un tratament de reglementare mai sensibil la risc pentru securitizările simple, transparente și standardizate (STS), în conformitate cu standardele referitoare la tratamentul alternativ privind cerințele de capital pentru securitizările „simple, transparente și comparabile”, publicate de BCBS în iulie 2016</w:t>
      </w:r>
      <w:r>
        <w:rPr>
          <w:rStyle w:val="FootnoteReference"/>
          <w:noProof/>
        </w:rPr>
        <w:footnoteReference w:id="5"/>
      </w:r>
      <w:r>
        <w:rPr>
          <w:noProof/>
        </w:rPr>
        <w:t>. Criteriile de eligibilitate pentru securitizările STS sunt prevăzute în Regulamentul (UE) 2017/2402</w:t>
      </w:r>
      <w:r>
        <w:rPr>
          <w:rStyle w:val="FootnoteReference"/>
          <w:noProof/>
        </w:rPr>
        <w:footnoteReference w:id="6"/>
      </w:r>
      <w:r>
        <w:rPr>
          <w:noProof/>
        </w:rPr>
        <w:t xml:space="preserve">, care prevede și un set de cerințe comune privind reținerea riscului, obligația de diligență și divulgarea informațiilor pentru toate sectoarele serviciilor financiare. </w:t>
      </w:r>
    </w:p>
    <w:p>
      <w:pPr>
        <w:rPr>
          <w:noProof/>
          <w:color w:val="000000"/>
        </w:rPr>
      </w:pPr>
      <w:r>
        <w:rPr>
          <w:noProof/>
        </w:rPr>
        <w:lastRenderedPageBreak/>
        <w:t>Șocul economic grav cauzat de pandemia de COVID-19 și măsurile excepționale de limitare a răspândirii acesteia au un impact major asupra economiei. Întreprinderile se confruntă cu perturbări ale lanțurilor de aprovizionare, închideri temporare și reducerea cererii, iar gospodăriile se confruntă cu situații de șomaj și o scădere a veniturilor. Autoritățile publice de la nivelul Uniunii și al statelor membre au luat măsuri decisive pentru a sprijini gospodăriile și întreprinderile solvabile să facă față acestei încetiniri grave, dar temporare, a activității economice și deficitului de lichidități aferent. Mulțumită reformelor întreprinse în urma crizei financiare din 2008, instituțiile sunt în prezent bine capitalizate și mult mai reziliente decât în 2008.</w:t>
      </w:r>
      <w:r>
        <w:rPr>
          <w:noProof/>
          <w:color w:val="000000"/>
        </w:rPr>
        <w:t xml:space="preserve"> Acest lucru le permite să joace un rol esențial în gestionarea șocului economic provocat de pandemia de COVID-19. Cu toate acestea, incertitudinea legată de ritmul redresării activității economice va avea în mod inevitabil un impact asupra sectorului bancar, inclusiv în ceea ce privește creșterea preconizată a volumului creditelor neperformante ca urmare a recesiunii profunde cauzate de criza declanșată de pandemia de COVID-19. </w:t>
      </w:r>
    </w:p>
    <w:p>
      <w:pPr>
        <w:rPr>
          <w:noProof/>
          <w:color w:val="000000"/>
        </w:rPr>
      </w:pPr>
      <w:r>
        <w:rPr>
          <w:noProof/>
          <w:color w:val="000000"/>
        </w:rPr>
        <w:t xml:space="preserve">Securitizarea poate juca un rol important în consolidarea capacității instituțiilor de a sprijini redresarea economică, oferindu-le un instrument eficace pentru finanțare și diversificarea riscurilor. Prin urmare, în contextul redresării economice în urma pandemiei de COVID-19 este esențial ca acest rol să fie consolidat, iar instituțiile să fie ajutate să canalizeze suficient capital către economia reală. Având în vedere, în principal, activitatea recentă desfășurată de ABE, acest rezultat poate fi obținut prin intermediul a trei modificări precis orientate, care vizează sporirea sensibilității globale la risc a cadrului UE în materie de securitizare și care ar face ca recurgerea la instrumentul de securitizare să devină mai viabilă din punct de vedere economic pentru instituții, în contextul unui cadru prudențial adecvat pentru garantarea stabilității financiare a UE. </w:t>
      </w:r>
    </w:p>
    <w:p>
      <w:pPr>
        <w:rPr>
          <w:noProof/>
        </w:rPr>
      </w:pPr>
      <w:r>
        <w:rPr>
          <w:noProof/>
        </w:rPr>
        <w:t>În primul rând, trebuie să se asigure un tratament mai sensibil la risc pentru securitizarea STS înscrisă în bilanț, în conformitate cu recomandarea ABE inclusă în „Raportul privind cadrul STS pentru securitizarea sintetică”</w:t>
      </w:r>
      <w:r>
        <w:rPr>
          <w:rStyle w:val="FootnoteReference"/>
          <w:noProof/>
        </w:rPr>
        <w:footnoteReference w:id="7"/>
      </w:r>
      <w:r>
        <w:rPr>
          <w:noProof/>
        </w:rPr>
        <w:t>. Pe baza unei analize aprofundate a evoluțiilor de pe piața securitizărilor sintetice înscrise în bilanț și a tendințelor înregistrate în UE, inclusiv a datelor istorice privind starea de nerambursare și pierderea de performanță în cazul tranzacțiilor sintetice, raportul recomandă instituirea unui cadru transsectorial la nivelul UE pentru securitizarea STS înscrisă în bilanț, care să se limiteze la securitizarea sintetică înscrisă în bilanț și să fie bazat pe un set comun de criterii de eligibilitate. De asemenea, raportul recomandă aplicarea unui tratament prudențial diferențiat specific pentru expunerile din securitizări STS înscrise în bilanț, ținând seama în special de nivelul mai redus al riscului de agenție și de model în comparație cu expunerile din securitizări non-STS sintetice înscrise în bilanț.</w:t>
      </w:r>
    </w:p>
    <w:p>
      <w:pPr>
        <w:rPr>
          <w:noProof/>
        </w:rPr>
      </w:pPr>
      <w:r>
        <w:rPr>
          <w:noProof/>
        </w:rPr>
        <w:t>Alinierea tratamentului prudențial este, de asemenea, recunoscută pe scară largă ca un pas necesar pentru a încuraja și mai mult instituțiile să suporte costurile ocazionate de respectarea criteriilor STS atunci când structurează tranzacțiile de securitizare.</w:t>
      </w:r>
    </w:p>
    <w:p>
      <w:pPr>
        <w:rPr>
          <w:noProof/>
        </w:rPr>
      </w:pPr>
      <w:r>
        <w:rPr>
          <w:noProof/>
        </w:rPr>
        <w:t>În al doilea rând, este necesar să se elimine constrângerile existente în materie de reglementare cu privire la securitizarea expunerilor neperformante (</w:t>
      </w:r>
      <w:r>
        <w:rPr>
          <w:i/>
          <w:noProof/>
        </w:rPr>
        <w:t>non-performing exposures</w:t>
      </w:r>
      <w:r>
        <w:rPr>
          <w:noProof/>
        </w:rPr>
        <w:t xml:space="preserve"> - NPE), incluse în cadrul actual. Astfel cum se evidențiază în Avizul 2019/13 al ABE privind tratamentul normativ al securitizărilor de expuneri neperformante</w:t>
      </w:r>
      <w:r>
        <w:rPr>
          <w:rStyle w:val="FootnoteReference"/>
          <w:noProof/>
        </w:rPr>
        <w:footnoteReference w:id="8"/>
      </w:r>
      <w:r>
        <w:rPr>
          <w:noProof/>
        </w:rPr>
        <w:t xml:space="preserve">, cadrul actual nu ține seama de caracteristicile specifice securitizării NPE-urilor, ceea ce creează cerințe de capital excesive pentru această categorie de expuneri, în special în cadrul abordării bazate pe modele interne de rating în materie de securitizare (SEC-IRBA) și al abordării standardizate în materie de securitizare (SEC-SA). Caracterul excesiv de conservator al cadrului se datorează </w:t>
      </w:r>
      <w:r>
        <w:rPr>
          <w:noProof/>
        </w:rPr>
        <w:lastRenderedPageBreak/>
        <w:t xml:space="preserve">faptului că acesta a fost conceput ținând cont doar de determinanții de risc specifici ai împrumuturilor performante. Prin urmare, se propune modificarea tratamentului aplicat securitizărilor de NPE-uri prin aplicarea unei abordări simple și suficient de conservatoare, bazată pe o pondere de risc forfetară de 100 % aplicabilă tranșei de rang superior a securitizărilor tradiționale de NPE-uri și pe aplicarea unui prag de 100 % ponderilor de risc ale oricăror altor tranșe aparținând securitizărilor sintetice de NPE-uri, indiferent dacă sunt tradiționale sau înscrise în bilanț, cărora continuă să li se aplice cadrul general pentru calcularea expunerilor ponderate la risc. Tratamentul propus este aliniat la principalele elemente ale abordării aflate în curs de finalizare de către BCBS. </w:t>
      </w:r>
    </w:p>
    <w:p>
      <w:pPr>
        <w:rPr>
          <w:noProof/>
        </w:rPr>
      </w:pPr>
      <w:r>
        <w:rPr>
          <w:noProof/>
        </w:rPr>
        <w:t>În al treilea rând, se propune modificarea articolului 249 alineatul (3), care introduce un criteriu de eligibilitate suplimentar pentru recunoașterea protecției nefinanțate a creditului pentru instituțiile care aplică abordarea standardizată la calcularea cerințelor de capital pentru expunerile din securitizare. Mai concret, acest articol impune o cerință minimă în materie de rating de credit pentru aproape toate</w:t>
      </w:r>
      <w:r>
        <w:rPr>
          <w:rStyle w:val="FootnoteReference"/>
          <w:noProof/>
        </w:rPr>
        <w:footnoteReference w:id="9"/>
      </w:r>
      <w:r>
        <w:rPr>
          <w:noProof/>
        </w:rPr>
        <w:t xml:space="preserve"> tipurile de furnizori de protecție nefinanțată a creditului, inclusiv pentru administrațiile centrale. Această dispoziție pare să fie în contradicție cu normele generale de diminuare a riscului prevăzute în CRR, cu obiectivele regulamentului respectiv, dar și cu noile standarde internaționale stabilite de cadrul Basel III revizuit, care impun o cerință minimă în materie de rating de credit numai pentru un grup limitat de furnizori de protecție în cazul expunerilor din securitizare. Modificarea menționată va spori eficacitatea schemelor de garantare publice de la nivel național care sprijină strategiile instituțiilor ce vizează securitizarea NPE-urilor în urma pandemiei de COVID-19.</w:t>
      </w:r>
    </w:p>
    <w:p>
      <w:pPr>
        <w:rPr>
          <w:noProof/>
        </w:rPr>
      </w:pPr>
      <w:r>
        <w:rPr>
          <w:noProof/>
        </w:rPr>
        <w:t xml:space="preserve">Aceste modificări propuse, împreună cu modificările propuse ale Regulamentului (UE) 2017/2402, le vor permite instituțiilor să continue să acorde economiei un volum mare de împrumuturi în lunile următoare și vor aduce, astfel, o contribuție importantă la absorbția impactului generat de șocul pe care l-a reprezentat pandemia de COVID-19. </w:t>
      </w:r>
    </w:p>
    <w:p>
      <w:pPr>
        <w:rPr>
          <w:noProof/>
        </w:rPr>
      </w:pPr>
      <w:r>
        <w:rPr>
          <w:noProof/>
        </w:rPr>
        <w:t>Ca atare, și în comparație cu cadrul de reglementare actual, modificările vor consolida rolul securitizării ca instrument aflat la dispoziția instituțiilor pentru a-și menține și chiar pentru a-și spori capacitatea de creditare, în două moduri:</w:t>
      </w:r>
    </w:p>
    <w:p>
      <w:pPr>
        <w:pStyle w:val="Bullet0"/>
        <w:numPr>
          <w:ilvl w:val="0"/>
          <w:numId w:val="14"/>
        </w:numPr>
        <w:rPr>
          <w:noProof/>
        </w:rPr>
      </w:pPr>
      <w:r>
        <w:rPr>
          <w:noProof/>
        </w:rPr>
        <w:t>prin facilitarea utilizării acestei tehnici pentru a elimina NPE-urile, care se preconizează că vor crește în perioada următoare crizei. Procedând astfel, instituțiile vor fi în măsură să difuzeze mai bine riscul către alți actori financiari și să reducă, în ultimă instanță, constrângerile legate de capitalul reglementat generate de volumul mare de NPE-uri, menținând, în același timp, standarde prudențiale ridicate și</w:t>
      </w:r>
    </w:p>
    <w:p>
      <w:pPr>
        <w:pStyle w:val="Bullet0"/>
        <w:rPr>
          <w:noProof/>
        </w:rPr>
      </w:pPr>
      <w:r>
        <w:rPr>
          <w:noProof/>
        </w:rPr>
        <w:t xml:space="preserve">prin punerea în aplicare a unui tratament mai sensibil la risc al tranșei de rang superior deținute de instituția inițiatoare în cazul securitizărilor STS înscrise în bilanț. Astfel cum au subliniat numeroase părți interesate, elaborarea unor criterii de eligibilitate pentru STS nu ar fi, în sine, suficientă pentru a atinge obiectivul de a asigura viabilitatea economică a respectării acestor criterii, dacă introducerea noilor criterii nu ar fi însoțită și de un tratament prudențial mai sensibil la risc în domeniul cerințelor de capital, care să reflecte mai bine caracteristicile specifice acestora. </w:t>
      </w:r>
    </w:p>
    <w:p>
      <w:pPr>
        <w:rPr>
          <w:noProof/>
        </w:rPr>
      </w:pPr>
      <w:r>
        <w:rPr>
          <w:noProof/>
        </w:rPr>
        <w:t>Tratamentul mai sensibil la risc pentru securitizările de NPE-uri și pentru tranșa de rang superior a securitizărilor STS înscrise în bilanț este prevăzut în prezenta propunere, iar criteriile de eligibilitate pentru acest din urmă tip de securitizări, împreună cu alte dispoziții transsectoriale, sunt prevăzute în Regulamentul (UE) 2017/2402.</w:t>
      </w:r>
    </w:p>
    <w:p>
      <w:pPr>
        <w:pStyle w:val="ManualHeading2"/>
        <w:rPr>
          <w:rFonts w:eastAsia="Arial Unicode MS"/>
          <w:noProof/>
          <w:color w:val="000000"/>
          <w:u w:color="000000"/>
          <w:bdr w:val="nil"/>
        </w:rPr>
      </w:pPr>
      <w:r>
        <w:rPr>
          <w:noProof/>
          <w:color w:val="000000"/>
          <w:u w:color="000000"/>
          <w:bdr w:val="nil"/>
        </w:rPr>
        <w:lastRenderedPageBreak/>
        <w:t>•</w:t>
      </w:r>
      <w:r>
        <w:rPr>
          <w:noProof/>
        </w:rPr>
        <w:tab/>
        <w:t>Coerența cu dispozițiile deja existente în domeniul de politică vizat</w:t>
      </w:r>
    </w:p>
    <w:p>
      <w:pPr>
        <w:pBdr>
          <w:top w:val="nil"/>
          <w:left w:val="nil"/>
          <w:bottom w:val="nil"/>
          <w:right w:val="nil"/>
          <w:between w:val="nil"/>
          <w:bar w:val="nil"/>
        </w:pBdr>
        <w:spacing w:before="0" w:after="240"/>
        <w:rPr>
          <w:rFonts w:eastAsia="Arial Unicode MS"/>
          <w:noProof/>
        </w:rPr>
      </w:pPr>
      <w:r>
        <w:rPr>
          <w:noProof/>
        </w:rPr>
        <w:t>Propunerea aduce modificări legislației existente. Aceste modificări sunt pe deplin compatibile cu dispozițiile de politică existente în domeniul cerințelor prudențiale pentru instituții și al supravegherii acestora, inclusiv cu Avizul ABE privind tratamentul normativ al securitizărilor de expuneri neperformante, cu Raportul ABE privind cadrul STS pentru securitizarea sintetică, cu propunerea Comisiei de modificare a Regulamentului (UE) 2017/2402, adoptată în același timp cu prezenta propunere, și cu Raportul final al Forumului la nivel înalt privind uniunea piețelor de capital — o nouă viziune pentru piețele de capital ale Europei</w:t>
      </w:r>
      <w:r>
        <w:rPr>
          <w:rStyle w:val="FootnoteReference"/>
          <w:noProof/>
        </w:rPr>
        <w:footnoteReference w:id="10"/>
      </w:r>
      <w:r>
        <w:rPr>
          <w:noProof/>
        </w:rPr>
        <w:t>.</w:t>
      </w:r>
    </w:p>
    <w:p>
      <w:pPr>
        <w:pStyle w:val="ManualHeading2"/>
        <w:rPr>
          <w:rFonts w:eastAsia="Arial Unicode MS"/>
          <w:noProof/>
        </w:rPr>
      </w:pPr>
      <w:r>
        <w:rPr>
          <w:noProof/>
          <w:color w:val="000000"/>
          <w:u w:color="000000"/>
          <w:bdr w:val="nil"/>
        </w:rPr>
        <w:t>•</w:t>
      </w:r>
      <w:r>
        <w:rPr>
          <w:noProof/>
        </w:rPr>
        <w:tab/>
        <w:t>Coerența cu alte domenii de politică ale Uniunii</w:t>
      </w:r>
    </w:p>
    <w:p>
      <w:pPr>
        <w:pBdr>
          <w:top w:val="nil"/>
          <w:left w:val="nil"/>
          <w:bottom w:val="nil"/>
          <w:right w:val="nil"/>
          <w:between w:val="nil"/>
          <w:bar w:val="nil"/>
        </w:pBdr>
        <w:spacing w:before="0" w:after="240"/>
        <w:rPr>
          <w:rFonts w:eastAsia="Arial Unicode MS"/>
          <w:noProof/>
        </w:rPr>
      </w:pPr>
      <w:r>
        <w:rPr>
          <w:noProof/>
        </w:rPr>
        <w:t>Prezenta propunere face parte din răspunsul mai amplu al Comisiei la pandemia de COVID­19. Aceasta este esențială pentru a asigura eficacitatea măsurilor adoptate de statele membre, de Comisie și de Banca Centrală Europeană. Propunerea este pe deplin conformă cu Comunicarea Comisiei privind aspectele economice ale crizei provocate de coronavirus, publicată la 13 martie 2020</w:t>
      </w:r>
      <w:r>
        <w:rPr>
          <w:rStyle w:val="FootnoteReference"/>
          <w:noProof/>
        </w:rPr>
        <w:footnoteReference w:id="11"/>
      </w:r>
      <w:r>
        <w:rPr>
          <w:noProof/>
        </w:rPr>
        <w:t>, precum și cu Comunicarea „COVID 19 – Pachet economic – Utilizarea fiecărui euro disponibil”, lansată la 2 aprilie 2020</w:t>
      </w:r>
      <w:r>
        <w:rPr>
          <w:rStyle w:val="FootnoteReference"/>
          <w:noProof/>
        </w:rPr>
        <w:footnoteReference w:id="12"/>
      </w:r>
      <w:r>
        <w:rPr>
          <w:noProof/>
        </w:rPr>
        <w:t>, cu Comunicarea „Acum este momentul Europei: să reparăm prejudiciile aduse de criză și să pregătim viitorul pentru noua generație”</w:t>
      </w:r>
      <w:r>
        <w:rPr>
          <w:rStyle w:val="FootnoteReference"/>
          <w:noProof/>
        </w:rPr>
        <w:footnoteReference w:id="13"/>
      </w:r>
      <w:r>
        <w:rPr>
          <w:noProof/>
        </w:rPr>
        <w:t>, cu Comunicarea interpretativă a Comisiei privind aplicarea cadrelor contabile și prudențiale pentru a facilita creditarea bancară în UE</w:t>
      </w:r>
      <w:r>
        <w:rPr>
          <w:rStyle w:val="FootnoteReference"/>
          <w:noProof/>
        </w:rPr>
        <w:footnoteReference w:id="14"/>
      </w:r>
      <w:r>
        <w:rPr>
          <w:noProof/>
        </w:rPr>
        <w:t>, emisă la 28 aprilie 2020, și cu Regulamentul (UE) 2020/873</w:t>
      </w:r>
      <w:r>
        <w:rPr>
          <w:rStyle w:val="FootnoteReference"/>
          <w:noProof/>
        </w:rPr>
        <w:footnoteReference w:id="15"/>
      </w:r>
      <w:r>
        <w:rPr>
          <w:noProof/>
        </w:rPr>
        <w:t>.</w:t>
      </w:r>
    </w:p>
    <w:p>
      <w:pPr>
        <w:pStyle w:val="ManualHeading1"/>
        <w:rPr>
          <w:noProof/>
        </w:rPr>
      </w:pPr>
      <w:r>
        <w:rPr>
          <w:noProof/>
        </w:rPr>
        <w:t>2.</w:t>
      </w:r>
      <w:r>
        <w:rPr>
          <w:noProof/>
        </w:rPr>
        <w:tab/>
        <w:t>TEMEI JURIDIC, SUBSIDIARITATE ȘI PROPORȚIONALITATE</w:t>
      </w:r>
    </w:p>
    <w:p>
      <w:pPr>
        <w:pStyle w:val="ManualHeading2"/>
        <w:rPr>
          <w:rFonts w:eastAsia="Arial Unicode MS"/>
          <w:noProof/>
          <w:u w:color="000000"/>
          <w:bdr w:val="nil"/>
        </w:rPr>
      </w:pPr>
      <w:r>
        <w:rPr>
          <w:noProof/>
          <w:u w:color="000000"/>
          <w:bdr w:val="nil"/>
        </w:rPr>
        <w:t>•</w:t>
      </w:r>
      <w:r>
        <w:rPr>
          <w:noProof/>
        </w:rPr>
        <w:tab/>
      </w:r>
      <w:r>
        <w:rPr>
          <w:noProof/>
          <w:u w:color="000000"/>
          <w:bdr w:val="nil"/>
        </w:rPr>
        <w:t>Temeiul juridic</w:t>
      </w:r>
    </w:p>
    <w:p>
      <w:pPr>
        <w:pBdr>
          <w:top w:val="nil"/>
          <w:left w:val="nil"/>
          <w:bottom w:val="nil"/>
          <w:right w:val="nil"/>
          <w:between w:val="nil"/>
          <w:bar w:val="nil"/>
        </w:pBdr>
        <w:spacing w:before="0" w:after="240"/>
        <w:rPr>
          <w:noProof/>
        </w:rPr>
      </w:pPr>
      <w:r>
        <w:rPr>
          <w:noProof/>
        </w:rPr>
        <w:t>Propunerea se întemeiază pe articolul 114 din Tratatul privind funcționarea Uniunii Europene (TFUE), având același temei juridic ca actul legislativ pe care îl modifică.</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Subsidiaritatea (în cazul competențelor neexclusive) </w:t>
      </w:r>
    </w:p>
    <w:p>
      <w:pPr>
        <w:autoSpaceDE w:val="0"/>
        <w:autoSpaceDN w:val="0"/>
        <w:adjustRightInd w:val="0"/>
        <w:spacing w:after="100" w:afterAutospacing="1"/>
        <w:rPr>
          <w:noProof/>
          <w:szCs w:val="24"/>
        </w:rPr>
      </w:pPr>
      <w:r>
        <w:rPr>
          <w:noProof/>
        </w:rPr>
        <w:t xml:space="preserve">Obiectivele urmărite prin modificările preconizate, și anume maximizarea capacității instituțiilor de a acorda împrumuturi și de a absorbi pierderile legate de pandemia de COVID­19, asigurându-se în același timp reziliența lor continuă, pot fi realizate mai bine la nivelul Uniunii decât prin diferite inițiative naționale, deoarece modificările constituie ajustări ale unor norme existente ale Uniunii ca răspuns la pandemia de COVID-19. Problemele și </w:t>
      </w:r>
      <w:r>
        <w:rPr>
          <w:noProof/>
        </w:rPr>
        <w:lastRenderedPageBreak/>
        <w:t xml:space="preserve">cauzele acestora sunt aceleași în toate statele membre. În lipsa unei acțiuni din partea Uniunii, cadrul de reglementare existent nu ar putea sprijini cu aceeași eficacitate diversele măsuri luate de autoritățile publice atât la nivelul Uniunii, cât și la nivel național, și nu ar putea reacționa la fel de rapid la provocările excepționale de pe piață. </w:t>
      </w:r>
    </w:p>
    <w:p>
      <w:pPr>
        <w:pBdr>
          <w:top w:val="nil"/>
          <w:left w:val="nil"/>
          <w:bottom w:val="nil"/>
          <w:right w:val="nil"/>
          <w:between w:val="nil"/>
          <w:bar w:val="nil"/>
        </w:pBdr>
        <w:spacing w:before="0" w:after="240"/>
        <w:rPr>
          <w:noProof/>
        </w:rPr>
      </w:pPr>
      <w:r>
        <w:rPr>
          <w:noProof/>
        </w:rPr>
        <w:t xml:space="preserve">Capacitatea statelor membre de a adopta măsuri naționale este limitată, dat fiind că CRR reglementează deja aceste aspecte, iar modificările la nivel național ar contraveni dreptului Uniunii în vigoare în prezent. În cazul în care Uniunea ar înceta să reglementeze aceste aspecte, piața internă a serviciilor bancare ar fi supusă unor seturi diferite de norme, ceea ce ar conduce la fragmentare și ar submina cadrul unic de reglementare instituit recent în acest domeniu. </w:t>
      </w:r>
    </w:p>
    <w:p>
      <w:pPr>
        <w:pStyle w:val="ManualHeading2"/>
        <w:rPr>
          <w:rFonts w:eastAsia="Arial Unicode MS"/>
          <w:noProof/>
          <w:u w:color="000000"/>
          <w:bdr w:val="nil"/>
        </w:rPr>
      </w:pPr>
      <w:r>
        <w:rPr>
          <w:noProof/>
          <w:u w:color="000000"/>
          <w:bdr w:val="nil"/>
        </w:rPr>
        <w:t>•</w:t>
      </w:r>
      <w:r>
        <w:rPr>
          <w:noProof/>
        </w:rPr>
        <w:tab/>
      </w:r>
      <w:r>
        <w:rPr>
          <w:noProof/>
          <w:u w:color="000000"/>
          <w:bdr w:val="nil"/>
        </w:rPr>
        <w:t>Proporționalitatea</w:t>
      </w:r>
    </w:p>
    <w:p>
      <w:pPr>
        <w:pBdr>
          <w:top w:val="nil"/>
          <w:left w:val="nil"/>
          <w:bottom w:val="nil"/>
          <w:right w:val="nil"/>
          <w:between w:val="nil"/>
          <w:bar w:val="nil"/>
        </w:pBdr>
        <w:spacing w:before="0" w:after="240"/>
        <w:rPr>
          <w:rFonts w:eastAsia="Arial Unicode MS"/>
          <w:noProof/>
        </w:rPr>
      </w:pPr>
      <w:r>
        <w:rPr>
          <w:noProof/>
        </w:rPr>
        <w:t>Această acțiune a Uniunii este necesară pentru atingerea obiectivului de maximizare a capacității instituțiilor de a acorda împrumuturi și de a absorbi pierderile în contextul pandemiei de COVID-19, menținându-se, în același timp, coerența cadrului prudențial. Modificările propuse nu depășesc abordarea dispozițiilor selectate din cadrul prudențial al Uniunii pentru instituții care vizează exclusiv măsuri menite să asigure redresarea în urma pandemiei actuale de COVID-19. În plus, modificările propuse se limitează la aspectele care nu pot fi abordate în limitele marjei discreționare existente prevăzute de normele actuale.</w:t>
      </w:r>
    </w:p>
    <w:p>
      <w:pPr>
        <w:pStyle w:val="ManualHeading1"/>
        <w:rPr>
          <w:noProof/>
        </w:rPr>
      </w:pPr>
      <w:r>
        <w:rPr>
          <w:noProof/>
        </w:rPr>
        <w:t>3.</w:t>
      </w:r>
      <w:r>
        <w:rPr>
          <w:noProof/>
        </w:rPr>
        <w:tab/>
        <w:t>REZULTATE ALE EVALUĂRILOR EX POST, CONSULTĂRILOR PĂRȚILOR INTERESATE ȘI EVALUĂRII IMPACTULUI</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Evaluările </w:t>
      </w:r>
      <w:r>
        <w:rPr>
          <w:i/>
          <w:iCs/>
          <w:noProof/>
          <w:u w:color="000000"/>
          <w:bdr w:val="nil"/>
        </w:rPr>
        <w:t>ex post</w:t>
      </w:r>
      <w:r>
        <w:rPr>
          <w:noProof/>
          <w:u w:color="000000"/>
          <w:bdr w:val="nil"/>
        </w:rPr>
        <w:t>/verificarea adecvării legislației existente</w:t>
      </w:r>
    </w:p>
    <w:p>
      <w:pPr>
        <w:pBdr>
          <w:top w:val="nil"/>
          <w:left w:val="nil"/>
          <w:bottom w:val="nil"/>
          <w:right w:val="nil"/>
          <w:between w:val="nil"/>
          <w:bar w:val="nil"/>
        </w:pBdr>
        <w:spacing w:before="0" w:after="240"/>
        <w:rPr>
          <w:noProof/>
        </w:rPr>
      </w:pPr>
      <w:r>
        <w:rPr>
          <w:noProof/>
        </w:rPr>
        <w:t xml:space="preserve">Prezenta propunere nu este însoțită de o evaluare separată a impactului. Având în vedere caracterul urgent al măsurilor care trebuie luate pentru a sprijini redresarea în urma crizei declanșate de pandemia de COVID-19 pe piețele financiare și în economia reală, evaluarea impactului a fost înlocuită cu o analiză cost-beneficiu inclusă în documentul de lucru al serviciilor Comisiei care însoțește Pachetul de redresare privind piețele de capital. Propunerea se bazează, de asemenea, în mare măsură pe activitățile pregătitoare desfășurate de ABE. În plus, impactul măsurilor modificate prin prezenta propunere a făcut obiectul unei analize în cadrul evaluărilor impactului efectuate pentru Regulamentul (UE) 2017/2401. Propunerea urmărește în primul rând să asigure ajustarea calibrării cerințelor de capital în ceea ce privește expunerile din securitizări STS înscrise în bilanț și expunerile din securitizări de NPE-uri. </w:t>
      </w:r>
    </w:p>
    <w:p>
      <w:pPr>
        <w:pBdr>
          <w:top w:val="nil"/>
          <w:left w:val="nil"/>
          <w:bottom w:val="nil"/>
          <w:right w:val="nil"/>
          <w:between w:val="nil"/>
          <w:bar w:val="nil"/>
        </w:pBdr>
        <w:spacing w:before="0" w:after="240"/>
        <w:rPr>
          <w:rFonts w:eastAsia="Arial Unicode MS"/>
          <w:noProof/>
        </w:rPr>
      </w:pPr>
      <w:r>
        <w:rPr>
          <w:noProof/>
        </w:rPr>
        <w:t xml:space="preserve">Modificările propuse ar urma să aibă un impact limitat asupra sarcinii administrative a instituțiilor și asupra costurilor de adaptare a operațiunilor lor interne, costurile urmând să fie compensate de beneficiile obținute în ceea ce privește disponibilitatea capitalului. Modificările propuse se referă la dispoziții care le permit instituțiilor să aplice tratamente mai avantajoase, dar nu le impun aplicarea unor astfel de tratamente. </w:t>
      </w:r>
    </w:p>
    <w:p>
      <w:pPr>
        <w:pStyle w:val="ManualHeading2"/>
        <w:rPr>
          <w:rFonts w:eastAsia="Arial Unicode MS"/>
          <w:noProof/>
          <w:u w:color="000000"/>
          <w:bdr w:val="nil"/>
        </w:rPr>
      </w:pPr>
      <w:r>
        <w:rPr>
          <w:noProof/>
          <w:u w:color="000000"/>
          <w:bdr w:val="nil"/>
        </w:rPr>
        <w:t>•</w:t>
      </w:r>
      <w:r>
        <w:rPr>
          <w:noProof/>
        </w:rPr>
        <w:tab/>
      </w:r>
      <w:r>
        <w:rPr>
          <w:noProof/>
          <w:u w:color="000000"/>
          <w:bdr w:val="nil"/>
        </w:rPr>
        <w:t>Drepturile fundamentale</w:t>
      </w:r>
    </w:p>
    <w:p>
      <w:pPr>
        <w:spacing w:after="240"/>
        <w:rPr>
          <w:rFonts w:eastAsia="Arial Unicode MS"/>
          <w:noProof/>
        </w:rPr>
      </w:pPr>
      <w:r>
        <w:rPr>
          <w:noProof/>
        </w:rPr>
        <w:t>Propunerea nu va avea probabil niciun impact direct asupra drepturilor prevăzute în Carta drepturilor fundamentale a Uniunii Europene</w:t>
      </w:r>
    </w:p>
    <w:p>
      <w:pPr>
        <w:pStyle w:val="ManualHeading1"/>
        <w:rPr>
          <w:noProof/>
        </w:rPr>
      </w:pPr>
      <w:r>
        <w:rPr>
          <w:noProof/>
        </w:rPr>
        <w:t>4.</w:t>
      </w:r>
      <w:r>
        <w:rPr>
          <w:noProof/>
        </w:rPr>
        <w:tab/>
        <w:t>IMPLICAȚII BUGETARE</w:t>
      </w:r>
    </w:p>
    <w:p>
      <w:pPr>
        <w:pBdr>
          <w:top w:val="nil"/>
          <w:left w:val="nil"/>
          <w:bottom w:val="nil"/>
          <w:right w:val="nil"/>
          <w:between w:val="nil"/>
          <w:bar w:val="nil"/>
        </w:pBdr>
        <w:spacing w:before="0" w:after="240"/>
        <w:rPr>
          <w:noProof/>
        </w:rPr>
      </w:pPr>
      <w:r>
        <w:rPr>
          <w:noProof/>
        </w:rPr>
        <w:t xml:space="preserve">Propunerea nu are niciun impact bugetar pentru instituțiile Uniunii. </w:t>
      </w:r>
    </w:p>
    <w:p>
      <w:pPr>
        <w:pStyle w:val="ManualHeading1"/>
        <w:rPr>
          <w:noProof/>
        </w:rPr>
      </w:pPr>
      <w:r>
        <w:rPr>
          <w:noProof/>
        </w:rPr>
        <w:lastRenderedPageBreak/>
        <w:t>5.</w:t>
      </w:r>
      <w:r>
        <w:rPr>
          <w:noProof/>
        </w:rPr>
        <w:tab/>
        <w:t>ELEMENTE DIVERSE</w:t>
      </w:r>
    </w:p>
    <w:p>
      <w:pPr>
        <w:pStyle w:val="Point0"/>
        <w:rPr>
          <w:noProof/>
        </w:rPr>
      </w:pPr>
      <w:r>
        <w:t>(a)</w:t>
      </w:r>
      <w:r>
        <w:tab/>
      </w:r>
      <w:r>
        <w:rPr>
          <w:noProof/>
        </w:rPr>
        <w:t>Explicații detaliate cu privire la prevederile specifice ale propunerii</w:t>
      </w:r>
    </w:p>
    <w:p>
      <w:pPr>
        <w:pStyle w:val="Point0"/>
        <w:rPr>
          <w:noProof/>
        </w:rPr>
      </w:pPr>
      <w:r>
        <w:t>(1)</w:t>
      </w:r>
      <w:r>
        <w:tab/>
      </w:r>
      <w:r>
        <w:rPr>
          <w:noProof/>
        </w:rPr>
        <w:t>Eliminarea obstacolelor în materie de reglementare din calea securitizării NPE-urilor</w:t>
      </w:r>
    </w:p>
    <w:p>
      <w:pPr>
        <w:rPr>
          <w:noProof/>
        </w:rPr>
      </w:pPr>
      <w:r>
        <w:rPr>
          <w:noProof/>
        </w:rPr>
        <w:t xml:space="preserve">Prezentul cadru de reglementare al UE privind securitizarea este conceput pentru a ține seama de cele mai des întâlnite caracteristici ale tranzacțiilor de securitizare tipice, cu alte cuvinte, ale securitizărilor garantate cu portofolii de credite performante. Mai precis, cadrul de securitizare actual utilizează ca principal factor de reglementare riscul de credit al expunerilor securitizate, aplicând corecții pentru factorii de „non-neutralitate” pentru a include riscul de agenție și riscul de model, care sunt tipice pentru securitizări. Prezentul cadru, aplicat securitizărilor de NPE-uri, generează cerințe de capital care s-au dovedit a fi disproporționate, mai ales în cazul așa-numitelor „abordări stereotipe” (și anume, SEC-IRBA și SEC-SA). Aceasta deoarece calibrarea abordărilor menționate nu este în concordanță cu determinanții de risc specifici NPE-urilor. </w:t>
      </w:r>
    </w:p>
    <w:p>
      <w:pPr>
        <w:rPr>
          <w:noProof/>
        </w:rPr>
      </w:pPr>
      <w:r>
        <w:rPr>
          <w:noProof/>
        </w:rPr>
        <w:t xml:space="preserve">Abordările SEC-IRBA și SEC-SA utilizează informații cantitative privind riscul de credit, bazate pe valoarea contabilă brută a expunerilor incluse în portofoliu și, prin urmare, generează ponderi de risc prea mari în comparație cu ponderile de risc aplicabile în cadrul abordării bazate pe modele externe de rating în materie de securitizare (SEC-ERBA). Impactul este deosebit de acut pentru tranșele de rang superior ale securitizărilor de NPE-uri, cărora, în cadrul abordărilor SEC-IRBA și SEC-SA, li se aplică ponderi de risc proporțional mai mari decât celorlalte tranșe. </w:t>
      </w:r>
    </w:p>
    <w:p>
      <w:pPr>
        <w:rPr>
          <w:noProof/>
        </w:rPr>
      </w:pPr>
      <w:r>
        <w:rPr>
          <w:noProof/>
        </w:rPr>
        <w:t>Regulamentul propus ar urma să prevadă, la articolul nou-introdus 269a, un nou cadru pentru securitizările de NPE-uri în cazul cărora:</w:t>
      </w:r>
    </w:p>
    <w:p>
      <w:pPr>
        <w:pStyle w:val="Bullet0"/>
        <w:rPr>
          <w:noProof/>
        </w:rPr>
      </w:pPr>
      <w:r>
        <w:rPr>
          <w:noProof/>
        </w:rPr>
        <w:t>tranșa de rang superior a unei securitizări de NPE-uri tradiționale ar face obiectul unei ponderi de risc forfetare de 100 %, cu condiția ca reducerea nerambursabilă a prețului de cumpărare (</w:t>
      </w:r>
      <w:r>
        <w:rPr>
          <w:i/>
          <w:iCs/>
          <w:noProof/>
        </w:rPr>
        <w:t>nonrefundable purchase price discount</w:t>
      </w:r>
      <w:r>
        <w:rPr>
          <w:noProof/>
        </w:rPr>
        <w:t xml:space="preserve"> - NRDPP) să fie de cel puțin 50 % din valoarea contabilă brută a expunerilor; și</w:t>
      </w:r>
    </w:p>
    <w:p>
      <w:pPr>
        <w:pStyle w:val="Bullet0"/>
        <w:spacing w:before="0"/>
        <w:ind w:left="851" w:hanging="851"/>
        <w:rPr>
          <w:noProof/>
        </w:rPr>
      </w:pPr>
      <w:r>
        <w:rPr>
          <w:noProof/>
        </w:rPr>
        <w:t>toate celelalte tranșe ale securitizărilor de NPE-uri ar face obiectul cadrului general, cu două ajustări specifice:</w:t>
      </w:r>
    </w:p>
    <w:p>
      <w:pPr>
        <w:pStyle w:val="Bullet1"/>
        <w:numPr>
          <w:ilvl w:val="0"/>
          <w:numId w:val="11"/>
        </w:numPr>
        <w:rPr>
          <w:noProof/>
        </w:rPr>
      </w:pPr>
      <w:r>
        <w:rPr>
          <w:noProof/>
        </w:rPr>
        <w:t>ponderii de risc i s-ar aplica un prag de 100 %; și</w:t>
      </w:r>
    </w:p>
    <w:p>
      <w:pPr>
        <w:pStyle w:val="Bullet1"/>
        <w:numPr>
          <w:ilvl w:val="0"/>
          <w:numId w:val="11"/>
        </w:numPr>
        <w:rPr>
          <w:noProof/>
        </w:rPr>
      </w:pPr>
      <w:r>
        <w:rPr>
          <w:noProof/>
        </w:rPr>
        <w:t>utilizarea parametrilor așa-numitei abordări pe modele interne de rating (IRB) în cazul expunerilor din securitizare eligibile pentru utilizarea abordării SEC-IRBA în conformitate cu articolul 254 din CRR ar fi interzisă.</w:t>
      </w:r>
    </w:p>
    <w:p>
      <w:pPr>
        <w:rPr>
          <w:noProof/>
        </w:rPr>
      </w:pPr>
      <w:r>
        <w:rPr>
          <w:noProof/>
        </w:rPr>
        <w:t>În sfârșit, în conformitate cu recomandarea inclusă în avizul ABE din 2019, s-ar clarifica faptul că atunci când instituțiile aplică plafonul prevăzut la articolul 268 din CRR în cazul pozițiilor pe care le dețin din securitizarea NPE-urilor, ar trebui ca pierderile așteptate menționate la alineatul (1) din prezentul alineat să fie calculate fără NRPPD și fără orice ajustare specifică suplimentară a riscului de credit.</w:t>
      </w:r>
    </w:p>
    <w:p>
      <w:pPr>
        <w:rPr>
          <w:noProof/>
        </w:rPr>
      </w:pPr>
      <w:r>
        <w:rPr>
          <w:noProof/>
        </w:rPr>
        <w:t>În vederea determinării eligibilității pentru tratamentul specific descris mai sus, noul articol ar urma să utilizeze definiția termenului „securitizare de NPE-uri” prevăzută în Regulamentul (UE) 2017/2402, și anume o securitizare în cazul căreia cel puțin 90 % din expunerile incluse în portofoliul-suport sunt neperformante în sensul articolului 47a din CRR.</w:t>
      </w:r>
    </w:p>
    <w:p>
      <w:pPr>
        <w:pStyle w:val="Point0"/>
        <w:rPr>
          <w:noProof/>
        </w:rPr>
      </w:pPr>
      <w:r>
        <w:t>(2)</w:t>
      </w:r>
      <w:r>
        <w:tab/>
      </w:r>
      <w:r>
        <w:rPr>
          <w:noProof/>
        </w:rPr>
        <w:t>Tratamentul preferențial al tranșei de rang superior din cadrul securitizărilor STS înscrise în bilanț</w:t>
      </w:r>
    </w:p>
    <w:p>
      <w:pPr>
        <w:rPr>
          <w:noProof/>
          <w:szCs w:val="24"/>
        </w:rPr>
      </w:pPr>
      <w:r>
        <w:rPr>
          <w:noProof/>
        </w:rPr>
        <w:t xml:space="preserve">Securitizarea STS înscrisă în bilanț le permite instituțiilor să transfere riscul de credit prin intermediul protecției finanțate sau nefinanțate a creditului cumpărate sau acordate de alți </w:t>
      </w:r>
      <w:r>
        <w:rPr>
          <w:noProof/>
        </w:rPr>
        <w:lastRenderedPageBreak/>
        <w:t xml:space="preserve">investitori, eliberând capacitatea de creditare în vederea acordării de noi împrumuturi pentru economia reală și asigurând o repartizare mai eficientă a riscurilor între actorii financiari. </w:t>
      </w:r>
    </w:p>
    <w:p>
      <w:pPr>
        <w:rPr>
          <w:noProof/>
          <w:szCs w:val="24"/>
        </w:rPr>
      </w:pPr>
      <w:r>
        <w:rPr>
          <w:noProof/>
        </w:rPr>
        <w:t xml:space="preserve">Cadrul de securitizare actual, astfel cum este prevăzut în Regulamentul (UE) 2017/2402, nu include nicio formă de securitizare sintetică înscrisă în bilanț în cadrul regimului STS. Acest lucru se datorează mai ales lipsei de date sistematice și insuficienței activităților tehnice pregătitoare în momentul adoptării regulamentului respectiv. Cu toate acestea, Regulamentul STS îi impune ABE să elaboreze un raport privind fezabilitatea unui cadru STS pentru securitizările sintetice înscrise în bilanț. Raportul ABE, publicat la 6 mai 2020, pune la dispoziție datele și analiza tehnică necesare pentru a justifica instituirea acestui cadru. Noile criterii STS pentru securitizările STS înscrise în bilanț, recomandate în raportul ABE, urmează structura criteriilor STS existente pentru securitizările tradiționale care nu fac parte dintr-un program de instrumente comerciale garantate cu active și care au fost introduse în noul cadru al UE privind securitizarea în 2017, cu alte cuvinte, includ cerințe privind simplitatea, standardizarea și transparența care sunt adaptate în funcție de specificitățile securitizării sintetice înscrise în bilanț, după caz. </w:t>
      </w:r>
    </w:p>
    <w:p>
      <w:pPr>
        <w:rPr>
          <w:noProof/>
          <w:szCs w:val="24"/>
        </w:rPr>
      </w:pPr>
      <w:r>
        <w:rPr>
          <w:noProof/>
        </w:rPr>
        <w:t>În plus, criteriile includ o serie de cerințe doar pentru securitizarea sintetică înscrisă în bilanț (precum cerințele de diminuare a riscului de credit al contrapărții pe care aceste structuri sintetice îl implică în mod inerent), inclusiv cerințe privind contractele de protecție, contrapărțile și garanțiile eligibile, cerințe care abordează diverse caracteristici structurale ale tranzacției de securitizare și cerințe care să asigure că prin acest cadru sunt vizate doar securitizările STS înscrise în bilanț.</w:t>
      </w:r>
    </w:p>
    <w:p>
      <w:pPr>
        <w:rPr>
          <w:noProof/>
          <w:szCs w:val="24"/>
        </w:rPr>
      </w:pPr>
      <w:r>
        <w:rPr>
          <w:noProof/>
        </w:rPr>
        <w:t>Articolul 270 din CRR permite un tratament specific doar pentru o subcategorie a securitizărilor sintetice înscrise în bilanț, și anume pentru cele care îndeplinesc următoarele criterii:</w:t>
      </w:r>
    </w:p>
    <w:p>
      <w:pPr>
        <w:pStyle w:val="Point0"/>
        <w:rPr>
          <w:noProof/>
        </w:rPr>
      </w:pPr>
      <w:r>
        <w:t>(a)</w:t>
      </w:r>
      <w:r>
        <w:tab/>
      </w:r>
      <w:r>
        <w:rPr>
          <w:noProof/>
        </w:rPr>
        <w:t>70 % din expunerile securitizate trebuie să fie expuneri față de IMM-uri;</w:t>
      </w:r>
    </w:p>
    <w:p>
      <w:pPr>
        <w:pStyle w:val="Point0"/>
        <w:rPr>
          <w:noProof/>
        </w:rPr>
      </w:pPr>
      <w:r>
        <w:t>(b)</w:t>
      </w:r>
      <w:r>
        <w:tab/>
      </w:r>
      <w:r>
        <w:rPr>
          <w:noProof/>
        </w:rPr>
        <w:t>securitizarea trebuie să îndeplinească criteriile STS tradiționale care s-ar aplica în cazul unei securitizări sintetice înscrise în bilanț;</w:t>
      </w:r>
    </w:p>
    <w:p>
      <w:pPr>
        <w:pStyle w:val="Point0"/>
        <w:rPr>
          <w:noProof/>
        </w:rPr>
      </w:pPr>
      <w:r>
        <w:t>(c)</w:t>
      </w:r>
      <w:r>
        <w:tab/>
      </w:r>
      <w:r>
        <w:rPr>
          <w:noProof/>
        </w:rPr>
        <w:t>riscul de credit care nu a fost reținut de inițiator trebuie transferat prin intermediul unei garanții sau contragaranții care îndeplinește o serie de condiții.</w:t>
      </w:r>
    </w:p>
    <w:p>
      <w:pPr>
        <w:rPr>
          <w:noProof/>
        </w:rPr>
      </w:pPr>
      <w:r>
        <w:rPr>
          <w:noProof/>
        </w:rPr>
        <w:t>Conform recomandărilor din raportul ABE, se propune, de asemenea, introducerea unui tratament preferențial precis orientat și limitat ca domeniu de aplicare pentru expunerile din securitizări STS înscrise în bilanț, care să se concentreze asupra tranșei de rang superior. Acest lucru ar urma să se realizeze prin extinderea tratamentului prevăzut în prezent la articolul 270 din CRR la o gamă largă de active-suport.</w:t>
      </w:r>
    </w:p>
    <w:p>
      <w:pPr>
        <w:pStyle w:val="Point0"/>
        <w:rPr>
          <w:noProof/>
        </w:rPr>
      </w:pPr>
      <w:r>
        <w:t>(3)</w:t>
      </w:r>
      <w:r>
        <w:tab/>
      </w:r>
      <w:r>
        <w:rPr>
          <w:noProof/>
        </w:rPr>
        <w:t>Recunoașterea diminuării riscului de credit în cazul pozițiilor din securitizare</w:t>
      </w:r>
    </w:p>
    <w:p>
      <w:pPr>
        <w:spacing w:after="0"/>
        <w:rPr>
          <w:noProof/>
        </w:rPr>
      </w:pPr>
      <w:r>
        <w:rPr>
          <w:noProof/>
        </w:rPr>
        <w:t xml:space="preserve">În conformitate cu articolul 249 alineatele (1) și (2) din CRR, o instituție poate recunoaște protecția finanțată sau nefinanțată a creditului în ceea ce privește o poziție din securitizare în același mod și în aceleași condiții ca cele prevăzute în cadrul general privind diminuarea riscului de credit aplicabil expunerilor nesecuritizate. Cu toate acestea, alineatul (3) de la articolul respectiv introduce o excepție de la tratamentul general menționat. Mai concret, acesta introduce un criteriu de eligibilitate suplimentar pentru recunoașterea protecției nefinanțate a creditului în cazul instituțiilor care aplică abordarea standardizată. Criteriul de eligibilitate suplimentar reprezintă o cerință minimă în materie de rating de credit pentru aproape toate tipurile de furnizori de protecție nefinanțată a creditului, inclusiv pentru administrațiile centrale. </w:t>
      </w:r>
    </w:p>
    <w:p>
      <w:pPr>
        <w:rPr>
          <w:noProof/>
        </w:rPr>
      </w:pPr>
      <w:r>
        <w:rPr>
          <w:noProof/>
        </w:rPr>
        <w:lastRenderedPageBreak/>
        <w:t>Această dispoziție pare să fie în contradicție cu regulile generale de diminuare a riscului de credit prevăzute în CRR și cu obiectivele respectivului regulament. De exemplu, nu este clar de ce o garanție furnizată de o instituție sau de o administrație centrală, care îndeplinește criteriile de eligibilitate pentru furnizorii de protecție cuprinse în regulile generale de diminuare a riscului de credit, dar nu îndeplinește criteriul privind ratingul de credit minim de la articolul 249 alineatul (3) din CRR nu poate fi acceptată ca diminuare eligibilă a riscului de credit conform cadrului de securitizare, dar poate fi acceptată ca diminuare eligibilă a riscului de credit atunci când este furnizată pentru o expunere care nu provine din securitizare. În acest sens, cadrul Basel III revizuit convenit în decembrie 2017 impune o cerință minimă în materie de rating de credit numai pentru un grup limitat de furnizori de protecție, în cazul expunerilor din securitizare. Mai precis, în cadrul Basel III revizuit, cerința li se aplică numai entităților care nu sunt entități suverane, entități din sectorul public, instituții sau alte instituții financiare care fac obiectul reglementărilor prudențiale.</w:t>
      </w:r>
    </w:p>
    <w:p>
      <w:pPr>
        <w:rPr>
          <w:noProof/>
        </w:rPr>
      </w:pPr>
      <w:r>
        <w:rPr>
          <w:noProof/>
        </w:rPr>
        <w:t xml:space="preserve">Având în vedere aceste elemente și ținând cont de relevanța pe care o pot avea schemele de garantare publice pentru sprijinirea securitizării NPE-urilor în faza de redresare, se propune modificarea articolului 249 alineatul (3) din CRR și alinierea regulilor de diminuare a riscului de credit aplicabile expunerilor din securitizare cu cadrul general, în conformitate cu ceea ce s-a convenit la nivel internațional de către BCBS.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2020/0156 (COD)</w:t>
      </w:r>
    </w:p>
    <w:p>
      <w:pPr>
        <w:pStyle w:val="Statut"/>
        <w:rPr>
          <w:noProof/>
        </w:rPr>
      </w:pPr>
      <w:r>
        <w:rPr>
          <w:noProof/>
        </w:rPr>
        <w:t>Propunere de</w:t>
      </w:r>
    </w:p>
    <w:p>
      <w:pPr>
        <w:pStyle w:val="Typedudocument"/>
        <w:rPr>
          <w:noProof/>
        </w:rPr>
      </w:pPr>
      <w:r>
        <w:rPr>
          <w:noProof/>
        </w:rPr>
        <w:t>REGULAMENT AL PARLAMENTULUI EUROPEAN ȘI AL CONSILIULUI</w:t>
      </w:r>
    </w:p>
    <w:p>
      <w:pPr>
        <w:pStyle w:val="Titreobjet"/>
        <w:rPr>
          <w:noProof/>
        </w:rPr>
      </w:pPr>
      <w:r>
        <w:rPr>
          <w:noProof/>
        </w:rPr>
        <w:t xml:space="preserve">de modificare a Regulamentului (UE) nr. 575/2013 cu privire la ajustări ale cadrului de securitizare în vederea sprijinirii redresării economice ca răspuns la pandemia de COVID-19 </w:t>
      </w:r>
      <w:r>
        <w:rPr>
          <w:noProof/>
        </w:rPr>
        <w:br/>
      </w:r>
    </w:p>
    <w:p>
      <w:pPr>
        <w:pStyle w:val="IntrtEEE"/>
        <w:rPr>
          <w:noProof/>
        </w:rPr>
      </w:pPr>
      <w:r>
        <w:rPr>
          <w:noProof/>
        </w:rPr>
        <w:t>(Text cu relevanță pentru SEE)</w:t>
      </w:r>
    </w:p>
    <w:p>
      <w:pPr>
        <w:pStyle w:val="Institutionquiagit"/>
        <w:rPr>
          <w:noProof/>
        </w:rPr>
      </w:pPr>
      <w:r>
        <w:rPr>
          <w:noProof/>
        </w:rPr>
        <w:t>PARLAMENTUL EUROPEAN ȘI CONSILIUL UNIUNII EUROPENE,</w:t>
      </w:r>
    </w:p>
    <w:p>
      <w:pPr>
        <w:rPr>
          <w:noProof/>
        </w:rPr>
      </w:pPr>
      <w:r>
        <w:rPr>
          <w:noProof/>
        </w:rPr>
        <w:t>având în vedere Tratatul privind funcționarea Uniunii Europene, în special articolul 114,</w:t>
      </w:r>
    </w:p>
    <w:p>
      <w:pPr>
        <w:rPr>
          <w:noProof/>
        </w:rPr>
      </w:pPr>
      <w:r>
        <w:rPr>
          <w:noProof/>
        </w:rPr>
        <w:t>având în vedere propunerea Comisiei Europene,</w:t>
      </w:r>
    </w:p>
    <w:p>
      <w:pPr>
        <w:rPr>
          <w:noProof/>
        </w:rPr>
      </w:pPr>
      <w:r>
        <w:rPr>
          <w:noProof/>
        </w:rPr>
        <w:t>după transmiterea proiectului de act legislativ parlamentelor naționale,</w:t>
      </w:r>
    </w:p>
    <w:p>
      <w:pPr>
        <w:rPr>
          <w:noProof/>
        </w:rPr>
      </w:pPr>
      <w:r>
        <w:rPr>
          <w:noProof/>
        </w:rPr>
        <w:t>având în vedere avizul Băncii Centrale Europene,</w:t>
      </w:r>
    </w:p>
    <w:p>
      <w:pPr>
        <w:rPr>
          <w:noProof/>
        </w:rPr>
      </w:pPr>
      <w:r>
        <w:rPr>
          <w:noProof/>
        </w:rPr>
        <w:t>având în vedere avizul Comitetului Economic și Social European,</w:t>
      </w:r>
    </w:p>
    <w:p>
      <w:pPr>
        <w:rPr>
          <w:noProof/>
        </w:rPr>
      </w:pPr>
      <w:r>
        <w:rPr>
          <w:noProof/>
        </w:rPr>
        <w:t>hotărând în conformitate cu procedura legislativă ordinară,</w:t>
      </w:r>
    </w:p>
    <w:p>
      <w:pPr>
        <w:rPr>
          <w:noProof/>
        </w:rPr>
      </w:pPr>
      <w:r>
        <w:rPr>
          <w:noProof/>
        </w:rPr>
        <w:t>întrucât:</w:t>
      </w:r>
    </w:p>
    <w:p>
      <w:pPr>
        <w:pStyle w:val="ManualConsidrant"/>
        <w:rPr>
          <w:noProof/>
        </w:rPr>
      </w:pPr>
      <w:r>
        <w:t>(1)</w:t>
      </w:r>
      <w:r>
        <w:tab/>
      </w:r>
      <w:r>
        <w:rPr>
          <w:noProof/>
        </w:rPr>
        <w:t>Pandemia de COVID-19 afectează grav populația, întreprinderile, sistemele de sănătate și economiile statelor membre. În comunicarea sa către Parlamentul European, Consiliul European, Consiliu, Comitetul Economic și Social European și Comitetul Regiunilor din 27 martie 2020, intitulată „Acum este momentul Europei: să reparăm prejudiciile aduse de criză și să pregătim viitorul pentru noua generație”, Comisia a subliniat faptul că lichiditatea și accesul la finanțare vor reprezenta o provocare continuă în lunile următoare. Prin urmare, este esențial ca redresarea în urma șocului economic grav cauzat de pandemia de COVID-19 să fie sprijinită prin introducerea unor modificări precis orientate ale actelor legislative existente în domeniul financiar. Prezentul pachet de măsuri este adoptat cu titlul „Pachetul de redresare privind piețele de capital”.</w:t>
      </w:r>
    </w:p>
    <w:p>
      <w:pPr>
        <w:pStyle w:val="ManualConsidrant"/>
        <w:rPr>
          <w:noProof/>
        </w:rPr>
      </w:pPr>
      <w:r>
        <w:t>(2)</w:t>
      </w:r>
      <w:r>
        <w:tab/>
      </w:r>
      <w:r>
        <w:rPr>
          <w:noProof/>
        </w:rPr>
        <w:t>Instituțiile de credit și firmele de investiții („instituțiile”) vor avea un rol-cheie în contribuția la redresare. În același timp, ele sunt susceptibile să fie afectate de înrăutățirea situației economice. Autoritățile competente le-au acordat instituțiilor măsuri temporare de sprijin operațional, precum și sub formă de capital și de lichidități, pentru a se asigura că acestea își pot îndeplini în continuare rolul de finanțare a economiei reale într-un context mai dificil.</w:t>
      </w:r>
    </w:p>
    <w:p>
      <w:pPr>
        <w:pStyle w:val="ManualConsidrant"/>
        <w:rPr>
          <w:noProof/>
        </w:rPr>
      </w:pPr>
      <w:r>
        <w:t>(3)</w:t>
      </w:r>
      <w:r>
        <w:tab/>
      </w:r>
      <w:r>
        <w:rPr>
          <w:noProof/>
        </w:rPr>
        <w:t xml:space="preserve">Securitizările reprezintă o componentă importantă a piețelor financiare care funcționează bine, deoarece contribuie la diversificarea surselor de finanțare ale instituțiilor și la eliberarea capitalului reglementat, care poate fi realocat pentru a sprijini acordarea de noi împrumuturi. În plus, securitizările le oferă instituțiilor și altor participanți de pe piață oportunități suplimentare de investiții, permițând, astfel, diversificarea portofoliilor și facilitarea fluxului de finanțare pentru întreprinderi și </w:t>
      </w:r>
      <w:r>
        <w:rPr>
          <w:noProof/>
        </w:rPr>
        <w:lastRenderedPageBreak/>
        <w:t>persoane fizice, atât în statele membre, cât și la nivel transfrontalier, în întreaga Uniune.</w:t>
      </w:r>
    </w:p>
    <w:p>
      <w:pPr>
        <w:pStyle w:val="ManualConsidrant"/>
        <w:rPr>
          <w:noProof/>
        </w:rPr>
      </w:pPr>
      <w:r>
        <w:t>(4)</w:t>
      </w:r>
      <w:r>
        <w:tab/>
      </w:r>
      <w:r>
        <w:rPr>
          <w:noProof/>
        </w:rPr>
        <w:t>Este important să se consolideze capacitatea instituțiilor de a furniza fluxurile de finanțare necesare economiei reale în perioada următoare pandemiei de COVID-19, asigurându-se, în același timp, existența unor garanții prudențiale adecvate, care să mențină stabilitatea financiară. Modificările precis orientate aduse Regulamentului (UE) nr. 575/2013 în ceea ce privește cadrul de securitizare ar trebui să contribuie la realizarea acestor obiective și să sporească coerența și complementaritatea respectivului cadru cu diversele măsuri luate la nivelul Uniunii și la nivel național pentru a combate pandemia de COVID-19.</w:t>
      </w:r>
    </w:p>
    <w:p>
      <w:pPr>
        <w:pStyle w:val="ManualConsidrant"/>
        <w:rPr>
          <w:noProof/>
        </w:rPr>
      </w:pPr>
      <w:r>
        <w:t>(5)</w:t>
      </w:r>
      <w:r>
        <w:tab/>
      </w:r>
      <w:r>
        <w:rPr>
          <w:noProof/>
        </w:rPr>
        <w:t>Elementele finale ale cadrului Basel III, publicate la 7 decembrie 2017, impun, în cazul expunerilor din securitizare, cerința de a avea un rating de credit minim numai pentru un grup limitat de furnizori de protecție, și anume pentru entitățile care nu sunt entități suverane, entități din sectorul public, instituții sau alte instituții financiare care fac obiectul reglementărilor prudențiale. Prin urmare, articolul 249 alineatul (3) din Regulamentul (UE) nr. 575/2013 trebuie modificat în vederea alinierii acestuia cu cadrul Basel III, astfel încât să se sporească eficacitatea schemelor de garantare publice de la nivel național care sprijină strategiile instituțiilor vizând securitizarea expunerilor neperformante (NPE) în perioada următoare pandemiei de COVID-19.</w:t>
      </w:r>
    </w:p>
    <w:p>
      <w:pPr>
        <w:pStyle w:val="ManualConsidrant"/>
        <w:rPr>
          <w:noProof/>
        </w:rPr>
      </w:pPr>
      <w:r>
        <w:t>(6)</w:t>
      </w:r>
      <w:r>
        <w:tab/>
      </w:r>
      <w:r>
        <w:rPr>
          <w:noProof/>
        </w:rPr>
        <w:t>Prezentul cadru prudențial al Uniunii privind securitizarea este conceput pe baza celor mai des întâlnite caracteristici ale tranzacțiilor de securitizare tipice, cu alte cuvinte, ale creditelor performante. În Avizul său privind tratamentul normativ al securitizărilor de expuneri neperformante</w:t>
      </w:r>
      <w:r>
        <w:rPr>
          <w:rStyle w:val="FootnoteReference"/>
          <w:noProof/>
        </w:rPr>
        <w:footnoteReference w:id="16"/>
      </w:r>
      <w:r>
        <w:rPr>
          <w:noProof/>
        </w:rPr>
        <w:t xml:space="preserve"> din 23 octombrie 2019, Autoritatea Bancară Europeană (ABE) a subliniat faptul că actualul cadru prudențial pentru securitizare prevăzut în Regulamentul (UE) nr. 575/2013 conduce, atunci când este aplicat în cazul securitizărilor de NPE-uri, la cerințe de capital disproporționate, deoarece abordarea bazată pe modele interne de rating în materie de securitizare (SEC-IRBA) și abordarea standardizată în materie de securitizare (SEC-SA) nu sunt în concordanță cu determinanții de risc specifici NPE-urilor. Prin urmare, ar trebui să se introducă un tratament specific pentru securitizarea NPE-urilor.</w:t>
      </w:r>
    </w:p>
    <w:p>
      <w:pPr>
        <w:pStyle w:val="ManualConsidrant"/>
        <w:rPr>
          <w:noProof/>
        </w:rPr>
      </w:pPr>
      <w:r>
        <w:t>(7)</w:t>
      </w:r>
      <w:r>
        <w:tab/>
      </w:r>
      <w:r>
        <w:rPr>
          <w:noProof/>
        </w:rPr>
        <w:t>Astfel cum a subliniat ABE în Raportul său privind cadrul STS pentru securitizarea sintetică din 6 mai 2020, trebuie să se introducă un cadru specific pentru securitizarea simplă, transparentă și standardizată (STS) înscrisă în bilanț. Având în vedere riscul de agenție și riscul de model mai scăzute ale unui securitizări STS înscrise în bilanț în comparație cu cele ale unei securitizări non-STS sintetice înscrise în bilanț, ar trebui să se introducă o calibrare sensibilă la risc adecvată pentru securitizările STS înscrise în bilanț, conform recomandărilor formulate de ABE în raportul său. Recurgerea într-o măsură mai mare la securitizarea STS înscrisă în bilanț, promovată de un tratament mai sensibil la risc al tranșei de rang superior a securitizărilor de acest tip, ar elibera capital reglementat și ar extinde, în ultimă instanță, capacitatea de creditare a instituțiilor într-un mod adecvat din punct de vedere prudențial.</w:t>
      </w:r>
    </w:p>
    <w:p>
      <w:pPr>
        <w:pStyle w:val="ManualConsidrant"/>
        <w:rPr>
          <w:noProof/>
        </w:rPr>
      </w:pPr>
      <w:r>
        <w:t>(8)</w:t>
      </w:r>
      <w:r>
        <w:tab/>
      </w:r>
      <w:r>
        <w:rPr>
          <w:noProof/>
        </w:rPr>
        <w:t>Pentru a ține cont de evoluțiile standardelor internaționale pentru expunerile la securitizări de NPE-uri, ar trebui să îi fie delegată Comisiei competența de a adopta acte în conformitate cu articolul 290 din TFUE.</w:t>
      </w:r>
    </w:p>
    <w:p>
      <w:pPr>
        <w:pStyle w:val="ManualConsidrant"/>
        <w:rPr>
          <w:noProof/>
        </w:rPr>
      </w:pPr>
      <w:r>
        <w:t>(9)</w:t>
      </w:r>
      <w:r>
        <w:tab/>
      </w:r>
      <w:r>
        <w:rPr>
          <w:noProof/>
        </w:rPr>
        <w:t xml:space="preserve">Întrucât obiectivele prezentului regulament, și anume maximizarea capacității instituțiilor de a acorda împrumuturi și de a absorbi pierderile legate de pandemia de </w:t>
      </w:r>
      <w:r>
        <w:rPr>
          <w:noProof/>
        </w:rPr>
        <w:lastRenderedPageBreak/>
        <w:t>COVID-19, asigurându-se în același timp reziliența lor continuă, nu pot fi realizate în mod satisfăcător de către statele membre, ci, având în vedere amploarea și efectele lor, pot fi realizate mai bine la nivelul Uniunii, aceasta poate adopta măsuri, în conformitate cu principiul subsidiarității, astfel cum este prevăzut la articolul 5 din Tratatul privind Uniunea Europeană. În conformitate cu principiul proporționalității, astfel cum este prevăzut la articolul respectiv, prezentul regulament nu depășește ceea ce este necesar pentru realizarea obiectivelor respective.</w:t>
      </w:r>
    </w:p>
    <w:p>
      <w:pPr>
        <w:pStyle w:val="ManualConsidrant"/>
        <w:rPr>
          <w:noProof/>
        </w:rPr>
      </w:pPr>
      <w:r>
        <w:t>(10)</w:t>
      </w:r>
      <w:r>
        <w:tab/>
      </w:r>
      <w:r>
        <w:rPr>
          <w:noProof/>
        </w:rPr>
        <w:t>Prin urmare, Regulamentul (UE) nr. 575/2013 ar trebui modificat în consecință,</w:t>
      </w:r>
    </w:p>
    <w:p>
      <w:pPr>
        <w:pStyle w:val="Formuledadoption"/>
        <w:rPr>
          <w:noProof/>
        </w:rPr>
      </w:pPr>
      <w:r>
        <w:rPr>
          <w:noProof/>
        </w:rPr>
        <w:t>ADOPTĂ PREZENTUL REGULAMENT:</w:t>
      </w:r>
    </w:p>
    <w:p>
      <w:pPr>
        <w:pStyle w:val="Titrearticle"/>
        <w:rPr>
          <w:noProof/>
        </w:rPr>
      </w:pPr>
      <w:r>
        <w:rPr>
          <w:noProof/>
        </w:rPr>
        <w:t xml:space="preserve">Articolul 1 </w:t>
      </w:r>
      <w:r>
        <w:rPr>
          <w:noProof/>
        </w:rPr>
        <w:br/>
        <w:t>Modificări aduse Regulamentului (UE) nr. 575/2013</w:t>
      </w:r>
    </w:p>
    <w:p>
      <w:pPr>
        <w:rPr>
          <w:noProof/>
        </w:rPr>
      </w:pPr>
      <w:r>
        <w:rPr>
          <w:noProof/>
        </w:rPr>
        <w:t xml:space="preserve">Regulamentul (UE) nr. 575/2013 se modifică după cum urmează: </w:t>
      </w:r>
    </w:p>
    <w:p>
      <w:pPr>
        <w:pStyle w:val="Point0"/>
        <w:rPr>
          <w:noProof/>
        </w:rPr>
      </w:pPr>
      <w:r>
        <w:t>(1)</w:t>
      </w:r>
      <w:r>
        <w:tab/>
      </w:r>
      <w:r>
        <w:rPr>
          <w:noProof/>
        </w:rPr>
        <w:t>la articolul 249 alineatul (3), primul paragraf se înlocuiește cu următorul text:</w:t>
      </w:r>
    </w:p>
    <w:p>
      <w:pPr>
        <w:pStyle w:val="Text1"/>
        <w:rPr>
          <w:noProof/>
        </w:rPr>
      </w:pPr>
      <w:r>
        <w:rPr>
          <w:noProof/>
        </w:rPr>
        <w:t>„Prin derogare de la alineatul (2), furnizorilor eligibili de protecție nefinanțată a creditului enumerați la articolul 201 alineatul (1) litera (g) li se va fi atribuit o evaluare a creditului efectuată de către o ECAI recunoscută care corespunde nivelului 3 de calitate a creditului sau unui nivel superior.”;</w:t>
      </w:r>
    </w:p>
    <w:p>
      <w:pPr>
        <w:pStyle w:val="Point0"/>
        <w:rPr>
          <w:noProof/>
        </w:rPr>
      </w:pPr>
      <w:r>
        <w:t>(2)</w:t>
      </w:r>
      <w:r>
        <w:tab/>
      </w:r>
      <w:r>
        <w:rPr>
          <w:noProof/>
        </w:rPr>
        <w:t>se introduce următorul articol 269a:</w:t>
      </w:r>
    </w:p>
    <w:p>
      <w:pPr>
        <w:rPr>
          <w:noProof/>
        </w:rPr>
      </w:pPr>
    </w:p>
    <w:p>
      <w:pPr>
        <w:pStyle w:val="Titrearticle"/>
        <w:spacing w:before="0" w:after="0"/>
        <w:rPr>
          <w:noProof/>
        </w:rPr>
      </w:pPr>
      <w:r>
        <w:rPr>
          <w:noProof/>
        </w:rPr>
        <w:t>Articolul 269a</w:t>
      </w:r>
    </w:p>
    <w:p>
      <w:pPr>
        <w:pStyle w:val="Titrearticle"/>
        <w:spacing w:before="0" w:after="0"/>
        <w:rPr>
          <w:noProof/>
        </w:rPr>
      </w:pPr>
      <w:r>
        <w:rPr>
          <w:noProof/>
        </w:rPr>
        <w:t>Tratamentul securitizărilor expunerilor neperformante (NPE)</w:t>
      </w:r>
    </w:p>
    <w:p>
      <w:pPr>
        <w:rPr>
          <w:noProof/>
        </w:rPr>
      </w:pPr>
    </w:p>
    <w:p>
      <w:pPr>
        <w:pStyle w:val="ManualNumPar1"/>
        <w:rPr>
          <w:noProof/>
        </w:rPr>
      </w:pPr>
      <w:r>
        <w:t>1.</w:t>
      </w:r>
      <w:r>
        <w:tab/>
      </w:r>
      <w:r>
        <w:rPr>
          <w:noProof/>
        </w:rPr>
        <w:t>Ponderea de risc aferentă unei poziții dintr-o securitizare de NPE-uri se calculează în conformitate cu articolul 254, sub rezerva unui prag de 100 %.</w:t>
      </w:r>
    </w:p>
    <w:p>
      <w:pPr>
        <w:pStyle w:val="ManualNumPar1"/>
        <w:rPr>
          <w:noProof/>
        </w:rPr>
      </w:pPr>
      <w:r>
        <w:t>2.</w:t>
      </w:r>
      <w:r>
        <w:tab/>
      </w:r>
      <w:r>
        <w:rPr>
          <w:noProof/>
        </w:rPr>
        <w:t>Prin derogare de la alineatul (1), instituțiile trebuie să atribuie o pondere de risc de 100 % poziției din securitizare de rang superior dintr-o securitizare de NPE-uri tradițională, cu condiția ca expunerile din portofoliul care garantează securitizarea să fi fost transferate către SSPE cu o reducere de preț nerambursabilă de cel puțin 50 % din valoarea nominală a expunerilor.</w:t>
      </w:r>
    </w:p>
    <w:p>
      <w:pPr>
        <w:pStyle w:val="ManualNumPar1"/>
        <w:rPr>
          <w:noProof/>
        </w:rPr>
      </w:pPr>
      <w:r>
        <w:t>3.</w:t>
      </w:r>
      <w:r>
        <w:tab/>
      </w:r>
      <w:r>
        <w:rPr>
          <w:noProof/>
        </w:rPr>
        <w:t>Instituțiile care, în temeiul capitolului 3 din prezentul titlu, nu sunt autorizate să utilizeze propriile estimări ale LGD și propriii factori de conversie în ceea ce privește expunerile din portofoliu nu trebuie să fie autorizate să utilizeze abordarea SEC­IRBA pentru calcularea cuantumurilor ponderate la risc ale expunerilor pentru o poziție dintr-o securitizare de NPE-uri.</w:t>
      </w:r>
    </w:p>
    <w:p>
      <w:pPr>
        <w:pStyle w:val="ManualNumPar1"/>
        <w:rPr>
          <w:noProof/>
        </w:rPr>
      </w:pPr>
      <w:r>
        <w:t>4.</w:t>
      </w:r>
      <w:r>
        <w:tab/>
      </w:r>
      <w:r>
        <w:rPr>
          <w:noProof/>
        </w:rPr>
        <w:t>În sensul articolului 268 alineatul (1), pierderile așteptate asociate pozițiilor dintr-o securitizare de NPE-uri se includ după scăderea reducerii de preț nerambursabile menționate la alineatul (2) din prezentul articol și, după caz, a oricărei alte ajustări specifice pentru riscul de credit.</w:t>
      </w:r>
    </w:p>
    <w:p>
      <w:pPr>
        <w:pStyle w:val="ManualNumPar1"/>
        <w:rPr>
          <w:noProof/>
        </w:rPr>
      </w:pPr>
      <w:r>
        <w:t>5.</w:t>
      </w:r>
      <w:r>
        <w:tab/>
      </w:r>
      <w:r>
        <w:rPr>
          <w:noProof/>
        </w:rPr>
        <w:t>În sensul prezentului articol, «securitizare de NPE-uri» înseamnă o securitizare de NPE-uri, astfel cum este definită la articolul 2 punctul 24 din Regulamentul 2017/2402.”;</w:t>
      </w:r>
    </w:p>
    <w:p>
      <w:pPr>
        <w:pStyle w:val="Point0"/>
        <w:rPr>
          <w:noProof/>
        </w:rPr>
      </w:pPr>
      <w:r>
        <w:t>(3)</w:t>
      </w:r>
      <w:r>
        <w:tab/>
      </w:r>
      <w:r>
        <w:rPr>
          <w:noProof/>
        </w:rPr>
        <w:t>articolul 270 se înlocuiește cu următorul text:</w:t>
      </w:r>
    </w:p>
    <w:p>
      <w:pPr>
        <w:pStyle w:val="Titrearticle"/>
        <w:rPr>
          <w:noProof/>
        </w:rPr>
      </w:pPr>
      <w:r>
        <w:rPr>
          <w:noProof/>
        </w:rPr>
        <w:lastRenderedPageBreak/>
        <w:t xml:space="preserve">„Articolul 270 Poziții de rang superior din securitizarea STS înscrisă în bilanț </w:t>
      </w:r>
    </w:p>
    <w:p>
      <w:pPr>
        <w:rPr>
          <w:noProof/>
        </w:rPr>
      </w:pPr>
      <w:r>
        <w:rPr>
          <w:noProof/>
        </w:rPr>
        <w:t>O instituție inițiatoare poate calcula cuantumurile ponderate la risc ale expunerilor dintr-o securitizare STS înscrisă în bilanț, astfel cum este menționată la articolul 26a alineatul (1) din Regulamentul (UE) 2017/2402, în conformitate cu articolul 260, 262 sau 264 din prezentul regulament, după caz, dacă sunt îndeplinite cele două condiții de mai jos:</w:t>
      </w:r>
    </w:p>
    <w:p>
      <w:pPr>
        <w:pStyle w:val="Point0"/>
        <w:rPr>
          <w:noProof/>
        </w:rPr>
      </w:pPr>
      <w:r>
        <w:t>(a)</w:t>
      </w:r>
      <w:r>
        <w:tab/>
      </w:r>
      <w:r>
        <w:rPr>
          <w:noProof/>
        </w:rPr>
        <w:t>securitizarea îndeplinește cerințele prevăzute la articolul 243 alineatul (2);</w:t>
      </w:r>
    </w:p>
    <w:p>
      <w:pPr>
        <w:pStyle w:val="Point0"/>
        <w:rPr>
          <w:noProof/>
        </w:rPr>
      </w:pPr>
      <w:r>
        <w:t>(b)</w:t>
      </w:r>
      <w:r>
        <w:tab/>
      </w:r>
      <w:r>
        <w:rPr>
          <w:noProof/>
        </w:rPr>
        <w:t>poziția poate fi considerată ca fiind poziția din securitizare de rang superior.”;</w:t>
      </w:r>
    </w:p>
    <w:p>
      <w:pPr>
        <w:pStyle w:val="Point0"/>
        <w:rPr>
          <w:noProof/>
        </w:rPr>
      </w:pPr>
      <w:r>
        <w:t>(4)</w:t>
      </w:r>
      <w:r>
        <w:tab/>
      </w:r>
      <w:r>
        <w:rPr>
          <w:noProof/>
        </w:rPr>
        <w:t>la articolul 456 alineatul (1) se adaugă următoarea literă (l):</w:t>
      </w:r>
    </w:p>
    <w:p>
      <w:pPr>
        <w:pStyle w:val="Text1"/>
        <w:rPr>
          <w:b/>
          <w:i/>
          <w:noProof/>
        </w:rPr>
      </w:pPr>
      <w:r>
        <w:rPr>
          <w:noProof/>
        </w:rPr>
        <w:t>„(l) modificarea articolului 269a din prezentul regulament pentru a ține cont de evoluțiile standardelor internaționale în ceea ce privește expunerile la securitizări de NPE-uri.”</w:t>
      </w:r>
    </w:p>
    <w:p>
      <w:pPr>
        <w:pStyle w:val="Titrearticle"/>
        <w:rPr>
          <w:noProof/>
        </w:rPr>
      </w:pPr>
      <w:r>
        <w:rPr>
          <w:noProof/>
        </w:rPr>
        <w:t xml:space="preserve">Articolul 2 </w:t>
      </w:r>
      <w:r>
        <w:rPr>
          <w:noProof/>
        </w:rPr>
        <w:br/>
        <w:t>Intrare în vigoare</w:t>
      </w:r>
    </w:p>
    <w:p>
      <w:pPr>
        <w:rPr>
          <w:noProof/>
        </w:rPr>
      </w:pPr>
      <w:r>
        <w:rPr>
          <w:noProof/>
        </w:rPr>
        <w:t xml:space="preserve">Prezentul regulament intră în vigoare în a douăzecea zi de la data publicării în </w:t>
      </w:r>
      <w:r>
        <w:rPr>
          <w:i/>
          <w:noProof/>
        </w:rPr>
        <w:t>Jurnalul Oficial al Uniunii Europene</w:t>
      </w:r>
      <w:r>
        <w:rPr>
          <w:noProof/>
        </w:rPr>
        <w:t>.</w:t>
      </w:r>
      <w:r>
        <w:rPr>
          <w:noProof/>
          <w:highlight w:val="magenta"/>
        </w:rPr>
        <w:t xml:space="preserve"> </w:t>
      </w:r>
    </w:p>
    <w:p>
      <w:pPr>
        <w:pStyle w:val="Fait"/>
        <w:rPr>
          <w:noProof/>
        </w:rPr>
      </w:pPr>
      <w:r>
        <w:t>Adoptat la Bruxelles,</w:t>
      </w:r>
    </w:p>
    <w:p>
      <w:pPr>
        <w:pStyle w:val="Institutionquisigne"/>
        <w:rPr>
          <w:noProof/>
        </w:rPr>
      </w:pPr>
      <w:r>
        <w:rPr>
          <w:noProof/>
        </w:rPr>
        <w:t>Pentru Parlamentul European,</w:t>
      </w:r>
      <w:r>
        <w:rPr>
          <w:noProof/>
        </w:rPr>
        <w:tab/>
        <w:t>Pentru Consiliu,</w:t>
      </w:r>
    </w:p>
    <w:p>
      <w:pPr>
        <w:pStyle w:val="Personnequisigne"/>
        <w:rPr>
          <w:noProof/>
        </w:rPr>
      </w:pPr>
      <w:r>
        <w:rPr>
          <w:noProof/>
        </w:rPr>
        <w:t>Președintele</w:t>
      </w:r>
      <w:r>
        <w:rPr>
          <w:noProof/>
        </w:rPr>
        <w:tab/>
        <w:t>Președintele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tab/>
    </w:r>
    <w:r>
      <w:rPr>
        <w:rFonts w:ascii="Arial" w:hAnsi="Arial" w:cs="Arial"/>
        <w:b/>
        <w:sz w:val="48"/>
      </w:rPr>
      <w:t>RO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RO</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rPr>
          <w:lang w:val="fr-FR"/>
        </w:rPr>
        <w:tab/>
      </w:r>
      <w:r>
        <w:t>Regulamentul (UE) nr. 575/2013 al Parlamentului European și al Consiliului din 26 iunie 2013 privind cerințele prudențiale pentru instituțiile de credit și Directiva 2013/36/UE a Parlamentului European și a Consiliului din 26 iunie 2013 cu privire la accesul la activitatea instituțiilor de credit și supravegherea prudențială a instituțiilor de credit (JO L 176, 27.6.2013, p. 1).</w:t>
      </w:r>
    </w:p>
  </w:footnote>
  <w:footnote w:id="2">
    <w:p>
      <w:pPr>
        <w:pStyle w:val="FootnoteText"/>
      </w:pPr>
      <w:r>
        <w:rPr>
          <w:rStyle w:val="FootnoteReference"/>
        </w:rPr>
        <w:footnoteRef/>
      </w:r>
      <w:r>
        <w:tab/>
        <w:t>Directiva 2013/36/UE a Parlamentului European și a Consiliului din 26 iunie 2013 cu privire la accesul la activitatea instituțiilor de credit și supravegherea prudențială a instituțiilor de credit și a firmelor de investiții, de modificare a Directivei 2002/87/CE și de abrogare a Directivelor 2006/48/CE și 2006/49/CE (JO L 176, 27.6.2013, p. 338).</w:t>
      </w:r>
    </w:p>
  </w:footnote>
  <w:footnote w:id="3">
    <w:p>
      <w:pPr>
        <w:pStyle w:val="FootnoteText"/>
      </w:pPr>
      <w:r>
        <w:rPr>
          <w:rStyle w:val="FootnoteReference"/>
        </w:rPr>
        <w:footnoteRef/>
      </w:r>
      <w:r>
        <w:tab/>
        <w:t>Regulamentul (UE) 2017/2401 al Parlamentului European și al Consiliului din 12 decembrie 2017 de modificare a Regulamentului (UE) nr. 575/2013 privind cerințele prudențiale pentru instituțiile de credit și firmele de investiții (JO L 347, 28.12.2017, p. 1).</w:t>
      </w:r>
    </w:p>
  </w:footnote>
  <w:footnote w:id="4">
    <w:p>
      <w:pPr>
        <w:pStyle w:val="FootnoteText"/>
      </w:pPr>
      <w:r>
        <w:rPr>
          <w:rStyle w:val="FootnoteReference"/>
        </w:rPr>
        <w:footnoteRef/>
      </w:r>
      <w:r>
        <w:tab/>
      </w:r>
      <w:hyperlink r:id="rId1" w:history="1">
        <w:r>
          <w:rPr>
            <w:rStyle w:val="Hyperlink"/>
          </w:rPr>
          <w:t>http://www.bis.org/bcbs/publ/d303.pdf</w:t>
        </w:r>
      </w:hyperlink>
      <w:r>
        <w:t>.</w:t>
      </w:r>
    </w:p>
  </w:footnote>
  <w:footnote w:id="5">
    <w:p>
      <w:pPr>
        <w:pStyle w:val="FootnoteText"/>
      </w:pPr>
      <w:r>
        <w:rPr>
          <w:rStyle w:val="FootnoteReference"/>
        </w:rPr>
        <w:footnoteRef/>
      </w:r>
      <w:r>
        <w:tab/>
      </w:r>
      <w:hyperlink r:id="rId2" w:history="1">
        <w:r>
          <w:rPr>
            <w:rStyle w:val="Hyperlink"/>
          </w:rPr>
          <w:t>https://www.bis.org/bcbs/publ/d374.pdf</w:t>
        </w:r>
      </w:hyperlink>
      <w:r>
        <w:t>.</w:t>
      </w:r>
    </w:p>
  </w:footnote>
  <w:footnote w:id="6">
    <w:p>
      <w:pPr>
        <w:pStyle w:val="FootnoteText"/>
      </w:pPr>
      <w:r>
        <w:rPr>
          <w:rStyle w:val="FootnoteReference"/>
        </w:rPr>
        <w:footnoteRef/>
      </w:r>
      <w:r>
        <w:tab/>
        <w:t>Regulamentul (UE) 2017/2402 al Parlamentului European și al Consiliului din 12 decembrie 2017 de stabilire a unui cadru general privind securitizarea și de creare a unui cadru specific pentru o securitizare simplă, transparentă și standardizată, și de modificare a Directivelor 2009/65/CE, 2009/138/CE și 2011/61/UE, precum și a Regulamentelor (CE) nr. 1060/2009 și (UE) nr. 648/2012 (JO L 347, 28.12.2017, p. 35).</w:t>
      </w:r>
    </w:p>
  </w:footnote>
  <w:footnote w:id="7">
    <w:p>
      <w:pPr>
        <w:pStyle w:val="FootnoteText"/>
      </w:pPr>
      <w:r>
        <w:rPr>
          <w:rStyle w:val="FootnoteReference"/>
        </w:rPr>
        <w:footnoteRef/>
      </w:r>
      <w:r>
        <w:tab/>
        <w:t>EBA/OP/2020/07 din 6 mai 2020.</w:t>
      </w:r>
    </w:p>
  </w:footnote>
  <w:footnote w:id="8">
    <w:p>
      <w:pPr>
        <w:pStyle w:val="FootnoteText"/>
      </w:pPr>
      <w:r>
        <w:rPr>
          <w:rStyle w:val="FootnoteReference"/>
        </w:rPr>
        <w:footnoteRef/>
      </w:r>
      <w:r>
        <w:tab/>
        <w:t>EBA/OP/2019/13 din 23 octombrie 2019.</w:t>
      </w:r>
    </w:p>
  </w:footnote>
  <w:footnote w:id="9">
    <w:p>
      <w:pPr>
        <w:pStyle w:val="FootnoteText"/>
      </w:pPr>
      <w:r>
        <w:rPr>
          <w:rStyle w:val="FootnoteReference"/>
        </w:rPr>
        <w:footnoteRef/>
      </w:r>
      <w:r>
        <w:tab/>
        <w:t>Singura excepție o constituie contrapărțile centrale.</w:t>
      </w:r>
    </w:p>
  </w:footnote>
  <w:footnote w:id="10">
    <w:p>
      <w:pPr>
        <w:pStyle w:val="FootnoteText"/>
      </w:pPr>
      <w:r>
        <w:rPr>
          <w:rStyle w:val="FootnoteReference"/>
        </w:rPr>
        <w:footnoteRef/>
      </w:r>
      <w:r>
        <w:tab/>
        <w:t>https://ec.europa.eu/info/files/200610-cmu-high-level-forum-final-report_en.</w:t>
      </w:r>
    </w:p>
  </w:footnote>
  <w:footnote w:id="11">
    <w:p>
      <w:pPr>
        <w:pStyle w:val="FootnoteText"/>
      </w:pPr>
      <w:r>
        <w:rPr>
          <w:rStyle w:val="FootnoteReference"/>
        </w:rPr>
        <w:footnoteRef/>
      </w:r>
      <w:r>
        <w:tab/>
        <w:t>Comunicarea Comisiei către Parlamentul European, Consiliul European, Consiliu, Banca Centrală Europeană, Banca Europeană de Investiții și Eurogrup intitulată „Răspunsul economic coordonat la epidemia de COVID-19”, COM(2020) 112 final din 13.3.2020.</w:t>
      </w:r>
    </w:p>
  </w:footnote>
  <w:footnote w:id="12">
    <w:p>
      <w:pPr>
        <w:pStyle w:val="FootnoteText"/>
      </w:pPr>
      <w:r>
        <w:rPr>
          <w:rStyle w:val="FootnoteReference"/>
        </w:rPr>
        <w:footnoteRef/>
      </w:r>
      <w:r>
        <w:tab/>
        <w:t>Comunicarea Comisiei către Parlamentul European, Consiliul European, Consiliu, Comitetul Economic și Social European și Comitetul Regiunilor intitulată „Răspunsul la coronavirus – Utilizarea fiecărui euro disponibil, prin orice modalitate posibilă, pentru a salva viețile și mijloacele de trai”, COM(2020) 143 final din 2.4.2020.</w:t>
      </w:r>
    </w:p>
  </w:footnote>
  <w:footnote w:id="13">
    <w:p>
      <w:pPr>
        <w:pStyle w:val="FootnoteText"/>
      </w:pPr>
      <w:r>
        <w:rPr>
          <w:rStyle w:val="FootnoteReference"/>
        </w:rPr>
        <w:footnoteRef/>
      </w:r>
      <w:r>
        <w:tab/>
        <w:t>Comunicarea Comisiei către Parlamentul European, Consiliul European, Consiliu, Comitetul Economic și Social European și Comitetul Regiunilor „Acum este momentul Europei:  să reparăm prejudiciile aduse de criză și să pregătim viitorul pentru noua generație”, COM(2020) 456 final din 27.5.2020.</w:t>
      </w:r>
    </w:p>
  </w:footnote>
  <w:footnote w:id="14">
    <w:p>
      <w:pPr>
        <w:pStyle w:val="FootnoteText"/>
      </w:pPr>
      <w:r>
        <w:rPr>
          <w:rStyle w:val="FootnoteReference"/>
        </w:rPr>
        <w:footnoteRef/>
      </w:r>
      <w:r>
        <w:tab/>
        <w:t>Comunicarea Comisiei către Parlamentul European și Consiliu: Comunicarea interpretativă a Comisiei privind aplicarea cadrelor contabile și prudențiale pentru a facilita creditarea bancară în UE – Sprijinirea întreprinderilor și a gospodăriilor în contextul COVID-19, COM(2020) 169 final din 28.4.2020.</w:t>
      </w:r>
    </w:p>
  </w:footnote>
  <w:footnote w:id="15">
    <w:p>
      <w:pPr>
        <w:pStyle w:val="FootnoteText"/>
      </w:pPr>
      <w:r>
        <w:rPr>
          <w:rStyle w:val="FootnoteReference"/>
        </w:rPr>
        <w:footnoteRef/>
      </w:r>
      <w:r>
        <w:tab/>
        <w:t>Regulamentul (UE) 2020/873 al Parlamentului European și al Consiliului din 24 iunie 2020 de modificare a Regulamentelor (UE) nr. 575/2013 și (UE) 2019/876 în ceea ce privește anumite ajustări ca răspuns la pandemia de COVID-19 (JO L 204, 26.6.2020, p. 4).</w:t>
      </w:r>
    </w:p>
  </w:footnote>
  <w:footnote w:id="16">
    <w:p>
      <w:pPr>
        <w:pStyle w:val="FootnoteText"/>
      </w:pPr>
      <w:r>
        <w:rPr>
          <w:rStyle w:val="FootnoteReference"/>
        </w:rPr>
        <w:footnoteRef/>
      </w:r>
      <w:r>
        <w:tab/>
        <w:t>https://eba.europa.eu/risk-analysis-and-data/npls.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632C8C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8D66A3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2D25F38"/>
    <w:lvl w:ilvl="0">
      <w:start w:val="1"/>
      <w:numFmt w:val="decimal"/>
      <w:pStyle w:val="ListNumber2"/>
      <w:lvlText w:val="%1."/>
      <w:lvlJc w:val="left"/>
      <w:pPr>
        <w:tabs>
          <w:tab w:val="num" w:pos="643"/>
        </w:tabs>
        <w:ind w:left="643" w:hanging="360"/>
      </w:pPr>
    </w:lvl>
  </w:abstractNum>
  <w:abstractNum w:abstractNumId="3">
    <w:nsid w:val="FFFFFF81"/>
    <w:multiLevelType w:val="singleLevel"/>
    <w:tmpl w:val="E77071E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CA0044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9E2079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2E86156"/>
    <w:lvl w:ilvl="0">
      <w:start w:val="1"/>
      <w:numFmt w:val="decimal"/>
      <w:pStyle w:val="ListNumber"/>
      <w:lvlText w:val="%1."/>
      <w:lvlJc w:val="left"/>
      <w:pPr>
        <w:tabs>
          <w:tab w:val="num" w:pos="360"/>
        </w:tabs>
        <w:ind w:left="360" w:hanging="360"/>
      </w:pPr>
    </w:lvl>
  </w:abstractNum>
  <w:abstractNum w:abstractNumId="7">
    <w:nsid w:val="FFFFFF89"/>
    <w:multiLevelType w:val="singleLevel"/>
    <w:tmpl w:val="CE88D96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num>
  <w:num w:numId="15">
    <w:abstractNumId w:val="21"/>
    <w:lvlOverride w:ilvl="0">
      <w:startOverride w:val="1"/>
    </w:lvlOverride>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1"/>
  </w:num>
  <w:num w:numId="30">
    <w:abstractNumId w:val="18"/>
  </w:num>
  <w:num w:numId="31">
    <w:abstractNumId w:val="12"/>
  </w:num>
  <w:num w:numId="32">
    <w:abstractNumId w:val="20"/>
  </w:num>
  <w:num w:numId="33">
    <w:abstractNumId w:val="11"/>
  </w:num>
  <w:num w:numId="34">
    <w:abstractNumId w:val="13"/>
  </w:num>
  <w:num w:numId="35">
    <w:abstractNumId w:val="9"/>
  </w:num>
  <w:num w:numId="36">
    <w:abstractNumId w:val="19"/>
  </w:num>
  <w:num w:numId="37">
    <w:abstractNumId w:val="8"/>
  </w:num>
  <w:num w:numId="38">
    <w:abstractNumId w:val="14"/>
  </w:num>
  <w:num w:numId="39">
    <w:abstractNumId w:val="16"/>
  </w:num>
  <w:num w:numId="40">
    <w:abstractNumId w:val="17"/>
  </w:num>
  <w:num w:numId="41">
    <w:abstractNumId w:val="10"/>
  </w:num>
  <w:num w:numId="42">
    <w:abstractNumId w:val="15"/>
  </w:num>
  <w:num w:numId="43">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hideGrammaticalErrors/>
  <w:attachedTemplate r:id="rId1"/>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0 11:21:1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1272E7B-0C4B-4E19-B4EE-0CF8F71643B7"/>
    <w:docVar w:name="LW_COVERPAGE_TYPE" w:val="1"/>
    <w:docVar w:name="LW_CROSSREFERENCE" w:val="{SWD(2020) 120}"/>
    <w:docVar w:name="LW_DocType" w:val="COM"/>
    <w:docVar w:name="LW_EMISSION" w:val="24.7.2020"/>
    <w:docVar w:name="LW_EMISSION_ISODATE" w:val="2020-07-24"/>
    <w:docVar w:name="LW_EMISSION_LOCATION" w:val="BRX"/>
    <w:docVar w:name="LW_EMISSION_PREFIX" w:val="Bruxelle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 w:val="(Text cu relevan\u539?\u259? pentru SEE)"/>
    <w:docVar w:name="LW_INTERETEEE.CP" w:val="(Text cu relevan\u539?\u259? pentru SEE)"/>
    <w:docVar w:name="LW_LANGUE" w:val="RO"/>
    <w:docVar w:name="LW_LEVEL_OF_SENSITIVITY" w:val="Standard treatment"/>
    <w:docVar w:name="LW_NOM.INST" w:val="COMISIA EUROPEAN\u258?"/>
    <w:docVar w:name="LW_NOM.INST_JOINTDOC" w:val="&lt;EMPTY&gt;"/>
    <w:docVar w:name="LW_PART_NBR" w:val="1"/>
    <w:docVar w:name="LW_PART_NBR_TOTAL" w:val="1"/>
    <w:docVar w:name="LW_REF.II.NEW.CP" w:val="COD"/>
    <w:docVar w:name="LW_REF.II.NEW.CP_NUMBER" w:val="0156"/>
    <w:docVar w:name="LW_REF.II.NEW.CP_YEAR" w:val="2020"/>
    <w:docVar w:name="LW_REF.INST.NEW" w:val="COM"/>
    <w:docVar w:name="LW_REF.INST.NEW_ADOPTED" w:val="final"/>
    <w:docVar w:name="LW_REF.INST.NEW_TEXT" w:val="(2020) 2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Propunere de"/>
    <w:docVar w:name="LW_STATUT.CP" w:val="Propunere de"/>
    <w:docVar w:name="LW_SUPERTITRE" w:val="&lt;UNUSED&gt;"/>
    <w:docVar w:name="LW_TITRE.OBJ" w:val="de modificare a Regulamentului (UE) nr. 575/2013 cu privire la ajust\u259?ri ale cadrului de securitizare în vederea sprijinirii redres\u259?rii economice ca r\u259?spuns la pandemia de COVID-19_x000d__x000b_"/>
    <w:docVar w:name="LW_TITRE.OBJ.CP" w:val="de modificare a Regulamentului (UE) nr. 575/2013 cu privire la ajust\u259?ri ale cadrului de securitizare în vederea sprijinirii redres\u259?rii economice ca r\u259?spuns la pandemia de COVID-19_x000d__x000b_"/>
    <w:docVar w:name="LW_TYPE.DOC" w:val="REGULAMENT AL PARLAMENTULUI EUROPEAN \u536?I AL CONSILIULUI"/>
    <w:docVar w:name="LW_TYPE.DOC.CP" w:val="REGULAMENT AL PARLAMENTULUI EUROPEAN \u536?I AL CONSILIULUI"/>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rPr>
      <w:color w:val="0000FF" w:themeColor="hyperlink"/>
      <w:u w:val="single"/>
    </w:rPr>
  </w:style>
  <w:style w:type="paragraph" w:customStyle="1" w:styleId="ManualHeading1200000000000000000">
    <w:name w:val="Manual Heading 1200000000000000000"/>
    <w:basedOn w:val="Normal"/>
    <w:next w:val="Text1"/>
    <w:pPr>
      <w:keepNext/>
      <w:tabs>
        <w:tab w:val="left" w:pos="850"/>
      </w:tabs>
      <w:spacing w:before="360"/>
      <w:ind w:left="850" w:hanging="850"/>
      <w:outlineLvl w:val="0"/>
    </w:pPr>
    <w:rPr>
      <w:b/>
      <w:smallCaps/>
    </w:rPr>
  </w:style>
  <w:style w:type="paragraph" w:styleId="ListParagraph">
    <w:name w:val="List Paragraph"/>
    <w:basedOn w:val="Normal"/>
    <w:uiPriority w:val="34"/>
    <w:qFormat/>
    <w:pPr>
      <w:ind w:left="720"/>
      <w:contextualSpacing/>
    </w:pPr>
  </w:style>
  <w:style w:type="character" w:customStyle="1" w:styleId="st">
    <w:name w:val="st"/>
    <w:basedOn w:val="DefaultParagraphFont"/>
  </w:style>
  <w:style w:type="paragraph" w:customStyle="1" w:styleId="ManualHeading130000000000000000">
    <w:name w:val="Manual Heading 130000000000000000"/>
    <w:basedOn w:val="Normal"/>
    <w:next w:val="Text1"/>
    <w:pPr>
      <w:keepNext/>
      <w:tabs>
        <w:tab w:val="left" w:pos="850"/>
      </w:tabs>
      <w:spacing w:before="360"/>
      <w:ind w:left="850" w:hanging="850"/>
      <w:outlineLvl w:val="0"/>
    </w:pPr>
    <w:rPr>
      <w:b/>
      <w:smallCaps/>
    </w:rPr>
  </w:style>
  <w:style w:type="character" w:customStyle="1" w:styleId="DeltaViewInsertion">
    <w:name w:val="DeltaView Insertion"/>
    <w:uiPriority w:val="99"/>
    <w:rPr>
      <w:b/>
      <w:i/>
      <w:color w:val="00000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ro-RO"/>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ro-RO"/>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Point0number0">
    <w:name w:val="Point0 (number)"/>
    <w:basedOn w:val="ManualHeading2"/>
    <w:rPr>
      <w:noProof/>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ro-RO"/>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ro-RO"/>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rPr>
      <w:color w:val="0000FF" w:themeColor="hyperlink"/>
      <w:u w:val="single"/>
    </w:rPr>
  </w:style>
  <w:style w:type="paragraph" w:customStyle="1" w:styleId="ManualHeading1200000000000000000">
    <w:name w:val="Manual Heading 1200000000000000000"/>
    <w:basedOn w:val="Normal"/>
    <w:next w:val="Text1"/>
    <w:pPr>
      <w:keepNext/>
      <w:tabs>
        <w:tab w:val="left" w:pos="850"/>
      </w:tabs>
      <w:spacing w:before="360"/>
      <w:ind w:left="850" w:hanging="850"/>
      <w:outlineLvl w:val="0"/>
    </w:pPr>
    <w:rPr>
      <w:b/>
      <w:smallCaps/>
    </w:rPr>
  </w:style>
  <w:style w:type="paragraph" w:styleId="ListParagraph">
    <w:name w:val="List Paragraph"/>
    <w:basedOn w:val="Normal"/>
    <w:uiPriority w:val="34"/>
    <w:qFormat/>
    <w:pPr>
      <w:ind w:left="720"/>
      <w:contextualSpacing/>
    </w:pPr>
  </w:style>
  <w:style w:type="character" w:customStyle="1" w:styleId="st">
    <w:name w:val="st"/>
    <w:basedOn w:val="DefaultParagraphFont"/>
  </w:style>
  <w:style w:type="paragraph" w:customStyle="1" w:styleId="ManualHeading130000000000000000">
    <w:name w:val="Manual Heading 130000000000000000"/>
    <w:basedOn w:val="Normal"/>
    <w:next w:val="Text1"/>
    <w:pPr>
      <w:keepNext/>
      <w:tabs>
        <w:tab w:val="left" w:pos="850"/>
      </w:tabs>
      <w:spacing w:before="360"/>
      <w:ind w:left="850" w:hanging="850"/>
      <w:outlineLvl w:val="0"/>
    </w:pPr>
    <w:rPr>
      <w:b/>
      <w:smallCaps/>
    </w:rPr>
  </w:style>
  <w:style w:type="character" w:customStyle="1" w:styleId="DeltaViewInsertion">
    <w:name w:val="DeltaView Insertion"/>
    <w:uiPriority w:val="99"/>
    <w:rPr>
      <w:b/>
      <w:i/>
      <w:color w:val="00000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ro-RO"/>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ro-RO"/>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Point0number0">
    <w:name w:val="Point0 (number)"/>
    <w:basedOn w:val="ManualHeading2"/>
    <w:rPr>
      <w:noProof/>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ro-RO"/>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ro-RO"/>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bis.org/bcbs/publ/d374.pdf" TargetMode="External"/><Relationship Id="rId1" Type="http://schemas.openxmlformats.org/officeDocument/2006/relationships/hyperlink" Target="http://www.bis.org/bcbs/publ/d30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F57C7-8F7D-4AE7-9E9D-B14373865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13</Pages>
  <Words>4995</Words>
  <Characters>30274</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2020-07-31T09:12:00Z</dcterms:created>
  <dcterms:modified xsi:type="dcterms:W3CDTF">2020-08-10T09:21:00Z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SJ-023</vt:lpwstr>
  </property>
  <property fmtid="{D5CDD505-2E9C-101B-9397-08002B2CF9AE}" pid="7" name="DQCStatus">
    <vt:lpwstr>Green (DQC version 03)</vt:lpwstr>
  </property>
  <property fmtid="{D5CDD505-2E9C-101B-9397-08002B2CF9AE}" pid="8" name="Category">
    <vt:lpwstr>COM/PL/ORG</vt:lpwstr>
  </property>
</Properties>
</file>