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DMBM_18940"/>
      <w:bookmarkStart w:id="1" w:name="_CSF_TOC_1"/>
      <w:bookmarkStart w:id="2"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F4483F6F-8337-4F76-AD8D-0CE8A66F4CF1" style="width:450.8pt;height:306.8pt">
            <v:imagedata r:id="rId10" o:title=""/>
          </v:shape>
        </w:pict>
      </w:r>
    </w:p>
    <w:bookmarkEnd w:id="2"/>
    <w:p>
      <w:pPr>
        <w:rPr>
          <w:noProof/>
        </w:rPr>
        <w:sectPr>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pPr>
        <w:pStyle w:val="CoverPage"/>
        <w:spacing w:before="0" w:after="240"/>
        <w:rPr>
          <w:noProof/>
        </w:rPr>
      </w:pPr>
      <w:bookmarkStart w:id="3" w:name="_GoBack"/>
      <w:bookmarkEnd w:id="3"/>
    </w:p>
    <w:p>
      <w:pPr>
        <w:pStyle w:val="CoverPage"/>
        <w:spacing w:before="0" w:after="240"/>
        <w:ind w:left="1418"/>
        <w:rPr>
          <w:i/>
          <w:noProof/>
        </w:rPr>
      </w:pPr>
      <w:r>
        <w:rPr>
          <w:noProof/>
        </w:rPr>
        <w:t>Europos plėtros fondo metinės ataskaitos</w:t>
      </w:r>
    </w:p>
    <w:p>
      <w:pPr>
        <w:pStyle w:val="CoverPage"/>
        <w:spacing w:after="0"/>
        <w:ind w:left="1418"/>
        <w:rPr>
          <w:noProof/>
        </w:rPr>
      </w:pPr>
    </w:p>
    <w:p>
      <w:pPr>
        <w:pStyle w:val="CoverPage"/>
        <w:ind w:left="1418"/>
        <w:rPr>
          <w:noProof/>
        </w:rPr>
      </w:pPr>
      <w:r>
        <w:rPr>
          <w:noProof/>
        </w:rPr>
        <w:t>2019 finansiniai metai</w:t>
      </w:r>
    </w:p>
    <w:bookmarkEnd w:id="0"/>
    <w:p>
      <w:pPr>
        <w:pStyle w:val="Textstand-alone"/>
        <w:sectPr>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9" w:footer="709" w:gutter="0"/>
          <w:cols w:space="720"/>
          <w:docGrid w:linePitch="360"/>
        </w:sectPr>
      </w:pPr>
    </w:p>
    <w:p>
      <w:pPr>
        <w:pStyle w:val="HEADERTABLE"/>
        <w:rPr>
          <w:noProof/>
        </w:rPr>
      </w:pPr>
      <w:bookmarkStart w:id="4" w:name="_DMBM_18958"/>
      <w:r>
        <w:rPr>
          <w:noProof/>
        </w:rPr>
        <w:t>TURINYS</w:t>
      </w:r>
    </w:p>
    <w:p>
      <w:pPr>
        <w:pStyle w:val="Textstand-alone"/>
      </w:pPr>
    </w:p>
    <w:sdt>
      <w:sdtPr>
        <w:rPr>
          <w:rFonts w:ascii="Times New Roman" w:eastAsia="Times New Roman" w:hAnsi="Times New Roman" w:cs="Times New Roman"/>
          <w:b w:val="0"/>
          <w:bCs w:val="0"/>
          <w:noProof/>
          <w:color w:val="auto"/>
          <w:sz w:val="24"/>
          <w:szCs w:val="24"/>
          <w:lang w:eastAsia="en-GB"/>
        </w:rPr>
        <w:id w:val="-1501265022"/>
        <w:docPartObj>
          <w:docPartGallery w:val="Table of Contents"/>
          <w:docPartUnique/>
        </w:docPartObj>
      </w:sdtPr>
      <w:sdtContent>
        <w:p>
          <w:pPr>
            <w:pStyle w:val="TOCHeading"/>
            <w:rPr>
              <w:noProof/>
            </w:rPr>
          </w:pPr>
        </w:p>
        <w:p>
          <w:pPr>
            <w:pStyle w:val="TOC1"/>
            <w:tabs>
              <w:tab w:val="right" w:leader="dot" w:pos="9628"/>
            </w:tabs>
            <w:rPr>
              <w:rFonts w:asciiTheme="minorHAnsi" w:eastAsiaTheme="minorEastAsia" w:hAnsiTheme="minorHAnsi" w:cstheme="minorBidi"/>
              <w:noProof/>
              <w:color w:val="auto"/>
              <w:szCs w:val="22"/>
              <w:lang w:val="en-US" w:eastAsia="en-US"/>
            </w:rPr>
          </w:pPr>
          <w:r>
            <w:rPr>
              <w:noProof/>
            </w:rPr>
            <w:fldChar w:fldCharType="begin"/>
          </w:r>
          <w:r>
            <w:rPr>
              <w:noProof/>
            </w:rPr>
            <w:instrText xml:space="preserve"> TOC \o "1-3" \h \z \t "FIRST_CHAPTER_PAGE;1;FIRST CHAPTER_PAGE_1;2" </w:instrText>
          </w:r>
          <w:r>
            <w:rPr>
              <w:noProof/>
            </w:rPr>
            <w:fldChar w:fldCharType="separate"/>
          </w:r>
          <w:hyperlink w:anchor="_Toc49242745" w:history="1">
            <w:r>
              <w:rPr>
                <w:rStyle w:val="Hyperlink"/>
                <w:noProof/>
              </w:rPr>
              <w:t>ATASKAITŲ PATVIRTINIMAS</w:t>
            </w:r>
            <w:r>
              <w:rPr>
                <w:noProof/>
                <w:webHidden/>
              </w:rPr>
              <w:tab/>
            </w:r>
            <w:r>
              <w:rPr>
                <w:noProof/>
                <w:webHidden/>
              </w:rPr>
              <w:fldChar w:fldCharType="begin"/>
            </w:r>
            <w:r>
              <w:rPr>
                <w:noProof/>
                <w:webHidden/>
              </w:rPr>
              <w:instrText xml:space="preserve"> PAGEREF _Toc49242745 \h </w:instrText>
            </w:r>
            <w:r>
              <w:rPr>
                <w:noProof/>
                <w:webHidden/>
              </w:rPr>
            </w:r>
            <w:r>
              <w:rPr>
                <w:noProof/>
                <w:webHidden/>
              </w:rPr>
              <w:fldChar w:fldCharType="separate"/>
            </w:r>
            <w:r>
              <w:rPr>
                <w:noProof/>
                <w:webHidden/>
              </w:rPr>
              <w:t>3</w:t>
            </w:r>
            <w:r>
              <w:rPr>
                <w:noProof/>
                <w:webHidden/>
              </w:rPr>
              <w:fldChar w:fldCharType="end"/>
            </w:r>
          </w:hyperlink>
        </w:p>
        <w:p>
          <w:pPr>
            <w:pStyle w:val="TOC1"/>
            <w:tabs>
              <w:tab w:val="right" w:leader="dot" w:pos="9628"/>
            </w:tabs>
            <w:rPr>
              <w:rFonts w:asciiTheme="minorHAnsi" w:eastAsiaTheme="minorEastAsia" w:hAnsiTheme="minorHAnsi" w:cstheme="minorBidi"/>
              <w:noProof/>
              <w:color w:val="auto"/>
              <w:szCs w:val="22"/>
              <w:lang w:val="en-US" w:eastAsia="en-US"/>
            </w:rPr>
          </w:pPr>
          <w:hyperlink w:anchor="_Toc49242746" w:history="1">
            <w:r>
              <w:rPr>
                <w:rStyle w:val="Hyperlink"/>
                <w:noProof/>
              </w:rPr>
              <w:t>EPF IŠTEKLIŲ PANAUDOJIMAS IR APSKAITA</w:t>
            </w:r>
            <w:r>
              <w:rPr>
                <w:noProof/>
                <w:webHidden/>
              </w:rPr>
              <w:tab/>
            </w:r>
            <w:r>
              <w:rPr>
                <w:noProof/>
                <w:webHidden/>
              </w:rPr>
              <w:fldChar w:fldCharType="begin"/>
            </w:r>
            <w:r>
              <w:rPr>
                <w:noProof/>
                <w:webHidden/>
              </w:rPr>
              <w:instrText xml:space="preserve"> PAGEREF _Toc49242746 \h </w:instrText>
            </w:r>
            <w:r>
              <w:rPr>
                <w:noProof/>
                <w:webHidden/>
              </w:rPr>
            </w:r>
            <w:r>
              <w:rPr>
                <w:noProof/>
                <w:webHidden/>
              </w:rPr>
              <w:fldChar w:fldCharType="separate"/>
            </w:r>
            <w:r>
              <w:rPr>
                <w:noProof/>
                <w:webHidden/>
              </w:rPr>
              <w:t>4</w:t>
            </w:r>
            <w:r>
              <w:rPr>
                <w:noProof/>
                <w:webHidden/>
              </w:rPr>
              <w:fldChar w:fldCharType="end"/>
            </w:r>
          </w:hyperlink>
        </w:p>
        <w:p>
          <w:pPr>
            <w:pStyle w:val="TOC1"/>
            <w:tabs>
              <w:tab w:val="right" w:leader="dot" w:pos="9628"/>
            </w:tabs>
            <w:rPr>
              <w:rFonts w:asciiTheme="minorHAnsi" w:eastAsiaTheme="minorEastAsia" w:hAnsiTheme="minorHAnsi" w:cstheme="minorBidi"/>
              <w:noProof/>
              <w:color w:val="auto"/>
              <w:szCs w:val="22"/>
              <w:lang w:val="en-US" w:eastAsia="en-US"/>
            </w:rPr>
          </w:pPr>
          <w:hyperlink w:anchor="_Toc49242747" w:history="1">
            <w:r>
              <w:rPr>
                <w:rStyle w:val="Hyperlink"/>
                <w:noProof/>
              </w:rPr>
              <w:t>EUROPOS KOMISIJOS VALDOMOS LĖŠOS</w:t>
            </w:r>
            <w:r>
              <w:rPr>
                <w:noProof/>
                <w:webHidden/>
              </w:rPr>
              <w:tab/>
            </w:r>
            <w:r>
              <w:rPr>
                <w:noProof/>
                <w:webHidden/>
              </w:rPr>
              <w:fldChar w:fldCharType="begin"/>
            </w:r>
            <w:r>
              <w:rPr>
                <w:noProof/>
                <w:webHidden/>
              </w:rPr>
              <w:instrText xml:space="preserve"> PAGEREF _Toc49242747 \h </w:instrText>
            </w:r>
            <w:r>
              <w:rPr>
                <w:noProof/>
                <w:webHidden/>
              </w:rPr>
            </w:r>
            <w:r>
              <w:rPr>
                <w:noProof/>
                <w:webHidden/>
              </w:rPr>
              <w:fldChar w:fldCharType="separate"/>
            </w:r>
            <w:r>
              <w:rPr>
                <w:noProof/>
                <w:webHidden/>
              </w:rPr>
              <w:t>7</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 w:val="22"/>
              <w:szCs w:val="22"/>
              <w:lang w:val="en-US" w:eastAsia="en-US"/>
            </w:rPr>
          </w:pPr>
          <w:hyperlink w:anchor="_Toc49242748" w:history="1">
            <w:r>
              <w:rPr>
                <w:rStyle w:val="Hyperlink"/>
                <w:noProof/>
              </w:rPr>
              <w:t>EPF FINANSINĖS ATASKAITOS</w:t>
            </w:r>
            <w:r>
              <w:rPr>
                <w:noProof/>
                <w:webHidden/>
              </w:rPr>
              <w:tab/>
            </w:r>
            <w:r>
              <w:rPr>
                <w:noProof/>
                <w:webHidden/>
              </w:rPr>
              <w:fldChar w:fldCharType="begin"/>
            </w:r>
            <w:r>
              <w:rPr>
                <w:noProof/>
                <w:webHidden/>
              </w:rPr>
              <w:instrText xml:space="preserve"> PAGEREF _Toc49242748 \h </w:instrText>
            </w:r>
            <w:r>
              <w:rPr>
                <w:noProof/>
                <w:webHidden/>
              </w:rPr>
            </w:r>
            <w:r>
              <w:rPr>
                <w:noProof/>
                <w:webHidden/>
              </w:rPr>
              <w:fldChar w:fldCharType="separate"/>
            </w:r>
            <w:r>
              <w:rPr>
                <w:noProof/>
                <w:webHidden/>
              </w:rPr>
              <w:t>9</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 w:val="22"/>
              <w:szCs w:val="22"/>
              <w:lang w:val="en-US" w:eastAsia="en-US"/>
            </w:rPr>
          </w:pPr>
          <w:hyperlink w:anchor="_Toc49242749" w:history="1">
            <w:r>
              <w:rPr>
                <w:rStyle w:val="Hyperlink"/>
                <w:noProof/>
              </w:rPr>
              <w:t>EPF KONSOLIDUOTŲ ES PATIKOS FONDŲ FINANSINĖS ATASKAITOS</w:t>
            </w:r>
            <w:r>
              <w:rPr>
                <w:noProof/>
                <w:webHidden/>
              </w:rPr>
              <w:tab/>
            </w:r>
            <w:r>
              <w:rPr>
                <w:noProof/>
                <w:webHidden/>
              </w:rPr>
              <w:fldChar w:fldCharType="begin"/>
            </w:r>
            <w:r>
              <w:rPr>
                <w:noProof/>
                <w:webHidden/>
              </w:rPr>
              <w:instrText xml:space="preserve"> PAGEREF _Toc49242749 \h </w:instrText>
            </w:r>
            <w:r>
              <w:rPr>
                <w:noProof/>
                <w:webHidden/>
              </w:rPr>
            </w:r>
            <w:r>
              <w:rPr>
                <w:noProof/>
                <w:webHidden/>
              </w:rPr>
              <w:fldChar w:fldCharType="separate"/>
            </w:r>
            <w:r>
              <w:rPr>
                <w:noProof/>
                <w:webHidden/>
              </w:rPr>
              <w:t>49</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 w:val="22"/>
              <w:szCs w:val="22"/>
              <w:lang w:val="en-US" w:eastAsia="en-US"/>
            </w:rPr>
          </w:pPr>
          <w:hyperlink w:anchor="_Toc49242750" w:history="1">
            <w:r>
              <w:rPr>
                <w:rStyle w:val="Hyperlink"/>
                <w:noProof/>
              </w:rPr>
              <w:t>2019 M. ES PATIKOS FONDO „BÊKOU“ FINANSINĖS ATASKAITOS</w:t>
            </w:r>
            <w:r>
              <w:rPr>
                <w:noProof/>
                <w:webHidden/>
              </w:rPr>
              <w:tab/>
            </w:r>
            <w:r>
              <w:rPr>
                <w:noProof/>
                <w:webHidden/>
              </w:rPr>
              <w:fldChar w:fldCharType="begin"/>
            </w:r>
            <w:r>
              <w:rPr>
                <w:noProof/>
                <w:webHidden/>
              </w:rPr>
              <w:instrText xml:space="preserve"> PAGEREF _Toc49242750 \h </w:instrText>
            </w:r>
            <w:r>
              <w:rPr>
                <w:noProof/>
                <w:webHidden/>
              </w:rPr>
            </w:r>
            <w:r>
              <w:rPr>
                <w:noProof/>
                <w:webHidden/>
              </w:rPr>
              <w:fldChar w:fldCharType="separate"/>
            </w:r>
            <w:r>
              <w:rPr>
                <w:noProof/>
                <w:webHidden/>
              </w:rPr>
              <w:t>50</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 w:val="22"/>
              <w:szCs w:val="22"/>
              <w:lang w:val="en-US" w:eastAsia="en-US"/>
            </w:rPr>
          </w:pPr>
          <w:hyperlink w:anchor="_Toc49242751" w:history="1">
            <w:r>
              <w:rPr>
                <w:rStyle w:val="Hyperlink"/>
                <w:noProof/>
              </w:rPr>
              <w:t>2019 M. ES PATIKOS FONDO AFRIKAI FINANSINĖS ATASKAITOS</w:t>
            </w:r>
            <w:r>
              <w:rPr>
                <w:noProof/>
                <w:webHidden/>
              </w:rPr>
              <w:tab/>
            </w:r>
            <w:r>
              <w:rPr>
                <w:noProof/>
                <w:webHidden/>
              </w:rPr>
              <w:fldChar w:fldCharType="begin"/>
            </w:r>
            <w:r>
              <w:rPr>
                <w:noProof/>
                <w:webHidden/>
              </w:rPr>
              <w:instrText xml:space="preserve"> PAGEREF _Toc49242751 \h </w:instrText>
            </w:r>
            <w:r>
              <w:rPr>
                <w:noProof/>
                <w:webHidden/>
              </w:rPr>
            </w:r>
            <w:r>
              <w:rPr>
                <w:noProof/>
                <w:webHidden/>
              </w:rPr>
              <w:fldChar w:fldCharType="separate"/>
            </w:r>
            <w:r>
              <w:rPr>
                <w:noProof/>
                <w:webHidden/>
              </w:rPr>
              <w:t>57</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 w:val="22"/>
              <w:szCs w:val="22"/>
              <w:lang w:val="en-US" w:eastAsia="en-US"/>
            </w:rPr>
          </w:pPr>
          <w:hyperlink w:anchor="_Toc49242752" w:history="1">
            <w:r>
              <w:rPr>
                <w:rStyle w:val="Hyperlink"/>
                <w:noProof/>
              </w:rPr>
              <w:t>EPF IR ES PATIKOS FONDŲ KONSOLIDUOTOSIOS FINANSINĖS ATASKAITOS</w:t>
            </w:r>
            <w:r>
              <w:rPr>
                <w:noProof/>
                <w:webHidden/>
              </w:rPr>
              <w:tab/>
            </w:r>
            <w:r>
              <w:rPr>
                <w:noProof/>
                <w:webHidden/>
              </w:rPr>
              <w:fldChar w:fldCharType="begin"/>
            </w:r>
            <w:r>
              <w:rPr>
                <w:noProof/>
                <w:webHidden/>
              </w:rPr>
              <w:instrText xml:space="preserve"> PAGEREF _Toc49242752 \h </w:instrText>
            </w:r>
            <w:r>
              <w:rPr>
                <w:noProof/>
                <w:webHidden/>
              </w:rPr>
            </w:r>
            <w:r>
              <w:rPr>
                <w:noProof/>
                <w:webHidden/>
              </w:rPr>
              <w:fldChar w:fldCharType="separate"/>
            </w:r>
            <w:r>
              <w:rPr>
                <w:noProof/>
                <w:webHidden/>
              </w:rPr>
              <w:t>65</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 w:val="22"/>
              <w:szCs w:val="22"/>
              <w:lang w:val="en-US" w:eastAsia="en-US"/>
            </w:rPr>
          </w:pPr>
          <w:hyperlink w:anchor="_Toc49242753" w:history="1">
            <w:r>
              <w:rPr>
                <w:rStyle w:val="Hyperlink"/>
                <w:noProof/>
              </w:rPr>
              <w:t>EPF FINANSINIO VYKDYMO ATASKAITA</w:t>
            </w:r>
            <w:r>
              <w:rPr>
                <w:noProof/>
                <w:webHidden/>
              </w:rPr>
              <w:tab/>
            </w:r>
            <w:r>
              <w:rPr>
                <w:noProof/>
                <w:webHidden/>
              </w:rPr>
              <w:fldChar w:fldCharType="begin"/>
            </w:r>
            <w:r>
              <w:rPr>
                <w:noProof/>
                <w:webHidden/>
              </w:rPr>
              <w:instrText xml:space="preserve"> PAGEREF _Toc49242753 \h </w:instrText>
            </w:r>
            <w:r>
              <w:rPr>
                <w:noProof/>
                <w:webHidden/>
              </w:rPr>
            </w:r>
            <w:r>
              <w:rPr>
                <w:noProof/>
                <w:webHidden/>
              </w:rPr>
              <w:fldChar w:fldCharType="separate"/>
            </w:r>
            <w:r>
              <w:rPr>
                <w:noProof/>
                <w:webHidden/>
              </w:rPr>
              <w:t>71</w:t>
            </w:r>
            <w:r>
              <w:rPr>
                <w:noProof/>
                <w:webHidden/>
              </w:rPr>
              <w:fldChar w:fldCharType="end"/>
            </w:r>
          </w:hyperlink>
        </w:p>
        <w:p>
          <w:pPr>
            <w:pStyle w:val="TOC1"/>
            <w:tabs>
              <w:tab w:val="right" w:leader="dot" w:pos="9628"/>
            </w:tabs>
            <w:rPr>
              <w:rFonts w:asciiTheme="minorHAnsi" w:eastAsiaTheme="minorEastAsia" w:hAnsiTheme="minorHAnsi" w:cstheme="minorBidi"/>
              <w:noProof/>
              <w:color w:val="auto"/>
              <w:szCs w:val="22"/>
              <w:lang w:val="en-US" w:eastAsia="en-US"/>
            </w:rPr>
          </w:pPr>
          <w:hyperlink w:anchor="_Toc49242754" w:history="1">
            <w:r>
              <w:rPr>
                <w:rStyle w:val="Hyperlink"/>
                <w:noProof/>
              </w:rPr>
              <w:t>METINĖ VYKDYMO ATASKAITA. EUROPOS INVESTICIJŲ BANKO VALDOMOS LĖŠOS</w:t>
            </w:r>
            <w:r>
              <w:rPr>
                <w:noProof/>
                <w:webHidden/>
              </w:rPr>
              <w:tab/>
            </w:r>
            <w:r>
              <w:rPr>
                <w:noProof/>
                <w:webHidden/>
              </w:rPr>
              <w:fldChar w:fldCharType="begin"/>
            </w:r>
            <w:r>
              <w:rPr>
                <w:noProof/>
                <w:webHidden/>
              </w:rPr>
              <w:instrText xml:space="preserve"> PAGEREF _Toc49242754 \h </w:instrText>
            </w:r>
            <w:r>
              <w:rPr>
                <w:noProof/>
                <w:webHidden/>
              </w:rPr>
            </w:r>
            <w:r>
              <w:rPr>
                <w:noProof/>
                <w:webHidden/>
              </w:rPr>
              <w:fldChar w:fldCharType="separate"/>
            </w:r>
            <w:r>
              <w:rPr>
                <w:noProof/>
                <w:webHidden/>
              </w:rPr>
              <w:t>90</w:t>
            </w:r>
            <w:r>
              <w:rPr>
                <w:noProof/>
                <w:webHidden/>
              </w:rPr>
              <w:fldChar w:fldCharType="end"/>
            </w:r>
          </w:hyperlink>
        </w:p>
        <w:p>
          <w:pPr>
            <w:rPr>
              <w:noProof/>
            </w:rPr>
          </w:pPr>
          <w:r>
            <w:rPr>
              <w:b/>
              <w:bCs/>
              <w:noProof/>
            </w:rPr>
            <w:fldChar w:fldCharType="end"/>
          </w:r>
        </w:p>
      </w:sdtContent>
    </w:sdt>
    <w:bookmarkEnd w:id="4"/>
    <w:p>
      <w:pPr>
        <w:pStyle w:val="Textstand-alone"/>
        <w:sectPr>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cols w:space="708"/>
          <w:docGrid w:linePitch="360"/>
        </w:sectPr>
      </w:pPr>
    </w:p>
    <w:p>
      <w:pPr>
        <w:pStyle w:val="FIRSTCHAPTERPAGE"/>
        <w:rPr>
          <w:noProof/>
        </w:rPr>
      </w:pPr>
      <w:bookmarkStart w:id="5" w:name="_Toc49242745"/>
      <w:bookmarkStart w:id="6" w:name="_DMBM_18950"/>
      <w:r>
        <w:rPr>
          <w:noProof/>
        </w:rPr>
        <w:t>ATASKAITŲ PATVIRTINIMAS</w:t>
      </w:r>
      <w:bookmarkEnd w:id="5"/>
    </w:p>
    <w:p>
      <w:pPr>
        <w:pStyle w:val="Textstand-alone"/>
      </w:pPr>
      <w:r>
        <w:t>Europos plėtros fondo 2019 m. metinės ataskaitos parengtos vadovaujantis 11-ojo Europos plėtros fondo finansinio reglamento X antraštine dalimi ir finansinių ataskaitų pastabose nustatytais apskaitos principais, taisyklėmis ir metodais</w:t>
      </w:r>
    </w:p>
    <w:p>
      <w:pPr>
        <w:pStyle w:val="Textstand-alone"/>
      </w:pPr>
      <w:r>
        <w:t>Patvirtinu savo atsakomybę už Europos plėtros fondo metinių ataskaitų parengimą ir pateikimą vadovaujantis 11-ojo Europos plėtros fondo finansinio reglamento 18 straipsniu.</w:t>
      </w:r>
    </w:p>
    <w:p>
      <w:pPr>
        <w:pStyle w:val="Textstand-alone"/>
      </w:pPr>
      <w:r>
        <w:t>Iš leidimus suteikiančio pareigūno ir EIB gavau visą informaciją, kurios patikimumą jie patvirtino ir kuri būtina norint parengti ataskaitas, kuriose parodyti Europos plėtros fondų turtas, įsipareigojimai ir biudžeto vykdymas.</w:t>
      </w:r>
    </w:p>
    <w:p>
      <w:pPr>
        <w:pStyle w:val="Textstand-alone"/>
      </w:pPr>
      <w:r>
        <w:t>Remdamasi šia informacija ir tokiomis patikromis, kurios, mano manymu, būtinos ataskaitoms pasirašyti, tvirtinu, kad esu pagrįstai įsitikinusi, jog ataskaitose visais reikšmingais aspektais parodyta tikra ir teisinga Europos plėtros fondo finansinė būklė.</w:t>
      </w:r>
    </w:p>
    <w:p>
      <w:pPr>
        <w:pStyle w:val="Textstand-alone"/>
      </w:pPr>
    </w:p>
    <w:p>
      <w:pPr>
        <w:pStyle w:val="Textstand-alone"/>
      </w:pPr>
    </w:p>
    <w:p>
      <w:pPr>
        <w:pStyle w:val="SignatureRight"/>
        <w:spacing w:before="60" w:after="60"/>
        <w:ind w:left="4820"/>
        <w:rPr>
          <w:noProof/>
        </w:rPr>
      </w:pPr>
      <w:r>
        <w:rPr>
          <w:noProof/>
        </w:rPr>
        <w:t>Rosa ALDEA BUSQUETS</w:t>
      </w:r>
    </w:p>
    <w:p>
      <w:pPr>
        <w:pStyle w:val="SignatureRightBold"/>
        <w:spacing w:before="60" w:after="60"/>
        <w:ind w:left="4820"/>
        <w:rPr>
          <w:noProof/>
        </w:rPr>
      </w:pPr>
      <w:r>
        <w:rPr>
          <w:noProof/>
        </w:rPr>
        <w:t>Apskaitos pareigūnė</w:t>
      </w:r>
    </w:p>
    <w:bookmarkEnd w:id="6"/>
    <w:p>
      <w:pPr>
        <w:pStyle w:val="SignatureRightItalic"/>
        <w:spacing w:before="60" w:after="60"/>
        <w:ind w:left="4820"/>
        <w:rPr>
          <w:noProof/>
        </w:rPr>
        <w:sectPr>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134" w:header="709" w:footer="709" w:gutter="0"/>
          <w:cols w:space="708"/>
          <w:docGrid w:linePitch="360"/>
        </w:sectPr>
      </w:pPr>
      <w:r>
        <w:rPr>
          <w:noProof/>
        </w:rPr>
        <w:t>2020 m. birželio 16 d.</w:t>
      </w:r>
    </w:p>
    <w:p>
      <w:pPr>
        <w:pStyle w:val="FIRSTCHAPTERPAGE"/>
        <w:rPr>
          <w:noProof/>
        </w:rPr>
      </w:pPr>
      <w:bookmarkStart w:id="7" w:name="_Toc9959659"/>
      <w:bookmarkStart w:id="8" w:name="_Toc49242746"/>
      <w:bookmarkStart w:id="9" w:name="_DMBM_18954"/>
      <w:r>
        <w:rPr>
          <w:noProof/>
        </w:rPr>
        <w:t>EPF IŠTEKLIŲ PANAUDOJIMAS IR APSKAITA</w:t>
      </w:r>
      <w:bookmarkEnd w:id="7"/>
      <w:bookmarkEnd w:id="8"/>
    </w:p>
    <w:p>
      <w:pPr>
        <w:pStyle w:val="HEADER1Part1"/>
        <w:numPr>
          <w:ilvl w:val="0"/>
          <w:numId w:val="5"/>
        </w:numPr>
        <w:rPr>
          <w:noProof/>
        </w:rPr>
      </w:pPr>
      <w:r>
        <w:rPr>
          <w:noProof/>
        </w:rPr>
        <w:t>PAGRINDINIAI FAKTAI</w:t>
      </w:r>
    </w:p>
    <w:p>
      <w:pPr>
        <w:pStyle w:val="Textstand-alone"/>
      </w:pPr>
      <w:r>
        <w:t>Europos Sąjunga (toliau – ES) palaiko bendradarbiavimu grindžiamus santykius su daugeliu besivystančių šalių. Jais visų pirma siekiama skatinti ekonominį, socialinį ir aplinkos vystymąsi, daugiausiai dėmesio skiriant ilgalaikiam skurdo mažinimui ir naikinimui, šalims gavėjoms teikiant paramą vystymuisi ir techninę pagalbą. Tuo tikslu ES drauge su šalimis partnerėmis rengia bendradarbiavimo strategijas ir mobilizuoja finansinius išteklius joms įgyvendinti. Šie vystomajam bendradarbiavimui skirti ES ištekliai gaunami iš trijų šaltinių:</w:t>
      </w:r>
    </w:p>
    <w:p>
      <w:pPr>
        <w:pStyle w:val="Textstand-aloneBulletpoint"/>
        <w:numPr>
          <w:ilvl w:val="0"/>
          <w:numId w:val="13"/>
        </w:numPr>
        <w:ind w:left="357" w:hanging="357"/>
        <w:rPr>
          <w:noProof/>
        </w:rPr>
      </w:pPr>
      <w:r>
        <w:rPr>
          <w:noProof/>
        </w:rPr>
        <w:t>ES biudžeto,</w:t>
      </w:r>
    </w:p>
    <w:p>
      <w:pPr>
        <w:pStyle w:val="Textstand-aloneBulletpoint"/>
        <w:numPr>
          <w:ilvl w:val="0"/>
          <w:numId w:val="13"/>
        </w:numPr>
        <w:ind w:left="357" w:hanging="357"/>
        <w:rPr>
          <w:noProof/>
        </w:rPr>
      </w:pPr>
      <w:r>
        <w:rPr>
          <w:noProof/>
        </w:rPr>
        <w:t>Europos plėtros fondo,</w:t>
      </w:r>
    </w:p>
    <w:p>
      <w:pPr>
        <w:pStyle w:val="Textstand-aloneBulletpoint"/>
        <w:numPr>
          <w:ilvl w:val="0"/>
          <w:numId w:val="13"/>
        </w:numPr>
        <w:ind w:left="357" w:hanging="357"/>
        <w:rPr>
          <w:noProof/>
        </w:rPr>
      </w:pPr>
      <w:r>
        <w:rPr>
          <w:noProof/>
        </w:rPr>
        <w:t>Europos investicijų banko.</w:t>
      </w:r>
    </w:p>
    <w:p>
      <w:pPr>
        <w:pStyle w:val="Textstand-alone"/>
      </w:pPr>
      <w:r>
        <w:t>Europos plėtros fondas (toliau – EPF) yra pagrindinė ES pagalbos priemonė, skirta vystomajam bendradarbiavimui Afrikos, Karibų ir Ramiojo vandenyno (toliau – AKR) valstybėse bei Užjūrio šalyse ir teritorijose (toliau – UŠT).</w:t>
      </w:r>
    </w:p>
    <w:p>
      <w:pPr>
        <w:pStyle w:val="Textstand-alone"/>
      </w:pPr>
      <w:r>
        <w:t>EPF nefinansuojamas iš ES biudžeto. Jį vidaus susitarimu įsteigė valstybių narių atstovai Taryboje, o valdo specialus komitetas. Europos Komisija (toliau – Komisija) yra atsakinga už operacijų, atliekamų su EPF ištekliais, finansinį vykdymą. Europos investicijų bankas (toliau – EIB) valdo investicinę priemonę.</w:t>
      </w:r>
    </w:p>
    <w:p>
      <w:pPr>
        <w:pStyle w:val="Textstand-alone"/>
      </w:pPr>
      <w:r>
        <w:t>2014–2020 m. AKR valstybėms ir UŠT teikiama geografinė pagalba ir toliau bus daugiausia finansuojama iš EPF. Kiekvienas EPF paprastai sudaromas maždaug penkerių metų laikotarpiui, jam taikomas atskiras finansinis reglamentas, pagal kurį reikalaujama parengti kiekvieno atskiro EPF finansines ataskaitas. Atitinkamai rengiamos atskiros kiekvieno EPF Komisijos valdomos dalies finansinės ataskaitos. Šios finansinės ataskaitos taip pat pateikiamos suvestine forma, kad būtų parodyta bendra išteklių, už kuriuos atsakinga Komisija, finansinė būklė.</w:t>
      </w:r>
    </w:p>
    <w:p>
      <w:pPr>
        <w:pStyle w:val="Textstand-alone"/>
      </w:pPr>
      <w:r>
        <w:t>2013 m. birželio mėn. per posėdį Taryboje valstybės narės pasirašė vidaus susitarimą, kuriuo įsteigiamas 11-asis EPF</w:t>
      </w:r>
      <w:r>
        <w:rPr>
          <w:rStyle w:val="FootnoteReference"/>
        </w:rPr>
        <w:footnoteReference w:id="1"/>
      </w:r>
      <w:r>
        <w:t xml:space="preserve">. Jis įsigaliojo 2015 m. kovo 1 d. </w:t>
      </w:r>
    </w:p>
    <w:p>
      <w:pPr>
        <w:pStyle w:val="Textstand-alone"/>
      </w:pPr>
      <w:r>
        <w:t>2018 m. Taryba priėmė 11-ajam EPF taikomą finansinį reglamentą</w:t>
      </w:r>
      <w:r>
        <w:rPr>
          <w:rStyle w:val="FootnoteReference"/>
        </w:rPr>
        <w:footnoteReference w:id="2"/>
      </w:r>
      <w:r>
        <w:t xml:space="preserve">. Juo panaikintas anksčiau galiojęs reglamentas ir jis taikomas operacijoms, kurios finansuojamos iš ankstesnių EPF, nepažeidžiant esamų teisinių įsipareigojimų. Šis reglamentas netaikomas investicinei priemonei pagal ankstesnius EPF.  </w:t>
      </w:r>
    </w:p>
    <w:p>
      <w:pPr>
        <w:pStyle w:val="Textstand-alone"/>
      </w:pPr>
      <w:r>
        <w:t>Remiantis AKR ir ES partnerystės susitarimu buvo sukurta investicinė priemonė, valdoma EIB ir skirta privačiojo sektoriaus vystymuisi AKR valstybėse remti, daugiausia (tačiau ne vien tik) finansuojant privačiąsias investicijas. Priemonė sukurta kaip atnaujinamas fondas, t. y. grąžinamos paskolos gali būti vėl investuojamos į kitas operacijas, taigi, priemonė yra atsinaujinanti ir finansiškai nepriklausoma. Kadangi investicinės priemonės Komisija nevaldo, ji nekonsoliduota pirmojoje metinių ataskaitų dalyje – EPF finansinėse ataskaitose ir susijusioje finansinio vykdymo ataskaitoje. Investicinės priemonės finansinės ataskaitos į metines ataskaitas įtraukiamos kaip atskira dalis (II dalis), siekiant parodyti visą EPF paramą vystymuisi.</w:t>
      </w:r>
    </w:p>
    <w:p>
      <w:pPr>
        <w:pStyle w:val="HEADER1Part1"/>
        <w:numPr>
          <w:ilvl w:val="0"/>
          <w:numId w:val="5"/>
        </w:numPr>
        <w:rPr>
          <w:noProof/>
        </w:rPr>
        <w:sectPr>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cols w:space="708"/>
          <w:docGrid w:linePitch="360"/>
        </w:sectPr>
      </w:pPr>
    </w:p>
    <w:p>
      <w:pPr>
        <w:pStyle w:val="HEADER1Part1"/>
        <w:numPr>
          <w:ilvl w:val="0"/>
          <w:numId w:val="5"/>
        </w:numPr>
        <w:rPr>
          <w:noProof/>
        </w:rPr>
      </w:pPr>
      <w:r>
        <w:rPr>
          <w:noProof/>
        </w:rPr>
        <w:t>KAIP FINANSUOJAMAS EPF?</w:t>
      </w:r>
    </w:p>
    <w:p>
      <w:pPr>
        <w:pStyle w:val="Textstand-alone"/>
      </w:pPr>
      <w:r>
        <w:t>2013 m. gruodžio 2 d. Europos Vadovų Taryba priėmė 2014–2020 m. daugiametę finansinę programą. Taip pat buvo nuspręsta, kad geografinis bendradarbiavimas su AKR valstybėmis nebus įtrauktas į ES biudžetą, bet bus toliau finansuojamas pagal esamą tarpvyriausybinį EPF.</w:t>
      </w:r>
    </w:p>
    <w:p>
      <w:pPr>
        <w:pStyle w:val="Textstand-alone"/>
      </w:pPr>
      <w:r>
        <w:t>ES biudžetas yra metinis ir, remiantis biudžeto metinio periodiškumo principu, išlaidos ir pajamos planuojamos ir patvirtinamos vieniems metams. Kitaip nei ES biudžetas, EPF yra fondas, veikiantis daugiamečiu pagrindu. Kiekvienam EPF nustatomas bendras fondas vystomajam bendradarbiavimui vykdyti paprastai penkerių metų laikotarpiu. Kadangi ištekliai skiriami daugiamečiu pagrindu, skirtos lėšos gali būti naudojamos per EPF laikotarpį. Biudžeto vykdymo ataskaitose pabrėžiama, kad EPF biudžetas nėra grindžiamas metinio periodiškumo principu, nes EPF biudžeto įvykdymas vertinamas atsižvelgiant į visas fondo lėšas.</w:t>
      </w:r>
    </w:p>
    <w:p>
      <w:pPr>
        <w:pStyle w:val="Textstand-alone"/>
      </w:pPr>
      <w:r>
        <w:t xml:space="preserve">EPF ištekliai yra ES valstybių narių </w:t>
      </w:r>
      <w:r>
        <w:rPr>
          <w:i/>
        </w:rPr>
        <w:t>ad hoc</w:t>
      </w:r>
      <w:r>
        <w:t xml:space="preserve"> įnašai. Maždaug kas penkerius metus valstybių narių atstovai tarpvyriausybiniu lygmeniu susitinka, kad nuspręstų dėl bendros sumos, kuri bus skiriama fondui, ir kad prižiūrėtų jo vykdymą. Komisija valdo fondą laikydamasi Sąjungos vystomojo bendradarbiavimo politikos. Kadangi valstybės narės vykdo savo pačių vystymosi ir pagalbos politiką, kuri papildo Sąjungos lygmens politiką, jos turi koordinuoti savo politiką su ES politika, kad būtų užtikrinta, jog jos papildytų viena kitą.</w:t>
      </w:r>
    </w:p>
    <w:p>
      <w:pPr>
        <w:pStyle w:val="Textstand-alone"/>
      </w:pPr>
      <w:r>
        <w:t>Be pirmiau minėtų įnašų, valstybės narės taip pat gali sudaryti bendro finansavimo susitarimus arba mokėti savanoriškus finansinius įnašus EPF.</w:t>
      </w:r>
    </w:p>
    <w:p>
      <w:pPr>
        <w:pStyle w:val="HEADER1Part1"/>
        <w:numPr>
          <w:ilvl w:val="0"/>
          <w:numId w:val="5"/>
        </w:numPr>
        <w:rPr>
          <w:noProof/>
        </w:rPr>
      </w:pPr>
      <w:r>
        <w:rPr>
          <w:noProof/>
        </w:rPr>
        <w:t>ATSKAITOMYBĖ METŲ PABAIGOJE</w:t>
      </w:r>
    </w:p>
    <w:p>
      <w:pPr>
        <w:pStyle w:val="HEADER2Part1"/>
        <w:numPr>
          <w:ilvl w:val="1"/>
          <w:numId w:val="5"/>
        </w:numPr>
        <w:rPr>
          <w:noProof/>
        </w:rPr>
      </w:pPr>
      <w:r>
        <w:rPr>
          <w:noProof/>
        </w:rPr>
        <w:t>METINĖS ATASKAITOS</w:t>
      </w:r>
    </w:p>
    <w:p>
      <w:pPr>
        <w:pStyle w:val="Textstand-alone"/>
      </w:pPr>
      <w:r>
        <w:t xml:space="preserve">Pagal EPF finansinio reglamento 18 straipsnio 3 dalį EPF finansinės ataskaitos rengiamos remiantis kaupiamosios apskaitos taisyklėmis, kurios grindžiamos tarptautiniais viešojo sektoriaus apskaitos standartais (TVSAS). Siekiant nustatyti vienodas apskaitos, vertinimo ir ataskaitų pateikimo taisykles ir taip suderinti finansinių ataskaitų parengimo procesą, visos ES institucijos ir įstaigos taiko Komisijos apskaitos pareigūno patvirtintas apskaitos taisykles. Šios ES apskaitos taisyklės taip pat taikomos EPF, atsižvelgiant į specifinį jo veiklos pobūdį. </w:t>
      </w:r>
    </w:p>
    <w:p>
      <w:pPr>
        <w:pStyle w:val="Textstand-alone"/>
      </w:pPr>
      <w:r>
        <w:t>EPF metinių ataskaitų rengimas pavestas Komisijos apskaitos pareigūnui, kuris yra EPF apskaitos pareigūnas. Apskaitos pareigūnas užtikrina, kad EPF metinėse ataskaitose būtų parodyta tikra ir teisinga EPF finansinė būklė.</w:t>
      </w:r>
    </w:p>
    <w:p>
      <w:pPr>
        <w:pStyle w:val="Textstand-alone"/>
      </w:pPr>
      <w:r>
        <w:t>Metinės ataskaitos pateikiamos tokia seka:</w:t>
      </w:r>
    </w:p>
    <w:p>
      <w:pPr>
        <w:pStyle w:val="SubTextIndentJustified"/>
        <w:rPr>
          <w:noProof/>
        </w:rPr>
      </w:pPr>
      <w:r>
        <w:rPr>
          <w:noProof/>
        </w:rPr>
        <w:t>I dalis. Komisijos valdomos lėšos</w:t>
      </w:r>
    </w:p>
    <w:p>
      <w:pPr>
        <w:pStyle w:val="SubTextIndentJustified"/>
        <w:numPr>
          <w:ilvl w:val="0"/>
          <w:numId w:val="14"/>
        </w:numPr>
        <w:tabs>
          <w:tab w:val="clear" w:pos="0"/>
          <w:tab w:val="left" w:pos="1418"/>
        </w:tabs>
        <w:ind w:left="1440" w:hanging="447"/>
        <w:rPr>
          <w:noProof/>
        </w:rPr>
      </w:pPr>
      <w:r>
        <w:rPr>
          <w:noProof/>
        </w:rPr>
        <w:t>EPF finansinės ataskaitos ir aiškinamosios pastabos</w:t>
      </w:r>
    </w:p>
    <w:p>
      <w:pPr>
        <w:pStyle w:val="SubTextIndentJustified"/>
        <w:numPr>
          <w:ilvl w:val="0"/>
          <w:numId w:val="14"/>
        </w:numPr>
        <w:tabs>
          <w:tab w:val="clear" w:pos="0"/>
          <w:tab w:val="left" w:pos="1418"/>
        </w:tabs>
        <w:ind w:left="1440" w:hanging="447"/>
        <w:rPr>
          <w:noProof/>
        </w:rPr>
      </w:pPr>
      <w:r>
        <w:rPr>
          <w:noProof/>
        </w:rPr>
        <w:t>EPF konsoliduotų ES patikos fondų finansinės ataskaitos</w:t>
      </w:r>
    </w:p>
    <w:p>
      <w:pPr>
        <w:pStyle w:val="SubTextIndentJustified"/>
        <w:numPr>
          <w:ilvl w:val="0"/>
          <w:numId w:val="14"/>
        </w:numPr>
        <w:tabs>
          <w:tab w:val="clear" w:pos="0"/>
          <w:tab w:val="left" w:pos="1418"/>
        </w:tabs>
        <w:ind w:left="1440" w:hanging="447"/>
        <w:rPr>
          <w:noProof/>
        </w:rPr>
      </w:pPr>
      <w:r>
        <w:rPr>
          <w:noProof/>
        </w:rPr>
        <w:t>EPF ir ES patikos fondų konsoliduotosios finansinės ataskaitos</w:t>
      </w:r>
    </w:p>
    <w:p>
      <w:pPr>
        <w:pStyle w:val="SubTextIndentJustified"/>
        <w:numPr>
          <w:ilvl w:val="0"/>
          <w:numId w:val="14"/>
        </w:numPr>
        <w:tabs>
          <w:tab w:val="clear" w:pos="0"/>
          <w:tab w:val="left" w:pos="1418"/>
        </w:tabs>
        <w:ind w:left="1440" w:hanging="447"/>
        <w:rPr>
          <w:noProof/>
        </w:rPr>
      </w:pPr>
      <w:r>
        <w:rPr>
          <w:noProof/>
        </w:rPr>
        <w:t>EPF finansinio vykdymo ataskaita</w:t>
      </w:r>
    </w:p>
    <w:p>
      <w:pPr>
        <w:pStyle w:val="SubTextIndentJustified"/>
        <w:rPr>
          <w:noProof/>
        </w:rPr>
      </w:pPr>
      <w:r>
        <w:rPr>
          <w:noProof/>
        </w:rPr>
        <w:t>II dalis. Metinė vykdymo ataskaita. EIB valdomos lėšos</w:t>
      </w:r>
    </w:p>
    <w:p>
      <w:pPr>
        <w:pStyle w:val="SubTextIndentJustified"/>
        <w:numPr>
          <w:ilvl w:val="0"/>
          <w:numId w:val="15"/>
        </w:numPr>
        <w:tabs>
          <w:tab w:val="clear" w:pos="418"/>
          <w:tab w:val="num" w:pos="1418"/>
        </w:tabs>
        <w:ind w:left="1418" w:hanging="425"/>
        <w:rPr>
          <w:noProof/>
        </w:rPr>
      </w:pPr>
      <w:r>
        <w:rPr>
          <w:noProof/>
        </w:rPr>
        <w:t>Investicinės priemonės finansinės ataskaitos</w:t>
      </w:r>
    </w:p>
    <w:p>
      <w:pPr>
        <w:pStyle w:val="Textstand-alone"/>
      </w:pPr>
      <w:r>
        <w:t xml:space="preserve">Dalis „EPF konsoliduotų ES patikos fondų finansinės ataskaitos“ apima abiejų prie EPF įkurtų patikos fondų – ES patikos fondo „Bêkou“ (žr. skirsnį „ES patikos fondo „Bêkou“ finansinės ataskaitos“) ir ES patikos fondo Afrikai (žr. skirsnį „ES patikos fondo Afrikai finansinės ataskaitos“) – finansines ataskaitas. Už patikos fondų atskirų finansinių ataskaitų parengimą atsakingas Komisijos apskaitos pareigūnas; jų išorės auditą atlieka privatus auditorius. Į šias metines ataskaitas įtraukti patikos fondų skaičiai yra preliminarūs. </w:t>
      </w:r>
    </w:p>
    <w:p>
      <w:pPr>
        <w:pStyle w:val="Textstand-alone"/>
      </w:pPr>
      <w:r>
        <w:t>EPF metines ataskaitas Komisija turi patvirtinti ne vėliau kaip iki po balanso datos einančių metų liepos 31 d. ir pateikti jas Europos Parlamentui ir Tarybai, kad jie patvirtintų biudžeto įvykdymą.</w:t>
      </w:r>
    </w:p>
    <w:p>
      <w:pPr>
        <w:pStyle w:val="HEADER1Part1"/>
        <w:numPr>
          <w:ilvl w:val="0"/>
          <w:numId w:val="5"/>
        </w:numPr>
        <w:rPr>
          <w:noProof/>
        </w:rPr>
      </w:pPr>
      <w:r>
        <w:rPr>
          <w:noProof/>
        </w:rPr>
        <w:t>AUDITAS IR BIUDŽETO ĮVYKDYMO PATVIRTINIMAS</w:t>
      </w:r>
    </w:p>
    <w:p>
      <w:pPr>
        <w:pStyle w:val="HEADER2Part1"/>
        <w:numPr>
          <w:ilvl w:val="1"/>
          <w:numId w:val="5"/>
        </w:numPr>
        <w:rPr>
          <w:noProof/>
        </w:rPr>
      </w:pPr>
      <w:r>
        <w:rPr>
          <w:noProof/>
        </w:rPr>
        <w:t>AUDITAS</w:t>
      </w:r>
    </w:p>
    <w:p>
      <w:pPr>
        <w:pStyle w:val="Textstand-alone"/>
      </w:pPr>
      <w:r>
        <w:t>EPF metines ataskaitas audituoja jo išorės auditorius – Europos Audito Rūmai (toliau – EAR), kurie parengia metinę ataskaitą Europos Parlamentui ir Tarybai.</w:t>
      </w:r>
    </w:p>
    <w:p>
      <w:pPr>
        <w:pStyle w:val="HEADER2Part1"/>
        <w:numPr>
          <w:ilvl w:val="1"/>
          <w:numId w:val="5"/>
        </w:numPr>
        <w:rPr>
          <w:noProof/>
        </w:rPr>
      </w:pPr>
      <w:r>
        <w:rPr>
          <w:noProof/>
        </w:rPr>
        <w:t>BIUDŽETO ĮVYKDYMO PATVIRTINIMAS</w:t>
      </w:r>
    </w:p>
    <w:p>
      <w:pPr>
        <w:pStyle w:val="Textstand-alone"/>
      </w:pPr>
      <w:r>
        <w:t>Atitinkamų finansinių metų EPF išteklių finansinio įvykdymo galutinė kontrolė yra biudžeto įvykdymo patvirtinimas. Atlikus auditą ir baigus rengti metines ataskaitas, Taryba turi pateikti rekomendacijas, o Europos Parlamentas tada turi nuspręsti, ar patvirtinti atitinkamų finansinių metų Komisijos EPF išteklių finansinį įvykdymą. Šis sprendimas grindžiamas ataskaitų peržiūra, EAR metine ataskaita (į kurią įtrauktas oficialus patikinimo pareiškimas) ir Komisijos atsakymais į biudžeto įvykdymą tvirtinančios institucijos klausimus ir prašymus pateikti papildomos informacijos.</w:t>
      </w:r>
    </w:p>
    <w:bookmarkEnd w:id="9"/>
    <w:p>
      <w:pPr>
        <w:rPr>
          <w:noProof/>
        </w:rPr>
        <w:sectPr>
          <w:headerReference w:type="even" r:id="rId41"/>
          <w:headerReference w:type="default" r:id="rId42"/>
          <w:footerReference w:type="even" r:id="rId43"/>
          <w:footerReference w:type="default" r:id="rId44"/>
          <w:headerReference w:type="first" r:id="rId45"/>
          <w:footerReference w:type="first" r:id="rId46"/>
          <w:pgSz w:w="11906" w:h="16838"/>
          <w:pgMar w:top="1134" w:right="1134" w:bottom="1134" w:left="1134" w:header="709" w:footer="709" w:gutter="0"/>
          <w:cols w:space="708"/>
          <w:docGrid w:linePitch="360"/>
        </w:sectPr>
      </w:pPr>
    </w:p>
    <w:p>
      <w:pPr>
        <w:pStyle w:val="FinancialYear"/>
        <w:rPr>
          <w:noProof/>
        </w:rPr>
      </w:pPr>
      <w:bookmarkStart w:id="10" w:name="_DMBM_18944"/>
      <w:r>
        <w:rPr>
          <w:noProof/>
        </w:rPr>
        <w:t>EUROPOS PLĖTROS FONDAS</w:t>
      </w:r>
    </w:p>
    <w:p>
      <w:pPr>
        <w:pStyle w:val="FinancialYear"/>
        <w:rPr>
          <w:noProof/>
        </w:rPr>
      </w:pPr>
      <w:r>
        <w:rPr>
          <w:noProof/>
        </w:rPr>
        <w:t>2019 FINANSINIAI METAI</w:t>
      </w:r>
    </w:p>
    <w:p>
      <w:pPr>
        <w:pStyle w:val="HEADERTABLE"/>
        <w:rPr>
          <w:noProof/>
        </w:rPr>
      </w:pPr>
    </w:p>
    <w:p>
      <w:pPr>
        <w:pStyle w:val="HEADERTABLE"/>
        <w:rPr>
          <w:noProof/>
        </w:rPr>
      </w:pPr>
    </w:p>
    <w:p>
      <w:pPr>
        <w:pStyle w:val="HEADERTABLE"/>
        <w:rPr>
          <w:noProof/>
        </w:rPr>
      </w:pPr>
    </w:p>
    <w:p>
      <w:pPr>
        <w:pStyle w:val="HEADERTABLE"/>
        <w:rPr>
          <w:noProof/>
        </w:rPr>
      </w:pPr>
    </w:p>
    <w:p>
      <w:pPr>
        <w:pStyle w:val="FIRSTCHAPTERPAGE"/>
        <w:rPr>
          <w:noProof/>
        </w:rPr>
      </w:pPr>
    </w:p>
    <w:p>
      <w:pPr>
        <w:pStyle w:val="FIRSTCHAPTERPAGE"/>
        <w:rPr>
          <w:noProof/>
        </w:rPr>
      </w:pPr>
    </w:p>
    <w:p>
      <w:pPr>
        <w:pStyle w:val="FIRSTCHAPTERPAGE"/>
        <w:rPr>
          <w:noProof/>
        </w:rPr>
      </w:pPr>
      <w:bookmarkStart w:id="11" w:name="_Toc49242747"/>
      <w:r>
        <w:rPr>
          <w:noProof/>
        </w:rPr>
        <w:t>EUROPOS KOMISIJOS VALDOMOS LĖŠOS</w:t>
      </w:r>
      <w:bookmarkEnd w:id="11"/>
    </w:p>
    <w:p>
      <w:pPr>
        <w:pStyle w:val="FIRSTCHAPTERPAGE"/>
        <w:rPr>
          <w:noProof/>
        </w:rPr>
        <w:sectPr>
          <w:headerReference w:type="even" r:id="rId47"/>
          <w:headerReference w:type="default" r:id="rId48"/>
          <w:footerReference w:type="even" r:id="rId49"/>
          <w:footerReference w:type="default" r:id="rId50"/>
          <w:headerReference w:type="first" r:id="rId51"/>
          <w:footerReference w:type="first" r:id="rId52"/>
          <w:pgSz w:w="11906" w:h="16838"/>
          <w:pgMar w:top="1134" w:right="1134" w:bottom="1134" w:left="1134" w:header="709" w:footer="709" w:gutter="0"/>
          <w:cols w:space="708"/>
          <w:docGrid w:linePitch="360"/>
        </w:sectPr>
      </w:pPr>
    </w:p>
    <w:p>
      <w:pPr>
        <w:pStyle w:val="HEADERTABLE"/>
        <w:rPr>
          <w:noProof/>
        </w:rPr>
      </w:pPr>
      <w:r>
        <w:rPr>
          <w:noProof/>
        </w:rPr>
        <w:t>TURINYS</w:t>
      </w:r>
    </w:p>
    <w:p>
      <w:pPr>
        <w:pStyle w:val="Textstand-alone"/>
      </w:pPr>
    </w:p>
    <w:sdt>
      <w:sdtPr>
        <w:rPr>
          <w:rFonts w:ascii="Times New Roman" w:eastAsia="Times New Roman" w:hAnsi="Times New Roman" w:cs="Times New Roman"/>
          <w:b w:val="0"/>
          <w:bCs w:val="0"/>
          <w:noProof/>
          <w:color w:val="auto"/>
          <w:sz w:val="24"/>
          <w:szCs w:val="24"/>
          <w:lang w:eastAsia="en-GB"/>
        </w:rPr>
        <w:id w:val="-421329050"/>
        <w:docPartObj>
          <w:docPartGallery w:val="Table of Contents"/>
          <w:docPartUnique/>
        </w:docPartObj>
      </w:sdtPr>
      <w:sdtEndPr>
        <w:rPr>
          <w:bCs/>
        </w:rPr>
      </w:sdtEndPr>
      <w:sdtContent>
        <w:p>
          <w:pPr>
            <w:pStyle w:val="TOCHeading"/>
            <w:rPr>
              <w:noProof/>
            </w:rPr>
          </w:pPr>
        </w:p>
        <w:p>
          <w:pPr>
            <w:pStyle w:val="TOC1"/>
            <w:tabs>
              <w:tab w:val="right" w:leader="dot" w:pos="9628"/>
            </w:tabs>
            <w:rPr>
              <w:rFonts w:asciiTheme="minorHAnsi" w:eastAsiaTheme="minorEastAsia" w:hAnsiTheme="minorHAnsi" w:cstheme="minorBidi"/>
              <w:noProof/>
              <w:color w:val="auto"/>
              <w:szCs w:val="22"/>
              <w:lang w:val="en-US" w:eastAsia="en-US"/>
            </w:rPr>
          </w:pPr>
          <w:r>
            <w:rPr>
              <w:rFonts w:ascii="Times New Roman" w:hAnsi="Times New Roman"/>
              <w:caps/>
              <w:noProof/>
              <w:color w:val="016794"/>
              <w:sz w:val="24"/>
            </w:rPr>
            <w:fldChar w:fldCharType="begin"/>
          </w:r>
          <w:r>
            <w:rPr>
              <w:caps/>
              <w:noProof/>
              <w:color w:val="016794"/>
            </w:rPr>
            <w:instrText xml:space="preserve"> TOC \o "1-3" \t "FIRST CHAPTER_PAGE_1;1;HEADER_TITLE_1;2" </w:instrText>
          </w:r>
          <w:r>
            <w:rPr>
              <w:rFonts w:ascii="Times New Roman" w:hAnsi="Times New Roman"/>
              <w:caps/>
              <w:noProof/>
              <w:color w:val="016794"/>
              <w:sz w:val="24"/>
            </w:rPr>
            <w:fldChar w:fldCharType="separate"/>
          </w:r>
          <w:r>
            <w:rPr>
              <w:noProof/>
            </w:rPr>
            <w:t>EPF FINANSINĖS ATASKAITOS</w:t>
          </w:r>
          <w:r>
            <w:rPr>
              <w:noProof/>
            </w:rPr>
            <w:tab/>
          </w:r>
          <w:r>
            <w:rPr>
              <w:noProof/>
            </w:rPr>
            <w:fldChar w:fldCharType="begin"/>
          </w:r>
          <w:r>
            <w:rPr>
              <w:noProof/>
            </w:rPr>
            <w:instrText xml:space="preserve"> PAGEREF _Toc48834982 \h </w:instrText>
          </w:r>
          <w:r>
            <w:rPr>
              <w:noProof/>
            </w:rPr>
          </w:r>
          <w:r>
            <w:rPr>
              <w:noProof/>
            </w:rPr>
            <w:fldChar w:fldCharType="separate"/>
          </w:r>
          <w:r>
            <w:rPr>
              <w:noProof/>
            </w:rPr>
            <w:t>9</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rPr>
            <w:t>EPF BALANSAS</w:t>
          </w:r>
          <w:r>
            <w:rPr>
              <w:noProof/>
            </w:rPr>
            <w:tab/>
          </w:r>
          <w:r>
            <w:rPr>
              <w:noProof/>
            </w:rPr>
            <w:fldChar w:fldCharType="begin"/>
          </w:r>
          <w:r>
            <w:rPr>
              <w:noProof/>
            </w:rPr>
            <w:instrText xml:space="preserve"> PAGEREF _Toc48834983 \h </w:instrText>
          </w:r>
          <w:r>
            <w:rPr>
              <w:noProof/>
            </w:rPr>
          </w:r>
          <w:r>
            <w:rPr>
              <w:noProof/>
            </w:rPr>
            <w:fldChar w:fldCharType="separate"/>
          </w:r>
          <w:r>
            <w:rPr>
              <w:noProof/>
            </w:rPr>
            <w:t>10</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rPr>
            <w:t>EPF FINANSINĖS VEIKLOS ATASKAITA</w:t>
          </w:r>
          <w:r>
            <w:rPr>
              <w:noProof/>
            </w:rPr>
            <w:tab/>
          </w:r>
          <w:r>
            <w:rPr>
              <w:noProof/>
            </w:rPr>
            <w:fldChar w:fldCharType="begin"/>
          </w:r>
          <w:r>
            <w:rPr>
              <w:noProof/>
            </w:rPr>
            <w:instrText xml:space="preserve"> PAGEREF _Toc48834984 \h </w:instrText>
          </w:r>
          <w:r>
            <w:rPr>
              <w:noProof/>
            </w:rPr>
          </w:r>
          <w:r>
            <w:rPr>
              <w:noProof/>
            </w:rPr>
            <w:fldChar w:fldCharType="separate"/>
          </w:r>
          <w:r>
            <w:rPr>
              <w:noProof/>
            </w:rPr>
            <w:t>11</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rPr>
            <w:t>EPF PINIGŲ SRAUTŲ ATASKAITA</w:t>
          </w:r>
          <w:r>
            <w:rPr>
              <w:noProof/>
            </w:rPr>
            <w:tab/>
          </w:r>
          <w:r>
            <w:rPr>
              <w:noProof/>
            </w:rPr>
            <w:fldChar w:fldCharType="begin"/>
          </w:r>
          <w:r>
            <w:rPr>
              <w:noProof/>
            </w:rPr>
            <w:instrText xml:space="preserve"> PAGEREF _Toc48834985 \h </w:instrText>
          </w:r>
          <w:r>
            <w:rPr>
              <w:noProof/>
            </w:rPr>
          </w:r>
          <w:r>
            <w:rPr>
              <w:noProof/>
            </w:rPr>
            <w:fldChar w:fldCharType="separate"/>
          </w:r>
          <w:r>
            <w:rPr>
              <w:noProof/>
            </w:rPr>
            <w:t>12</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rPr>
            <w:t>EPF GRYNOJO TURTO POKYČIŲ ATASKAITA</w:t>
          </w:r>
          <w:r>
            <w:rPr>
              <w:noProof/>
            </w:rPr>
            <w:tab/>
          </w:r>
          <w:r>
            <w:rPr>
              <w:noProof/>
            </w:rPr>
            <w:fldChar w:fldCharType="begin"/>
          </w:r>
          <w:r>
            <w:rPr>
              <w:noProof/>
            </w:rPr>
            <w:instrText xml:space="preserve"> PAGEREF _Toc48834986 \h </w:instrText>
          </w:r>
          <w:r>
            <w:rPr>
              <w:noProof/>
            </w:rPr>
          </w:r>
          <w:r>
            <w:rPr>
              <w:noProof/>
            </w:rPr>
            <w:fldChar w:fldCharType="separate"/>
          </w:r>
          <w:r>
            <w:rPr>
              <w:noProof/>
            </w:rPr>
            <w:t>13</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rPr>
            <w:t>EPF BALANSAS</w:t>
          </w:r>
          <w:r>
            <w:rPr>
              <w:noProof/>
            </w:rPr>
            <w:tab/>
          </w:r>
          <w:r>
            <w:rPr>
              <w:noProof/>
            </w:rPr>
            <w:fldChar w:fldCharType="begin"/>
          </w:r>
          <w:r>
            <w:rPr>
              <w:noProof/>
            </w:rPr>
            <w:instrText xml:space="preserve"> PAGEREF _Toc48834987 \h </w:instrText>
          </w:r>
          <w:r>
            <w:rPr>
              <w:noProof/>
            </w:rPr>
          </w:r>
          <w:r>
            <w:rPr>
              <w:noProof/>
            </w:rPr>
            <w:fldChar w:fldCharType="separate"/>
          </w:r>
          <w:r>
            <w:rPr>
              <w:noProof/>
            </w:rPr>
            <w:t>14</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rPr>
            <w:t>EPF FINANSINĖS VEIKLOS ATASKAITA</w:t>
          </w:r>
          <w:r>
            <w:rPr>
              <w:noProof/>
            </w:rPr>
            <w:tab/>
          </w:r>
          <w:r>
            <w:rPr>
              <w:noProof/>
            </w:rPr>
            <w:fldChar w:fldCharType="begin"/>
          </w:r>
          <w:r>
            <w:rPr>
              <w:noProof/>
            </w:rPr>
            <w:instrText xml:space="preserve"> PAGEREF _Toc48834988 \h </w:instrText>
          </w:r>
          <w:r>
            <w:rPr>
              <w:noProof/>
            </w:rPr>
          </w:r>
          <w:r>
            <w:rPr>
              <w:noProof/>
            </w:rPr>
            <w:fldChar w:fldCharType="separate"/>
          </w:r>
          <w:r>
            <w:rPr>
              <w:noProof/>
            </w:rPr>
            <w:t>16</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rPr>
            <w:t>EPF GRYNOJO TURTO POKYČIŲ ATASKAITA</w:t>
          </w:r>
          <w:r>
            <w:rPr>
              <w:noProof/>
            </w:rPr>
            <w:tab/>
          </w:r>
          <w:r>
            <w:rPr>
              <w:noProof/>
            </w:rPr>
            <w:fldChar w:fldCharType="begin"/>
          </w:r>
          <w:r>
            <w:rPr>
              <w:noProof/>
            </w:rPr>
            <w:instrText xml:space="preserve"> PAGEREF _Toc48834989 \h </w:instrText>
          </w:r>
          <w:r>
            <w:rPr>
              <w:noProof/>
            </w:rPr>
          </w:r>
          <w:r>
            <w:rPr>
              <w:noProof/>
            </w:rPr>
            <w:fldChar w:fldCharType="separate"/>
          </w:r>
          <w:r>
            <w:rPr>
              <w:noProof/>
            </w:rPr>
            <w:t>17</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rPr>
            <w:t>EPF FINANSINIŲ ATASKAITŲ PASTABOS</w:t>
          </w:r>
          <w:r>
            <w:rPr>
              <w:noProof/>
            </w:rPr>
            <w:tab/>
          </w:r>
          <w:r>
            <w:rPr>
              <w:noProof/>
            </w:rPr>
            <w:fldChar w:fldCharType="begin"/>
          </w:r>
          <w:r>
            <w:rPr>
              <w:noProof/>
            </w:rPr>
            <w:instrText xml:space="preserve"> PAGEREF _Toc48834990 \h </w:instrText>
          </w:r>
          <w:r>
            <w:rPr>
              <w:noProof/>
            </w:rPr>
          </w:r>
          <w:r>
            <w:rPr>
              <w:noProof/>
            </w:rPr>
            <w:fldChar w:fldCharType="separate"/>
          </w:r>
          <w:r>
            <w:rPr>
              <w:noProof/>
            </w:rPr>
            <w:t>20</w:t>
          </w:r>
          <w:r>
            <w:rPr>
              <w:noProof/>
            </w:rPr>
            <w:fldChar w:fldCharType="end"/>
          </w:r>
        </w:p>
        <w:p>
          <w:pPr>
            <w:pStyle w:val="TOC1"/>
            <w:tabs>
              <w:tab w:val="right" w:leader="dot" w:pos="9628"/>
            </w:tabs>
            <w:rPr>
              <w:rFonts w:asciiTheme="minorHAnsi" w:eastAsiaTheme="minorEastAsia" w:hAnsiTheme="minorHAnsi" w:cstheme="minorBidi"/>
              <w:noProof/>
              <w:color w:val="auto"/>
              <w:szCs w:val="22"/>
              <w:lang w:val="en-US" w:eastAsia="en-US"/>
            </w:rPr>
          </w:pPr>
          <w:r>
            <w:rPr>
              <w:noProof/>
            </w:rPr>
            <w:t>EPF KONSOLIDUOTŲ ES PATIKOS FONDŲ FINANSINĖS ATASKAITOS</w:t>
          </w:r>
          <w:r>
            <w:rPr>
              <w:noProof/>
            </w:rPr>
            <w:tab/>
          </w:r>
          <w:r>
            <w:rPr>
              <w:noProof/>
            </w:rPr>
            <w:fldChar w:fldCharType="begin"/>
          </w:r>
          <w:r>
            <w:rPr>
              <w:noProof/>
            </w:rPr>
            <w:instrText xml:space="preserve"> PAGEREF _Toc48834991 \h </w:instrText>
          </w:r>
          <w:r>
            <w:rPr>
              <w:noProof/>
            </w:rPr>
          </w:r>
          <w:r>
            <w:rPr>
              <w:noProof/>
            </w:rPr>
            <w:fldChar w:fldCharType="separate"/>
          </w:r>
          <w:r>
            <w:rPr>
              <w:noProof/>
            </w:rPr>
            <w:t>49</w:t>
          </w:r>
          <w:r>
            <w:rPr>
              <w:noProof/>
            </w:rPr>
            <w:fldChar w:fldCharType="end"/>
          </w:r>
        </w:p>
        <w:p>
          <w:pPr>
            <w:pStyle w:val="TOC1"/>
            <w:tabs>
              <w:tab w:val="right" w:leader="dot" w:pos="9628"/>
            </w:tabs>
            <w:rPr>
              <w:rFonts w:asciiTheme="minorHAnsi" w:eastAsiaTheme="minorEastAsia" w:hAnsiTheme="minorHAnsi" w:cstheme="minorBidi"/>
              <w:noProof/>
              <w:color w:val="auto"/>
              <w:szCs w:val="22"/>
              <w:lang w:val="fr-BE" w:eastAsia="en-US"/>
            </w:rPr>
          </w:pPr>
          <w:r>
            <w:rPr>
              <w:noProof/>
            </w:rPr>
            <w:t>2019 M. ES PATIKOS FONDO „BÊKOU“ FINANSINĖS ATASKAITOS</w:t>
          </w:r>
          <w:r>
            <w:rPr>
              <w:noProof/>
            </w:rPr>
            <w:tab/>
          </w:r>
          <w:r>
            <w:rPr>
              <w:noProof/>
            </w:rPr>
            <w:fldChar w:fldCharType="begin"/>
          </w:r>
          <w:r>
            <w:rPr>
              <w:noProof/>
            </w:rPr>
            <w:instrText xml:space="preserve"> PAGEREF _Toc48834992 \h </w:instrText>
          </w:r>
          <w:r>
            <w:rPr>
              <w:noProof/>
            </w:rPr>
          </w:r>
          <w:r>
            <w:rPr>
              <w:noProof/>
            </w:rPr>
            <w:fldChar w:fldCharType="separate"/>
          </w:r>
          <w:r>
            <w:rPr>
              <w:noProof/>
            </w:rPr>
            <w:t>50</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rPr>
            <w:t>BALANSAS</w:t>
          </w:r>
          <w:r>
            <w:rPr>
              <w:noProof/>
            </w:rPr>
            <w:tab/>
          </w:r>
          <w:r>
            <w:rPr>
              <w:noProof/>
            </w:rPr>
            <w:fldChar w:fldCharType="begin"/>
          </w:r>
          <w:r>
            <w:rPr>
              <w:noProof/>
            </w:rPr>
            <w:instrText xml:space="preserve"> PAGEREF _Toc48834993 \h </w:instrText>
          </w:r>
          <w:r>
            <w:rPr>
              <w:noProof/>
            </w:rPr>
          </w:r>
          <w:r>
            <w:rPr>
              <w:noProof/>
            </w:rPr>
            <w:fldChar w:fldCharType="separate"/>
          </w:r>
          <w:r>
            <w:rPr>
              <w:noProof/>
            </w:rPr>
            <w:t>54</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rPr>
            <w:t>FINANSINĖS VEIKLOS ATASKAITA</w:t>
          </w:r>
          <w:r>
            <w:rPr>
              <w:noProof/>
            </w:rPr>
            <w:tab/>
          </w:r>
          <w:r>
            <w:rPr>
              <w:noProof/>
            </w:rPr>
            <w:fldChar w:fldCharType="begin"/>
          </w:r>
          <w:r>
            <w:rPr>
              <w:noProof/>
            </w:rPr>
            <w:instrText xml:space="preserve"> PAGEREF _Toc48834994 \h </w:instrText>
          </w:r>
          <w:r>
            <w:rPr>
              <w:noProof/>
            </w:rPr>
          </w:r>
          <w:r>
            <w:rPr>
              <w:noProof/>
            </w:rPr>
            <w:fldChar w:fldCharType="separate"/>
          </w:r>
          <w:r>
            <w:rPr>
              <w:noProof/>
            </w:rPr>
            <w:t>55</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rPr>
            <w:t>PINIGŲ SRAUTŲ ATASKAITA</w:t>
          </w:r>
          <w:r>
            <w:rPr>
              <w:noProof/>
            </w:rPr>
            <w:tab/>
          </w:r>
          <w:r>
            <w:rPr>
              <w:noProof/>
            </w:rPr>
            <w:fldChar w:fldCharType="begin"/>
          </w:r>
          <w:r>
            <w:rPr>
              <w:noProof/>
            </w:rPr>
            <w:instrText xml:space="preserve"> PAGEREF _Toc48834995 \h </w:instrText>
          </w:r>
          <w:r>
            <w:rPr>
              <w:noProof/>
            </w:rPr>
          </w:r>
          <w:r>
            <w:rPr>
              <w:noProof/>
            </w:rPr>
            <w:fldChar w:fldCharType="separate"/>
          </w:r>
          <w:r>
            <w:rPr>
              <w:noProof/>
            </w:rPr>
            <w:t>56</w:t>
          </w:r>
          <w:r>
            <w:rPr>
              <w:noProof/>
            </w:rPr>
            <w:fldChar w:fldCharType="end"/>
          </w:r>
        </w:p>
        <w:p>
          <w:pPr>
            <w:pStyle w:val="TOC1"/>
            <w:tabs>
              <w:tab w:val="right" w:leader="dot" w:pos="9628"/>
            </w:tabs>
            <w:rPr>
              <w:rFonts w:asciiTheme="minorHAnsi" w:eastAsiaTheme="minorEastAsia" w:hAnsiTheme="minorHAnsi" w:cstheme="minorBidi"/>
              <w:noProof/>
              <w:color w:val="auto"/>
              <w:szCs w:val="22"/>
              <w:lang w:val="en-US" w:eastAsia="en-US"/>
            </w:rPr>
          </w:pPr>
          <w:r>
            <w:rPr>
              <w:noProof/>
            </w:rPr>
            <w:t>2019 M. ES PATIKOS FONDO AFRIKAI FINANSINĖS ATASKAITOS</w:t>
          </w:r>
          <w:r>
            <w:rPr>
              <w:noProof/>
            </w:rPr>
            <w:tab/>
          </w:r>
          <w:r>
            <w:rPr>
              <w:noProof/>
            </w:rPr>
            <w:fldChar w:fldCharType="begin"/>
          </w:r>
          <w:r>
            <w:rPr>
              <w:noProof/>
            </w:rPr>
            <w:instrText xml:space="preserve"> PAGEREF _Toc48834996 \h </w:instrText>
          </w:r>
          <w:r>
            <w:rPr>
              <w:noProof/>
            </w:rPr>
          </w:r>
          <w:r>
            <w:rPr>
              <w:noProof/>
            </w:rPr>
            <w:fldChar w:fldCharType="separate"/>
          </w:r>
          <w:r>
            <w:rPr>
              <w:noProof/>
            </w:rPr>
            <w:t>57</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rPr>
            <w:t>BALANSAS</w:t>
          </w:r>
          <w:r>
            <w:rPr>
              <w:noProof/>
            </w:rPr>
            <w:tab/>
          </w:r>
          <w:r>
            <w:rPr>
              <w:noProof/>
            </w:rPr>
            <w:fldChar w:fldCharType="begin"/>
          </w:r>
          <w:r>
            <w:rPr>
              <w:noProof/>
            </w:rPr>
            <w:instrText xml:space="preserve"> PAGEREF _Toc48834997 \h </w:instrText>
          </w:r>
          <w:r>
            <w:rPr>
              <w:noProof/>
            </w:rPr>
          </w:r>
          <w:r>
            <w:rPr>
              <w:noProof/>
            </w:rPr>
            <w:fldChar w:fldCharType="separate"/>
          </w:r>
          <w:r>
            <w:rPr>
              <w:noProof/>
            </w:rPr>
            <w:t>62</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rPr>
            <w:t>FINANSINĖS VEIKLOS ATASKAITA</w:t>
          </w:r>
          <w:r>
            <w:rPr>
              <w:noProof/>
            </w:rPr>
            <w:tab/>
          </w:r>
          <w:r>
            <w:rPr>
              <w:noProof/>
            </w:rPr>
            <w:fldChar w:fldCharType="begin"/>
          </w:r>
          <w:r>
            <w:rPr>
              <w:noProof/>
            </w:rPr>
            <w:instrText xml:space="preserve"> PAGEREF _Toc48834998 \h </w:instrText>
          </w:r>
          <w:r>
            <w:rPr>
              <w:noProof/>
            </w:rPr>
          </w:r>
          <w:r>
            <w:rPr>
              <w:noProof/>
            </w:rPr>
            <w:fldChar w:fldCharType="separate"/>
          </w:r>
          <w:r>
            <w:rPr>
              <w:noProof/>
            </w:rPr>
            <w:t>63</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rPr>
            <w:t>PINIGŲ SRAUTŲ ATASKAITA</w:t>
          </w:r>
          <w:r>
            <w:rPr>
              <w:noProof/>
            </w:rPr>
            <w:tab/>
          </w:r>
          <w:r>
            <w:rPr>
              <w:noProof/>
            </w:rPr>
            <w:fldChar w:fldCharType="begin"/>
          </w:r>
          <w:r>
            <w:rPr>
              <w:noProof/>
            </w:rPr>
            <w:instrText xml:space="preserve"> PAGEREF _Toc48834999 \h </w:instrText>
          </w:r>
          <w:r>
            <w:rPr>
              <w:noProof/>
            </w:rPr>
          </w:r>
          <w:r>
            <w:rPr>
              <w:noProof/>
            </w:rPr>
            <w:fldChar w:fldCharType="separate"/>
          </w:r>
          <w:r>
            <w:rPr>
              <w:noProof/>
            </w:rPr>
            <w:t>64</w:t>
          </w:r>
          <w:r>
            <w:rPr>
              <w:noProof/>
            </w:rPr>
            <w:fldChar w:fldCharType="end"/>
          </w:r>
        </w:p>
        <w:p>
          <w:pPr>
            <w:pStyle w:val="TOC1"/>
            <w:tabs>
              <w:tab w:val="right" w:leader="dot" w:pos="9628"/>
            </w:tabs>
            <w:rPr>
              <w:rFonts w:asciiTheme="minorHAnsi" w:eastAsiaTheme="minorEastAsia" w:hAnsiTheme="minorHAnsi" w:cstheme="minorBidi"/>
              <w:noProof/>
              <w:color w:val="auto"/>
              <w:szCs w:val="22"/>
              <w:lang w:val="fr-BE" w:eastAsia="en-US"/>
            </w:rPr>
          </w:pPr>
          <w:r>
            <w:rPr>
              <w:noProof/>
            </w:rPr>
            <w:t>EPF IR ES PATIKOS FONDŲ KONSOLIDUOTOSIOS FINANSINĖS ATASKAITOS</w:t>
          </w:r>
          <w:r>
            <w:rPr>
              <w:noProof/>
            </w:rPr>
            <w:tab/>
          </w:r>
          <w:r>
            <w:rPr>
              <w:noProof/>
            </w:rPr>
            <w:fldChar w:fldCharType="begin"/>
          </w:r>
          <w:r>
            <w:rPr>
              <w:noProof/>
            </w:rPr>
            <w:instrText xml:space="preserve"> PAGEREF _Toc48835000 \h </w:instrText>
          </w:r>
          <w:r>
            <w:rPr>
              <w:noProof/>
            </w:rPr>
          </w:r>
          <w:r>
            <w:rPr>
              <w:noProof/>
            </w:rPr>
            <w:fldChar w:fldCharType="separate"/>
          </w:r>
          <w:r>
            <w:rPr>
              <w:noProof/>
            </w:rPr>
            <w:t>65</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fr-BE" w:eastAsia="en-US"/>
            </w:rPr>
          </w:pPr>
          <w:r>
            <w:rPr>
              <w:noProof/>
            </w:rPr>
            <w:t>KONSOLIDUOTASIS BALANSAS</w:t>
          </w:r>
          <w:r>
            <w:rPr>
              <w:noProof/>
            </w:rPr>
            <w:tab/>
          </w:r>
          <w:r>
            <w:rPr>
              <w:noProof/>
            </w:rPr>
            <w:fldChar w:fldCharType="begin"/>
          </w:r>
          <w:r>
            <w:rPr>
              <w:noProof/>
            </w:rPr>
            <w:instrText xml:space="preserve"> PAGEREF _Toc48835001 \h </w:instrText>
          </w:r>
          <w:r>
            <w:rPr>
              <w:noProof/>
            </w:rPr>
          </w:r>
          <w:r>
            <w:rPr>
              <w:noProof/>
            </w:rPr>
            <w:fldChar w:fldCharType="separate"/>
          </w:r>
          <w:r>
            <w:rPr>
              <w:noProof/>
            </w:rPr>
            <w:t>67</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fr-BE" w:eastAsia="en-US"/>
            </w:rPr>
          </w:pPr>
          <w:r>
            <w:rPr>
              <w:noProof/>
            </w:rPr>
            <w:t>KONSOLIDUOTOJI FINANSINĖS VEIKLOS ATASKAITA</w:t>
          </w:r>
          <w:r>
            <w:rPr>
              <w:noProof/>
            </w:rPr>
            <w:tab/>
          </w:r>
          <w:r>
            <w:rPr>
              <w:noProof/>
            </w:rPr>
            <w:fldChar w:fldCharType="begin"/>
          </w:r>
          <w:r>
            <w:rPr>
              <w:noProof/>
            </w:rPr>
            <w:instrText xml:space="preserve"> PAGEREF _Toc48835002 \h </w:instrText>
          </w:r>
          <w:r>
            <w:rPr>
              <w:noProof/>
            </w:rPr>
          </w:r>
          <w:r>
            <w:rPr>
              <w:noProof/>
            </w:rPr>
            <w:fldChar w:fldCharType="separate"/>
          </w:r>
          <w:r>
            <w:rPr>
              <w:noProof/>
            </w:rPr>
            <w:t>68</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fr-BE" w:eastAsia="en-US"/>
            </w:rPr>
          </w:pPr>
          <w:r>
            <w:rPr>
              <w:noProof/>
            </w:rPr>
            <w:t>KONSOLIDUOTOJI PINIGŲ SRAUTŲ ATASKAITA</w:t>
          </w:r>
          <w:r>
            <w:rPr>
              <w:noProof/>
            </w:rPr>
            <w:tab/>
          </w:r>
          <w:r>
            <w:rPr>
              <w:noProof/>
            </w:rPr>
            <w:fldChar w:fldCharType="begin"/>
          </w:r>
          <w:r>
            <w:rPr>
              <w:noProof/>
            </w:rPr>
            <w:instrText xml:space="preserve"> PAGEREF _Toc48835003 \h </w:instrText>
          </w:r>
          <w:r>
            <w:rPr>
              <w:noProof/>
            </w:rPr>
          </w:r>
          <w:r>
            <w:rPr>
              <w:noProof/>
            </w:rPr>
            <w:fldChar w:fldCharType="separate"/>
          </w:r>
          <w:r>
            <w:rPr>
              <w:noProof/>
            </w:rPr>
            <w:t>69</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fr-BE" w:eastAsia="en-US"/>
            </w:rPr>
          </w:pPr>
          <w:r>
            <w:rPr>
              <w:noProof/>
            </w:rPr>
            <w:t>KONSOLIDUOTOJI GRYNOJO TURTO POKYČIŲ ATASKAITA</w:t>
          </w:r>
          <w:r>
            <w:rPr>
              <w:noProof/>
            </w:rPr>
            <w:tab/>
          </w:r>
          <w:r>
            <w:rPr>
              <w:noProof/>
            </w:rPr>
            <w:fldChar w:fldCharType="begin"/>
          </w:r>
          <w:r>
            <w:rPr>
              <w:noProof/>
            </w:rPr>
            <w:instrText xml:space="preserve"> PAGEREF _Toc48835004 \h </w:instrText>
          </w:r>
          <w:r>
            <w:rPr>
              <w:noProof/>
            </w:rPr>
          </w:r>
          <w:r>
            <w:rPr>
              <w:noProof/>
            </w:rPr>
            <w:fldChar w:fldCharType="separate"/>
          </w:r>
          <w:r>
            <w:rPr>
              <w:noProof/>
            </w:rPr>
            <w:t>70</w:t>
          </w:r>
          <w:r>
            <w:rPr>
              <w:noProof/>
            </w:rPr>
            <w:fldChar w:fldCharType="end"/>
          </w:r>
        </w:p>
        <w:p>
          <w:pPr>
            <w:pStyle w:val="TOC1"/>
            <w:tabs>
              <w:tab w:val="right" w:leader="dot" w:pos="9628"/>
            </w:tabs>
            <w:rPr>
              <w:rFonts w:asciiTheme="minorHAnsi" w:eastAsiaTheme="minorEastAsia" w:hAnsiTheme="minorHAnsi" w:cstheme="minorBidi"/>
              <w:noProof/>
              <w:color w:val="auto"/>
              <w:szCs w:val="22"/>
              <w:lang w:val="en-US" w:eastAsia="en-US"/>
            </w:rPr>
          </w:pPr>
          <w:r>
            <w:rPr>
              <w:noProof/>
            </w:rPr>
            <w:t>EPF FINANSINIO VYKDYMO ATASKAITA</w:t>
          </w:r>
          <w:r>
            <w:rPr>
              <w:noProof/>
            </w:rPr>
            <w:tab/>
          </w:r>
          <w:r>
            <w:rPr>
              <w:noProof/>
            </w:rPr>
            <w:fldChar w:fldCharType="begin"/>
          </w:r>
          <w:r>
            <w:rPr>
              <w:noProof/>
            </w:rPr>
            <w:instrText xml:space="preserve"> PAGEREF _Toc48835005 \h </w:instrText>
          </w:r>
          <w:r>
            <w:rPr>
              <w:noProof/>
            </w:rPr>
          </w:r>
          <w:r>
            <w:rPr>
              <w:noProof/>
            </w:rPr>
            <w:fldChar w:fldCharType="separate"/>
          </w:r>
          <w:r>
            <w:rPr>
              <w:noProof/>
            </w:rPr>
            <w:t>71</w:t>
          </w:r>
          <w:r>
            <w:rPr>
              <w:noProof/>
            </w:rPr>
            <w:fldChar w:fldCharType="end"/>
          </w:r>
        </w:p>
        <w:p>
          <w:pPr>
            <w:rPr>
              <w:noProof/>
            </w:rPr>
          </w:pPr>
          <w:r>
            <w:rPr>
              <w:rFonts w:ascii="Verdana" w:hAnsi="Verdana"/>
              <w:caps/>
              <w:noProof/>
              <w:color w:val="016794"/>
              <w:sz w:val="22"/>
            </w:rPr>
            <w:fldChar w:fldCharType="end"/>
          </w:r>
        </w:p>
      </w:sdtContent>
    </w:sdt>
    <w:p>
      <w:pPr>
        <w:pStyle w:val="Textstand-alone"/>
      </w:pPr>
    </w:p>
    <w:p>
      <w:pPr>
        <w:pStyle w:val="Textstand-alone"/>
      </w:pPr>
    </w:p>
    <w:p>
      <w:pPr>
        <w:pStyle w:val="HEADERTITLE"/>
        <w:spacing w:before="240" w:after="720"/>
        <w:rPr>
          <w:sz w:val="40"/>
        </w:rPr>
        <w:sectPr>
          <w:headerReference w:type="even" r:id="rId53"/>
          <w:headerReference w:type="default" r:id="rId54"/>
          <w:footerReference w:type="even" r:id="rId55"/>
          <w:footerReference w:type="default" r:id="rId56"/>
          <w:headerReference w:type="first" r:id="rId57"/>
          <w:footerReference w:type="first" r:id="rId58"/>
          <w:pgSz w:w="11906" w:h="16838" w:code="9"/>
          <w:pgMar w:top="1134" w:right="1134" w:bottom="1134" w:left="1134" w:header="709" w:footer="709" w:gutter="0"/>
          <w:cols w:space="708"/>
          <w:docGrid w:linePitch="360"/>
        </w:sectPr>
      </w:pPr>
    </w:p>
    <w:p>
      <w:pPr>
        <w:pStyle w:val="FIRSTCHAPTERPAGE1"/>
      </w:pPr>
    </w:p>
    <w:p>
      <w:pPr>
        <w:pStyle w:val="FIRSTCHAPTERPAGE1"/>
      </w:pPr>
    </w:p>
    <w:p>
      <w:pPr>
        <w:pStyle w:val="FIRSTCHAPTERPAGE1"/>
      </w:pPr>
    </w:p>
    <w:p>
      <w:pPr>
        <w:pStyle w:val="FIRSTCHAPTERPAGE1"/>
      </w:pPr>
    </w:p>
    <w:p>
      <w:pPr>
        <w:pStyle w:val="FIRSTCHAPTERPAGE1"/>
      </w:pPr>
    </w:p>
    <w:p>
      <w:pPr>
        <w:pStyle w:val="FIRSTCHAPTERPAGE1"/>
      </w:pPr>
      <w:bookmarkStart w:id="12" w:name="_Toc48834982"/>
      <w:bookmarkStart w:id="13" w:name="_Toc49242748"/>
      <w:r>
        <w:t>EPF FINANSINĖS ATASKAITOS</w:t>
      </w:r>
      <w:bookmarkEnd w:id="12"/>
      <w:bookmarkEnd w:id="13"/>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p>
    <w:p>
      <w:pPr>
        <w:pStyle w:val="TOPHEADERNOTE"/>
        <w:rPr>
          <w:noProof/>
        </w:rPr>
      </w:pPr>
      <w:r>
        <w:rPr>
          <w:noProof/>
        </w:rPr>
        <w:t>Reikėtų atkreipti dėmesį, kad skaičius suapvalinant iki milijonų eurų kai kurių šiose lentelėse pateikiamų finansinių duomenų suma gali būti netiksli.</w:t>
      </w:r>
    </w:p>
    <w:p>
      <w:pPr>
        <w:pStyle w:val="TOPHEADERNOTE"/>
        <w:rPr>
          <w:noProof/>
        </w:rPr>
        <w:sectPr>
          <w:headerReference w:type="even" r:id="rId59"/>
          <w:headerReference w:type="default" r:id="rId60"/>
          <w:footerReference w:type="even" r:id="rId61"/>
          <w:footerReference w:type="default" r:id="rId62"/>
          <w:headerReference w:type="first" r:id="rId63"/>
          <w:footerReference w:type="first" r:id="rId64"/>
          <w:pgSz w:w="11906" w:h="16838" w:code="9"/>
          <w:pgMar w:top="1134" w:right="1134" w:bottom="1134" w:left="1134" w:header="709" w:footer="709" w:gutter="0"/>
          <w:cols w:space="708"/>
          <w:docGrid w:linePitch="360"/>
        </w:sectPr>
      </w:pPr>
    </w:p>
    <w:p>
      <w:pPr>
        <w:pStyle w:val="HEADERTITLE1"/>
      </w:pPr>
      <w:bookmarkStart w:id="14" w:name="_Toc34838958"/>
      <w:bookmarkStart w:id="15" w:name="_Toc48834983"/>
      <w:r>
        <w:t>EPF BALANSAS</w:t>
      </w:r>
      <w:bookmarkEnd w:id="14"/>
      <w:bookmarkEnd w:id="15"/>
    </w:p>
    <w:tbl>
      <w:tblPr>
        <w:tblW w:w="1020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5"/>
        <w:gridCol w:w="1084"/>
        <w:gridCol w:w="1418"/>
        <w:gridCol w:w="1417"/>
      </w:tblGrid>
      <w:tr>
        <w:trPr>
          <w:trHeight w:hRule="exact" w:val="255"/>
        </w:trPr>
        <w:tc>
          <w:tcPr>
            <w:tcW w:w="6285" w:type="dxa"/>
            <w:tcBorders>
              <w:top w:val="nil"/>
              <w:left w:val="nil"/>
              <w:bottom w:val="nil"/>
              <w:right w:val="nil"/>
              <w:tl2br w:val="nil"/>
              <w:tr2bl w:val="nil"/>
            </w:tcBorders>
            <w:shd w:val="clear" w:color="auto" w:fill="auto"/>
            <w:tcMar>
              <w:left w:w="60" w:type="dxa"/>
              <w:right w:w="60" w:type="dxa"/>
            </w:tcMar>
            <w:vAlign w:val="bottom"/>
          </w:tcPr>
          <w:p>
            <w:pPr>
              <w:pStyle w:val="DMETW18949BIPAGGBS"/>
              <w:rPr>
                <w:rFonts w:ascii="Arial" w:eastAsia="Arial" w:hAnsi="Arial" w:cs="Arial"/>
                <w:noProof/>
                <w:color w:val="000000"/>
              </w:rPr>
            </w:pPr>
            <w:bookmarkStart w:id="16" w:name="DOC_TBL00005_1_1"/>
            <w:bookmarkEnd w:id="16"/>
          </w:p>
        </w:tc>
        <w:tc>
          <w:tcPr>
            <w:tcW w:w="1084" w:type="dxa"/>
            <w:tcBorders>
              <w:top w:val="nil"/>
              <w:left w:val="nil"/>
              <w:bottom w:val="nil"/>
              <w:right w:val="nil"/>
              <w:tl2br w:val="nil"/>
              <w:tr2bl w:val="nil"/>
            </w:tcBorders>
            <w:shd w:val="clear" w:color="auto" w:fill="auto"/>
            <w:tcMar>
              <w:left w:w="60" w:type="dxa"/>
              <w:right w:w="60" w:type="dxa"/>
            </w:tcMar>
            <w:vAlign w:val="bottom"/>
          </w:tcPr>
          <w:p>
            <w:pPr>
              <w:pStyle w:val="DMETW18949BIPAGGBS"/>
              <w:jc w:val="center"/>
              <w:rPr>
                <w:rFonts w:ascii="Arial" w:eastAsia="Arial" w:hAnsi="Arial" w:cs="Arial"/>
                <w:noProof/>
                <w:color w:val="000000"/>
              </w:rPr>
            </w:pPr>
          </w:p>
        </w:tc>
        <w:tc>
          <w:tcPr>
            <w:tcW w:w="1418" w:type="dxa"/>
            <w:tcBorders>
              <w:top w:val="nil"/>
              <w:left w:val="nil"/>
              <w:bottom w:val="nil"/>
              <w:right w:val="nil"/>
              <w:tl2br w:val="nil"/>
              <w:tr2bl w:val="nil"/>
            </w:tcBorders>
            <w:shd w:val="clear" w:color="auto" w:fill="auto"/>
            <w:tcMar>
              <w:left w:w="60" w:type="dxa"/>
              <w:right w:w="60" w:type="dxa"/>
            </w:tcMar>
            <w:vAlign w:val="bottom"/>
          </w:tcPr>
          <w:p>
            <w:pPr>
              <w:pStyle w:val="DMETW18949BIPAGGBS"/>
              <w:jc w:val="right"/>
              <w:rPr>
                <w:rFonts w:ascii="Arial" w:eastAsia="Arial" w:hAnsi="Arial" w:cs="Arial"/>
                <w:noProof/>
                <w:color w:val="000000"/>
              </w:rPr>
            </w:pP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8949BIPAGGBS"/>
              <w:jc w:val="right"/>
              <w:rPr>
                <w:rFonts w:ascii="Verdana" w:eastAsia="Verdana" w:hAnsi="Verdana" w:cs="Verdana"/>
                <w:i/>
                <w:noProof/>
                <w:color w:val="000000"/>
                <w:sz w:val="16"/>
              </w:rPr>
            </w:pPr>
            <w:r>
              <w:rPr>
                <w:rFonts w:ascii="Verdana" w:hAnsi="Verdana"/>
                <w:i/>
                <w:noProof/>
                <w:color w:val="000000"/>
                <w:sz w:val="16"/>
              </w:rPr>
              <w:t>mln. EUR</w:t>
            </w:r>
          </w:p>
        </w:tc>
      </w:tr>
      <w:tr>
        <w:trPr>
          <w:trHeight w:hRule="exact" w:val="255"/>
        </w:trPr>
        <w:tc>
          <w:tcPr>
            <w:tcW w:w="6285" w:type="dxa"/>
            <w:tcBorders>
              <w:top w:val="nil"/>
              <w:left w:val="nil"/>
              <w:bottom w:val="nil"/>
              <w:right w:val="nil"/>
              <w:tl2br w:val="nil"/>
              <w:tr2bl w:val="nil"/>
            </w:tcBorders>
            <w:shd w:val="solid" w:color="016794" w:fill="FFFFFF"/>
            <w:tcMar>
              <w:left w:w="60" w:type="dxa"/>
              <w:right w:w="60" w:type="dxa"/>
            </w:tcMar>
            <w:vAlign w:val="bottom"/>
          </w:tcPr>
          <w:p>
            <w:pPr>
              <w:pStyle w:val="DMETW18949BIPAGGBS"/>
              <w:rPr>
                <w:rFonts w:ascii="Verdana" w:eastAsia="Verdana" w:hAnsi="Verdana" w:cs="Verdana"/>
                <w:noProof/>
                <w:color w:val="FFFFFF"/>
              </w:rPr>
            </w:pPr>
          </w:p>
        </w:tc>
        <w:tc>
          <w:tcPr>
            <w:tcW w:w="1084" w:type="dxa"/>
            <w:tcBorders>
              <w:top w:val="nil"/>
              <w:left w:val="nil"/>
              <w:bottom w:val="nil"/>
              <w:right w:val="nil"/>
              <w:tl2br w:val="nil"/>
              <w:tr2bl w:val="nil"/>
            </w:tcBorders>
            <w:shd w:val="solid" w:color="016794" w:fill="FFFFFF"/>
            <w:tcMar>
              <w:left w:w="60" w:type="dxa"/>
              <w:right w:w="60" w:type="dxa"/>
            </w:tcMar>
            <w:vAlign w:val="bottom"/>
          </w:tcPr>
          <w:p>
            <w:pPr>
              <w:pStyle w:val="DMETW18949BIPAGGBS"/>
              <w:rPr>
                <w:rFonts w:ascii="Verdana" w:eastAsia="Verdana" w:hAnsi="Verdana" w:cs="Verdana"/>
                <w:noProof/>
                <w:color w:val="FFFFFF"/>
              </w:rPr>
            </w:pPr>
            <w:r>
              <w:rPr>
                <w:rFonts w:ascii="Verdana" w:hAnsi="Verdana"/>
                <w:noProof/>
                <w:color w:val="FFFFFF"/>
              </w:rPr>
              <w:t>Pastaba</w:t>
            </w:r>
          </w:p>
        </w:tc>
        <w:tc>
          <w:tcPr>
            <w:tcW w:w="1418" w:type="dxa"/>
            <w:tcBorders>
              <w:top w:val="nil"/>
              <w:left w:val="nil"/>
              <w:bottom w:val="nil"/>
              <w:right w:val="nil"/>
              <w:tl2br w:val="nil"/>
              <w:tr2bl w:val="nil"/>
            </w:tcBorders>
            <w:shd w:val="solid" w:color="016794" w:fill="FFFFFF"/>
            <w:tcMar>
              <w:left w:w="60" w:type="dxa"/>
              <w:right w:w="60" w:type="dxa"/>
            </w:tcMar>
            <w:vAlign w:val="bottom"/>
          </w:tcPr>
          <w:p>
            <w:pPr>
              <w:pStyle w:val="DMETW18949BIPAGGBS"/>
              <w:jc w:val="right"/>
              <w:rPr>
                <w:rFonts w:ascii="Verdana" w:eastAsia="Verdana" w:hAnsi="Verdana" w:cs="Verdana"/>
                <w:noProof/>
                <w:color w:val="FFFFFF"/>
              </w:rPr>
            </w:pPr>
            <w:r>
              <w:rPr>
                <w:rFonts w:ascii="Verdana" w:hAnsi="Verdana"/>
                <w:noProof/>
                <w:color w:val="FFFFFF"/>
              </w:rPr>
              <w:t>2019 12 31</w:t>
            </w:r>
          </w:p>
        </w:tc>
        <w:tc>
          <w:tcPr>
            <w:tcW w:w="1417" w:type="dxa"/>
            <w:tcBorders>
              <w:top w:val="nil"/>
              <w:left w:val="nil"/>
              <w:bottom w:val="nil"/>
              <w:right w:val="nil"/>
              <w:tl2br w:val="nil"/>
              <w:tr2bl w:val="nil"/>
            </w:tcBorders>
            <w:shd w:val="solid" w:color="016794" w:fill="FFFFFF"/>
            <w:tcMar>
              <w:left w:w="60" w:type="dxa"/>
              <w:right w:w="60" w:type="dxa"/>
            </w:tcMar>
            <w:vAlign w:val="bottom"/>
          </w:tcPr>
          <w:p>
            <w:pPr>
              <w:pStyle w:val="DMETW18949BIPAGGBS"/>
              <w:jc w:val="right"/>
              <w:rPr>
                <w:rFonts w:ascii="Verdana" w:eastAsia="Verdana" w:hAnsi="Verdana" w:cs="Verdana"/>
                <w:noProof/>
                <w:color w:val="FFFFFF"/>
              </w:rPr>
            </w:pPr>
            <w:r>
              <w:rPr>
                <w:rFonts w:ascii="Verdana" w:hAnsi="Verdana"/>
                <w:noProof/>
                <w:color w:val="FFFFFF"/>
              </w:rPr>
              <w:t>2018 12 31</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hAnsi="Verdana"/>
                <w:b/>
                <w:noProof/>
                <w:color w:val="000000"/>
                <w:sz w:val="18"/>
              </w:rPr>
              <w:t>ILGALAIKIS TURTAS</w:t>
            </w:r>
          </w:p>
        </w:tc>
        <w:tc>
          <w:tcPr>
            <w:tcW w:w="1084"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418"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noProof/>
                <w:color w:val="000000"/>
                <w:sz w:val="18"/>
              </w:rPr>
            </w:pPr>
          </w:p>
        </w:tc>
        <w:tc>
          <w:tcPr>
            <w:tcW w:w="1417"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noProof/>
                <w:color w:val="000000"/>
                <w:sz w:val="18"/>
                <w:lan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Finansinis turtas</w:t>
            </w:r>
          </w:p>
        </w:tc>
        <w:tc>
          <w:tcPr>
            <w:tcW w:w="1084"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hAnsi="Verdana"/>
                <w:noProof/>
                <w:color w:val="000000"/>
                <w:sz w:val="18"/>
              </w:rPr>
              <w:t>2.1</w:t>
            </w:r>
          </w:p>
        </w:tc>
        <w:tc>
          <w:tcPr>
            <w:tcW w:w="1418"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36</w:t>
            </w:r>
          </w:p>
        </w:tc>
        <w:tc>
          <w:tcPr>
            <w:tcW w:w="1417"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Išankstinis finansavimas</w:t>
            </w:r>
          </w:p>
        </w:tc>
        <w:tc>
          <w:tcPr>
            <w:tcW w:w="1084"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hAnsi="Verdana"/>
                <w:noProof/>
                <w:color w:val="000000"/>
                <w:sz w:val="18"/>
              </w:rPr>
              <w:t>2.2</w:t>
            </w:r>
          </w:p>
        </w:tc>
        <w:tc>
          <w:tcPr>
            <w:tcW w:w="1418"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910</w:t>
            </w:r>
          </w:p>
        </w:tc>
        <w:tc>
          <w:tcPr>
            <w:tcW w:w="1417"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887</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Patikos fondo įnašai</w:t>
            </w:r>
          </w:p>
        </w:tc>
        <w:tc>
          <w:tcPr>
            <w:tcW w:w="1084"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hAnsi="Verdana"/>
                <w:noProof/>
                <w:color w:val="000000"/>
                <w:sz w:val="18"/>
              </w:rPr>
              <w:t>2.3</w:t>
            </w:r>
          </w:p>
        </w:tc>
        <w:tc>
          <w:tcPr>
            <w:tcW w:w="1418"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266</w:t>
            </w:r>
          </w:p>
        </w:tc>
        <w:tc>
          <w:tcPr>
            <w:tcW w:w="1417"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201</w:t>
            </w:r>
          </w:p>
        </w:tc>
      </w:tr>
      <w:tr>
        <w:trPr>
          <w:trHeight w:hRule="exact" w:val="225"/>
        </w:trPr>
        <w:tc>
          <w:tcPr>
            <w:tcW w:w="62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BS"/>
              <w:rPr>
                <w:rFonts w:ascii="Verdana" w:eastAsia="Verdana" w:hAnsi="Verdana" w:cs="Verdana"/>
                <w:i/>
                <w:noProof/>
                <w:color w:val="000000"/>
                <w:sz w:val="18"/>
              </w:rPr>
            </w:pPr>
          </w:p>
        </w:tc>
        <w:tc>
          <w:tcPr>
            <w:tcW w:w="108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BS"/>
              <w:rPr>
                <w:rFonts w:ascii="Verdana" w:eastAsia="Verdana" w:hAnsi="Verdana" w:cs="Verdana"/>
                <w:noProof/>
                <w:color w:val="000000"/>
                <w:sz w:val="18"/>
              </w:rPr>
            </w:pPr>
          </w:p>
        </w:tc>
        <w:tc>
          <w:tcPr>
            <w:tcW w:w="14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1 213</w:t>
            </w:r>
          </w:p>
        </w:tc>
        <w:tc>
          <w:tcPr>
            <w:tcW w:w="14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1 088</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hAnsi="Verdana"/>
                <w:b/>
                <w:noProof/>
                <w:color w:val="000000"/>
                <w:sz w:val="18"/>
              </w:rPr>
              <w:t>TRUMPALAIKIS TURTAS</w:t>
            </w:r>
          </w:p>
        </w:tc>
        <w:tc>
          <w:tcPr>
            <w:tcW w:w="1084"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418"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rPr>
            </w:pPr>
          </w:p>
        </w:tc>
        <w:tc>
          <w:tcPr>
            <w:tcW w:w="1417"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lan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Išankstinis finansavimas</w:t>
            </w:r>
          </w:p>
        </w:tc>
        <w:tc>
          <w:tcPr>
            <w:tcW w:w="1084"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hAnsi="Verdana"/>
                <w:noProof/>
                <w:color w:val="000000"/>
                <w:sz w:val="18"/>
              </w:rPr>
              <w:t>2.2</w:t>
            </w:r>
          </w:p>
        </w:tc>
        <w:tc>
          <w:tcPr>
            <w:tcW w:w="1418"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1 288</w:t>
            </w:r>
          </w:p>
        </w:tc>
        <w:tc>
          <w:tcPr>
            <w:tcW w:w="1417"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1 448</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Iš prekybos gautinos sumos ir neprekybinės susigrąžintinos sumos</w:t>
            </w:r>
          </w:p>
        </w:tc>
        <w:tc>
          <w:tcPr>
            <w:tcW w:w="1084"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hAnsi="Verdana"/>
                <w:noProof/>
                <w:color w:val="000000"/>
                <w:sz w:val="18"/>
              </w:rPr>
              <w:t>2.4</w:t>
            </w:r>
          </w:p>
        </w:tc>
        <w:tc>
          <w:tcPr>
            <w:tcW w:w="1418"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123</w:t>
            </w:r>
          </w:p>
        </w:tc>
        <w:tc>
          <w:tcPr>
            <w:tcW w:w="1417"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138</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 xml:space="preserve">Pinigai ir pinigų ekvivalentai </w:t>
            </w:r>
          </w:p>
        </w:tc>
        <w:tc>
          <w:tcPr>
            <w:tcW w:w="1084"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hAnsi="Verdana"/>
                <w:noProof/>
                <w:color w:val="000000"/>
                <w:sz w:val="18"/>
              </w:rPr>
              <w:t>2.5</w:t>
            </w:r>
          </w:p>
        </w:tc>
        <w:tc>
          <w:tcPr>
            <w:tcW w:w="1418"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1 179</w:t>
            </w:r>
          </w:p>
        </w:tc>
        <w:tc>
          <w:tcPr>
            <w:tcW w:w="1417"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387</w:t>
            </w:r>
          </w:p>
        </w:tc>
      </w:tr>
      <w:tr>
        <w:trPr>
          <w:trHeight w:hRule="exact" w:val="225"/>
        </w:trPr>
        <w:tc>
          <w:tcPr>
            <w:tcW w:w="6285"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49BIPAGGBS"/>
              <w:rPr>
                <w:rFonts w:ascii="Verdana" w:eastAsia="Verdana" w:hAnsi="Verdana" w:cs="Verdana"/>
                <w:i/>
                <w:noProof/>
                <w:color w:val="000000"/>
                <w:sz w:val="18"/>
              </w:rPr>
            </w:pPr>
          </w:p>
        </w:tc>
        <w:tc>
          <w:tcPr>
            <w:tcW w:w="1084"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49BIPAGGBS"/>
              <w:rPr>
                <w:rFonts w:ascii="Verdana" w:eastAsia="Verdana" w:hAnsi="Verdana" w:cs="Verdana"/>
                <w:noProof/>
                <w:color w:val="000000"/>
                <w:sz w:val="18"/>
              </w:rPr>
            </w:pPr>
          </w:p>
        </w:tc>
        <w:tc>
          <w:tcPr>
            <w:tcW w:w="1418"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2 590</w:t>
            </w:r>
          </w:p>
        </w:tc>
        <w:tc>
          <w:tcPr>
            <w:tcW w:w="1417"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1 973</w:t>
            </w:r>
          </w:p>
        </w:tc>
      </w:tr>
      <w:tr>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hAnsi="Verdana"/>
                <w:b/>
                <w:noProof/>
                <w:color w:val="000000"/>
                <w:sz w:val="18"/>
              </w:rPr>
              <w:t>IŠ VISO TURTO</w:t>
            </w:r>
          </w:p>
        </w:tc>
        <w:tc>
          <w:tcPr>
            <w:tcW w:w="1084"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rPr>
                <w:rFonts w:ascii="Verdana" w:eastAsia="Verdana" w:hAnsi="Verdana" w:cs="Verdana"/>
                <w:noProof/>
                <w:color w:val="000000"/>
                <w:sz w:val="18"/>
              </w:rPr>
            </w:pPr>
          </w:p>
        </w:tc>
        <w:tc>
          <w:tcPr>
            <w:tcW w:w="1418"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3 803</w:t>
            </w:r>
          </w:p>
        </w:tc>
        <w:tc>
          <w:tcPr>
            <w:tcW w:w="1417"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3 061</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noProof/>
                <w:color w:val="000000"/>
                <w:sz w:val="18"/>
              </w:rPr>
            </w:pPr>
          </w:p>
        </w:tc>
        <w:tc>
          <w:tcPr>
            <w:tcW w:w="1084"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418"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rPr>
            </w:pPr>
          </w:p>
        </w:tc>
        <w:tc>
          <w:tcPr>
            <w:tcW w:w="1417"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lan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hAnsi="Verdana"/>
                <w:b/>
                <w:noProof/>
                <w:color w:val="000000"/>
                <w:sz w:val="18"/>
              </w:rPr>
              <w:t>ILGALAIKIAI ĮSIPAREIGOJIMAI</w:t>
            </w:r>
          </w:p>
        </w:tc>
        <w:tc>
          <w:tcPr>
            <w:tcW w:w="1084"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418"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rPr>
            </w:pPr>
          </w:p>
        </w:tc>
        <w:tc>
          <w:tcPr>
            <w:tcW w:w="1417"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lan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Finansiniai įsipareigojimai</w:t>
            </w:r>
          </w:p>
        </w:tc>
        <w:tc>
          <w:tcPr>
            <w:tcW w:w="1084"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hAnsi="Verdana"/>
                <w:noProof/>
                <w:color w:val="000000"/>
                <w:sz w:val="18"/>
              </w:rPr>
              <w:t>2.6</w:t>
            </w:r>
          </w:p>
        </w:tc>
        <w:tc>
          <w:tcPr>
            <w:tcW w:w="1418"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(19)</w:t>
            </w:r>
          </w:p>
        </w:tc>
        <w:tc>
          <w:tcPr>
            <w:tcW w:w="1417"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(18)</w:t>
            </w:r>
          </w:p>
        </w:tc>
      </w:tr>
      <w:tr>
        <w:trPr>
          <w:trHeight w:hRule="exact" w:val="225"/>
        </w:trPr>
        <w:tc>
          <w:tcPr>
            <w:tcW w:w="62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BS"/>
              <w:rPr>
                <w:rFonts w:ascii="Verdana" w:eastAsia="Verdana" w:hAnsi="Verdana" w:cs="Verdana"/>
                <w:i/>
                <w:noProof/>
                <w:color w:val="000000"/>
                <w:sz w:val="18"/>
              </w:rPr>
            </w:pPr>
          </w:p>
        </w:tc>
        <w:tc>
          <w:tcPr>
            <w:tcW w:w="108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BS"/>
              <w:rPr>
                <w:rFonts w:ascii="Verdana" w:eastAsia="Verdana" w:hAnsi="Verdana" w:cs="Verdana"/>
                <w:noProof/>
                <w:color w:val="000000"/>
                <w:sz w:val="18"/>
              </w:rPr>
            </w:pPr>
          </w:p>
        </w:tc>
        <w:tc>
          <w:tcPr>
            <w:tcW w:w="14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 xml:space="preserve"> (19)</w:t>
            </w:r>
          </w:p>
        </w:tc>
        <w:tc>
          <w:tcPr>
            <w:tcW w:w="14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 xml:space="preserve"> (18)</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hAnsi="Verdana"/>
                <w:b/>
                <w:noProof/>
                <w:color w:val="000000"/>
                <w:sz w:val="18"/>
              </w:rPr>
              <w:t>TRUMPALAIKIAI ĮSIPAREIGOJIMAI</w:t>
            </w:r>
          </w:p>
        </w:tc>
        <w:tc>
          <w:tcPr>
            <w:tcW w:w="1084"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418"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rPr>
            </w:pPr>
          </w:p>
        </w:tc>
        <w:tc>
          <w:tcPr>
            <w:tcW w:w="1417"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lan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Mokėtinos sumos</w:t>
            </w:r>
          </w:p>
        </w:tc>
        <w:tc>
          <w:tcPr>
            <w:tcW w:w="1084"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hAnsi="Verdana"/>
                <w:noProof/>
                <w:color w:val="000000"/>
                <w:sz w:val="18"/>
              </w:rPr>
              <w:t>2.7</w:t>
            </w:r>
          </w:p>
        </w:tc>
        <w:tc>
          <w:tcPr>
            <w:tcW w:w="1418"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(516)</w:t>
            </w:r>
          </w:p>
        </w:tc>
        <w:tc>
          <w:tcPr>
            <w:tcW w:w="1417"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(241)</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Sukauptos sąnaudos ir būsimojo laikotarpio pajamos</w:t>
            </w:r>
          </w:p>
        </w:tc>
        <w:tc>
          <w:tcPr>
            <w:tcW w:w="1084"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hAnsi="Verdana"/>
                <w:noProof/>
                <w:color w:val="000000"/>
                <w:sz w:val="18"/>
              </w:rPr>
              <w:t>2.8</w:t>
            </w:r>
          </w:p>
        </w:tc>
        <w:tc>
          <w:tcPr>
            <w:tcW w:w="1418"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(1 319)</w:t>
            </w:r>
          </w:p>
        </w:tc>
        <w:tc>
          <w:tcPr>
            <w:tcW w:w="1417"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(1 281)</w:t>
            </w:r>
          </w:p>
        </w:tc>
      </w:tr>
      <w:tr>
        <w:trPr>
          <w:trHeight w:hRule="exact" w:val="225"/>
        </w:trPr>
        <w:tc>
          <w:tcPr>
            <w:tcW w:w="6285"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49BIPAGGBS"/>
              <w:rPr>
                <w:rFonts w:ascii="Verdana" w:eastAsia="Verdana" w:hAnsi="Verdana" w:cs="Verdana"/>
                <w:i/>
                <w:noProof/>
                <w:color w:val="000000"/>
                <w:sz w:val="18"/>
              </w:rPr>
            </w:pPr>
          </w:p>
        </w:tc>
        <w:tc>
          <w:tcPr>
            <w:tcW w:w="1084"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49BIPAGGBS"/>
              <w:rPr>
                <w:rFonts w:ascii="Verdana" w:eastAsia="Verdana" w:hAnsi="Verdana" w:cs="Verdana"/>
                <w:noProof/>
                <w:color w:val="000000"/>
                <w:sz w:val="18"/>
              </w:rPr>
            </w:pPr>
          </w:p>
        </w:tc>
        <w:tc>
          <w:tcPr>
            <w:tcW w:w="1418"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(1 835)</w:t>
            </w:r>
          </w:p>
        </w:tc>
        <w:tc>
          <w:tcPr>
            <w:tcW w:w="1417"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(1 523)</w:t>
            </w:r>
          </w:p>
        </w:tc>
      </w:tr>
      <w:tr>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hAnsi="Verdana"/>
                <w:b/>
                <w:noProof/>
                <w:color w:val="000000"/>
                <w:sz w:val="18"/>
              </w:rPr>
              <w:t>IŠ VISO ĮSIPAREIGOJIMŲ</w:t>
            </w:r>
          </w:p>
        </w:tc>
        <w:tc>
          <w:tcPr>
            <w:tcW w:w="1084"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rPr>
                <w:rFonts w:ascii="Verdana" w:eastAsia="Verdana" w:hAnsi="Verdana" w:cs="Verdana"/>
                <w:noProof/>
                <w:color w:val="000000"/>
                <w:sz w:val="18"/>
              </w:rPr>
            </w:pPr>
          </w:p>
        </w:tc>
        <w:tc>
          <w:tcPr>
            <w:tcW w:w="1418"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(1 854)</w:t>
            </w:r>
          </w:p>
        </w:tc>
        <w:tc>
          <w:tcPr>
            <w:tcW w:w="1417"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(1 540)</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noProof/>
                <w:color w:val="000000"/>
                <w:sz w:val="18"/>
              </w:rPr>
            </w:pPr>
          </w:p>
        </w:tc>
        <w:tc>
          <w:tcPr>
            <w:tcW w:w="1084"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418"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rPr>
            </w:pPr>
          </w:p>
        </w:tc>
        <w:tc>
          <w:tcPr>
            <w:tcW w:w="1417"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lang w:bidi="en-GB"/>
              </w:rPr>
            </w:pPr>
          </w:p>
        </w:tc>
      </w:tr>
      <w:tr>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hAnsi="Verdana"/>
                <w:b/>
                <w:noProof/>
                <w:color w:val="000000"/>
                <w:sz w:val="18"/>
              </w:rPr>
              <w:t>GRYNASIS TURTAS</w:t>
            </w:r>
          </w:p>
        </w:tc>
        <w:tc>
          <w:tcPr>
            <w:tcW w:w="1084"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rPr>
                <w:rFonts w:ascii="Verdana" w:eastAsia="Verdana" w:hAnsi="Verdana" w:cs="Verdana"/>
                <w:noProof/>
                <w:color w:val="000000"/>
                <w:sz w:val="18"/>
              </w:rPr>
            </w:pPr>
          </w:p>
        </w:tc>
        <w:tc>
          <w:tcPr>
            <w:tcW w:w="1418"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1 948</w:t>
            </w:r>
          </w:p>
        </w:tc>
        <w:tc>
          <w:tcPr>
            <w:tcW w:w="1417"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1 521</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noProof/>
                <w:color w:val="000000"/>
                <w:sz w:val="18"/>
              </w:rPr>
            </w:pPr>
          </w:p>
        </w:tc>
        <w:tc>
          <w:tcPr>
            <w:tcW w:w="1084"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418"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rPr>
            </w:pPr>
          </w:p>
        </w:tc>
        <w:tc>
          <w:tcPr>
            <w:tcW w:w="1417"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lan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hAnsi="Verdana"/>
                <w:b/>
                <w:noProof/>
                <w:color w:val="000000"/>
                <w:sz w:val="18"/>
              </w:rPr>
              <w:t>FONDAI IR REZERVAI</w:t>
            </w:r>
          </w:p>
        </w:tc>
        <w:tc>
          <w:tcPr>
            <w:tcW w:w="1084"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418"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rPr>
            </w:pPr>
          </w:p>
        </w:tc>
        <w:tc>
          <w:tcPr>
            <w:tcW w:w="1417"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lan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Tikrosios vertės rezervas</w:t>
            </w:r>
          </w:p>
        </w:tc>
        <w:tc>
          <w:tcPr>
            <w:tcW w:w="1084"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hAnsi="Verdana"/>
                <w:noProof/>
                <w:color w:val="000000"/>
                <w:sz w:val="18"/>
              </w:rPr>
              <w:t>2.9</w:t>
            </w:r>
          </w:p>
        </w:tc>
        <w:tc>
          <w:tcPr>
            <w:tcW w:w="1418"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(2)</w:t>
            </w:r>
          </w:p>
        </w:tc>
        <w:tc>
          <w:tcPr>
            <w:tcW w:w="1417"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Pareikalautasis fondo kapitalas – aktyvūs EPF</w:t>
            </w:r>
          </w:p>
        </w:tc>
        <w:tc>
          <w:tcPr>
            <w:tcW w:w="1084"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hAnsi="Verdana"/>
                <w:noProof/>
                <w:color w:val="000000"/>
                <w:sz w:val="18"/>
              </w:rPr>
              <w:t>2.10</w:t>
            </w:r>
          </w:p>
        </w:tc>
        <w:tc>
          <w:tcPr>
            <w:tcW w:w="1418"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54 809</w:t>
            </w:r>
          </w:p>
        </w:tc>
        <w:tc>
          <w:tcPr>
            <w:tcW w:w="1417"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50 423</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Iš veiklą užbaigusių EPF perkeltas pareikalautasis fondo kapitalas</w:t>
            </w:r>
          </w:p>
        </w:tc>
        <w:tc>
          <w:tcPr>
            <w:tcW w:w="1084"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hAnsi="Verdana"/>
                <w:noProof/>
                <w:color w:val="000000"/>
                <w:sz w:val="18"/>
              </w:rPr>
              <w:t>2.10</w:t>
            </w:r>
          </w:p>
        </w:tc>
        <w:tc>
          <w:tcPr>
            <w:tcW w:w="1418"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2 252</w:t>
            </w:r>
          </w:p>
        </w:tc>
        <w:tc>
          <w:tcPr>
            <w:tcW w:w="1417"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2 252</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Iš ankstesnių metų perkeltas ekonominis rezultatas</w:t>
            </w:r>
          </w:p>
        </w:tc>
        <w:tc>
          <w:tcPr>
            <w:tcW w:w="1084"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418"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(51 155)</w:t>
            </w:r>
          </w:p>
        </w:tc>
        <w:tc>
          <w:tcPr>
            <w:tcW w:w="1417"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(47 037)</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Ekonominis metų rezultatas</w:t>
            </w:r>
          </w:p>
        </w:tc>
        <w:tc>
          <w:tcPr>
            <w:tcW w:w="1084"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418"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(3 956)</w:t>
            </w:r>
          </w:p>
        </w:tc>
        <w:tc>
          <w:tcPr>
            <w:tcW w:w="1417"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(4 118)</w:t>
            </w:r>
          </w:p>
        </w:tc>
      </w:tr>
      <w:tr>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hAnsi="Verdana"/>
                <w:b/>
                <w:noProof/>
                <w:color w:val="000000"/>
                <w:sz w:val="18"/>
              </w:rPr>
              <w:t>GRYNASIS TURTAS</w:t>
            </w:r>
          </w:p>
        </w:tc>
        <w:tc>
          <w:tcPr>
            <w:tcW w:w="1084" w:type="dxa"/>
            <w:tcBorders>
              <w:top w:val="nil"/>
              <w:left w:val="nil"/>
              <w:bottom w:val="nil"/>
              <w:right w:val="nil"/>
              <w:tl2br w:val="nil"/>
              <w:tr2bl w:val="nil"/>
            </w:tcBorders>
            <w:shd w:val="solid" w:color="CCE1EA" w:fill="FFFFFF"/>
            <w:tcMar>
              <w:left w:w="60" w:type="dxa"/>
              <w:right w:w="60" w:type="dxa"/>
            </w:tcMar>
            <w:vAlign w:val="bottom"/>
          </w:tcPr>
          <w:p>
            <w:pPr>
              <w:pStyle w:val="DMETW18949BIPAGGBS"/>
              <w:rPr>
                <w:rFonts w:ascii="Verdana" w:eastAsia="Verdana" w:hAnsi="Verdana" w:cs="Verdana"/>
                <w:noProof/>
                <w:color w:val="000000"/>
                <w:sz w:val="18"/>
              </w:rPr>
            </w:pPr>
          </w:p>
        </w:tc>
        <w:tc>
          <w:tcPr>
            <w:tcW w:w="1418"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1 948</w:t>
            </w:r>
          </w:p>
        </w:tc>
        <w:tc>
          <w:tcPr>
            <w:tcW w:w="1417"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1 521</w:t>
            </w:r>
          </w:p>
        </w:tc>
      </w:tr>
    </w:tbl>
    <w:p>
      <w:pPr>
        <w:pStyle w:val="HEADERTITLE1"/>
      </w:pPr>
    </w:p>
    <w:p>
      <w:pPr>
        <w:pStyle w:val="Textstand-alone"/>
      </w:pPr>
    </w:p>
    <w:p>
      <w:pPr>
        <w:pStyle w:val="Textstand-alone"/>
        <w:sectPr>
          <w:headerReference w:type="even" r:id="rId65"/>
          <w:headerReference w:type="default" r:id="rId66"/>
          <w:footerReference w:type="even" r:id="rId67"/>
          <w:footerReference w:type="default" r:id="rId68"/>
          <w:headerReference w:type="first" r:id="rId69"/>
          <w:footerReference w:type="first" r:id="rId70"/>
          <w:pgSz w:w="11906" w:h="16838"/>
          <w:pgMar w:top="1134" w:right="1134" w:bottom="1134" w:left="1134" w:header="709" w:footer="709" w:gutter="0"/>
          <w:cols w:space="708"/>
          <w:docGrid w:linePitch="360"/>
        </w:sectPr>
      </w:pPr>
    </w:p>
    <w:p>
      <w:pPr>
        <w:pStyle w:val="HEADERTITLE1"/>
      </w:pPr>
      <w:bookmarkStart w:id="17" w:name="_Toc34838959"/>
      <w:bookmarkStart w:id="18" w:name="_Toc48834984"/>
      <w:r>
        <w:t>EPF FINANSINĖS VEIKLOS ATASKAITA</w:t>
      </w:r>
      <w:bookmarkEnd w:id="17"/>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2"/>
        <w:gridCol w:w="1128"/>
        <w:gridCol w:w="1716"/>
        <w:gridCol w:w="1282"/>
      </w:tblGrid>
      <w:tr>
        <w:trPr>
          <w:trHeight w:hRule="exact" w:val="300"/>
        </w:trPr>
        <w:tc>
          <w:tcPr>
            <w:tcW w:w="5632" w:type="dxa"/>
            <w:tcBorders>
              <w:top w:val="nil"/>
              <w:left w:val="nil"/>
              <w:bottom w:val="nil"/>
              <w:right w:val="nil"/>
              <w:tl2br w:val="nil"/>
              <w:tr2bl w:val="nil"/>
            </w:tcBorders>
            <w:shd w:val="clear" w:color="auto" w:fill="auto"/>
            <w:tcMar>
              <w:left w:w="60" w:type="dxa"/>
              <w:right w:w="60" w:type="dxa"/>
            </w:tcMar>
            <w:vAlign w:val="bottom"/>
          </w:tcPr>
          <w:p>
            <w:pPr>
              <w:pStyle w:val="DMETW18949BIPAGGPL"/>
              <w:rPr>
                <w:rFonts w:ascii="Arial" w:eastAsia="Arial" w:hAnsi="Arial" w:cs="Arial"/>
                <w:noProof/>
                <w:color w:val="000000"/>
              </w:rPr>
            </w:pPr>
            <w:bookmarkStart w:id="19" w:name="DOC_TBL00001_1_1"/>
            <w:bookmarkEnd w:id="19"/>
          </w:p>
        </w:tc>
        <w:tc>
          <w:tcPr>
            <w:tcW w:w="1128"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center"/>
              <w:rPr>
                <w:rFonts w:ascii="Arial" w:eastAsia="Arial" w:hAnsi="Arial" w:cs="Arial"/>
                <w:noProof/>
                <w:color w:val="000000"/>
              </w:rPr>
            </w:pPr>
          </w:p>
        </w:tc>
        <w:tc>
          <w:tcPr>
            <w:tcW w:w="1716"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right"/>
              <w:rPr>
                <w:rFonts w:ascii="Arial" w:eastAsia="Arial" w:hAnsi="Arial" w:cs="Arial"/>
                <w:noProof/>
                <w:color w:val="000000"/>
              </w:rPr>
            </w:pPr>
          </w:p>
        </w:tc>
        <w:tc>
          <w:tcPr>
            <w:tcW w:w="1282"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right"/>
              <w:rPr>
                <w:rFonts w:ascii="Verdana" w:eastAsia="Verdana" w:hAnsi="Verdana" w:cs="Verdana"/>
                <w:i/>
                <w:noProof/>
                <w:color w:val="000000"/>
                <w:sz w:val="16"/>
              </w:rPr>
            </w:pPr>
            <w:r>
              <w:rPr>
                <w:rFonts w:ascii="Verdana" w:hAnsi="Verdana"/>
                <w:i/>
                <w:noProof/>
                <w:color w:val="000000"/>
                <w:sz w:val="16"/>
              </w:rPr>
              <w:t>mln. EUR</w:t>
            </w:r>
          </w:p>
        </w:tc>
      </w:tr>
      <w:tr>
        <w:trPr>
          <w:trHeight w:hRule="exact" w:val="255"/>
        </w:trPr>
        <w:tc>
          <w:tcPr>
            <w:tcW w:w="5632" w:type="dxa"/>
            <w:tcBorders>
              <w:top w:val="nil"/>
              <w:left w:val="nil"/>
              <w:bottom w:val="nil"/>
              <w:right w:val="nil"/>
              <w:tl2br w:val="nil"/>
              <w:tr2bl w:val="nil"/>
            </w:tcBorders>
            <w:shd w:val="solid" w:color="016794" w:fill="FFFFFF"/>
            <w:tcMar>
              <w:left w:w="60" w:type="dxa"/>
              <w:right w:w="60" w:type="dxa"/>
            </w:tcMar>
            <w:vAlign w:val="bottom"/>
          </w:tcPr>
          <w:p>
            <w:pPr>
              <w:pStyle w:val="DMETW18949BIPAGGPL"/>
              <w:rPr>
                <w:rFonts w:ascii="Verdana" w:eastAsia="Verdana" w:hAnsi="Verdana" w:cs="Verdana"/>
                <w:noProof/>
                <w:color w:val="FFFFFF"/>
              </w:rPr>
            </w:pPr>
          </w:p>
        </w:tc>
        <w:tc>
          <w:tcPr>
            <w:tcW w:w="1128" w:type="dxa"/>
            <w:tcBorders>
              <w:top w:val="nil"/>
              <w:left w:val="nil"/>
              <w:bottom w:val="nil"/>
              <w:right w:val="nil"/>
              <w:tl2br w:val="nil"/>
              <w:tr2bl w:val="nil"/>
            </w:tcBorders>
            <w:shd w:val="solid" w:color="016794" w:fill="FFFFFF"/>
            <w:tcMar>
              <w:left w:w="60" w:type="dxa"/>
              <w:right w:w="60" w:type="dxa"/>
            </w:tcMar>
            <w:vAlign w:val="bottom"/>
          </w:tcPr>
          <w:p>
            <w:pPr>
              <w:pStyle w:val="DMETW18949BIPAGGPL"/>
              <w:jc w:val="center"/>
              <w:rPr>
                <w:rFonts w:ascii="Verdana" w:eastAsia="Verdana" w:hAnsi="Verdana" w:cs="Verdana"/>
                <w:noProof/>
                <w:color w:val="FFFFFF"/>
              </w:rPr>
            </w:pPr>
            <w:r>
              <w:rPr>
                <w:rFonts w:ascii="Verdana" w:hAnsi="Verdana"/>
                <w:noProof/>
                <w:color w:val="FFFFFF"/>
              </w:rPr>
              <w:t>Pastaba</w:t>
            </w:r>
          </w:p>
        </w:tc>
        <w:tc>
          <w:tcPr>
            <w:tcW w:w="1716" w:type="dxa"/>
            <w:tcBorders>
              <w:top w:val="nil"/>
              <w:left w:val="nil"/>
              <w:bottom w:val="nil"/>
              <w:right w:val="nil"/>
              <w:tl2br w:val="nil"/>
              <w:tr2bl w:val="nil"/>
            </w:tcBorders>
            <w:shd w:val="solid" w:color="016794" w:fill="FFFFFF"/>
            <w:tcMar>
              <w:left w:w="60" w:type="dxa"/>
              <w:right w:w="60" w:type="dxa"/>
            </w:tcMar>
            <w:vAlign w:val="bottom"/>
          </w:tcPr>
          <w:p>
            <w:pPr>
              <w:pStyle w:val="DMETW18949BIPAGGPL"/>
              <w:jc w:val="right"/>
              <w:rPr>
                <w:rFonts w:ascii="Verdana" w:eastAsia="Verdana" w:hAnsi="Verdana" w:cs="Verdana"/>
                <w:noProof/>
                <w:color w:val="FFFFFF"/>
              </w:rPr>
            </w:pPr>
            <w:r>
              <w:rPr>
                <w:rFonts w:ascii="Verdana" w:hAnsi="Verdana"/>
                <w:noProof/>
                <w:color w:val="FFFFFF"/>
              </w:rPr>
              <w:t>2019</w:t>
            </w:r>
          </w:p>
        </w:tc>
        <w:tc>
          <w:tcPr>
            <w:tcW w:w="1282" w:type="dxa"/>
            <w:tcBorders>
              <w:top w:val="nil"/>
              <w:left w:val="nil"/>
              <w:bottom w:val="nil"/>
              <w:right w:val="nil"/>
              <w:tl2br w:val="nil"/>
              <w:tr2bl w:val="nil"/>
            </w:tcBorders>
            <w:shd w:val="solid" w:color="016794" w:fill="FFFFFF"/>
            <w:tcMar>
              <w:left w:w="60" w:type="dxa"/>
              <w:right w:w="60" w:type="dxa"/>
            </w:tcMar>
            <w:vAlign w:val="bottom"/>
          </w:tcPr>
          <w:p>
            <w:pPr>
              <w:pStyle w:val="DMETW18949BIPAGGPL"/>
              <w:jc w:val="right"/>
              <w:rPr>
                <w:rFonts w:ascii="Verdana" w:eastAsia="Verdana" w:hAnsi="Verdana" w:cs="Verdana"/>
                <w:noProof/>
                <w:color w:val="FFFFFF"/>
              </w:rPr>
            </w:pPr>
            <w:r>
              <w:rPr>
                <w:rFonts w:ascii="Verdana" w:hAnsi="Verdana"/>
                <w:noProof/>
                <w:color w:val="FFFFFF"/>
              </w:rPr>
              <w:t>2018</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b/>
                <w:noProof/>
                <w:color w:val="000000"/>
                <w:sz w:val="18"/>
              </w:rPr>
            </w:pPr>
            <w:r>
              <w:rPr>
                <w:rFonts w:ascii="Verdana" w:hAnsi="Verdana"/>
                <w:b/>
                <w:noProof/>
                <w:color w:val="000000"/>
                <w:sz w:val="18"/>
              </w:rPr>
              <w:t>PAJAMOS</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noProof/>
                <w:color w:val="000000"/>
                <w:sz w:val="18"/>
              </w:rPr>
            </w:pP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noProof/>
                <w:color w:val="000000"/>
                <w:sz w:val="18"/>
                <w:lang w:bidi="en-GB"/>
              </w:rPr>
            </w:pP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b/>
                <w:noProof/>
                <w:color w:val="000000"/>
                <w:sz w:val="18"/>
              </w:rPr>
            </w:pPr>
            <w:r>
              <w:rPr>
                <w:rFonts w:ascii="Verdana" w:hAnsi="Verdana"/>
                <w:b/>
                <w:noProof/>
                <w:color w:val="000000"/>
                <w:sz w:val="18"/>
              </w:rPr>
              <w:t>Pajamos iš neprekybinių operacijų</w:t>
            </w:r>
          </w:p>
        </w:tc>
        <w:tc>
          <w:tcPr>
            <w:tcW w:w="1128"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center"/>
              <w:rPr>
                <w:rFonts w:ascii="Verdana" w:eastAsia="Verdana" w:hAnsi="Verdana" w:cs="Verdana"/>
                <w:noProof/>
                <w:color w:val="000000"/>
                <w:sz w:val="18"/>
              </w:rPr>
            </w:pPr>
            <w:r>
              <w:rPr>
                <w:rFonts w:ascii="Verdana" w:hAnsi="Verdana"/>
                <w:noProof/>
                <w:color w:val="000000"/>
                <w:sz w:val="18"/>
              </w:rPr>
              <w:t>3.1</w:t>
            </w:r>
          </w:p>
        </w:tc>
        <w:tc>
          <w:tcPr>
            <w:tcW w:w="1716"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right"/>
              <w:rPr>
                <w:rFonts w:ascii="Verdana" w:eastAsia="Verdana" w:hAnsi="Verdana" w:cs="Verdana"/>
                <w:noProof/>
                <w:color w:val="000000"/>
                <w:sz w:val="18"/>
              </w:rPr>
            </w:pPr>
          </w:p>
        </w:tc>
        <w:tc>
          <w:tcPr>
            <w:tcW w:w="1282"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right"/>
              <w:rPr>
                <w:rFonts w:ascii="Verdana" w:eastAsia="Verdana" w:hAnsi="Verdana" w:cs="Verdana"/>
                <w:noProof/>
                <w:color w:val="000000"/>
                <w:sz w:val="18"/>
                <w:lang w:bidi="en-GB"/>
              </w:rPr>
            </w:pP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i/>
                <w:noProof/>
                <w:color w:val="000000"/>
                <w:sz w:val="18"/>
              </w:rPr>
            </w:pPr>
            <w:r>
              <w:rPr>
                <w:rFonts w:ascii="Verdana" w:hAnsi="Verdana"/>
                <w:i/>
                <w:noProof/>
                <w:color w:val="000000"/>
                <w:sz w:val="18"/>
              </w:rPr>
              <w:t>Susigrąžinimo veikla</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 xml:space="preserve"> 28</w:t>
            </w: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 xml:space="preserve"> 4</w:t>
            </w:r>
          </w:p>
        </w:tc>
      </w:tr>
      <w:tr>
        <w:trPr>
          <w:trHeight w:hRule="exact" w:val="225"/>
        </w:trPr>
        <w:tc>
          <w:tcPr>
            <w:tcW w:w="5632"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49BIPAGGPL"/>
              <w:rPr>
                <w:rFonts w:ascii="Verdana" w:eastAsia="Verdana" w:hAnsi="Verdana" w:cs="Verdana"/>
                <w:i/>
                <w:noProof/>
                <w:color w:val="000000"/>
                <w:sz w:val="18"/>
              </w:rPr>
            </w:pPr>
          </w:p>
        </w:tc>
        <w:tc>
          <w:tcPr>
            <w:tcW w:w="1128"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49BIPAGGPL"/>
              <w:jc w:val="center"/>
              <w:rPr>
                <w:rFonts w:ascii="Verdana" w:eastAsia="Verdana" w:hAnsi="Verdana" w:cs="Verdana"/>
                <w:noProof/>
                <w:color w:val="000000"/>
                <w:sz w:val="18"/>
              </w:rPr>
            </w:pPr>
          </w:p>
        </w:tc>
        <w:tc>
          <w:tcPr>
            <w:tcW w:w="171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b/>
                <w:noProof/>
                <w:color w:val="000000"/>
                <w:sz w:val="18"/>
              </w:rPr>
            </w:pPr>
            <w:r>
              <w:rPr>
                <w:rFonts w:ascii="Verdana" w:hAnsi="Verdana"/>
                <w:b/>
                <w:noProof/>
                <w:color w:val="000000"/>
                <w:sz w:val="18"/>
              </w:rPr>
              <w:t xml:space="preserve"> 28</w:t>
            </w:r>
          </w:p>
        </w:tc>
        <w:tc>
          <w:tcPr>
            <w:tcW w:w="128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b/>
                <w:noProof/>
                <w:color w:val="000000"/>
                <w:sz w:val="18"/>
              </w:rPr>
            </w:pPr>
            <w:r>
              <w:rPr>
                <w:rFonts w:ascii="Verdana" w:hAnsi="Verdana"/>
                <w:b/>
                <w:noProof/>
                <w:color w:val="000000"/>
                <w:sz w:val="18"/>
              </w:rPr>
              <w:t xml:space="preserve"> 4</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b/>
                <w:noProof/>
                <w:color w:val="000000"/>
                <w:sz w:val="18"/>
              </w:rPr>
            </w:pPr>
            <w:r>
              <w:rPr>
                <w:rFonts w:ascii="Verdana" w:hAnsi="Verdana"/>
                <w:b/>
                <w:noProof/>
                <w:color w:val="000000"/>
                <w:sz w:val="18"/>
              </w:rPr>
              <w:t>Pajamos iš prekybos operacijų</w:t>
            </w:r>
          </w:p>
        </w:tc>
        <w:tc>
          <w:tcPr>
            <w:tcW w:w="1128"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center"/>
              <w:rPr>
                <w:rFonts w:ascii="Verdana" w:eastAsia="Verdana" w:hAnsi="Verdana" w:cs="Verdana"/>
                <w:noProof/>
                <w:color w:val="000000"/>
                <w:sz w:val="18"/>
              </w:rPr>
            </w:pPr>
            <w:r>
              <w:rPr>
                <w:rFonts w:ascii="Verdana" w:hAnsi="Verdana"/>
                <w:noProof/>
                <w:color w:val="000000"/>
                <w:sz w:val="18"/>
              </w:rPr>
              <w:t>3.2</w:t>
            </w:r>
          </w:p>
        </w:tc>
        <w:tc>
          <w:tcPr>
            <w:tcW w:w="1716"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right"/>
              <w:rPr>
                <w:rFonts w:ascii="Verdana" w:eastAsia="Verdana" w:hAnsi="Verdana" w:cs="Verdana"/>
                <w:noProof/>
                <w:color w:val="000000"/>
                <w:sz w:val="18"/>
              </w:rPr>
            </w:pPr>
          </w:p>
        </w:tc>
        <w:tc>
          <w:tcPr>
            <w:tcW w:w="1282"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right"/>
              <w:rPr>
                <w:rFonts w:ascii="Verdana" w:eastAsia="Verdana" w:hAnsi="Verdana" w:cs="Verdana"/>
                <w:noProof/>
                <w:color w:val="000000"/>
                <w:sz w:val="18"/>
                <w:lang w:bidi="en-GB"/>
              </w:rPr>
            </w:pP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i/>
                <w:noProof/>
                <w:color w:val="000000"/>
                <w:sz w:val="18"/>
              </w:rPr>
            </w:pPr>
            <w:r>
              <w:rPr>
                <w:rFonts w:ascii="Verdana" w:hAnsi="Verdana"/>
                <w:i/>
                <w:noProof/>
                <w:color w:val="000000"/>
                <w:sz w:val="18"/>
              </w:rPr>
              <w:t>Finansinės pajamos</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 xml:space="preserve"> 7</w:t>
            </w: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 xml:space="preserve"> 10</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i/>
                <w:noProof/>
                <w:color w:val="000000"/>
                <w:sz w:val="18"/>
              </w:rPr>
            </w:pPr>
            <w:r>
              <w:rPr>
                <w:rFonts w:ascii="Verdana" w:hAnsi="Verdana"/>
                <w:i/>
                <w:noProof/>
                <w:color w:val="000000"/>
                <w:sz w:val="18"/>
              </w:rPr>
              <w:t>Kitos pajamos</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 xml:space="preserve"> 39</w:t>
            </w: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 xml:space="preserve"> 46</w:t>
            </w:r>
          </w:p>
        </w:tc>
      </w:tr>
      <w:tr>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PL"/>
              <w:rPr>
                <w:rFonts w:ascii="Verdana" w:eastAsia="Verdana" w:hAnsi="Verdana" w:cs="Verdana"/>
                <w:i/>
                <w:noProof/>
                <w:color w:val="000000"/>
                <w:sz w:val="18"/>
              </w:rPr>
            </w:pP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PL"/>
              <w:jc w:val="center"/>
              <w:rPr>
                <w:rFonts w:ascii="Verdana" w:eastAsia="Verdana" w:hAnsi="Verdana" w:cs="Verdana"/>
                <w:noProof/>
                <w:color w:val="000000"/>
                <w:sz w:val="18"/>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b/>
                <w:noProof/>
                <w:color w:val="000000"/>
                <w:sz w:val="18"/>
              </w:rPr>
            </w:pPr>
            <w:r>
              <w:rPr>
                <w:rFonts w:ascii="Verdana" w:hAnsi="Verdana"/>
                <w:b/>
                <w:noProof/>
                <w:color w:val="000000"/>
                <w:sz w:val="18"/>
              </w:rPr>
              <w:t xml:space="preserve"> 46</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b/>
                <w:noProof/>
                <w:color w:val="000000"/>
                <w:sz w:val="18"/>
              </w:rPr>
            </w:pPr>
            <w:r>
              <w:rPr>
                <w:rFonts w:ascii="Verdana" w:hAnsi="Verdana"/>
                <w:b/>
                <w:noProof/>
                <w:color w:val="000000"/>
                <w:sz w:val="18"/>
              </w:rPr>
              <w:t xml:space="preserve"> 57</w:t>
            </w:r>
          </w:p>
        </w:tc>
      </w:tr>
      <w:tr>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PL"/>
              <w:rPr>
                <w:rFonts w:ascii="Verdana" w:eastAsia="Verdana" w:hAnsi="Verdana" w:cs="Verdana"/>
                <w:b/>
                <w:noProof/>
                <w:color w:val="000000"/>
                <w:sz w:val="18"/>
              </w:rPr>
            </w:pPr>
            <w:r>
              <w:rPr>
                <w:rFonts w:ascii="Verdana" w:hAnsi="Verdana"/>
                <w:b/>
                <w:noProof/>
                <w:color w:val="000000"/>
                <w:sz w:val="18"/>
              </w:rPr>
              <w:t>Iš viso pajamų</w:t>
            </w: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PL"/>
              <w:jc w:val="center"/>
              <w:rPr>
                <w:rFonts w:ascii="Verdana" w:eastAsia="Verdana" w:hAnsi="Verdana" w:cs="Verdana"/>
                <w:noProof/>
                <w:color w:val="000000"/>
                <w:sz w:val="18"/>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b/>
                <w:noProof/>
                <w:color w:val="000000"/>
                <w:sz w:val="18"/>
              </w:rPr>
            </w:pPr>
            <w:r>
              <w:rPr>
                <w:rFonts w:ascii="Verdana" w:hAnsi="Verdana"/>
                <w:b/>
                <w:noProof/>
                <w:color w:val="000000"/>
                <w:sz w:val="18"/>
              </w:rPr>
              <w:t xml:space="preserve"> 74</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b/>
                <w:noProof/>
                <w:color w:val="000000"/>
                <w:sz w:val="18"/>
              </w:rPr>
            </w:pPr>
            <w:r>
              <w:rPr>
                <w:rFonts w:ascii="Verdana" w:hAnsi="Verdana"/>
                <w:b/>
                <w:noProof/>
                <w:color w:val="000000"/>
                <w:sz w:val="18"/>
              </w:rPr>
              <w:t xml:space="preserve"> 60</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b/>
                <w:noProof/>
                <w:color w:val="000000"/>
                <w:sz w:val="18"/>
              </w:rPr>
            </w:pPr>
            <w:r>
              <w:rPr>
                <w:rFonts w:ascii="Verdana" w:hAnsi="Verdana"/>
                <w:b/>
                <w:noProof/>
                <w:color w:val="000000"/>
                <w:sz w:val="18"/>
              </w:rPr>
              <w:t>IŠLAIDOS</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noProof/>
                <w:color w:val="000000"/>
                <w:sz w:val="18"/>
              </w:rPr>
            </w:pP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noProof/>
                <w:color w:val="000000"/>
                <w:sz w:val="18"/>
                <w:lang w:bidi="en-GB"/>
              </w:rPr>
            </w:pP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i/>
                <w:noProof/>
                <w:color w:val="000000"/>
                <w:sz w:val="18"/>
              </w:rPr>
            </w:pPr>
            <w:r>
              <w:rPr>
                <w:rFonts w:ascii="Verdana" w:hAnsi="Verdana"/>
                <w:i/>
                <w:noProof/>
                <w:color w:val="000000"/>
                <w:sz w:val="18"/>
              </w:rPr>
              <w:t>Pagalbos priemonės</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r>
              <w:rPr>
                <w:rFonts w:ascii="Verdana" w:hAnsi="Verdana"/>
                <w:noProof/>
                <w:color w:val="000000"/>
                <w:sz w:val="18"/>
              </w:rPr>
              <w:t>3.3</w:t>
            </w: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(3 755)</w:t>
            </w: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(4 054)</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i/>
                <w:noProof/>
                <w:color w:val="000000"/>
                <w:sz w:val="18"/>
              </w:rPr>
            </w:pPr>
            <w:r>
              <w:rPr>
                <w:rFonts w:ascii="Verdana" w:hAnsi="Verdana"/>
                <w:i/>
                <w:noProof/>
                <w:color w:val="000000"/>
                <w:sz w:val="18"/>
              </w:rPr>
              <w:t>Bendro finansavimo išlaidos</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r>
              <w:rPr>
                <w:rFonts w:ascii="Verdana" w:hAnsi="Verdana"/>
                <w:noProof/>
                <w:color w:val="000000"/>
                <w:sz w:val="18"/>
              </w:rPr>
              <w:t>3.4</w:t>
            </w: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 xml:space="preserve"> (14)</w:t>
            </w: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 xml:space="preserve"> 17</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i/>
                <w:noProof/>
                <w:color w:val="000000"/>
                <w:sz w:val="18"/>
              </w:rPr>
            </w:pPr>
            <w:r>
              <w:rPr>
                <w:rFonts w:ascii="Verdana" w:hAnsi="Verdana"/>
                <w:i/>
                <w:noProof/>
                <w:color w:val="000000"/>
                <w:sz w:val="18"/>
              </w:rPr>
              <w:t>Finansinės išlaidos</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r>
              <w:rPr>
                <w:rFonts w:ascii="Verdana" w:hAnsi="Verdana"/>
                <w:noProof/>
                <w:color w:val="000000"/>
                <w:sz w:val="18"/>
              </w:rPr>
              <w:t>3.5</w:t>
            </w: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 xml:space="preserve"> (1)</w:t>
            </w: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 xml:space="preserve"> 7</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i/>
                <w:noProof/>
                <w:color w:val="000000"/>
                <w:sz w:val="18"/>
              </w:rPr>
            </w:pPr>
            <w:r>
              <w:rPr>
                <w:rFonts w:ascii="Verdana" w:hAnsi="Verdana"/>
                <w:i/>
                <w:noProof/>
                <w:color w:val="000000"/>
                <w:sz w:val="18"/>
              </w:rPr>
              <w:t>Kitos išlaidos</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r>
              <w:rPr>
                <w:rFonts w:ascii="Verdana" w:hAnsi="Verdana"/>
                <w:noProof/>
                <w:color w:val="000000"/>
                <w:sz w:val="18"/>
              </w:rPr>
              <w:t>3.6</w:t>
            </w: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 xml:space="preserve"> (260)</w:t>
            </w: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 xml:space="preserve"> (148)</w:t>
            </w:r>
          </w:p>
        </w:tc>
      </w:tr>
      <w:tr>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PL"/>
              <w:rPr>
                <w:rFonts w:ascii="Verdana" w:eastAsia="Verdana" w:hAnsi="Verdana" w:cs="Verdana"/>
                <w:b/>
                <w:noProof/>
                <w:color w:val="000000"/>
                <w:sz w:val="18"/>
              </w:rPr>
            </w:pPr>
            <w:r>
              <w:rPr>
                <w:rFonts w:ascii="Verdana" w:hAnsi="Verdana"/>
                <w:b/>
                <w:noProof/>
                <w:color w:val="000000"/>
                <w:sz w:val="18"/>
              </w:rPr>
              <w:t>Iš viso išlaidų</w:t>
            </w: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PL"/>
              <w:jc w:val="right"/>
              <w:rPr>
                <w:rFonts w:ascii="Verdana" w:eastAsia="Verdana" w:hAnsi="Verdana" w:cs="Verdana"/>
                <w:b/>
                <w:noProof/>
                <w:color w:val="000000"/>
                <w:sz w:val="18"/>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PL"/>
              <w:jc w:val="right"/>
              <w:rPr>
                <w:rFonts w:ascii="Verdana" w:eastAsia="Verdana" w:hAnsi="Verdana" w:cs="Verdana"/>
                <w:b/>
                <w:noProof/>
                <w:color w:val="000000"/>
                <w:sz w:val="18"/>
              </w:rPr>
            </w:pPr>
            <w:r>
              <w:rPr>
                <w:rFonts w:ascii="Verdana" w:hAnsi="Verdana"/>
                <w:b/>
                <w:noProof/>
                <w:color w:val="000000"/>
                <w:sz w:val="18"/>
              </w:rPr>
              <w:t>(4 030)</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PL"/>
              <w:jc w:val="right"/>
              <w:rPr>
                <w:rFonts w:ascii="Verdana" w:eastAsia="Verdana" w:hAnsi="Verdana" w:cs="Verdana"/>
                <w:b/>
                <w:noProof/>
                <w:color w:val="000000"/>
                <w:sz w:val="18"/>
              </w:rPr>
            </w:pPr>
            <w:r>
              <w:rPr>
                <w:rFonts w:ascii="Verdana" w:hAnsi="Verdana"/>
                <w:b/>
                <w:noProof/>
                <w:color w:val="000000"/>
                <w:sz w:val="18"/>
              </w:rPr>
              <w:t>(4 178)</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b/>
                <w:noProof/>
                <w:color w:val="000000"/>
                <w:sz w:val="18"/>
              </w:rPr>
            </w:pP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noProof/>
                <w:color w:val="000000"/>
                <w:sz w:val="18"/>
              </w:rPr>
            </w:pP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noProof/>
                <w:color w:val="000000"/>
                <w:sz w:val="18"/>
                <w:lang w:bidi="en-GB"/>
              </w:rPr>
            </w:pPr>
          </w:p>
        </w:tc>
      </w:tr>
      <w:tr>
        <w:trPr>
          <w:trHeight w:hRule="exact" w:val="225"/>
        </w:trPr>
        <w:tc>
          <w:tcPr>
            <w:tcW w:w="5632" w:type="dxa"/>
            <w:tcBorders>
              <w:top w:val="nil"/>
              <w:left w:val="nil"/>
              <w:bottom w:val="nil"/>
              <w:right w:val="nil"/>
              <w:tl2br w:val="nil"/>
              <w:tr2bl w:val="nil"/>
            </w:tcBorders>
            <w:shd w:val="solid" w:color="CCE1EA" w:fill="FFFFFF"/>
            <w:tcMar>
              <w:left w:w="60" w:type="dxa"/>
              <w:right w:w="60" w:type="dxa"/>
            </w:tcMar>
            <w:vAlign w:val="bottom"/>
          </w:tcPr>
          <w:p>
            <w:pPr>
              <w:pStyle w:val="DMETW18949BIPAGGPL"/>
              <w:rPr>
                <w:rFonts w:ascii="Verdana" w:eastAsia="Verdana" w:hAnsi="Verdana" w:cs="Verdana"/>
                <w:b/>
                <w:noProof/>
                <w:color w:val="000000"/>
                <w:sz w:val="18"/>
              </w:rPr>
            </w:pPr>
            <w:r>
              <w:rPr>
                <w:rFonts w:ascii="Verdana" w:hAnsi="Verdana"/>
                <w:b/>
                <w:noProof/>
                <w:color w:val="000000"/>
                <w:sz w:val="18"/>
              </w:rPr>
              <w:t>EKONOMINIS METŲ REZULTATAS</w:t>
            </w:r>
          </w:p>
        </w:tc>
        <w:tc>
          <w:tcPr>
            <w:tcW w:w="1128" w:type="dxa"/>
            <w:tcBorders>
              <w:top w:val="nil"/>
              <w:left w:val="nil"/>
              <w:bottom w:val="nil"/>
              <w:right w:val="nil"/>
              <w:tl2br w:val="nil"/>
              <w:tr2bl w:val="nil"/>
            </w:tcBorders>
            <w:shd w:val="solid" w:color="CCE1EA" w:fill="FFFFFF"/>
            <w:tcMar>
              <w:left w:w="60" w:type="dxa"/>
              <w:right w:w="60" w:type="dxa"/>
            </w:tcMar>
            <w:vAlign w:val="bottom"/>
          </w:tcPr>
          <w:p>
            <w:pPr>
              <w:pStyle w:val="DMETW18949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solid" w:color="CCE1EA" w:fill="FFFFFF"/>
            <w:tcMar>
              <w:left w:w="60" w:type="dxa"/>
              <w:right w:w="60" w:type="dxa"/>
            </w:tcMar>
            <w:vAlign w:val="center"/>
          </w:tcPr>
          <w:p>
            <w:pPr>
              <w:pStyle w:val="DMETW18949BIPAGGPL"/>
              <w:jc w:val="right"/>
              <w:rPr>
                <w:rFonts w:ascii="Verdana" w:eastAsia="Verdana" w:hAnsi="Verdana" w:cs="Verdana"/>
                <w:b/>
                <w:noProof/>
                <w:color w:val="000000"/>
                <w:sz w:val="18"/>
              </w:rPr>
            </w:pPr>
            <w:r>
              <w:rPr>
                <w:rFonts w:ascii="Verdana" w:hAnsi="Verdana"/>
                <w:b/>
                <w:noProof/>
                <w:color w:val="000000"/>
                <w:sz w:val="18"/>
              </w:rPr>
              <w:t>(3 956)</w:t>
            </w:r>
          </w:p>
        </w:tc>
        <w:tc>
          <w:tcPr>
            <w:tcW w:w="1282" w:type="dxa"/>
            <w:tcBorders>
              <w:top w:val="nil"/>
              <w:left w:val="nil"/>
              <w:bottom w:val="nil"/>
              <w:right w:val="nil"/>
              <w:tl2br w:val="nil"/>
              <w:tr2bl w:val="nil"/>
            </w:tcBorders>
            <w:shd w:val="solid" w:color="CCE1EA" w:fill="FFFFFF"/>
            <w:tcMar>
              <w:left w:w="60" w:type="dxa"/>
              <w:right w:w="60" w:type="dxa"/>
            </w:tcMar>
            <w:vAlign w:val="center"/>
          </w:tcPr>
          <w:p>
            <w:pPr>
              <w:pStyle w:val="DMETW18949BIPAGGPL"/>
              <w:jc w:val="right"/>
              <w:rPr>
                <w:rFonts w:ascii="Verdana" w:eastAsia="Verdana" w:hAnsi="Verdana" w:cs="Verdana"/>
                <w:b/>
                <w:noProof/>
                <w:color w:val="000000"/>
                <w:sz w:val="18"/>
              </w:rPr>
            </w:pPr>
            <w:r>
              <w:rPr>
                <w:rFonts w:ascii="Verdana" w:hAnsi="Verdana"/>
                <w:b/>
                <w:noProof/>
                <w:color w:val="000000"/>
                <w:sz w:val="18"/>
              </w:rPr>
              <w:t>(4 118)</w:t>
            </w:r>
          </w:p>
        </w:tc>
      </w:tr>
    </w:tbl>
    <w:p>
      <w:pPr>
        <w:pStyle w:val="HEADERTITLE1"/>
      </w:pPr>
    </w:p>
    <w:p>
      <w:pPr>
        <w:pStyle w:val="Textstand-alone"/>
      </w:pPr>
    </w:p>
    <w:p>
      <w:pPr>
        <w:pStyle w:val="Textstand-alone"/>
      </w:pPr>
    </w:p>
    <w:p>
      <w:pPr>
        <w:pStyle w:val="Textstand-alone"/>
        <w:sectPr>
          <w:headerReference w:type="even" r:id="rId71"/>
          <w:headerReference w:type="default" r:id="rId72"/>
          <w:footerReference w:type="even" r:id="rId73"/>
          <w:footerReference w:type="default" r:id="rId74"/>
          <w:headerReference w:type="first" r:id="rId75"/>
          <w:footerReference w:type="first" r:id="rId76"/>
          <w:pgSz w:w="11906" w:h="16838"/>
          <w:pgMar w:top="1134" w:right="1134" w:bottom="1134" w:left="1134" w:header="709" w:footer="709" w:gutter="0"/>
          <w:cols w:space="708"/>
          <w:docGrid w:linePitch="360"/>
        </w:sectPr>
      </w:pPr>
    </w:p>
    <w:p>
      <w:pPr>
        <w:pStyle w:val="HEADERTITLE1"/>
      </w:pPr>
      <w:bookmarkStart w:id="20" w:name="_Toc34838960"/>
      <w:bookmarkStart w:id="21" w:name="_Toc48834985"/>
      <w:r>
        <w:t>EPF PINIGŲ SRAUTŲ ATASKAITA</w:t>
      </w:r>
      <w:bookmarkEnd w:id="20"/>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0"/>
        <w:gridCol w:w="708"/>
        <w:gridCol w:w="851"/>
        <w:gridCol w:w="909"/>
      </w:tblGrid>
      <w:tr>
        <w:trPr>
          <w:trHeight w:val="255"/>
        </w:trPr>
        <w:tc>
          <w:tcPr>
            <w:tcW w:w="7290" w:type="dxa"/>
            <w:gridSpan w:val="4"/>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6"/>
              </w:rPr>
            </w:pPr>
            <w:bookmarkStart w:id="22" w:name="DOC_TBL00002_1_1"/>
            <w:bookmarkEnd w:id="22"/>
            <w:r>
              <w:rPr>
                <w:rFonts w:ascii="Verdana" w:hAnsi="Verdana"/>
                <w:i/>
                <w:noProof/>
                <w:color w:val="000000"/>
                <w:sz w:val="16"/>
              </w:rPr>
              <w:t>mln. EUR</w:t>
            </w:r>
          </w:p>
        </w:tc>
      </w:tr>
      <w:tr>
        <w:trPr>
          <w:trHeight w:val="255"/>
        </w:trPr>
        <w:tc>
          <w:tcPr>
            <w:tcW w:w="7290" w:type="dxa"/>
            <w:tcBorders>
              <w:top w:val="nil"/>
              <w:left w:val="nil"/>
              <w:bottom w:val="nil"/>
              <w:right w:val="nil"/>
              <w:tl2br w:val="nil"/>
              <w:tr2bl w:val="nil"/>
            </w:tcBorders>
            <w:shd w:val="solid" w:color="016794" w:fill="FFFFFF"/>
            <w:tcMar>
              <w:left w:w="60" w:type="dxa"/>
              <w:right w:w="60" w:type="dxa"/>
            </w:tcMar>
            <w:vAlign w:val="bottom"/>
          </w:tcPr>
          <w:p>
            <w:pPr>
              <w:pStyle w:val="DMETW18949BIPAGGCF"/>
              <w:rPr>
                <w:rFonts w:ascii="Verdana" w:eastAsia="Verdana" w:hAnsi="Verdana" w:cs="Verdana"/>
                <w:noProof/>
                <w:color w:val="FFFFFF"/>
              </w:rPr>
            </w:pPr>
          </w:p>
        </w:tc>
        <w:tc>
          <w:tcPr>
            <w:tcW w:w="708" w:type="dxa"/>
            <w:tcBorders>
              <w:top w:val="nil"/>
              <w:left w:val="nil"/>
              <w:bottom w:val="nil"/>
              <w:right w:val="nil"/>
              <w:tl2br w:val="nil"/>
              <w:tr2bl w:val="nil"/>
            </w:tcBorders>
            <w:shd w:val="solid" w:color="016794" w:fill="FFFFFF"/>
            <w:tcMar>
              <w:left w:w="60" w:type="dxa"/>
              <w:right w:w="60" w:type="dxa"/>
            </w:tcMar>
            <w:vAlign w:val="bottom"/>
          </w:tcPr>
          <w:p>
            <w:pPr>
              <w:pStyle w:val="DMETW18949BIPAGGCF"/>
              <w:jc w:val="center"/>
              <w:rPr>
                <w:rFonts w:ascii="Verdana" w:eastAsia="Verdana" w:hAnsi="Verdana" w:cs="Verdana"/>
                <w:noProof/>
                <w:color w:val="FFFFFF"/>
              </w:rPr>
            </w:pPr>
            <w:r>
              <w:rPr>
                <w:rFonts w:ascii="Verdana" w:hAnsi="Verdana"/>
                <w:noProof/>
                <w:color w:val="FFFFFF"/>
              </w:rPr>
              <w:t>Pastaba</w:t>
            </w:r>
          </w:p>
        </w:tc>
        <w:tc>
          <w:tcPr>
            <w:tcW w:w="851" w:type="dxa"/>
            <w:tcBorders>
              <w:top w:val="nil"/>
              <w:left w:val="nil"/>
              <w:bottom w:val="nil"/>
              <w:right w:val="nil"/>
              <w:tl2br w:val="nil"/>
              <w:tr2bl w:val="nil"/>
            </w:tcBorders>
            <w:shd w:val="solid" w:color="016794" w:fill="FFFFFF"/>
            <w:tcMar>
              <w:left w:w="60" w:type="dxa"/>
              <w:right w:w="60" w:type="dxa"/>
            </w:tcMar>
            <w:vAlign w:val="bottom"/>
          </w:tcPr>
          <w:p>
            <w:pPr>
              <w:pStyle w:val="DMETW18949BIPAGGCF"/>
              <w:jc w:val="right"/>
              <w:rPr>
                <w:rFonts w:ascii="Verdana" w:eastAsia="Verdana" w:hAnsi="Verdana" w:cs="Verdana"/>
                <w:noProof/>
                <w:color w:val="FFFFFF"/>
              </w:rPr>
            </w:pPr>
            <w:r>
              <w:rPr>
                <w:rFonts w:ascii="Verdana" w:hAnsi="Verdana"/>
                <w:noProof/>
                <w:color w:val="FFFFFF"/>
              </w:rPr>
              <w:t>2019</w:t>
            </w:r>
          </w:p>
        </w:tc>
        <w:tc>
          <w:tcPr>
            <w:tcW w:w="909" w:type="dxa"/>
            <w:tcBorders>
              <w:top w:val="nil"/>
              <w:left w:val="nil"/>
              <w:bottom w:val="nil"/>
              <w:right w:val="nil"/>
              <w:tl2br w:val="nil"/>
              <w:tr2bl w:val="nil"/>
            </w:tcBorders>
            <w:shd w:val="solid" w:color="016794" w:fill="FFFFFF"/>
            <w:tcMar>
              <w:left w:w="60" w:type="dxa"/>
              <w:right w:w="60" w:type="dxa"/>
            </w:tcMar>
            <w:vAlign w:val="bottom"/>
          </w:tcPr>
          <w:p>
            <w:pPr>
              <w:pStyle w:val="DMETW18949BIPAGGCF"/>
              <w:jc w:val="right"/>
              <w:rPr>
                <w:rFonts w:ascii="Verdana" w:eastAsia="Verdana" w:hAnsi="Verdana" w:cs="Verdana"/>
                <w:noProof/>
                <w:color w:val="FFFFFF"/>
              </w:rPr>
            </w:pPr>
            <w:r>
              <w:rPr>
                <w:rFonts w:ascii="Verdana" w:hAnsi="Verdana"/>
                <w:noProof/>
                <w:color w:val="FFFFFF"/>
              </w:rPr>
              <w:t>2018</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Ekonominis metų rezultatas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hAnsi="Verdana"/>
                <w:i/>
                <w:noProof/>
                <w:color w:val="000000"/>
                <w:sz w:val="18"/>
              </w:rPr>
              <w:t>(3 956)</w:t>
            </w:r>
          </w:p>
        </w:tc>
        <w:tc>
          <w:tcPr>
            <w:tcW w:w="909"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hAnsi="Verdana"/>
                <w:i/>
                <w:noProof/>
                <w:color w:val="000000"/>
                <w:sz w:val="18"/>
              </w:rPr>
              <w:t>(4 118)</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b/>
                <w:noProof/>
                <w:color w:val="000000"/>
                <w:sz w:val="18"/>
              </w:rPr>
            </w:pPr>
            <w:r>
              <w:rPr>
                <w:rFonts w:ascii="Verdana" w:hAnsi="Verdana"/>
                <w:b/>
                <w:noProof/>
                <w:color w:val="000000"/>
                <w:sz w:val="18"/>
              </w:rPr>
              <w:t>Pagrindinė veikla</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noProof/>
                <w:color w:val="000000"/>
                <w:sz w:val="18"/>
              </w:rPr>
            </w:pP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noProof/>
                <w:color w:val="000000"/>
                <w:sz w:val="18"/>
                <w:lang w:bidi="en-GB"/>
              </w:rPr>
            </w:pP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Kapitalo padidėjimas – įnašai (grynąja verte)</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4 385</w:t>
            </w: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4 250</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Patikos fondų įnašų (padidėjimas) / sumažėjimas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(65)</w:t>
            </w: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(38)</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Išankstinio finansavimo (padidėjimas) / sumažėjimas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136</w:t>
            </w: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(235)</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Iš prekybos gautinų sumų ir neprekybinių susigrąžintinų sumų (padidėjimas) / sumažėjimas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15</w:t>
            </w:r>
          </w:p>
        </w:tc>
        <w:tc>
          <w:tcPr>
            <w:tcW w:w="909"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(46)</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Atidėjinių padidėjimas / (sumažėjimas)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w:t>
            </w: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(4)</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Finansinių įsipareigojimų padidėjimas / (sumažėjimas)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2</w:t>
            </w: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3</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Mokėtinų sumų padidėjimas / (sumažėjimas)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275</w:t>
            </w: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(322)</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Sukauptų sąnaudų ir būsimojo laikotarpio pajamų padidėjimas / (sumažėjimas)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37</w:t>
            </w: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548</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Kiti nepiniginiai pokyčiai</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(2)</w:t>
            </w: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b/>
                <w:noProof/>
                <w:color w:val="000000"/>
                <w:sz w:val="18"/>
              </w:rPr>
            </w:pPr>
            <w:r>
              <w:rPr>
                <w:rFonts w:ascii="Verdana" w:hAnsi="Verdana"/>
                <w:b/>
                <w:noProof/>
                <w:color w:val="000000"/>
                <w:sz w:val="18"/>
              </w:rPr>
              <w:t>Investicinė veikla</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noProof/>
                <w:color w:val="000000"/>
                <w:sz w:val="18"/>
              </w:rPr>
            </w:pP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noProof/>
                <w:color w:val="000000"/>
                <w:sz w:val="18"/>
                <w:lang w:bidi="en-GB"/>
              </w:rPr>
            </w:pP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 xml:space="preserve">Parduoti laikomo finansinio turto (padidėjimas) / sumažėjimas </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(36)</w:t>
            </w:r>
          </w:p>
        </w:tc>
        <w:tc>
          <w:tcPr>
            <w:tcW w:w="909"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7290" w:type="dxa"/>
            <w:tcBorders>
              <w:top w:val="nil"/>
              <w:left w:val="nil"/>
              <w:bottom w:val="nil"/>
              <w:right w:val="nil"/>
              <w:tl2br w:val="nil"/>
              <w:tr2bl w:val="nil"/>
            </w:tcBorders>
            <w:shd w:val="solid" w:color="CCE1EA" w:fill="FFFFFF"/>
            <w:tcMar>
              <w:left w:w="60" w:type="dxa"/>
              <w:right w:w="60" w:type="dxa"/>
            </w:tcMar>
            <w:vAlign w:val="bottom"/>
          </w:tcPr>
          <w:p>
            <w:pPr>
              <w:pStyle w:val="DMETW18949BIPAGGCF"/>
              <w:rPr>
                <w:rFonts w:ascii="Verdana" w:eastAsia="Verdana" w:hAnsi="Verdana" w:cs="Verdana"/>
                <w:b/>
                <w:noProof/>
                <w:color w:val="000000"/>
                <w:sz w:val="18"/>
              </w:rPr>
            </w:pPr>
            <w:r>
              <w:rPr>
                <w:rFonts w:ascii="Verdana" w:hAnsi="Verdana"/>
                <w:b/>
                <w:noProof/>
                <w:color w:val="000000"/>
                <w:sz w:val="18"/>
              </w:rPr>
              <w:t>GRYNIEJI PINIGŲ SRAUTAI</w:t>
            </w:r>
          </w:p>
        </w:tc>
        <w:tc>
          <w:tcPr>
            <w:tcW w:w="708" w:type="dxa"/>
            <w:tcBorders>
              <w:top w:val="nil"/>
              <w:left w:val="nil"/>
              <w:bottom w:val="nil"/>
              <w:right w:val="nil"/>
              <w:tl2br w:val="nil"/>
              <w:tr2bl w:val="nil"/>
            </w:tcBorders>
            <w:shd w:val="solid" w:color="CCE1EA" w:fill="FFFFFF"/>
            <w:tcMar>
              <w:left w:w="60" w:type="dxa"/>
              <w:right w:w="60" w:type="dxa"/>
            </w:tcMar>
            <w:vAlign w:val="bottom"/>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8949BIPAGGCF"/>
              <w:jc w:val="right"/>
              <w:rPr>
                <w:rFonts w:ascii="Verdana" w:eastAsia="Verdana" w:hAnsi="Verdana" w:cs="Verdana"/>
                <w:b/>
                <w:noProof/>
                <w:color w:val="000000"/>
                <w:sz w:val="18"/>
              </w:rPr>
            </w:pPr>
            <w:r>
              <w:rPr>
                <w:rFonts w:ascii="Verdana" w:hAnsi="Verdana"/>
                <w:b/>
                <w:noProof/>
                <w:color w:val="000000"/>
                <w:sz w:val="18"/>
              </w:rPr>
              <w:t xml:space="preserve"> 792</w:t>
            </w:r>
          </w:p>
        </w:tc>
        <w:tc>
          <w:tcPr>
            <w:tcW w:w="909" w:type="dxa"/>
            <w:tcBorders>
              <w:top w:val="nil"/>
              <w:left w:val="nil"/>
              <w:bottom w:val="nil"/>
              <w:right w:val="nil"/>
              <w:tl2br w:val="nil"/>
              <w:tr2bl w:val="nil"/>
            </w:tcBorders>
            <w:shd w:val="solid" w:color="CCE1EA" w:fill="FFFFFF"/>
            <w:tcMar>
              <w:left w:w="60" w:type="dxa"/>
              <w:right w:w="60" w:type="dxa"/>
            </w:tcMar>
            <w:vAlign w:val="center"/>
          </w:tcPr>
          <w:p>
            <w:pPr>
              <w:pStyle w:val="DMETW18949BIPAGGCF"/>
              <w:jc w:val="right"/>
              <w:rPr>
                <w:rFonts w:ascii="Verdana" w:eastAsia="Verdana" w:hAnsi="Verdana" w:cs="Verdana"/>
                <w:b/>
                <w:noProof/>
                <w:color w:val="000000"/>
                <w:sz w:val="18"/>
              </w:rPr>
            </w:pPr>
            <w:r>
              <w:rPr>
                <w:rFonts w:ascii="Verdana" w:hAnsi="Verdana"/>
                <w:b/>
                <w:noProof/>
                <w:color w:val="000000"/>
                <w:sz w:val="18"/>
              </w:rPr>
              <w:t xml:space="preserve"> 40</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b/>
                <w:i/>
                <w:noProof/>
                <w:color w:val="000000"/>
                <w:sz w:val="18"/>
              </w:rPr>
            </w:pP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b/>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lang w:bidi="en-GB"/>
              </w:rPr>
            </w:pP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Pinigų ir pinigų ekvivalentų grynasis padidėjimas / (sumažėjimas)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792</w:t>
            </w:r>
          </w:p>
        </w:tc>
        <w:tc>
          <w:tcPr>
            <w:tcW w:w="909"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40</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Pinigai ir pinigų ekvivalentai metų pradžioje</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r>
              <w:rPr>
                <w:rFonts w:ascii="Verdana" w:hAnsi="Verdana"/>
                <w:noProof/>
                <w:color w:val="000000"/>
                <w:sz w:val="18"/>
              </w:rPr>
              <w:t>2.5</w:t>
            </w: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387</w:t>
            </w:r>
          </w:p>
        </w:tc>
        <w:tc>
          <w:tcPr>
            <w:tcW w:w="909"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347</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Pinigai ir pinigų ekvivalentai metų pabaigoje</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r>
              <w:rPr>
                <w:rFonts w:ascii="Verdana" w:hAnsi="Verdana"/>
                <w:noProof/>
                <w:color w:val="000000"/>
                <w:sz w:val="18"/>
              </w:rPr>
              <w:t>2.5</w:t>
            </w: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hAnsi="Verdana"/>
                <w:i/>
                <w:noProof/>
                <w:color w:val="000000"/>
                <w:sz w:val="18"/>
              </w:rPr>
              <w:t>1 179</w:t>
            </w:r>
          </w:p>
        </w:tc>
        <w:tc>
          <w:tcPr>
            <w:tcW w:w="909"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387</w:t>
            </w:r>
          </w:p>
        </w:tc>
      </w:tr>
    </w:tbl>
    <w:p>
      <w:pPr>
        <w:pStyle w:val="HEADERTITLE1"/>
      </w:pPr>
    </w:p>
    <w:p>
      <w:pPr>
        <w:pStyle w:val="Textstand-alone"/>
      </w:pPr>
    </w:p>
    <w:p>
      <w:pPr>
        <w:pStyle w:val="HEADERTITLE1"/>
      </w:pPr>
    </w:p>
    <w:p>
      <w:pPr>
        <w:pStyle w:val="HEADERTITLE1"/>
      </w:pPr>
    </w:p>
    <w:p>
      <w:pPr>
        <w:pStyle w:val="HEADERTITLE1"/>
      </w:pPr>
    </w:p>
    <w:p>
      <w:pPr>
        <w:pStyle w:val="HEADERTITLE1"/>
      </w:pPr>
    </w:p>
    <w:p>
      <w:pPr>
        <w:pStyle w:val="HEADERTITLE1"/>
      </w:pPr>
    </w:p>
    <w:p>
      <w:pPr>
        <w:pStyle w:val="HEADERTITLE1"/>
      </w:pPr>
    </w:p>
    <w:p>
      <w:pPr>
        <w:pStyle w:val="HEADERTITLE1"/>
      </w:pPr>
    </w:p>
    <w:bookmarkEnd w:id="10"/>
    <w:p>
      <w:pPr>
        <w:pStyle w:val="HEADERTITLE1"/>
        <w:sectPr>
          <w:headerReference w:type="even" r:id="rId77"/>
          <w:headerReference w:type="default" r:id="rId78"/>
          <w:footerReference w:type="even" r:id="rId79"/>
          <w:footerReference w:type="default" r:id="rId80"/>
          <w:headerReference w:type="first" r:id="rId81"/>
          <w:footerReference w:type="first" r:id="rId82"/>
          <w:pgSz w:w="11906" w:h="16838"/>
          <w:pgMar w:top="1134" w:right="1134" w:bottom="1134" w:left="1134" w:header="709" w:footer="709" w:gutter="0"/>
          <w:cols w:space="708"/>
          <w:docGrid w:linePitch="360"/>
        </w:sectPr>
      </w:pPr>
    </w:p>
    <w:p>
      <w:pPr>
        <w:pStyle w:val="HEADERTITLE1"/>
      </w:pPr>
      <w:bookmarkStart w:id="23" w:name="_Toc48834986"/>
      <w:bookmarkStart w:id="24" w:name="_DMBM_18979"/>
      <w:r>
        <w:t>EPF GRYNOJO TURTO POKYČIŲ ATASKAITA</w:t>
      </w:r>
      <w:bookmarkEnd w:id="23"/>
    </w:p>
    <w:tbl>
      <w:tblPr>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2"/>
        <w:gridCol w:w="1418"/>
        <w:gridCol w:w="1134"/>
        <w:gridCol w:w="1701"/>
        <w:gridCol w:w="1569"/>
        <w:gridCol w:w="2116"/>
        <w:gridCol w:w="1279"/>
        <w:gridCol w:w="1556"/>
      </w:tblGrid>
      <w:tr>
        <w:trPr>
          <w:trHeight w:hRule="exact" w:val="240"/>
        </w:trPr>
        <w:tc>
          <w:tcPr>
            <w:tcW w:w="3462" w:type="dxa"/>
            <w:tcBorders>
              <w:top w:val="nil"/>
              <w:left w:val="nil"/>
              <w:bottom w:val="nil"/>
              <w:right w:val="nil"/>
              <w:tl2br w:val="nil"/>
              <w:tr2bl w:val="nil"/>
            </w:tcBorders>
            <w:shd w:val="clear" w:color="auto" w:fill="auto"/>
            <w:tcMar>
              <w:left w:w="60" w:type="dxa"/>
              <w:right w:w="60" w:type="dxa"/>
            </w:tcMar>
            <w:vAlign w:val="bottom"/>
          </w:tcPr>
          <w:p>
            <w:pPr>
              <w:pStyle w:val="DMETW18949BIPAGGNA"/>
              <w:rPr>
                <w:rFonts w:ascii="Arial" w:eastAsia="Arial" w:hAnsi="Arial" w:cs="Arial"/>
                <w:i/>
                <w:noProof/>
                <w:color w:val="000000"/>
                <w:sz w:val="16"/>
              </w:rPr>
            </w:pPr>
            <w:bookmarkStart w:id="25" w:name="DOC_TBL00008_1_1"/>
            <w:bookmarkEnd w:id="25"/>
          </w:p>
        </w:tc>
        <w:tc>
          <w:tcPr>
            <w:tcW w:w="1418"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center"/>
              <w:rPr>
                <w:rFonts w:ascii="Arial" w:eastAsia="Arial" w:hAnsi="Arial" w:cs="Arial"/>
                <w:i/>
                <w:noProof/>
                <w:color w:val="000000"/>
                <w:sz w:val="16"/>
              </w:rPr>
            </w:pPr>
          </w:p>
        </w:tc>
        <w:tc>
          <w:tcPr>
            <w:tcW w:w="1134"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Arial" w:eastAsia="Arial" w:hAnsi="Arial" w:cs="Arial"/>
                <w:i/>
                <w:noProof/>
                <w:color w:val="000000"/>
                <w:sz w:val="16"/>
              </w:rPr>
            </w:pPr>
          </w:p>
        </w:tc>
        <w:tc>
          <w:tcPr>
            <w:tcW w:w="1701"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6"/>
              </w:rPr>
            </w:pPr>
          </w:p>
        </w:tc>
        <w:tc>
          <w:tcPr>
            <w:tcW w:w="1569" w:type="dxa"/>
            <w:tcBorders>
              <w:top w:val="nil"/>
              <w:left w:val="nil"/>
              <w:bottom w:val="nil"/>
              <w:right w:val="nil"/>
              <w:tl2br w:val="nil"/>
              <w:tr2bl w:val="nil"/>
            </w:tcBorders>
            <w:shd w:val="clear" w:color="auto" w:fill="auto"/>
            <w:tcMar>
              <w:left w:w="60" w:type="dxa"/>
              <w:right w:w="60" w:type="dxa"/>
            </w:tcMar>
            <w:vAlign w:val="bottom"/>
          </w:tcPr>
          <w:p>
            <w:pPr>
              <w:pStyle w:val="DMETW18949BIPAGGNA"/>
              <w:rPr>
                <w:rFonts w:ascii="Arial" w:eastAsia="Arial" w:hAnsi="Arial" w:cs="Arial"/>
                <w:i/>
                <w:noProof/>
                <w:color w:val="000000"/>
                <w:sz w:val="16"/>
              </w:rPr>
            </w:pPr>
          </w:p>
        </w:tc>
        <w:tc>
          <w:tcPr>
            <w:tcW w:w="2116"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center"/>
              <w:rPr>
                <w:rFonts w:ascii="Arial" w:eastAsia="Arial" w:hAnsi="Arial" w:cs="Arial"/>
                <w:i/>
                <w:noProof/>
                <w:color w:val="000000"/>
                <w:sz w:val="16"/>
              </w:rPr>
            </w:pP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center"/>
              <w:rPr>
                <w:rFonts w:ascii="Arial" w:eastAsia="Arial" w:hAnsi="Arial" w:cs="Arial"/>
                <w:i/>
                <w:noProof/>
                <w:color w:val="000000"/>
                <w:sz w:val="16"/>
              </w:rPr>
            </w:pPr>
          </w:p>
        </w:tc>
        <w:tc>
          <w:tcPr>
            <w:tcW w:w="1556"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Arial" w:eastAsia="Arial" w:hAnsi="Arial" w:cs="Arial"/>
                <w:i/>
                <w:noProof/>
                <w:color w:val="000000"/>
                <w:sz w:val="16"/>
              </w:rPr>
            </w:pPr>
            <w:r>
              <w:rPr>
                <w:rFonts w:ascii="Arial" w:hAnsi="Arial"/>
                <w:i/>
                <w:noProof/>
                <w:color w:val="000000"/>
                <w:sz w:val="16"/>
              </w:rPr>
              <w:t>mln. EUR</w:t>
            </w:r>
          </w:p>
        </w:tc>
      </w:tr>
      <w:tr>
        <w:trPr>
          <w:trHeight w:hRule="exact" w:val="1245"/>
        </w:trPr>
        <w:tc>
          <w:tcPr>
            <w:tcW w:w="3462" w:type="dxa"/>
            <w:tcBorders>
              <w:top w:val="nil"/>
              <w:left w:val="nil"/>
              <w:bottom w:val="nil"/>
              <w:right w:val="nil"/>
              <w:tl2br w:val="nil"/>
              <w:tr2bl w:val="nil"/>
            </w:tcBorders>
            <w:shd w:val="solid" w:color="016794" w:fill="FFFFFF"/>
            <w:tcMar>
              <w:left w:w="60" w:type="dxa"/>
              <w:right w:w="60" w:type="dxa"/>
            </w:tcMar>
            <w:vAlign w:val="center"/>
          </w:tcPr>
          <w:p>
            <w:pPr>
              <w:pStyle w:val="DMETW18949BIPAGGNA"/>
              <w:jc w:val="center"/>
              <w:rPr>
                <w:rFonts w:ascii="Verdana" w:eastAsia="Verdana" w:hAnsi="Verdana" w:cs="Verdana"/>
                <w:noProof/>
                <w:color w:val="FFFFFF"/>
              </w:rPr>
            </w:pPr>
          </w:p>
        </w:tc>
        <w:tc>
          <w:tcPr>
            <w:tcW w:w="1418" w:type="dxa"/>
            <w:tcBorders>
              <w:top w:val="nil"/>
              <w:left w:val="nil"/>
              <w:bottom w:val="nil"/>
              <w:right w:val="nil"/>
              <w:tl2br w:val="nil"/>
              <w:tr2bl w:val="nil"/>
            </w:tcBorders>
            <w:shd w:val="solid" w:color="016794" w:fill="FFFFFF"/>
            <w:tcMar>
              <w:left w:w="60" w:type="dxa"/>
              <w:right w:w="60" w:type="dxa"/>
            </w:tcMar>
            <w:vAlign w:val="center"/>
          </w:tcPr>
          <w:p>
            <w:pPr>
              <w:pStyle w:val="DMETW18949BIPAGGNA"/>
              <w:jc w:val="center"/>
              <w:rPr>
                <w:rFonts w:ascii="Verdana" w:eastAsia="Verdana" w:hAnsi="Verdana" w:cs="Verdana"/>
                <w:noProof/>
                <w:color w:val="FFFFFF"/>
              </w:rPr>
            </w:pPr>
            <w:r>
              <w:rPr>
                <w:rFonts w:ascii="Verdana" w:hAnsi="Verdana"/>
                <w:noProof/>
                <w:color w:val="FFFFFF"/>
              </w:rPr>
              <w:t>Fondo kapitalas – aktyvūs EPF (A)</w:t>
            </w:r>
          </w:p>
        </w:tc>
        <w:tc>
          <w:tcPr>
            <w:tcW w:w="1134" w:type="dxa"/>
            <w:tcBorders>
              <w:top w:val="nil"/>
              <w:left w:val="nil"/>
              <w:bottom w:val="nil"/>
              <w:right w:val="nil"/>
              <w:tl2br w:val="nil"/>
              <w:tr2bl w:val="nil"/>
            </w:tcBorders>
            <w:shd w:val="solid" w:color="016794" w:fill="FFFFFF"/>
            <w:tcMar>
              <w:left w:w="60" w:type="dxa"/>
              <w:right w:w="60" w:type="dxa"/>
            </w:tcMar>
            <w:vAlign w:val="center"/>
          </w:tcPr>
          <w:p>
            <w:pPr>
              <w:pStyle w:val="DMETW18949BIPAGGNA"/>
              <w:jc w:val="center"/>
              <w:rPr>
                <w:rFonts w:ascii="Verdana" w:eastAsia="Verdana" w:hAnsi="Verdana" w:cs="Verdana"/>
                <w:noProof/>
                <w:color w:val="FFFFFF"/>
              </w:rPr>
            </w:pPr>
            <w:r>
              <w:rPr>
                <w:rFonts w:ascii="Verdana" w:hAnsi="Verdana"/>
                <w:noProof/>
                <w:color w:val="FFFFFF"/>
              </w:rPr>
              <w:t>Nepareikalautosios lėšos – aktyvūs EPF (B)</w:t>
            </w:r>
          </w:p>
        </w:tc>
        <w:tc>
          <w:tcPr>
            <w:tcW w:w="1701" w:type="dxa"/>
            <w:tcBorders>
              <w:top w:val="nil"/>
              <w:left w:val="nil"/>
              <w:bottom w:val="nil"/>
              <w:right w:val="nil"/>
              <w:tl2br w:val="nil"/>
              <w:tr2bl w:val="nil"/>
            </w:tcBorders>
            <w:shd w:val="solid" w:color="016794" w:fill="FFFFFF"/>
            <w:tcMar>
              <w:left w:w="60" w:type="dxa"/>
              <w:right w:w="60" w:type="dxa"/>
            </w:tcMar>
            <w:vAlign w:val="center"/>
          </w:tcPr>
          <w:p>
            <w:pPr>
              <w:pStyle w:val="DMETW18949BIPAGGNA"/>
              <w:jc w:val="center"/>
              <w:rPr>
                <w:rFonts w:ascii="Verdana" w:eastAsia="Verdana" w:hAnsi="Verdana" w:cs="Verdana"/>
                <w:noProof/>
                <w:color w:val="FFFFFF"/>
              </w:rPr>
            </w:pPr>
            <w:r>
              <w:rPr>
                <w:rFonts w:ascii="Verdana" w:hAnsi="Verdana"/>
                <w:noProof/>
                <w:color w:val="FFFFFF"/>
              </w:rPr>
              <w:t>Pareikalautasis fondo kapitalas – aktyvūs EPF (C) = (A) − (B)</w:t>
            </w:r>
          </w:p>
        </w:tc>
        <w:tc>
          <w:tcPr>
            <w:tcW w:w="1569" w:type="dxa"/>
            <w:tcBorders>
              <w:top w:val="nil"/>
              <w:left w:val="nil"/>
              <w:bottom w:val="nil"/>
              <w:right w:val="nil"/>
              <w:tl2br w:val="nil"/>
              <w:tr2bl w:val="nil"/>
            </w:tcBorders>
            <w:shd w:val="solid" w:color="016794" w:fill="FFFFFF"/>
            <w:tcMar>
              <w:left w:w="60" w:type="dxa"/>
              <w:right w:w="60" w:type="dxa"/>
            </w:tcMar>
            <w:vAlign w:val="center"/>
          </w:tcPr>
          <w:p>
            <w:pPr>
              <w:pStyle w:val="DMETW18949BIPAGGNA"/>
              <w:jc w:val="center"/>
              <w:rPr>
                <w:rFonts w:ascii="Verdana" w:eastAsia="Verdana" w:hAnsi="Verdana" w:cs="Verdana"/>
                <w:noProof/>
                <w:color w:val="FFFFFF"/>
              </w:rPr>
            </w:pPr>
            <w:r>
              <w:rPr>
                <w:rFonts w:ascii="Verdana" w:hAnsi="Verdana"/>
                <w:noProof/>
                <w:color w:val="FFFFFF"/>
              </w:rPr>
              <w:t>Sukaupti rezervai (D)</w:t>
            </w:r>
          </w:p>
        </w:tc>
        <w:tc>
          <w:tcPr>
            <w:tcW w:w="2116" w:type="dxa"/>
            <w:tcBorders>
              <w:top w:val="nil"/>
              <w:left w:val="nil"/>
              <w:bottom w:val="nil"/>
              <w:right w:val="nil"/>
              <w:tl2br w:val="nil"/>
              <w:tr2bl w:val="nil"/>
            </w:tcBorders>
            <w:shd w:val="solid" w:color="016794" w:fill="FFFFFF"/>
            <w:tcMar>
              <w:left w:w="60" w:type="dxa"/>
              <w:right w:w="60" w:type="dxa"/>
            </w:tcMar>
            <w:vAlign w:val="center"/>
          </w:tcPr>
          <w:p>
            <w:pPr>
              <w:pStyle w:val="DMETW18949BIPAGGNA"/>
              <w:jc w:val="center"/>
              <w:rPr>
                <w:rFonts w:ascii="Verdana" w:eastAsia="Verdana" w:hAnsi="Verdana" w:cs="Verdana"/>
                <w:noProof/>
                <w:color w:val="FFFFFF"/>
              </w:rPr>
            </w:pPr>
            <w:r>
              <w:rPr>
                <w:rFonts w:ascii="Verdana" w:hAnsi="Verdana"/>
                <w:noProof/>
                <w:color w:val="FFFFFF"/>
              </w:rPr>
              <w:t>Iš veiklą užbaigusių EPF perkeltas pareikalautasis fondo kapitalas (E)</w:t>
            </w:r>
          </w:p>
        </w:tc>
        <w:tc>
          <w:tcPr>
            <w:tcW w:w="1279" w:type="dxa"/>
            <w:tcBorders>
              <w:top w:val="nil"/>
              <w:left w:val="nil"/>
              <w:bottom w:val="nil"/>
              <w:right w:val="nil"/>
              <w:tl2br w:val="nil"/>
              <w:tr2bl w:val="nil"/>
            </w:tcBorders>
            <w:shd w:val="solid" w:color="016794" w:fill="FFFFFF"/>
            <w:tcMar>
              <w:left w:w="60" w:type="dxa"/>
              <w:right w:w="60" w:type="dxa"/>
            </w:tcMar>
            <w:vAlign w:val="center"/>
          </w:tcPr>
          <w:p>
            <w:pPr>
              <w:pStyle w:val="DMETW18949BIPAGGNA"/>
              <w:jc w:val="center"/>
              <w:rPr>
                <w:rFonts w:ascii="Verdana" w:eastAsia="Verdana" w:hAnsi="Verdana" w:cs="Verdana"/>
                <w:noProof/>
                <w:color w:val="FFFFFF"/>
              </w:rPr>
            </w:pPr>
            <w:r>
              <w:rPr>
                <w:rFonts w:ascii="Verdana" w:hAnsi="Verdana"/>
                <w:noProof/>
                <w:color w:val="FFFFFF"/>
              </w:rPr>
              <w:t>Tikrosios vertės rezervas (F)</w:t>
            </w:r>
          </w:p>
        </w:tc>
        <w:tc>
          <w:tcPr>
            <w:tcW w:w="1556" w:type="dxa"/>
            <w:tcBorders>
              <w:top w:val="nil"/>
              <w:left w:val="nil"/>
              <w:bottom w:val="nil"/>
              <w:right w:val="nil"/>
              <w:tl2br w:val="nil"/>
              <w:tr2bl w:val="nil"/>
            </w:tcBorders>
            <w:shd w:val="solid" w:color="016794" w:fill="FFFFFF"/>
            <w:tcMar>
              <w:left w:w="60" w:type="dxa"/>
              <w:right w:w="60" w:type="dxa"/>
            </w:tcMar>
            <w:vAlign w:val="center"/>
          </w:tcPr>
          <w:p>
            <w:pPr>
              <w:pStyle w:val="DMETW18949BIPAGGNA"/>
              <w:jc w:val="center"/>
              <w:rPr>
                <w:rFonts w:ascii="Verdana" w:eastAsia="Verdana" w:hAnsi="Verdana" w:cs="Verdana"/>
                <w:noProof/>
                <w:color w:val="FFFFFF"/>
              </w:rPr>
            </w:pPr>
            <w:r>
              <w:rPr>
                <w:rFonts w:ascii="Verdana" w:hAnsi="Verdana"/>
                <w:noProof/>
                <w:color w:val="FFFFFF"/>
              </w:rPr>
              <w:t>Iš viso grynojo turto (C) + (D) + (E) + (F)</w:t>
            </w:r>
          </w:p>
        </w:tc>
      </w:tr>
      <w:tr>
        <w:trPr>
          <w:trHeight w:hRule="exact" w:val="225"/>
        </w:trPr>
        <w:tc>
          <w:tcPr>
            <w:tcW w:w="3462"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rPr>
                <w:rFonts w:ascii="Verdana" w:eastAsia="Verdana" w:hAnsi="Verdana" w:cs="Verdana"/>
                <w:b/>
                <w:noProof/>
                <w:color w:val="000000"/>
                <w:sz w:val="18"/>
              </w:rPr>
            </w:pPr>
            <w:r>
              <w:rPr>
                <w:rFonts w:ascii="Verdana" w:hAnsi="Verdana"/>
                <w:b/>
                <w:noProof/>
                <w:color w:val="000000"/>
                <w:sz w:val="18"/>
              </w:rPr>
              <w:t>LIKUTIS 2017 m. gruodžio 31 d.</w:t>
            </w:r>
          </w:p>
        </w:tc>
        <w:tc>
          <w:tcPr>
            <w:tcW w:w="1418"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73 264</w:t>
            </w:r>
          </w:p>
        </w:tc>
        <w:tc>
          <w:tcPr>
            <w:tcW w:w="1134"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27 090</w:t>
            </w:r>
          </w:p>
        </w:tc>
        <w:tc>
          <w:tcPr>
            <w:tcW w:w="1701"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46 173</w:t>
            </w:r>
          </w:p>
        </w:tc>
        <w:tc>
          <w:tcPr>
            <w:tcW w:w="1569"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(47 037)</w:t>
            </w:r>
          </w:p>
        </w:tc>
        <w:tc>
          <w:tcPr>
            <w:tcW w:w="2116"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279"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hAnsi="Verdana"/>
                <w:b/>
                <w:noProof/>
                <w:color w:val="000000"/>
                <w:sz w:val="18"/>
              </w:rPr>
              <w:t>–</w:t>
            </w:r>
          </w:p>
        </w:tc>
        <w:tc>
          <w:tcPr>
            <w:tcW w:w="1556"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1 389</w:t>
            </w:r>
          </w:p>
        </w:tc>
      </w:tr>
      <w:tr>
        <w:trPr>
          <w:trHeight w:hRule="exact" w:val="345"/>
        </w:trPr>
        <w:tc>
          <w:tcPr>
            <w:tcW w:w="3462" w:type="dxa"/>
            <w:tcBorders>
              <w:top w:val="nil"/>
              <w:left w:val="nil"/>
              <w:bottom w:val="nil"/>
              <w:right w:val="nil"/>
              <w:tl2br w:val="nil"/>
              <w:tr2bl w:val="nil"/>
            </w:tcBorders>
            <w:shd w:val="clear" w:color="auto" w:fill="auto"/>
            <w:tcMar>
              <w:left w:w="60" w:type="dxa"/>
              <w:right w:w="60" w:type="dxa"/>
            </w:tcMar>
            <w:vAlign w:val="center"/>
          </w:tcPr>
          <w:p>
            <w:pPr>
              <w:pStyle w:val="DMETW18949BIPAGGNA"/>
              <w:rPr>
                <w:rFonts w:ascii="Verdana" w:eastAsia="Verdana" w:hAnsi="Verdana" w:cs="Verdana"/>
                <w:i/>
                <w:noProof/>
                <w:color w:val="000000"/>
                <w:sz w:val="18"/>
              </w:rPr>
            </w:pPr>
            <w:r>
              <w:rPr>
                <w:rFonts w:ascii="Verdana" w:hAnsi="Verdana"/>
                <w:i/>
                <w:noProof/>
                <w:color w:val="000000"/>
                <w:sz w:val="18"/>
              </w:rPr>
              <w:t>Kapitalo padidėjimas – įnašai</w:t>
            </w:r>
          </w:p>
        </w:tc>
        <w:tc>
          <w:tcPr>
            <w:tcW w:w="1418"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 xml:space="preserve"> (4 250)</w:t>
            </w:r>
          </w:p>
        </w:tc>
        <w:tc>
          <w:tcPr>
            <w:tcW w:w="1701"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 xml:space="preserve"> 4 250</w:t>
            </w:r>
          </w:p>
        </w:tc>
        <w:tc>
          <w:tcPr>
            <w:tcW w:w="156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2116"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556"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 xml:space="preserve"> 4 250</w:t>
            </w:r>
          </w:p>
        </w:tc>
      </w:tr>
      <w:tr>
        <w:trPr>
          <w:trHeight w:hRule="exact" w:val="225"/>
        </w:trPr>
        <w:tc>
          <w:tcPr>
            <w:tcW w:w="3462" w:type="dxa"/>
            <w:tcBorders>
              <w:top w:val="nil"/>
              <w:left w:val="nil"/>
              <w:bottom w:val="nil"/>
              <w:right w:val="nil"/>
              <w:tl2br w:val="nil"/>
              <w:tr2bl w:val="nil"/>
            </w:tcBorders>
            <w:shd w:val="clear" w:color="auto" w:fill="auto"/>
            <w:tcMar>
              <w:left w:w="60" w:type="dxa"/>
              <w:right w:w="60" w:type="dxa"/>
            </w:tcMar>
            <w:vAlign w:val="center"/>
          </w:tcPr>
          <w:p>
            <w:pPr>
              <w:pStyle w:val="DMETW18949BIPAGGNA"/>
              <w:rPr>
                <w:rFonts w:ascii="Verdana" w:eastAsia="Verdana" w:hAnsi="Verdana" w:cs="Verdana"/>
                <w:i/>
                <w:noProof/>
                <w:color w:val="000000"/>
                <w:sz w:val="18"/>
              </w:rPr>
            </w:pPr>
            <w:r>
              <w:rPr>
                <w:rFonts w:ascii="Verdana" w:hAnsi="Verdana"/>
                <w:i/>
                <w:noProof/>
                <w:color w:val="000000"/>
                <w:sz w:val="18"/>
              </w:rPr>
              <w:t>Ekonominis metų rezultatas</w:t>
            </w:r>
          </w:p>
        </w:tc>
        <w:tc>
          <w:tcPr>
            <w:tcW w:w="1418"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701"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56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 xml:space="preserve"> (4 118)</w:t>
            </w:r>
          </w:p>
        </w:tc>
        <w:tc>
          <w:tcPr>
            <w:tcW w:w="2116"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556"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 xml:space="preserve"> (4 118)</w:t>
            </w:r>
          </w:p>
        </w:tc>
      </w:tr>
      <w:tr>
        <w:trPr>
          <w:trHeight w:hRule="exact" w:val="225"/>
        </w:trPr>
        <w:tc>
          <w:tcPr>
            <w:tcW w:w="3462"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rPr>
                <w:rFonts w:ascii="Verdana" w:eastAsia="Verdana" w:hAnsi="Verdana" w:cs="Verdana"/>
                <w:b/>
                <w:noProof/>
                <w:color w:val="000000"/>
                <w:sz w:val="18"/>
              </w:rPr>
            </w:pPr>
            <w:r>
              <w:rPr>
                <w:rFonts w:ascii="Verdana" w:hAnsi="Verdana"/>
                <w:b/>
                <w:noProof/>
                <w:color w:val="000000"/>
                <w:sz w:val="18"/>
              </w:rPr>
              <w:t>LIKUTIS 2018 m. gruodžio 31 d.</w:t>
            </w:r>
          </w:p>
        </w:tc>
        <w:tc>
          <w:tcPr>
            <w:tcW w:w="1418"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73 264</w:t>
            </w:r>
          </w:p>
        </w:tc>
        <w:tc>
          <w:tcPr>
            <w:tcW w:w="1134"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22 840</w:t>
            </w:r>
          </w:p>
        </w:tc>
        <w:tc>
          <w:tcPr>
            <w:tcW w:w="1701"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50 423</w:t>
            </w:r>
          </w:p>
        </w:tc>
        <w:tc>
          <w:tcPr>
            <w:tcW w:w="1569"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(51 155)</w:t>
            </w:r>
          </w:p>
        </w:tc>
        <w:tc>
          <w:tcPr>
            <w:tcW w:w="2116"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279"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hAnsi="Verdana"/>
                <w:b/>
                <w:noProof/>
                <w:color w:val="000000"/>
                <w:sz w:val="18"/>
              </w:rPr>
              <w:t>–</w:t>
            </w:r>
          </w:p>
        </w:tc>
        <w:tc>
          <w:tcPr>
            <w:tcW w:w="1556"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1 521</w:t>
            </w:r>
          </w:p>
        </w:tc>
      </w:tr>
      <w:tr>
        <w:trPr>
          <w:trHeight w:hRule="exact" w:val="225"/>
        </w:trPr>
        <w:tc>
          <w:tcPr>
            <w:tcW w:w="3462" w:type="dxa"/>
            <w:tcBorders>
              <w:top w:val="nil"/>
              <w:left w:val="nil"/>
              <w:bottom w:val="nil"/>
              <w:right w:val="nil"/>
              <w:tl2br w:val="nil"/>
              <w:tr2bl w:val="nil"/>
            </w:tcBorders>
            <w:shd w:val="clear" w:color="auto" w:fill="auto"/>
            <w:tcMar>
              <w:left w:w="60" w:type="dxa"/>
              <w:right w:w="60" w:type="dxa"/>
            </w:tcMar>
            <w:vAlign w:val="center"/>
          </w:tcPr>
          <w:p>
            <w:pPr>
              <w:pStyle w:val="DMETW18949BIPAGGNA"/>
              <w:rPr>
                <w:rFonts w:ascii="Verdana" w:eastAsia="Verdana" w:hAnsi="Verdana" w:cs="Verdana"/>
                <w:i/>
                <w:noProof/>
                <w:color w:val="000000"/>
                <w:sz w:val="18"/>
              </w:rPr>
            </w:pPr>
            <w:r>
              <w:rPr>
                <w:rFonts w:ascii="Verdana" w:hAnsi="Verdana"/>
                <w:i/>
                <w:noProof/>
                <w:color w:val="000000"/>
                <w:sz w:val="18"/>
              </w:rPr>
              <w:t>Tikrosios vertės pokyčiai</w:t>
            </w:r>
          </w:p>
        </w:tc>
        <w:tc>
          <w:tcPr>
            <w:tcW w:w="1418"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134"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701"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56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2116"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 xml:space="preserve">  (2)</w:t>
            </w:r>
          </w:p>
        </w:tc>
        <w:tc>
          <w:tcPr>
            <w:tcW w:w="1556"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 xml:space="preserve">  (2)</w:t>
            </w:r>
          </w:p>
        </w:tc>
      </w:tr>
      <w:tr>
        <w:trPr>
          <w:trHeight w:hRule="exact" w:val="225"/>
        </w:trPr>
        <w:tc>
          <w:tcPr>
            <w:tcW w:w="3462" w:type="dxa"/>
            <w:tcBorders>
              <w:top w:val="nil"/>
              <w:left w:val="nil"/>
              <w:bottom w:val="nil"/>
              <w:right w:val="nil"/>
              <w:tl2br w:val="nil"/>
              <w:tr2bl w:val="nil"/>
            </w:tcBorders>
            <w:shd w:val="clear" w:color="auto" w:fill="auto"/>
            <w:tcMar>
              <w:left w:w="60" w:type="dxa"/>
              <w:right w:w="60" w:type="dxa"/>
            </w:tcMar>
            <w:vAlign w:val="center"/>
          </w:tcPr>
          <w:p>
            <w:pPr>
              <w:pStyle w:val="DMETW18949BIPAGGNA"/>
              <w:rPr>
                <w:rFonts w:ascii="Verdana" w:eastAsia="Verdana" w:hAnsi="Verdana" w:cs="Verdana"/>
                <w:i/>
                <w:noProof/>
                <w:color w:val="000000"/>
                <w:sz w:val="18"/>
              </w:rPr>
            </w:pPr>
            <w:r>
              <w:rPr>
                <w:rFonts w:ascii="Verdana" w:hAnsi="Verdana"/>
                <w:i/>
                <w:noProof/>
                <w:color w:val="000000"/>
                <w:sz w:val="18"/>
              </w:rPr>
              <w:t>Kapitalo padidėjimas – įnašai</w:t>
            </w:r>
          </w:p>
        </w:tc>
        <w:tc>
          <w:tcPr>
            <w:tcW w:w="1418"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 xml:space="preserve"> (4 385)</w:t>
            </w:r>
          </w:p>
        </w:tc>
        <w:tc>
          <w:tcPr>
            <w:tcW w:w="1701"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 xml:space="preserve"> 4 385</w:t>
            </w:r>
          </w:p>
        </w:tc>
        <w:tc>
          <w:tcPr>
            <w:tcW w:w="156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2116"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556"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 xml:space="preserve"> 4 385</w:t>
            </w:r>
          </w:p>
        </w:tc>
      </w:tr>
      <w:tr>
        <w:trPr>
          <w:trHeight w:hRule="exact" w:val="225"/>
        </w:trPr>
        <w:tc>
          <w:tcPr>
            <w:tcW w:w="3462" w:type="dxa"/>
            <w:tcBorders>
              <w:top w:val="nil"/>
              <w:left w:val="nil"/>
              <w:bottom w:val="nil"/>
              <w:right w:val="nil"/>
              <w:tl2br w:val="nil"/>
              <w:tr2bl w:val="nil"/>
            </w:tcBorders>
            <w:shd w:val="clear" w:color="auto" w:fill="auto"/>
            <w:tcMar>
              <w:left w:w="60" w:type="dxa"/>
              <w:right w:w="60" w:type="dxa"/>
            </w:tcMar>
            <w:vAlign w:val="center"/>
          </w:tcPr>
          <w:p>
            <w:pPr>
              <w:pStyle w:val="DMETW18949BIPAGGNA"/>
              <w:rPr>
                <w:rFonts w:ascii="Verdana" w:eastAsia="Verdana" w:hAnsi="Verdana" w:cs="Verdana"/>
                <w:i/>
                <w:noProof/>
                <w:color w:val="000000"/>
                <w:sz w:val="18"/>
              </w:rPr>
            </w:pPr>
            <w:r>
              <w:rPr>
                <w:rFonts w:ascii="Verdana" w:hAnsi="Verdana"/>
                <w:i/>
                <w:noProof/>
                <w:color w:val="000000"/>
                <w:sz w:val="18"/>
              </w:rPr>
              <w:t>Ekonominis metų rezultatas</w:t>
            </w:r>
          </w:p>
        </w:tc>
        <w:tc>
          <w:tcPr>
            <w:tcW w:w="1418"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701"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56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 xml:space="preserve"> (3 956)</w:t>
            </w:r>
          </w:p>
        </w:tc>
        <w:tc>
          <w:tcPr>
            <w:tcW w:w="2116"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556"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 xml:space="preserve"> (3 956)</w:t>
            </w:r>
          </w:p>
        </w:tc>
      </w:tr>
      <w:tr>
        <w:trPr>
          <w:trHeight w:hRule="exact" w:val="225"/>
        </w:trPr>
        <w:tc>
          <w:tcPr>
            <w:tcW w:w="3462"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rPr>
                <w:rFonts w:ascii="Verdana" w:eastAsia="Verdana" w:hAnsi="Verdana" w:cs="Verdana"/>
                <w:b/>
                <w:noProof/>
                <w:color w:val="000000"/>
                <w:sz w:val="18"/>
              </w:rPr>
            </w:pPr>
            <w:r>
              <w:rPr>
                <w:rFonts w:ascii="Verdana" w:hAnsi="Verdana"/>
                <w:b/>
                <w:noProof/>
                <w:color w:val="000000"/>
                <w:sz w:val="18"/>
              </w:rPr>
              <w:t>LIKUTIS 2019 m. gruodžio 31 d.</w:t>
            </w:r>
          </w:p>
        </w:tc>
        <w:tc>
          <w:tcPr>
            <w:tcW w:w="1418"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73 264</w:t>
            </w:r>
          </w:p>
        </w:tc>
        <w:tc>
          <w:tcPr>
            <w:tcW w:w="1134"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18 455</w:t>
            </w:r>
          </w:p>
        </w:tc>
        <w:tc>
          <w:tcPr>
            <w:tcW w:w="1701"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54 809</w:t>
            </w:r>
          </w:p>
        </w:tc>
        <w:tc>
          <w:tcPr>
            <w:tcW w:w="1569"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(55 111)</w:t>
            </w:r>
          </w:p>
        </w:tc>
        <w:tc>
          <w:tcPr>
            <w:tcW w:w="2116"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279"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(2)</w:t>
            </w:r>
          </w:p>
        </w:tc>
        <w:tc>
          <w:tcPr>
            <w:tcW w:w="1556"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1 948</w:t>
            </w:r>
          </w:p>
        </w:tc>
      </w:tr>
    </w:tbl>
    <w:p>
      <w:pPr>
        <w:pStyle w:val="Textstand-alone"/>
      </w:pPr>
    </w:p>
    <w:p>
      <w:pPr>
        <w:pStyle w:val="Textstand-alone"/>
        <w:sectPr>
          <w:headerReference w:type="even" r:id="rId83"/>
          <w:headerReference w:type="default" r:id="rId84"/>
          <w:footerReference w:type="even" r:id="rId85"/>
          <w:footerReference w:type="default" r:id="rId86"/>
          <w:headerReference w:type="first" r:id="rId87"/>
          <w:footerReference w:type="first" r:id="rId88"/>
          <w:pgSz w:w="16838" w:h="11906" w:orient="landscape" w:code="9"/>
          <w:pgMar w:top="1134" w:right="1134" w:bottom="1134" w:left="1134" w:header="709" w:footer="709" w:gutter="0"/>
          <w:cols w:space="708"/>
          <w:docGrid w:linePitch="360"/>
        </w:sectPr>
      </w:pPr>
    </w:p>
    <w:p>
      <w:pPr>
        <w:pStyle w:val="HEADERTITLE1"/>
      </w:pPr>
      <w:bookmarkStart w:id="26" w:name="_Toc48834987"/>
      <w:r>
        <w:t>EPF BALANSAS</w:t>
      </w:r>
      <w:bookmarkEnd w:id="26"/>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1"/>
        <w:gridCol w:w="688"/>
        <w:gridCol w:w="962"/>
        <w:gridCol w:w="962"/>
        <w:gridCol w:w="962"/>
        <w:gridCol w:w="963"/>
        <w:gridCol w:w="962"/>
        <w:gridCol w:w="962"/>
        <w:gridCol w:w="962"/>
        <w:gridCol w:w="963"/>
        <w:gridCol w:w="962"/>
        <w:gridCol w:w="1243"/>
      </w:tblGrid>
      <w:tr>
        <w:trPr>
          <w:cantSplit/>
          <w:trHeight w:val="106"/>
          <w:tblHeader/>
        </w:trPr>
        <w:tc>
          <w:tcPr>
            <w:tcW w:w="3107" w:type="dxa"/>
            <w:gridSpan w:val="12"/>
            <w:tcBorders>
              <w:top w:val="nil"/>
              <w:left w:val="nil"/>
              <w:bottom w:val="nil"/>
              <w:right w:val="nil"/>
              <w:tl2br w:val="nil"/>
              <w:tr2bl w:val="nil"/>
            </w:tcBorders>
            <w:shd w:val="solid" w:color="FFFFFF" w:fill="FFFFFF"/>
            <w:tcMar>
              <w:left w:w="60" w:type="dxa"/>
              <w:right w:w="60" w:type="dxa"/>
            </w:tcMar>
            <w:vAlign w:val="center"/>
          </w:tcPr>
          <w:p>
            <w:pPr>
              <w:pStyle w:val="DMETW18983BIPBSEDF"/>
              <w:jc w:val="right"/>
              <w:rPr>
                <w:rFonts w:ascii="Verdana" w:eastAsia="Verdana" w:hAnsi="Verdana" w:cs="Verdana"/>
                <w:i/>
                <w:noProof/>
                <w:color w:val="000000"/>
                <w:sz w:val="18"/>
              </w:rPr>
            </w:pPr>
            <w:bookmarkStart w:id="27" w:name="DOC_TBL00009_1_1"/>
            <w:bookmarkEnd w:id="27"/>
            <w:r>
              <w:rPr>
                <w:rFonts w:ascii="Verdana" w:hAnsi="Verdana"/>
                <w:i/>
                <w:noProof/>
                <w:color w:val="000000"/>
                <w:sz w:val="18"/>
              </w:rPr>
              <w:t xml:space="preserve"> mln. EUR</w:t>
            </w:r>
          </w:p>
        </w:tc>
      </w:tr>
      <w:tr>
        <w:trPr>
          <w:cantSplit/>
          <w:trHeight w:val="255"/>
          <w:tblHeader/>
        </w:trPr>
        <w:tc>
          <w:tcPr>
            <w:tcW w:w="3107"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center"/>
              <w:rPr>
                <w:rFonts w:ascii="Verdana" w:eastAsia="Verdana" w:hAnsi="Verdana" w:cs="Verdana"/>
                <w:noProof/>
                <w:color w:val="FFFFFF"/>
              </w:rPr>
            </w:pPr>
          </w:p>
        </w:tc>
        <w:tc>
          <w:tcPr>
            <w:tcW w:w="695"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center"/>
              <w:rPr>
                <w:rFonts w:ascii="Verdana" w:eastAsia="Verdana" w:hAnsi="Verdana" w:cs="Verdana"/>
                <w:noProof/>
                <w:color w:val="FFFFFF"/>
              </w:rPr>
            </w:pPr>
          </w:p>
        </w:tc>
        <w:tc>
          <w:tcPr>
            <w:tcW w:w="972" w:type="dxa"/>
            <w:gridSpan w:val="5"/>
            <w:tcBorders>
              <w:top w:val="nil"/>
              <w:left w:val="nil"/>
              <w:bottom w:val="nil"/>
              <w:right w:val="nil"/>
              <w:tl2br w:val="nil"/>
              <w:tr2bl w:val="nil"/>
            </w:tcBorders>
            <w:shd w:val="solid" w:color="016794" w:fill="FFFFFF"/>
            <w:tcMar>
              <w:left w:w="60" w:type="dxa"/>
              <w:right w:w="60" w:type="dxa"/>
            </w:tcMar>
            <w:vAlign w:val="center"/>
          </w:tcPr>
          <w:p>
            <w:pPr>
              <w:pStyle w:val="DMETW18983BIPBSEDF"/>
              <w:jc w:val="center"/>
              <w:rPr>
                <w:rFonts w:ascii="Verdana" w:eastAsia="Verdana" w:hAnsi="Verdana" w:cs="Verdana"/>
                <w:noProof/>
                <w:color w:val="FFFFFF"/>
              </w:rPr>
            </w:pPr>
            <w:r>
              <w:rPr>
                <w:rFonts w:ascii="Verdana" w:hAnsi="Verdana"/>
                <w:noProof/>
                <w:color w:val="FFFFFF"/>
              </w:rPr>
              <w:t>2019 12 31</w:t>
            </w:r>
          </w:p>
        </w:tc>
        <w:tc>
          <w:tcPr>
            <w:tcW w:w="972" w:type="dxa"/>
            <w:gridSpan w:val="4"/>
            <w:tcBorders>
              <w:top w:val="nil"/>
              <w:left w:val="nil"/>
              <w:bottom w:val="nil"/>
              <w:right w:val="nil"/>
              <w:tl2br w:val="nil"/>
              <w:tr2bl w:val="nil"/>
            </w:tcBorders>
            <w:shd w:val="solid" w:color="016794" w:fill="FFFFFF"/>
            <w:tcMar>
              <w:left w:w="60" w:type="dxa"/>
              <w:right w:w="60" w:type="dxa"/>
            </w:tcMar>
            <w:vAlign w:val="center"/>
          </w:tcPr>
          <w:p>
            <w:pPr>
              <w:pStyle w:val="DMETW18983BIPBSEDF"/>
              <w:jc w:val="center"/>
              <w:rPr>
                <w:rFonts w:ascii="Verdana" w:eastAsia="Verdana" w:hAnsi="Verdana" w:cs="Verdana"/>
                <w:noProof/>
                <w:color w:val="FFFFFF"/>
              </w:rPr>
            </w:pPr>
            <w:r>
              <w:rPr>
                <w:rFonts w:ascii="Verdana" w:hAnsi="Verdana"/>
                <w:noProof/>
                <w:color w:val="FFFFFF"/>
              </w:rPr>
              <w:t>2018 12 31</w:t>
            </w:r>
          </w:p>
        </w:tc>
        <w:tc>
          <w:tcPr>
            <w:tcW w:w="1257"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lang w:bidi="en-GB"/>
              </w:rPr>
            </w:pPr>
          </w:p>
        </w:tc>
      </w:tr>
      <w:tr>
        <w:trPr>
          <w:cantSplit/>
          <w:trHeight w:val="255"/>
          <w:tblHeader/>
        </w:trPr>
        <w:tc>
          <w:tcPr>
            <w:tcW w:w="3107"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center"/>
              <w:rPr>
                <w:rFonts w:ascii="Verdana" w:eastAsia="Verdana" w:hAnsi="Verdana" w:cs="Verdana"/>
                <w:noProof/>
                <w:color w:val="FFFFFF"/>
              </w:rPr>
            </w:pPr>
          </w:p>
        </w:tc>
        <w:tc>
          <w:tcPr>
            <w:tcW w:w="695"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rPr>
                <w:rFonts w:ascii="Verdana" w:eastAsia="Verdana" w:hAnsi="Verdana" w:cs="Verdana"/>
                <w:noProof/>
                <w:color w:val="FFFFFF"/>
              </w:rPr>
            </w:pPr>
            <w:r>
              <w:rPr>
                <w:rFonts w:ascii="Verdana" w:hAnsi="Verdana"/>
                <w:noProof/>
                <w:color w:val="FFFFFF"/>
              </w:rPr>
              <w:t>Pastaba</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hAnsi="Verdana"/>
                <w:noProof/>
                <w:color w:val="FFFFFF"/>
              </w:rPr>
              <w:t>8-asis EPF</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hAnsi="Verdana"/>
                <w:noProof/>
                <w:color w:val="FFFFFF"/>
              </w:rPr>
              <w:t>9-asis EPF</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hAnsi="Verdana"/>
                <w:noProof/>
                <w:color w:val="FFFFFF"/>
              </w:rPr>
              <w:t>10-asis EPF</w:t>
            </w:r>
          </w:p>
        </w:tc>
        <w:tc>
          <w:tcPr>
            <w:tcW w:w="973"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hAnsi="Verdana"/>
                <w:noProof/>
                <w:color w:val="FFFFFF"/>
              </w:rPr>
              <w:t>11-asis EPF</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hAnsi="Verdana"/>
                <w:noProof/>
                <w:color w:val="FFFFFF"/>
              </w:rPr>
              <w:t>Iš viso</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hAnsi="Verdana"/>
                <w:noProof/>
                <w:color w:val="FFFFFF"/>
              </w:rPr>
              <w:t>8-asis EPF</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hAnsi="Verdana"/>
                <w:noProof/>
                <w:color w:val="FFFFFF"/>
              </w:rPr>
              <w:t>9-asis EPF</w:t>
            </w:r>
          </w:p>
        </w:tc>
        <w:tc>
          <w:tcPr>
            <w:tcW w:w="973"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hAnsi="Verdana"/>
                <w:noProof/>
                <w:color w:val="FFFFFF"/>
              </w:rPr>
              <w:t>10-asis EPF</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hAnsi="Verdana"/>
                <w:noProof/>
                <w:color w:val="FFFFFF"/>
              </w:rPr>
              <w:t>11-asis EPF</w:t>
            </w:r>
          </w:p>
        </w:tc>
        <w:tc>
          <w:tcPr>
            <w:tcW w:w="1257"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hAnsi="Verdana"/>
                <w:noProof/>
                <w:color w:val="FFFFFF"/>
              </w:rPr>
              <w:t>Iš viso</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noProof/>
                <w:color w:val="000000"/>
                <w:sz w:val="18"/>
              </w:rPr>
            </w:pPr>
            <w:r>
              <w:rPr>
                <w:rFonts w:ascii="Verdana" w:hAnsi="Verdana"/>
                <w:b/>
                <w:noProof/>
                <w:color w:val="000000"/>
                <w:sz w:val="18"/>
              </w:rPr>
              <w:t>ILGALAIKIS TURTAS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center"/>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lang w:bidi="en-GB"/>
              </w:rPr>
            </w:pP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Finansinis turtas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36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36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Išankstinis finansavimas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325</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580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910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23</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520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344</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887</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Patikos fondo įnašai</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266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266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201</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201</w:t>
            </w:r>
          </w:p>
        </w:tc>
      </w:tr>
      <w:tr>
        <w:trPr>
          <w:cantSplit/>
          <w:trHeight w:val="255"/>
        </w:trPr>
        <w:tc>
          <w:tcPr>
            <w:tcW w:w="310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69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noProof/>
                <w:color w:val="000000"/>
                <w:sz w:val="18"/>
              </w:rPr>
            </w:pP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6</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325</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882</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1 213</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23</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520</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546</w:t>
            </w:r>
          </w:p>
        </w:tc>
        <w:tc>
          <w:tcPr>
            <w:tcW w:w="12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1 088</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noProof/>
                <w:color w:val="000000"/>
                <w:sz w:val="18"/>
              </w:rPr>
            </w:pPr>
            <w:r>
              <w:rPr>
                <w:rFonts w:ascii="Verdana" w:hAnsi="Verdana"/>
                <w:b/>
                <w:noProof/>
                <w:color w:val="000000"/>
                <w:sz w:val="18"/>
              </w:rPr>
              <w:t>TRUMPALAIKIS TURTAS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lang w:bidi="en-GB"/>
              </w:rPr>
            </w:pP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Išankstinis finansavimas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26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441</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821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1 288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19</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445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984</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1 448</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Iš prekybos gautinos sumos ir neprekybinės susigrąžintinos sumos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2.4</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183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121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2 201</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(2 382)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123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183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176</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2 457</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(2 679)</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138</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EPF jungiamosios sąskaitos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182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53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2 160</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(2 395)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183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111</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2 421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(2 715)</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(0)</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Pinigai ir pinigų ekvivalentai</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1 179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1 179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387</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387</w:t>
            </w:r>
          </w:p>
        </w:tc>
      </w:tr>
      <w:tr>
        <w:trPr>
          <w:cantSplit/>
          <w:trHeight w:val="255"/>
        </w:trPr>
        <w:tc>
          <w:tcPr>
            <w:tcW w:w="3107"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69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365</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201</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4 801</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(2 777)</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2 590</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367</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306</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5 323</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(4 023)</w:t>
            </w:r>
          </w:p>
        </w:tc>
        <w:tc>
          <w:tcPr>
            <w:tcW w:w="1257"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1 973</w:t>
            </w:r>
          </w:p>
        </w:tc>
      </w:tr>
      <w:tr>
        <w:trPr>
          <w:cantSplit/>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rPr>
                <w:rFonts w:ascii="Verdana" w:eastAsia="Verdana" w:hAnsi="Verdana" w:cs="Verdana"/>
                <w:b/>
                <w:noProof/>
                <w:color w:val="000000"/>
                <w:sz w:val="18"/>
              </w:rPr>
            </w:pPr>
            <w:r>
              <w:rPr>
                <w:rFonts w:ascii="Verdana" w:hAnsi="Verdana"/>
                <w:b/>
                <w:noProof/>
                <w:color w:val="000000"/>
                <w:sz w:val="18"/>
              </w:rPr>
              <w:t>IŠ VISO TURTO</w:t>
            </w:r>
          </w:p>
        </w:tc>
        <w:tc>
          <w:tcPr>
            <w:tcW w:w="695"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rPr>
                <w:rFonts w:ascii="Verdana" w:eastAsia="Verdana" w:hAnsi="Verdana" w:cs="Verdana"/>
                <w:b/>
                <w:noProof/>
                <w:color w:val="000000"/>
                <w:sz w:val="18"/>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365</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207</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5 127</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(1 896)</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3 803</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367</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329</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5 843</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(3 477)</w:t>
            </w:r>
          </w:p>
        </w:tc>
        <w:tc>
          <w:tcPr>
            <w:tcW w:w="1257"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3 061</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i/>
                <w:noProof/>
                <w:color w:val="000000"/>
                <w:sz w:val="18"/>
              </w:rPr>
            </w:pPr>
            <w:r>
              <w:rPr>
                <w:rFonts w:ascii="Verdana" w:hAnsi="Verdana"/>
                <w:b/>
                <w:i/>
                <w:noProof/>
                <w:color w:val="000000"/>
                <w:sz w:val="18"/>
              </w:rPr>
              <w:t>ILGALAIKIAI ĮSIPAREIGOJIMAI</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Finansiniai įsipareigojimai</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(16)</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(18)</w:t>
            </w:r>
          </w:p>
        </w:tc>
      </w:tr>
      <w:tr>
        <w:trPr>
          <w:cantSplit/>
          <w:trHeight w:val="255"/>
        </w:trPr>
        <w:tc>
          <w:tcPr>
            <w:tcW w:w="3107"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8983BIPBSEDF"/>
              <w:jc w:val="right"/>
              <w:rPr>
                <w:rFonts w:ascii="Verdana" w:eastAsia="Verdana" w:hAnsi="Verdana" w:cs="Verdana"/>
                <w:b/>
                <w:noProof/>
                <w:color w:val="000000"/>
                <w:sz w:val="18"/>
              </w:rPr>
            </w:pPr>
          </w:p>
        </w:tc>
        <w:tc>
          <w:tcPr>
            <w:tcW w:w="69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noProof/>
                <w:color w:val="000000"/>
                <w:sz w:val="18"/>
              </w:rPr>
            </w:pP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(18)</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(19)</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(16)</w:t>
            </w:r>
          </w:p>
        </w:tc>
        <w:tc>
          <w:tcPr>
            <w:tcW w:w="12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(18)</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noProof/>
                <w:color w:val="000000"/>
                <w:sz w:val="18"/>
              </w:rPr>
            </w:pPr>
            <w:r>
              <w:rPr>
                <w:rFonts w:ascii="Verdana" w:hAnsi="Verdana"/>
                <w:b/>
                <w:noProof/>
                <w:color w:val="000000"/>
                <w:sz w:val="18"/>
              </w:rPr>
              <w:t>TRUMPALAIKIAI ĮSIPAREIGOJIMAI</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r>
              <w:rPr>
                <w:rFonts w:ascii="Verdana" w:hAnsi="Verdana"/>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lang w:bidi="en-GB"/>
              </w:rPr>
            </w:pP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Mokėtinos sumos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2.7</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(108)</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(404)</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(516)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(6)</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(125)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(111)</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(241)</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Sukauptos sąnaudos ir būsimojo laikotarpio pajamos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(96)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(240)</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(983)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(1 319)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(83)</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(358)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(840)</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(1 281)</w:t>
            </w:r>
          </w:p>
        </w:tc>
      </w:tr>
      <w:tr>
        <w:trPr>
          <w:cantSplit/>
          <w:trHeight w:val="255"/>
        </w:trPr>
        <w:tc>
          <w:tcPr>
            <w:tcW w:w="3107"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69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(101)</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(348)</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(1 386)</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(1 835)</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(0)</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(89)</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(482)</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(951)</w:t>
            </w:r>
          </w:p>
        </w:tc>
        <w:tc>
          <w:tcPr>
            <w:tcW w:w="1257"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(1 522)</w:t>
            </w:r>
          </w:p>
        </w:tc>
      </w:tr>
      <w:tr>
        <w:trPr>
          <w:cantSplit/>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rPr>
                <w:rFonts w:ascii="Verdana" w:eastAsia="Verdana" w:hAnsi="Verdana" w:cs="Verdana"/>
                <w:b/>
                <w:noProof/>
                <w:color w:val="000000"/>
                <w:sz w:val="18"/>
              </w:rPr>
            </w:pPr>
            <w:r>
              <w:rPr>
                <w:rFonts w:ascii="Verdana" w:hAnsi="Verdana"/>
                <w:b/>
                <w:noProof/>
                <w:color w:val="000000"/>
                <w:sz w:val="18"/>
              </w:rPr>
              <w:t>IŠ VISO ĮSIPAREIGOJIMŲ</w:t>
            </w:r>
          </w:p>
        </w:tc>
        <w:tc>
          <w:tcPr>
            <w:tcW w:w="695"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rPr>
                <w:rFonts w:ascii="Verdana" w:eastAsia="Verdana" w:hAnsi="Verdana" w:cs="Verdana"/>
                <w:b/>
                <w:noProof/>
                <w:color w:val="000000"/>
                <w:sz w:val="18"/>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(101)</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(349)</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(1 405)</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(1 854)</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(0)</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(89)</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(484)</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(967)</w:t>
            </w:r>
          </w:p>
        </w:tc>
        <w:tc>
          <w:tcPr>
            <w:tcW w:w="1257"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(1 540)</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p>
        </w:tc>
      </w:tr>
      <w:tr>
        <w:trPr>
          <w:cantSplit/>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rPr>
                <w:rFonts w:ascii="Verdana" w:eastAsia="Verdana" w:hAnsi="Verdana" w:cs="Verdana"/>
                <w:b/>
                <w:noProof/>
                <w:color w:val="000000"/>
                <w:sz w:val="18"/>
              </w:rPr>
            </w:pPr>
            <w:r>
              <w:rPr>
                <w:rFonts w:ascii="Verdana" w:hAnsi="Verdana"/>
                <w:b/>
                <w:noProof/>
                <w:color w:val="000000"/>
                <w:sz w:val="18"/>
              </w:rPr>
              <w:t>GRYNASIS TURTAS</w:t>
            </w:r>
          </w:p>
        </w:tc>
        <w:tc>
          <w:tcPr>
            <w:tcW w:w="695"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rPr>
                <w:rFonts w:ascii="Verdana" w:eastAsia="Verdana" w:hAnsi="Verdana" w:cs="Verdana"/>
                <w:b/>
                <w:noProof/>
                <w:color w:val="000000"/>
                <w:sz w:val="18"/>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365</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106</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4 778</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(3 300)</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1 948</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366</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240</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5 359</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(4 444)</w:t>
            </w:r>
          </w:p>
        </w:tc>
        <w:tc>
          <w:tcPr>
            <w:tcW w:w="1257"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1 521</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Tikrosios vertės rezervai</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Pareikalautasis fondo kapitalas – aktyvūs EPF</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2.10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12 164</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10 758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20 960</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10 927</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54 809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12 164</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10 773</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20 960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6 527</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50 423</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Iš veiklą užbaigusių EPF perkeltas pareikalautasis fondo kapitalas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2.10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627</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1 625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2 252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627</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1 625</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2 252</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Pareikalautojo fondo kapitalo pervedimai tarp aktyvių EPF</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2.10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(2 510)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2 109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265</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136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(2 509)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2 137</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55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317</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Iš ankstesnių metų perkeltas ekonominis rezultatas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(10 098)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(14 406)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(18 077)</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(8 573)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(51 155)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(10 098)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(14 352)</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(17 078)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(5 508)</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(47 037)</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Ekonominis metų rezultatas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center"/>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(34)</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(529)</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(3 393)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(3 956)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(53)</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(1 000)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(3 065)</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(4 118)</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center"/>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p>
        </w:tc>
      </w:tr>
      <w:tr>
        <w:trPr>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rPr>
                <w:rFonts w:ascii="Verdana" w:eastAsia="Verdana" w:hAnsi="Verdana" w:cs="Verdana"/>
                <w:b/>
                <w:noProof/>
                <w:color w:val="000000"/>
                <w:sz w:val="18"/>
              </w:rPr>
            </w:pPr>
            <w:r>
              <w:rPr>
                <w:rFonts w:ascii="Verdana" w:hAnsi="Verdana"/>
                <w:b/>
                <w:noProof/>
                <w:color w:val="000000"/>
                <w:sz w:val="18"/>
              </w:rPr>
              <w:t>GRYNASIS TURTAS</w:t>
            </w:r>
          </w:p>
        </w:tc>
        <w:tc>
          <w:tcPr>
            <w:tcW w:w="695"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center"/>
              <w:rPr>
                <w:rFonts w:ascii="Verdana" w:eastAsia="Verdana" w:hAnsi="Verdana" w:cs="Verdana"/>
                <w:b/>
                <w:noProof/>
                <w:color w:val="000000"/>
                <w:sz w:val="18"/>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183</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53</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2 618</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(905)</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1 948</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184</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129</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2 938</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(1 729)</w:t>
            </w:r>
          </w:p>
        </w:tc>
        <w:tc>
          <w:tcPr>
            <w:tcW w:w="1257"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1 521</w:t>
            </w:r>
          </w:p>
        </w:tc>
      </w:tr>
    </w:tbl>
    <w:p>
      <w:pPr>
        <w:pStyle w:val="HEADERTITLE1"/>
        <w:sectPr>
          <w:headerReference w:type="even" r:id="rId89"/>
          <w:headerReference w:type="default" r:id="rId90"/>
          <w:footerReference w:type="even" r:id="rId91"/>
          <w:footerReference w:type="default" r:id="rId92"/>
          <w:headerReference w:type="first" r:id="rId93"/>
          <w:footerReference w:type="first" r:id="rId94"/>
          <w:pgSz w:w="16838" w:h="11906" w:orient="landscape" w:code="9"/>
          <w:pgMar w:top="1134" w:right="1134" w:bottom="1134" w:left="1134" w:header="708" w:footer="708" w:gutter="0"/>
          <w:cols w:space="708"/>
          <w:docGrid w:linePitch="360"/>
        </w:sectPr>
      </w:pPr>
    </w:p>
    <w:p>
      <w:pPr>
        <w:pStyle w:val="HEADERTITLE1"/>
      </w:pPr>
      <w:bookmarkStart w:id="28" w:name="_Toc48834988"/>
      <w:r>
        <w:t>EPF FINANSINĖS VEIKLOS ATASKAITA</w:t>
      </w:r>
      <w:bookmarkEnd w:id="28"/>
    </w:p>
    <w:tbl>
      <w:tblPr>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7"/>
        <w:gridCol w:w="695"/>
        <w:gridCol w:w="827"/>
        <w:gridCol w:w="826"/>
        <w:gridCol w:w="912"/>
        <w:gridCol w:w="877"/>
        <w:gridCol w:w="962"/>
        <w:gridCol w:w="827"/>
        <w:gridCol w:w="826"/>
        <w:gridCol w:w="962"/>
        <w:gridCol w:w="963"/>
        <w:gridCol w:w="1812"/>
      </w:tblGrid>
      <w:tr>
        <w:trPr>
          <w:trHeight w:val="255"/>
        </w:trPr>
        <w:tc>
          <w:tcPr>
            <w:tcW w:w="14377" w:type="dxa"/>
            <w:gridSpan w:val="12"/>
            <w:tcBorders>
              <w:top w:val="nil"/>
              <w:left w:val="nil"/>
              <w:bottom w:val="nil"/>
              <w:right w:val="nil"/>
              <w:tl2br w:val="nil"/>
              <w:tr2bl w:val="nil"/>
            </w:tcBorders>
            <w:shd w:val="solid" w:color="FFFFFF" w:fill="FFFFFF"/>
            <w:tcMar>
              <w:left w:w="60" w:type="dxa"/>
              <w:right w:w="60" w:type="dxa"/>
            </w:tcMar>
            <w:vAlign w:val="center"/>
          </w:tcPr>
          <w:p>
            <w:pPr>
              <w:pStyle w:val="DMETW18983BIPPLEDF"/>
              <w:jc w:val="right"/>
              <w:rPr>
                <w:rFonts w:ascii="Verdana" w:eastAsia="Verdana" w:hAnsi="Verdana" w:cs="Verdana"/>
                <w:i/>
                <w:noProof/>
                <w:color w:val="000000"/>
                <w:sz w:val="18"/>
              </w:rPr>
            </w:pPr>
            <w:bookmarkStart w:id="29" w:name="DOC_TBL00003_1_1"/>
            <w:bookmarkEnd w:id="29"/>
            <w:r>
              <w:rPr>
                <w:rFonts w:ascii="Verdana" w:hAnsi="Verdana"/>
                <w:i/>
                <w:noProof/>
                <w:color w:val="000000"/>
                <w:sz w:val="18"/>
              </w:rPr>
              <w:t>mln. EUR</w:t>
            </w:r>
          </w:p>
        </w:tc>
      </w:tr>
      <w:tr>
        <w:trPr>
          <w:trHeight w:val="255"/>
        </w:trPr>
        <w:tc>
          <w:tcPr>
            <w:tcW w:w="3888"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center"/>
              <w:rPr>
                <w:rFonts w:ascii="Verdana" w:eastAsia="Verdana" w:hAnsi="Verdana" w:cs="Verdana"/>
                <w:noProof/>
                <w:color w:val="FFFFFF"/>
              </w:rPr>
            </w:pPr>
          </w:p>
        </w:tc>
        <w:tc>
          <w:tcPr>
            <w:tcW w:w="695"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p>
        </w:tc>
        <w:tc>
          <w:tcPr>
            <w:tcW w:w="4404" w:type="dxa"/>
            <w:gridSpan w:val="5"/>
            <w:tcBorders>
              <w:top w:val="nil"/>
              <w:left w:val="nil"/>
              <w:bottom w:val="nil"/>
              <w:right w:val="nil"/>
              <w:tl2br w:val="nil"/>
              <w:tr2bl w:val="nil"/>
            </w:tcBorders>
            <w:shd w:val="solid" w:color="016794" w:fill="FFFFFF"/>
            <w:tcMar>
              <w:left w:w="60" w:type="dxa"/>
              <w:right w:w="60" w:type="dxa"/>
            </w:tcMar>
            <w:vAlign w:val="center"/>
          </w:tcPr>
          <w:p>
            <w:pPr>
              <w:pStyle w:val="DMETW18983BIPPLEDF"/>
              <w:jc w:val="center"/>
              <w:rPr>
                <w:rFonts w:ascii="Verdana" w:eastAsia="Verdana" w:hAnsi="Verdana" w:cs="Verdana"/>
                <w:noProof/>
                <w:color w:val="FFFFFF"/>
              </w:rPr>
            </w:pPr>
            <w:r>
              <w:rPr>
                <w:rFonts w:ascii="Verdana" w:hAnsi="Verdana"/>
                <w:noProof/>
                <w:color w:val="FFFFFF"/>
              </w:rPr>
              <w:t>2019</w:t>
            </w:r>
          </w:p>
        </w:tc>
        <w:tc>
          <w:tcPr>
            <w:tcW w:w="5390" w:type="dxa"/>
            <w:gridSpan w:val="5"/>
            <w:tcBorders>
              <w:top w:val="nil"/>
              <w:left w:val="nil"/>
              <w:bottom w:val="nil"/>
              <w:right w:val="nil"/>
              <w:tl2br w:val="nil"/>
              <w:tr2bl w:val="nil"/>
            </w:tcBorders>
            <w:shd w:val="solid" w:color="016794" w:fill="FFFFFF"/>
            <w:tcMar>
              <w:left w:w="60" w:type="dxa"/>
              <w:right w:w="60" w:type="dxa"/>
            </w:tcMar>
            <w:vAlign w:val="center"/>
          </w:tcPr>
          <w:p>
            <w:pPr>
              <w:pStyle w:val="DMETW18983BIPPLEDF"/>
              <w:jc w:val="center"/>
              <w:rPr>
                <w:rFonts w:ascii="Verdana" w:eastAsia="Verdana" w:hAnsi="Verdana" w:cs="Verdana"/>
                <w:noProof/>
                <w:color w:val="FFFFFF"/>
              </w:rPr>
            </w:pPr>
            <w:r>
              <w:rPr>
                <w:rFonts w:ascii="Verdana" w:hAnsi="Verdana"/>
                <w:noProof/>
                <w:color w:val="FFFFFF"/>
              </w:rPr>
              <w:t>2018</w:t>
            </w:r>
          </w:p>
        </w:tc>
      </w:tr>
      <w:tr>
        <w:trPr>
          <w:trHeight w:val="255"/>
        </w:trPr>
        <w:tc>
          <w:tcPr>
            <w:tcW w:w="3888"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center"/>
              <w:rPr>
                <w:rFonts w:ascii="Verdana" w:eastAsia="Verdana" w:hAnsi="Verdana" w:cs="Verdana"/>
                <w:noProof/>
                <w:color w:val="FFFFFF"/>
              </w:rPr>
            </w:pPr>
          </w:p>
        </w:tc>
        <w:tc>
          <w:tcPr>
            <w:tcW w:w="695"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center"/>
              <w:rPr>
                <w:rFonts w:ascii="Verdana" w:eastAsia="Verdana" w:hAnsi="Verdana" w:cs="Verdana"/>
                <w:noProof/>
                <w:color w:val="FFFFFF"/>
              </w:rPr>
            </w:pPr>
            <w:r>
              <w:rPr>
                <w:rFonts w:ascii="Verdana" w:hAnsi="Verdana"/>
                <w:noProof/>
                <w:color w:val="FFFFFF"/>
              </w:rPr>
              <w:t>Pastaba</w:t>
            </w:r>
          </w:p>
        </w:tc>
        <w:tc>
          <w:tcPr>
            <w:tcW w:w="827"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hAnsi="Verdana"/>
                <w:noProof/>
                <w:color w:val="FFFFFF"/>
              </w:rPr>
              <w:t>8-asis EPF</w:t>
            </w:r>
          </w:p>
        </w:tc>
        <w:tc>
          <w:tcPr>
            <w:tcW w:w="826"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hAnsi="Verdana"/>
                <w:noProof/>
                <w:color w:val="FFFFFF"/>
              </w:rPr>
              <w:t>9-asis EPF</w:t>
            </w:r>
          </w:p>
        </w:tc>
        <w:tc>
          <w:tcPr>
            <w:tcW w:w="912"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hAnsi="Verdana"/>
                <w:noProof/>
                <w:color w:val="FFFFFF"/>
              </w:rPr>
              <w:t>10-asis EPF</w:t>
            </w:r>
          </w:p>
        </w:tc>
        <w:tc>
          <w:tcPr>
            <w:tcW w:w="877"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hAnsi="Verdana"/>
                <w:noProof/>
                <w:color w:val="FFFFFF"/>
              </w:rPr>
              <w:t>11-asis EPF</w:t>
            </w:r>
          </w:p>
        </w:tc>
        <w:tc>
          <w:tcPr>
            <w:tcW w:w="962"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hAnsi="Verdana"/>
                <w:noProof/>
                <w:color w:val="FFFFFF"/>
              </w:rPr>
              <w:t>Iš viso</w:t>
            </w:r>
          </w:p>
        </w:tc>
        <w:tc>
          <w:tcPr>
            <w:tcW w:w="827"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hAnsi="Verdana"/>
                <w:noProof/>
                <w:color w:val="FFFFFF"/>
              </w:rPr>
              <w:t>8-asis EPF</w:t>
            </w:r>
          </w:p>
        </w:tc>
        <w:tc>
          <w:tcPr>
            <w:tcW w:w="826"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hAnsi="Verdana"/>
                <w:noProof/>
                <w:color w:val="FFFFFF"/>
              </w:rPr>
              <w:t>9-asis EPF</w:t>
            </w:r>
          </w:p>
        </w:tc>
        <w:tc>
          <w:tcPr>
            <w:tcW w:w="962"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hAnsi="Verdana"/>
                <w:noProof/>
                <w:color w:val="FFFFFF"/>
              </w:rPr>
              <w:t>10-asis EPF</w:t>
            </w:r>
          </w:p>
        </w:tc>
        <w:tc>
          <w:tcPr>
            <w:tcW w:w="963"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hAnsi="Verdana"/>
                <w:noProof/>
                <w:color w:val="FFFFFF"/>
              </w:rPr>
              <w:t>11-asis EPF</w:t>
            </w:r>
          </w:p>
        </w:tc>
        <w:tc>
          <w:tcPr>
            <w:tcW w:w="1812"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hAnsi="Verdana"/>
                <w:noProof/>
                <w:color w:val="FFFFFF"/>
              </w:rPr>
              <w:t>Iš viso</w:t>
            </w:r>
          </w:p>
        </w:tc>
      </w:tr>
      <w:tr>
        <w:trPr>
          <w:trHeight w:val="255"/>
        </w:trPr>
        <w:tc>
          <w:tcPr>
            <w:tcW w:w="3888"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noProof/>
                <w:color w:val="000000"/>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b/>
                <w:noProof/>
                <w:color w:val="000000"/>
                <w:sz w:val="18"/>
              </w:rPr>
            </w:pP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9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87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96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18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lang w:bidi="en-GB"/>
              </w:rPr>
            </w:pPr>
          </w:p>
        </w:tc>
      </w:tr>
      <w:tr>
        <w:trPr>
          <w:trHeight w:val="255"/>
        </w:trPr>
        <w:tc>
          <w:tcPr>
            <w:tcW w:w="3888"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b/>
                <w:noProof/>
                <w:color w:val="000000"/>
                <w:sz w:val="18"/>
              </w:rPr>
            </w:pPr>
            <w:r>
              <w:rPr>
                <w:rFonts w:ascii="Verdana" w:hAnsi="Verdana"/>
                <w:b/>
                <w:noProof/>
                <w:color w:val="000000"/>
                <w:sz w:val="18"/>
              </w:rPr>
              <w:t>PAJAMOS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7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6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18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lang w:bidi="en-GB"/>
              </w:rPr>
            </w:pPr>
          </w:p>
        </w:tc>
      </w:tr>
      <w:tr>
        <w:trPr>
          <w:trHeight w:val="255"/>
        </w:trPr>
        <w:tc>
          <w:tcPr>
            <w:tcW w:w="3888"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b/>
                <w:noProof/>
                <w:color w:val="000000"/>
                <w:sz w:val="18"/>
              </w:rPr>
            </w:pPr>
            <w:r>
              <w:rPr>
                <w:rFonts w:ascii="Verdana" w:hAnsi="Verdana"/>
                <w:b/>
                <w:noProof/>
                <w:color w:val="000000"/>
                <w:sz w:val="18"/>
              </w:rPr>
              <w:t>Pajamos iš neprekybinių operacijų</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r>
              <w:rPr>
                <w:rFonts w:ascii="Verdana" w:hAnsi="Verdana"/>
                <w:noProof/>
                <w:color w:val="000000"/>
                <w:sz w:val="18"/>
              </w:rPr>
              <w:t>3.1</w:t>
            </w: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7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6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18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lang w:bidi="en-GB"/>
              </w:rPr>
            </w:pPr>
          </w:p>
        </w:tc>
      </w:tr>
      <w:tr>
        <w:trPr>
          <w:trHeight w:val="255"/>
        </w:trPr>
        <w:tc>
          <w:tcPr>
            <w:tcW w:w="3888"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i/>
                <w:noProof/>
                <w:color w:val="000000"/>
                <w:sz w:val="18"/>
              </w:rPr>
            </w:pPr>
            <w:r>
              <w:rPr>
                <w:rFonts w:ascii="Verdana" w:hAnsi="Verdana"/>
                <w:i/>
                <w:noProof/>
                <w:color w:val="000000"/>
                <w:sz w:val="18"/>
              </w:rPr>
              <w:t>Susigrąžinimo veikla</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w:t>
            </w:r>
          </w:p>
        </w:tc>
        <w:tc>
          <w:tcPr>
            <w:tcW w:w="9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18</w:t>
            </w:r>
          </w:p>
        </w:tc>
        <w:tc>
          <w:tcPr>
            <w:tcW w:w="87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10</w:t>
            </w: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28</w:t>
            </w: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3</w:t>
            </w: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(3)</w:t>
            </w:r>
          </w:p>
        </w:tc>
        <w:tc>
          <w:tcPr>
            <w:tcW w:w="96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4</w:t>
            </w:r>
          </w:p>
        </w:tc>
        <w:tc>
          <w:tcPr>
            <w:tcW w:w="18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4</w:t>
            </w:r>
          </w:p>
        </w:tc>
      </w:tr>
      <w:tr>
        <w:trPr>
          <w:trHeight w:val="255"/>
        </w:trPr>
        <w:tc>
          <w:tcPr>
            <w:tcW w:w="3888"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69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827"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0</w:t>
            </w:r>
          </w:p>
        </w:tc>
        <w:tc>
          <w:tcPr>
            <w:tcW w:w="82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0</w:t>
            </w:r>
          </w:p>
        </w:tc>
        <w:tc>
          <w:tcPr>
            <w:tcW w:w="91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18</w:t>
            </w:r>
          </w:p>
        </w:tc>
        <w:tc>
          <w:tcPr>
            <w:tcW w:w="877"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10</w:t>
            </w: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28</w:t>
            </w:r>
          </w:p>
        </w:tc>
        <w:tc>
          <w:tcPr>
            <w:tcW w:w="827"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0</w:t>
            </w:r>
          </w:p>
        </w:tc>
        <w:tc>
          <w:tcPr>
            <w:tcW w:w="82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3</w:t>
            </w: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(3)</w:t>
            </w:r>
          </w:p>
        </w:tc>
        <w:tc>
          <w:tcPr>
            <w:tcW w:w="96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4</w:t>
            </w:r>
          </w:p>
        </w:tc>
        <w:tc>
          <w:tcPr>
            <w:tcW w:w="181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4</w:t>
            </w:r>
          </w:p>
        </w:tc>
      </w:tr>
      <w:tr>
        <w:trPr>
          <w:trHeight w:val="255"/>
        </w:trPr>
        <w:tc>
          <w:tcPr>
            <w:tcW w:w="3888"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b/>
                <w:noProof/>
                <w:color w:val="000000"/>
                <w:sz w:val="18"/>
              </w:rPr>
            </w:pPr>
            <w:r>
              <w:rPr>
                <w:rFonts w:ascii="Verdana" w:hAnsi="Verdana"/>
                <w:b/>
                <w:noProof/>
                <w:color w:val="000000"/>
                <w:sz w:val="18"/>
              </w:rPr>
              <w:t>Pajamos iš prekybos operacijų</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r>
              <w:rPr>
                <w:rFonts w:ascii="Verdana" w:hAnsi="Verdana"/>
                <w:noProof/>
                <w:color w:val="000000"/>
                <w:sz w:val="18"/>
              </w:rPr>
              <w:t>3.2</w:t>
            </w: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7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6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18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lang w:bidi="en-GB"/>
              </w:rPr>
            </w:pPr>
          </w:p>
        </w:tc>
      </w:tr>
      <w:tr>
        <w:trPr>
          <w:trHeight w:val="255"/>
        </w:trPr>
        <w:tc>
          <w:tcPr>
            <w:tcW w:w="3888"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i/>
                <w:noProof/>
                <w:color w:val="000000"/>
                <w:sz w:val="18"/>
              </w:rPr>
            </w:pPr>
            <w:r>
              <w:rPr>
                <w:rFonts w:ascii="Verdana" w:hAnsi="Verdana"/>
                <w:i/>
                <w:noProof/>
                <w:color w:val="000000"/>
                <w:sz w:val="18"/>
              </w:rPr>
              <w:t>Finansinės pajamos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w:t>
            </w:r>
          </w:p>
        </w:tc>
        <w:tc>
          <w:tcPr>
            <w:tcW w:w="9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3</w:t>
            </w:r>
          </w:p>
        </w:tc>
        <w:tc>
          <w:tcPr>
            <w:tcW w:w="87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4</w:t>
            </w: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7</w:t>
            </w: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2</w:t>
            </w: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8</w:t>
            </w:r>
          </w:p>
        </w:tc>
        <w:tc>
          <w:tcPr>
            <w:tcW w:w="96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18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10</w:t>
            </w:r>
          </w:p>
        </w:tc>
      </w:tr>
      <w:tr>
        <w:trPr>
          <w:trHeight w:val="255"/>
        </w:trPr>
        <w:tc>
          <w:tcPr>
            <w:tcW w:w="3888"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i/>
                <w:noProof/>
                <w:color w:val="000000"/>
                <w:sz w:val="18"/>
              </w:rPr>
            </w:pPr>
            <w:r>
              <w:rPr>
                <w:rFonts w:ascii="Verdana" w:hAnsi="Verdana"/>
                <w:i/>
                <w:noProof/>
                <w:color w:val="000000"/>
                <w:sz w:val="18"/>
              </w:rPr>
              <w:t>Kitos pajamos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6</w:t>
            </w:r>
          </w:p>
        </w:tc>
        <w:tc>
          <w:tcPr>
            <w:tcW w:w="9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21</w:t>
            </w:r>
          </w:p>
        </w:tc>
        <w:tc>
          <w:tcPr>
            <w:tcW w:w="87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12</w:t>
            </w: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39</w:t>
            </w: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6</w:t>
            </w: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27</w:t>
            </w:r>
          </w:p>
        </w:tc>
        <w:tc>
          <w:tcPr>
            <w:tcW w:w="96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12</w:t>
            </w:r>
          </w:p>
        </w:tc>
        <w:tc>
          <w:tcPr>
            <w:tcW w:w="18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46</w:t>
            </w:r>
          </w:p>
        </w:tc>
      </w:tr>
      <w:tr>
        <w:trPr>
          <w:trHeight w:val="255"/>
        </w:trPr>
        <w:tc>
          <w:tcPr>
            <w:tcW w:w="38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noProof/>
                <w:color w:val="000000"/>
                <w:sz w:val="18"/>
              </w:rPr>
            </w:pPr>
          </w:p>
        </w:tc>
        <w:tc>
          <w:tcPr>
            <w:tcW w:w="69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p>
        </w:tc>
        <w:tc>
          <w:tcPr>
            <w:tcW w:w="8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w:t>
            </w:r>
          </w:p>
        </w:tc>
        <w:tc>
          <w:tcPr>
            <w:tcW w:w="8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6</w:t>
            </w:r>
          </w:p>
        </w:tc>
        <w:tc>
          <w:tcPr>
            <w:tcW w:w="9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24</w:t>
            </w:r>
          </w:p>
        </w:tc>
        <w:tc>
          <w:tcPr>
            <w:tcW w:w="87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16</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46</w:t>
            </w:r>
          </w:p>
        </w:tc>
        <w:tc>
          <w:tcPr>
            <w:tcW w:w="8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w:t>
            </w:r>
          </w:p>
        </w:tc>
        <w:tc>
          <w:tcPr>
            <w:tcW w:w="8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8</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35</w:t>
            </w:r>
          </w:p>
        </w:tc>
        <w:tc>
          <w:tcPr>
            <w:tcW w:w="9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13</w:t>
            </w:r>
          </w:p>
        </w:tc>
        <w:tc>
          <w:tcPr>
            <w:tcW w:w="1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57</w:t>
            </w:r>
          </w:p>
        </w:tc>
      </w:tr>
      <w:tr>
        <w:trPr>
          <w:trHeight w:val="255"/>
        </w:trPr>
        <w:tc>
          <w:tcPr>
            <w:tcW w:w="38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b/>
                <w:noProof/>
                <w:color w:val="000000"/>
                <w:sz w:val="18"/>
              </w:rPr>
            </w:pPr>
            <w:r>
              <w:rPr>
                <w:rFonts w:ascii="Verdana" w:hAnsi="Verdana"/>
                <w:b/>
                <w:noProof/>
                <w:color w:val="000000"/>
                <w:sz w:val="18"/>
              </w:rPr>
              <w:t>Iš viso pajamų</w:t>
            </w:r>
          </w:p>
        </w:tc>
        <w:tc>
          <w:tcPr>
            <w:tcW w:w="69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8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w:t>
            </w:r>
          </w:p>
        </w:tc>
        <w:tc>
          <w:tcPr>
            <w:tcW w:w="8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6</w:t>
            </w:r>
          </w:p>
        </w:tc>
        <w:tc>
          <w:tcPr>
            <w:tcW w:w="9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42</w:t>
            </w:r>
          </w:p>
        </w:tc>
        <w:tc>
          <w:tcPr>
            <w:tcW w:w="87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26</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74</w:t>
            </w:r>
          </w:p>
        </w:tc>
        <w:tc>
          <w:tcPr>
            <w:tcW w:w="8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w:t>
            </w:r>
          </w:p>
        </w:tc>
        <w:tc>
          <w:tcPr>
            <w:tcW w:w="8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11</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32</w:t>
            </w:r>
          </w:p>
        </w:tc>
        <w:tc>
          <w:tcPr>
            <w:tcW w:w="9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17</w:t>
            </w:r>
          </w:p>
        </w:tc>
        <w:tc>
          <w:tcPr>
            <w:tcW w:w="1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60</w:t>
            </w:r>
          </w:p>
        </w:tc>
      </w:tr>
      <w:tr>
        <w:trPr>
          <w:trHeight w:val="255"/>
        </w:trPr>
        <w:tc>
          <w:tcPr>
            <w:tcW w:w="3888"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b/>
                <w:noProof/>
                <w:color w:val="000000"/>
                <w:sz w:val="18"/>
              </w:rPr>
            </w:pPr>
            <w:r>
              <w:rPr>
                <w:rFonts w:ascii="Verdana" w:hAnsi="Verdana"/>
                <w:b/>
                <w:noProof/>
                <w:color w:val="000000"/>
                <w:sz w:val="18"/>
              </w:rPr>
              <w:t>IŠLAIDOS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7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6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18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lang w:bidi="en-GB"/>
              </w:rPr>
            </w:pPr>
          </w:p>
        </w:tc>
      </w:tr>
      <w:tr>
        <w:trPr>
          <w:trHeight w:val="255"/>
        </w:trPr>
        <w:tc>
          <w:tcPr>
            <w:tcW w:w="3888"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i/>
                <w:noProof/>
                <w:color w:val="000000"/>
                <w:sz w:val="18"/>
              </w:rPr>
            </w:pPr>
            <w:r>
              <w:rPr>
                <w:rFonts w:ascii="Verdana" w:hAnsi="Verdana"/>
                <w:i/>
                <w:noProof/>
                <w:color w:val="000000"/>
                <w:sz w:val="18"/>
              </w:rPr>
              <w:t>Pagalbos priemonės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r>
              <w:rPr>
                <w:rFonts w:ascii="Verdana" w:hAnsi="Verdana"/>
                <w:noProof/>
                <w:color w:val="000000"/>
                <w:sz w:val="18"/>
              </w:rPr>
              <w:t>3.3</w:t>
            </w: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(35)</w:t>
            </w:r>
          </w:p>
        </w:tc>
        <w:tc>
          <w:tcPr>
            <w:tcW w:w="9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(579)</w:t>
            </w:r>
          </w:p>
        </w:tc>
        <w:tc>
          <w:tcPr>
            <w:tcW w:w="87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(3 141)</w:t>
            </w: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(3 755)</w:t>
            </w: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(59)</w:t>
            </w: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(984)</w:t>
            </w:r>
          </w:p>
        </w:tc>
        <w:tc>
          <w:tcPr>
            <w:tcW w:w="96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(3 012)</w:t>
            </w:r>
          </w:p>
        </w:tc>
        <w:tc>
          <w:tcPr>
            <w:tcW w:w="18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(4 054)</w:t>
            </w:r>
          </w:p>
        </w:tc>
      </w:tr>
      <w:tr>
        <w:trPr>
          <w:trHeight w:val="255"/>
        </w:trPr>
        <w:tc>
          <w:tcPr>
            <w:tcW w:w="3888"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i/>
                <w:noProof/>
                <w:color w:val="000000"/>
                <w:sz w:val="18"/>
              </w:rPr>
            </w:pPr>
            <w:r>
              <w:rPr>
                <w:rFonts w:ascii="Verdana" w:hAnsi="Verdana"/>
                <w:i/>
                <w:noProof/>
                <w:color w:val="000000"/>
                <w:sz w:val="18"/>
              </w:rPr>
              <w:t>Bendro finansavimo išlaidos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r>
              <w:rPr>
                <w:rFonts w:ascii="Verdana" w:hAnsi="Verdana"/>
                <w:noProof/>
                <w:color w:val="000000"/>
                <w:sz w:val="18"/>
              </w:rPr>
              <w:t>3.4</w:t>
            </w: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w:t>
            </w:r>
          </w:p>
        </w:tc>
        <w:tc>
          <w:tcPr>
            <w:tcW w:w="9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(9)</w:t>
            </w:r>
          </w:p>
        </w:tc>
        <w:tc>
          <w:tcPr>
            <w:tcW w:w="87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(5)</w:t>
            </w: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(14)</w:t>
            </w: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18</w:t>
            </w:r>
          </w:p>
        </w:tc>
        <w:tc>
          <w:tcPr>
            <w:tcW w:w="96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18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17</w:t>
            </w:r>
          </w:p>
        </w:tc>
      </w:tr>
      <w:tr>
        <w:trPr>
          <w:trHeight w:val="255"/>
        </w:trPr>
        <w:tc>
          <w:tcPr>
            <w:tcW w:w="3888"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i/>
                <w:noProof/>
                <w:color w:val="000000"/>
                <w:sz w:val="18"/>
              </w:rPr>
            </w:pPr>
            <w:r>
              <w:rPr>
                <w:rFonts w:ascii="Verdana" w:hAnsi="Verdana"/>
                <w:i/>
                <w:noProof/>
                <w:color w:val="000000"/>
                <w:sz w:val="18"/>
              </w:rPr>
              <w:t>Finansinės išlaidos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r>
              <w:rPr>
                <w:rFonts w:ascii="Verdana" w:hAnsi="Verdana"/>
                <w:noProof/>
                <w:color w:val="000000"/>
                <w:sz w:val="18"/>
              </w:rPr>
              <w:t>3.5</w:t>
            </w: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2</w:t>
            </w:r>
          </w:p>
        </w:tc>
        <w:tc>
          <w:tcPr>
            <w:tcW w:w="9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(2)</w:t>
            </w:r>
          </w:p>
        </w:tc>
        <w:tc>
          <w:tcPr>
            <w:tcW w:w="87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5</w:t>
            </w:r>
          </w:p>
        </w:tc>
        <w:tc>
          <w:tcPr>
            <w:tcW w:w="96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18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7</w:t>
            </w:r>
          </w:p>
        </w:tc>
      </w:tr>
      <w:tr>
        <w:trPr>
          <w:trHeight w:val="255"/>
        </w:trPr>
        <w:tc>
          <w:tcPr>
            <w:tcW w:w="3888"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i/>
                <w:noProof/>
                <w:color w:val="000000"/>
                <w:sz w:val="18"/>
              </w:rPr>
            </w:pPr>
            <w:r>
              <w:rPr>
                <w:rFonts w:ascii="Verdana" w:hAnsi="Verdana"/>
                <w:i/>
                <w:noProof/>
                <w:color w:val="000000"/>
                <w:sz w:val="18"/>
              </w:rPr>
              <w:t>Kitos išlaidos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r>
              <w:rPr>
                <w:rFonts w:ascii="Verdana" w:hAnsi="Verdana"/>
                <w:noProof/>
                <w:color w:val="000000"/>
                <w:sz w:val="18"/>
              </w:rPr>
              <w:t>3.6</w:t>
            </w: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(8)</w:t>
            </w:r>
          </w:p>
        </w:tc>
        <w:tc>
          <w:tcPr>
            <w:tcW w:w="9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20</w:t>
            </w:r>
          </w:p>
        </w:tc>
        <w:tc>
          <w:tcPr>
            <w:tcW w:w="87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(272)</w:t>
            </w: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(260)</w:t>
            </w: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(7)</w:t>
            </w: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(71)</w:t>
            </w:r>
          </w:p>
        </w:tc>
        <w:tc>
          <w:tcPr>
            <w:tcW w:w="96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(70)</w:t>
            </w:r>
          </w:p>
        </w:tc>
        <w:tc>
          <w:tcPr>
            <w:tcW w:w="18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(148)</w:t>
            </w:r>
          </w:p>
        </w:tc>
      </w:tr>
      <w:tr>
        <w:trPr>
          <w:trHeight w:val="255"/>
        </w:trPr>
        <w:tc>
          <w:tcPr>
            <w:tcW w:w="38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b/>
                <w:noProof/>
                <w:color w:val="000000"/>
                <w:sz w:val="18"/>
              </w:rPr>
            </w:pPr>
            <w:r>
              <w:rPr>
                <w:rFonts w:ascii="Verdana" w:hAnsi="Verdana"/>
                <w:b/>
                <w:noProof/>
                <w:color w:val="000000"/>
                <w:sz w:val="18"/>
              </w:rPr>
              <w:t>Iš viso išlaidų</w:t>
            </w:r>
          </w:p>
        </w:tc>
        <w:tc>
          <w:tcPr>
            <w:tcW w:w="69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8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w:t>
            </w:r>
          </w:p>
        </w:tc>
        <w:tc>
          <w:tcPr>
            <w:tcW w:w="8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(40)</w:t>
            </w:r>
          </w:p>
        </w:tc>
        <w:tc>
          <w:tcPr>
            <w:tcW w:w="9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(571)</w:t>
            </w:r>
          </w:p>
        </w:tc>
        <w:tc>
          <w:tcPr>
            <w:tcW w:w="87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(3 418)</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(4 030)</w:t>
            </w:r>
          </w:p>
        </w:tc>
        <w:tc>
          <w:tcPr>
            <w:tcW w:w="8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(0)</w:t>
            </w:r>
          </w:p>
        </w:tc>
        <w:tc>
          <w:tcPr>
            <w:tcW w:w="8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(64)</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(1 031)</w:t>
            </w:r>
          </w:p>
        </w:tc>
        <w:tc>
          <w:tcPr>
            <w:tcW w:w="9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(3 082)</w:t>
            </w:r>
          </w:p>
        </w:tc>
        <w:tc>
          <w:tcPr>
            <w:tcW w:w="1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(4 178)</w:t>
            </w:r>
          </w:p>
        </w:tc>
      </w:tr>
      <w:tr>
        <w:trPr>
          <w:trHeight w:val="255"/>
        </w:trPr>
        <w:tc>
          <w:tcPr>
            <w:tcW w:w="3888"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noProof/>
                <w:color w:val="000000"/>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i/>
                <w:noProof/>
                <w:color w:val="000000"/>
                <w:sz w:val="18"/>
              </w:rPr>
            </w:pP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7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27"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2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6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181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lang w:bidi="en-GB"/>
              </w:rPr>
            </w:pPr>
          </w:p>
        </w:tc>
      </w:tr>
      <w:tr>
        <w:trPr>
          <w:trHeight w:val="255"/>
        </w:trPr>
        <w:tc>
          <w:tcPr>
            <w:tcW w:w="3888"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rPr>
                <w:rFonts w:ascii="Verdana" w:eastAsia="Verdana" w:hAnsi="Verdana" w:cs="Verdana"/>
                <w:b/>
                <w:noProof/>
                <w:color w:val="000000"/>
                <w:sz w:val="18"/>
              </w:rPr>
            </w:pPr>
            <w:r>
              <w:rPr>
                <w:rFonts w:ascii="Verdana" w:hAnsi="Verdana"/>
                <w:b/>
                <w:noProof/>
                <w:color w:val="000000"/>
                <w:sz w:val="18"/>
              </w:rPr>
              <w:t>EKONOMINIS METŲ REZULTATAS</w:t>
            </w:r>
          </w:p>
        </w:tc>
        <w:tc>
          <w:tcPr>
            <w:tcW w:w="695"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p>
        </w:tc>
        <w:tc>
          <w:tcPr>
            <w:tcW w:w="827"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(0)</w:t>
            </w:r>
          </w:p>
        </w:tc>
        <w:tc>
          <w:tcPr>
            <w:tcW w:w="826"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(34)</w:t>
            </w:r>
          </w:p>
        </w:tc>
        <w:tc>
          <w:tcPr>
            <w:tcW w:w="912"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(529)</w:t>
            </w:r>
          </w:p>
        </w:tc>
        <w:tc>
          <w:tcPr>
            <w:tcW w:w="877"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(3 393)</w:t>
            </w:r>
          </w:p>
        </w:tc>
        <w:tc>
          <w:tcPr>
            <w:tcW w:w="962"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(3 956)</w:t>
            </w:r>
          </w:p>
        </w:tc>
        <w:tc>
          <w:tcPr>
            <w:tcW w:w="827"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0</w:t>
            </w:r>
          </w:p>
        </w:tc>
        <w:tc>
          <w:tcPr>
            <w:tcW w:w="826"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(53)</w:t>
            </w:r>
          </w:p>
        </w:tc>
        <w:tc>
          <w:tcPr>
            <w:tcW w:w="962"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(1 000)</w:t>
            </w:r>
          </w:p>
        </w:tc>
        <w:tc>
          <w:tcPr>
            <w:tcW w:w="963"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(3 065)</w:t>
            </w:r>
          </w:p>
        </w:tc>
        <w:tc>
          <w:tcPr>
            <w:tcW w:w="1812"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(4 118)</w:t>
            </w:r>
          </w:p>
        </w:tc>
      </w:tr>
    </w:tbl>
    <w:p>
      <w:pPr>
        <w:pStyle w:val="Textstand-alone"/>
      </w:pPr>
    </w:p>
    <w:p>
      <w:pPr>
        <w:pStyle w:val="Textstand-alone"/>
        <w:sectPr>
          <w:headerReference w:type="even" r:id="rId95"/>
          <w:headerReference w:type="default" r:id="rId96"/>
          <w:footerReference w:type="even" r:id="rId97"/>
          <w:footerReference w:type="default" r:id="rId98"/>
          <w:headerReference w:type="first" r:id="rId99"/>
          <w:footerReference w:type="first" r:id="rId100"/>
          <w:pgSz w:w="16838" w:h="11906" w:orient="landscape" w:code="9"/>
          <w:pgMar w:top="1134" w:right="1134" w:bottom="1134" w:left="1134" w:header="708" w:footer="708" w:gutter="0"/>
          <w:cols w:space="708"/>
          <w:docGrid w:linePitch="360"/>
        </w:sectPr>
      </w:pPr>
    </w:p>
    <w:p>
      <w:pPr>
        <w:pStyle w:val="HEADERTITLE1"/>
      </w:pPr>
      <w:bookmarkStart w:id="30" w:name="_Toc48834989"/>
      <w:r>
        <w:t>EPF GRYNOJO TURTO POKYČIŲ ATASKAITA</w:t>
      </w:r>
      <w:bookmarkEnd w:id="30"/>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7"/>
        <w:gridCol w:w="1407"/>
        <w:gridCol w:w="1707"/>
        <w:gridCol w:w="1701"/>
        <w:gridCol w:w="1724"/>
        <w:gridCol w:w="1447"/>
        <w:gridCol w:w="1648"/>
        <w:gridCol w:w="1295"/>
      </w:tblGrid>
      <w:tr>
        <w:trPr>
          <w:trHeight w:val="255"/>
        </w:trPr>
        <w:tc>
          <w:tcPr>
            <w:tcW w:w="14396" w:type="dxa"/>
            <w:gridSpan w:val="8"/>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6"/>
              </w:rPr>
            </w:pPr>
            <w:bookmarkStart w:id="31" w:name="DOC_TBL00004_1_1"/>
            <w:bookmarkEnd w:id="31"/>
            <w:r>
              <w:rPr>
                <w:rFonts w:ascii="Verdana" w:hAnsi="Verdana"/>
                <w:i/>
                <w:noProof/>
                <w:color w:val="000000"/>
                <w:sz w:val="16"/>
              </w:rPr>
              <w:t>mln. EUR</w:t>
            </w:r>
          </w:p>
        </w:tc>
      </w:tr>
      <w:tr>
        <w:trPr>
          <w:trHeight w:val="255"/>
        </w:trPr>
        <w:tc>
          <w:tcPr>
            <w:tcW w:w="3467" w:type="dxa"/>
            <w:tcBorders>
              <w:top w:val="nil"/>
              <w:left w:val="nil"/>
              <w:bottom w:val="nil"/>
              <w:right w:val="nil"/>
              <w:tl2br w:val="nil"/>
              <w:tr2bl w:val="nil"/>
            </w:tcBorders>
            <w:shd w:val="solid" w:color="016794" w:fill="FFFFFF"/>
            <w:tcMar>
              <w:left w:w="60" w:type="dxa"/>
              <w:right w:w="60" w:type="dxa"/>
            </w:tcMar>
            <w:vAlign w:val="center"/>
          </w:tcPr>
          <w:p>
            <w:pPr>
              <w:pStyle w:val="DMETW18983BIPCNA8"/>
              <w:jc w:val="center"/>
              <w:rPr>
                <w:rFonts w:ascii="Verdana" w:eastAsia="Verdana" w:hAnsi="Verdana" w:cs="Verdana"/>
                <w:noProof/>
                <w:color w:val="FFFFFF"/>
              </w:rPr>
            </w:pPr>
            <w:r>
              <w:rPr>
                <w:rFonts w:ascii="Verdana" w:hAnsi="Verdana"/>
                <w:noProof/>
                <w:color w:val="FFFFFF"/>
              </w:rPr>
              <w:t>8-asis EPF</w:t>
            </w:r>
          </w:p>
        </w:tc>
        <w:tc>
          <w:tcPr>
            <w:tcW w:w="1407" w:type="dxa"/>
            <w:tcBorders>
              <w:top w:val="nil"/>
              <w:left w:val="nil"/>
              <w:bottom w:val="nil"/>
              <w:right w:val="nil"/>
              <w:tl2br w:val="nil"/>
              <w:tr2bl w:val="nil"/>
            </w:tcBorders>
            <w:shd w:val="solid" w:color="016794" w:fill="FFFFFF"/>
            <w:tcMar>
              <w:left w:w="60" w:type="dxa"/>
              <w:right w:w="60" w:type="dxa"/>
            </w:tcMar>
            <w:vAlign w:val="center"/>
          </w:tcPr>
          <w:p>
            <w:pPr>
              <w:pStyle w:val="DMETW18983BIPCNA8"/>
              <w:jc w:val="center"/>
              <w:rPr>
                <w:rFonts w:ascii="Verdana" w:eastAsia="Verdana" w:hAnsi="Verdana" w:cs="Verdana"/>
                <w:noProof/>
                <w:color w:val="FFFFFF"/>
              </w:rPr>
            </w:pPr>
            <w:r>
              <w:rPr>
                <w:rFonts w:ascii="Verdana" w:hAnsi="Verdana"/>
                <w:noProof/>
                <w:color w:val="FFFFFF"/>
              </w:rPr>
              <w:t>Fondo kapitalas – aktyvūs EPF (A)</w:t>
            </w:r>
          </w:p>
        </w:tc>
        <w:tc>
          <w:tcPr>
            <w:tcW w:w="1707" w:type="dxa"/>
            <w:tcBorders>
              <w:top w:val="nil"/>
              <w:left w:val="nil"/>
              <w:bottom w:val="nil"/>
              <w:right w:val="nil"/>
              <w:tl2br w:val="nil"/>
              <w:tr2bl w:val="nil"/>
            </w:tcBorders>
            <w:shd w:val="solid" w:color="016794" w:fill="FFFFFF"/>
            <w:tcMar>
              <w:left w:w="60" w:type="dxa"/>
              <w:right w:w="60" w:type="dxa"/>
            </w:tcMar>
            <w:vAlign w:val="center"/>
          </w:tcPr>
          <w:p>
            <w:pPr>
              <w:pStyle w:val="DMETW18983BIPCNA8"/>
              <w:jc w:val="center"/>
              <w:rPr>
                <w:rFonts w:ascii="Verdana" w:eastAsia="Verdana" w:hAnsi="Verdana" w:cs="Verdana"/>
                <w:noProof/>
                <w:color w:val="FFFFFF"/>
              </w:rPr>
            </w:pPr>
            <w:r>
              <w:rPr>
                <w:rFonts w:ascii="Verdana" w:hAnsi="Verdana"/>
                <w:noProof/>
                <w:color w:val="FFFFFF"/>
              </w:rPr>
              <w:t>Nepareikalautosios lėšos – aktyvūs EPF (B)</w:t>
            </w:r>
          </w:p>
        </w:tc>
        <w:tc>
          <w:tcPr>
            <w:tcW w:w="1701" w:type="dxa"/>
            <w:tcBorders>
              <w:top w:val="nil"/>
              <w:left w:val="nil"/>
              <w:bottom w:val="nil"/>
              <w:right w:val="nil"/>
              <w:tl2br w:val="nil"/>
              <w:tr2bl w:val="nil"/>
            </w:tcBorders>
            <w:shd w:val="solid" w:color="016794" w:fill="FFFFFF"/>
            <w:tcMar>
              <w:left w:w="60" w:type="dxa"/>
              <w:right w:w="60" w:type="dxa"/>
            </w:tcMar>
            <w:vAlign w:val="center"/>
          </w:tcPr>
          <w:p>
            <w:pPr>
              <w:pStyle w:val="DMETW18983BIPCNA8"/>
              <w:jc w:val="center"/>
              <w:rPr>
                <w:rFonts w:ascii="Verdana" w:eastAsia="Verdana" w:hAnsi="Verdana" w:cs="Verdana"/>
                <w:noProof/>
                <w:color w:val="FFFFFF"/>
              </w:rPr>
            </w:pPr>
            <w:r>
              <w:rPr>
                <w:rFonts w:ascii="Verdana" w:hAnsi="Verdana"/>
                <w:noProof/>
                <w:color w:val="FFFFFF"/>
              </w:rPr>
              <w:t>Pareikalautasis fondo kapitalas – aktyvūs EPF (C) = (A) − (B)</w:t>
            </w:r>
          </w:p>
        </w:tc>
        <w:tc>
          <w:tcPr>
            <w:tcW w:w="1724" w:type="dxa"/>
            <w:tcBorders>
              <w:top w:val="nil"/>
              <w:left w:val="nil"/>
              <w:bottom w:val="nil"/>
              <w:right w:val="nil"/>
              <w:tl2br w:val="nil"/>
              <w:tr2bl w:val="nil"/>
            </w:tcBorders>
            <w:shd w:val="solid" w:color="016794" w:fill="FFFFFF"/>
            <w:tcMar>
              <w:left w:w="60" w:type="dxa"/>
              <w:right w:w="60" w:type="dxa"/>
            </w:tcMar>
            <w:vAlign w:val="center"/>
          </w:tcPr>
          <w:p>
            <w:pPr>
              <w:pStyle w:val="DMETW18983BIPCNA8"/>
              <w:jc w:val="center"/>
              <w:rPr>
                <w:rFonts w:ascii="Verdana" w:eastAsia="Verdana" w:hAnsi="Verdana" w:cs="Verdana"/>
                <w:noProof/>
                <w:color w:val="FFFFFF"/>
              </w:rPr>
            </w:pPr>
            <w:r>
              <w:rPr>
                <w:rFonts w:ascii="Verdana" w:hAnsi="Verdana"/>
                <w:noProof/>
                <w:color w:val="FFFFFF"/>
              </w:rPr>
              <w:t>Sukaupti rezervai (D)</w:t>
            </w:r>
          </w:p>
        </w:tc>
        <w:tc>
          <w:tcPr>
            <w:tcW w:w="1447" w:type="dxa"/>
            <w:tcBorders>
              <w:top w:val="nil"/>
              <w:left w:val="nil"/>
              <w:bottom w:val="nil"/>
              <w:right w:val="nil"/>
              <w:tl2br w:val="nil"/>
              <w:tr2bl w:val="nil"/>
            </w:tcBorders>
            <w:shd w:val="solid" w:color="016794" w:fill="FFFFFF"/>
            <w:tcMar>
              <w:left w:w="60" w:type="dxa"/>
              <w:right w:w="60" w:type="dxa"/>
            </w:tcMar>
            <w:vAlign w:val="center"/>
          </w:tcPr>
          <w:p>
            <w:pPr>
              <w:pStyle w:val="DMETW18983BIPCNA8"/>
              <w:jc w:val="center"/>
              <w:rPr>
                <w:rFonts w:ascii="Verdana" w:eastAsia="Verdana" w:hAnsi="Verdana" w:cs="Verdana"/>
                <w:noProof/>
                <w:color w:val="FFFFFF"/>
              </w:rPr>
            </w:pPr>
            <w:r>
              <w:rPr>
                <w:rFonts w:ascii="Verdana" w:hAnsi="Verdana"/>
                <w:noProof/>
                <w:color w:val="FFFFFF"/>
              </w:rPr>
              <w:t>Iš veiklą užbaigusių EPF perkeltas pareikalautasis fondo kapitalas (E)</w:t>
            </w:r>
          </w:p>
        </w:tc>
        <w:tc>
          <w:tcPr>
            <w:tcW w:w="1648" w:type="dxa"/>
            <w:tcBorders>
              <w:top w:val="nil"/>
              <w:left w:val="nil"/>
              <w:bottom w:val="nil"/>
              <w:right w:val="nil"/>
              <w:tl2br w:val="nil"/>
              <w:tr2bl w:val="nil"/>
            </w:tcBorders>
            <w:shd w:val="solid" w:color="016794" w:fill="FFFFFF"/>
            <w:tcMar>
              <w:left w:w="60" w:type="dxa"/>
              <w:right w:w="60" w:type="dxa"/>
            </w:tcMar>
            <w:vAlign w:val="center"/>
          </w:tcPr>
          <w:p>
            <w:pPr>
              <w:pStyle w:val="DMETW18983BIPCNA8"/>
              <w:jc w:val="center"/>
              <w:rPr>
                <w:rFonts w:ascii="Verdana" w:eastAsia="Verdana" w:hAnsi="Verdana" w:cs="Verdana"/>
                <w:noProof/>
                <w:color w:val="FFFFFF"/>
              </w:rPr>
            </w:pPr>
            <w:r>
              <w:rPr>
                <w:rFonts w:ascii="Verdana" w:hAnsi="Verdana"/>
                <w:noProof/>
                <w:color w:val="FFFFFF"/>
              </w:rPr>
              <w:t>Pareikalautojo fondo kapitalo pervedimai tarp aktyvių EPF (F)</w:t>
            </w:r>
          </w:p>
        </w:tc>
        <w:tc>
          <w:tcPr>
            <w:tcW w:w="1295" w:type="dxa"/>
            <w:tcBorders>
              <w:top w:val="nil"/>
              <w:left w:val="nil"/>
              <w:bottom w:val="nil"/>
              <w:right w:val="nil"/>
              <w:tl2br w:val="nil"/>
              <w:tr2bl w:val="nil"/>
            </w:tcBorders>
            <w:shd w:val="solid" w:color="016794" w:fill="FFFFFF"/>
            <w:tcMar>
              <w:left w:w="60" w:type="dxa"/>
              <w:right w:w="60" w:type="dxa"/>
            </w:tcMar>
            <w:vAlign w:val="center"/>
          </w:tcPr>
          <w:p>
            <w:pPr>
              <w:pStyle w:val="DMETW18983BIPCNA8"/>
              <w:jc w:val="center"/>
              <w:rPr>
                <w:rFonts w:ascii="Verdana" w:eastAsia="Verdana" w:hAnsi="Verdana" w:cs="Verdana"/>
                <w:noProof/>
                <w:color w:val="FFFFFF"/>
              </w:rPr>
            </w:pPr>
            <w:r>
              <w:rPr>
                <w:rFonts w:ascii="Verdana" w:hAnsi="Verdana"/>
                <w:noProof/>
                <w:color w:val="FFFFFF"/>
              </w:rPr>
              <w:t>Iš viso grynojo turto (C) + (D) + (E) + (F)</w:t>
            </w:r>
          </w:p>
        </w:tc>
      </w:tr>
      <w:tr>
        <w:trPr>
          <w:trHeight w:val="255"/>
        </w:trPr>
        <w:tc>
          <w:tcPr>
            <w:tcW w:w="3467" w:type="dxa"/>
            <w:tcBorders>
              <w:top w:val="nil"/>
              <w:left w:val="nil"/>
              <w:bottom w:val="nil"/>
              <w:right w:val="nil"/>
              <w:tl2br w:val="nil"/>
              <w:tr2bl w:val="nil"/>
            </w:tcBorders>
            <w:shd w:val="solid" w:color="CCE1EA" w:fill="FFFFFF"/>
            <w:tcMar>
              <w:left w:w="60" w:type="dxa"/>
              <w:right w:w="60" w:type="dxa"/>
            </w:tcMar>
            <w:vAlign w:val="center"/>
          </w:tcPr>
          <w:p>
            <w:pPr>
              <w:pStyle w:val="DMETW18983BIPCNA8"/>
              <w:rPr>
                <w:rFonts w:ascii="Verdana" w:eastAsia="Verdana" w:hAnsi="Verdana" w:cs="Verdana"/>
                <w:b/>
                <w:noProof/>
                <w:color w:val="000000"/>
                <w:sz w:val="18"/>
              </w:rPr>
            </w:pPr>
            <w:r>
              <w:rPr>
                <w:rFonts w:ascii="Verdana" w:hAnsi="Verdana"/>
                <w:b/>
                <w:noProof/>
                <w:color w:val="000000"/>
                <w:sz w:val="18"/>
              </w:rPr>
              <w:t>LIKUTIS 2017 m. gruodžio 31 d.</w:t>
            </w:r>
          </w:p>
        </w:tc>
        <w:tc>
          <w:tcPr>
            <w:tcW w:w="1407"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707"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w:t>
            </w:r>
          </w:p>
        </w:tc>
        <w:tc>
          <w:tcPr>
            <w:tcW w:w="1701"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724"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(10 098)</w:t>
            </w:r>
          </w:p>
        </w:tc>
        <w:tc>
          <w:tcPr>
            <w:tcW w:w="1447"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627</w:t>
            </w:r>
          </w:p>
        </w:tc>
        <w:tc>
          <w:tcPr>
            <w:tcW w:w="1648"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(2 503)</w:t>
            </w:r>
          </w:p>
        </w:tc>
        <w:tc>
          <w:tcPr>
            <w:tcW w:w="1295"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190</w:t>
            </w:r>
          </w:p>
        </w:tc>
      </w:tr>
      <w:tr>
        <w:trPr>
          <w:trHeight w:val="255"/>
        </w:trPr>
        <w:tc>
          <w:tcPr>
            <w:tcW w:w="3467" w:type="dxa"/>
            <w:tcBorders>
              <w:top w:val="nil"/>
              <w:left w:val="nil"/>
              <w:bottom w:val="nil"/>
              <w:right w:val="nil"/>
              <w:tl2br w:val="nil"/>
              <w:tr2bl w:val="nil"/>
            </w:tcBorders>
            <w:shd w:val="clear" w:color="auto" w:fill="auto"/>
            <w:tcMar>
              <w:left w:w="60" w:type="dxa"/>
              <w:right w:w="60" w:type="dxa"/>
            </w:tcMar>
            <w:vAlign w:val="center"/>
          </w:tcPr>
          <w:p>
            <w:pPr>
              <w:pStyle w:val="DMETW18983BIPCNA8"/>
              <w:rPr>
                <w:rFonts w:ascii="Verdana" w:eastAsia="Verdana" w:hAnsi="Verdana" w:cs="Verdana"/>
                <w:i/>
                <w:noProof/>
                <w:color w:val="000000"/>
                <w:sz w:val="18"/>
              </w:rPr>
            </w:pPr>
            <w:r>
              <w:rPr>
                <w:rFonts w:ascii="Verdana" w:hAnsi="Verdana"/>
                <w:i/>
                <w:noProof/>
                <w:color w:val="000000"/>
                <w:sz w:val="18"/>
              </w:rPr>
              <w:t>Perkėlimas į 10-ąjį EPF ir iš jo</w:t>
            </w:r>
          </w:p>
        </w:tc>
        <w:tc>
          <w:tcPr>
            <w:tcW w:w="1407"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p>
        </w:tc>
        <w:tc>
          <w:tcPr>
            <w:tcW w:w="1707"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p>
        </w:tc>
        <w:tc>
          <w:tcPr>
            <w:tcW w:w="1701"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r>
              <w:rPr>
                <w:rFonts w:ascii="Verdana" w:hAnsi="Verdana"/>
                <w:i/>
                <w:noProof/>
                <w:color w:val="000000"/>
                <w:sz w:val="18"/>
              </w:rPr>
              <w:t>–</w:t>
            </w:r>
          </w:p>
        </w:tc>
        <w:tc>
          <w:tcPr>
            <w:tcW w:w="1724"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p>
        </w:tc>
        <w:tc>
          <w:tcPr>
            <w:tcW w:w="1447"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p>
        </w:tc>
        <w:tc>
          <w:tcPr>
            <w:tcW w:w="1648"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r>
              <w:rPr>
                <w:rFonts w:ascii="Verdana" w:hAnsi="Verdana"/>
                <w:i/>
                <w:noProof/>
                <w:color w:val="000000"/>
                <w:sz w:val="18"/>
              </w:rPr>
              <w:t xml:space="preserve"> (7)</w:t>
            </w:r>
          </w:p>
        </w:tc>
        <w:tc>
          <w:tcPr>
            <w:tcW w:w="1295"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r>
              <w:rPr>
                <w:rFonts w:ascii="Verdana" w:hAnsi="Verdana"/>
                <w:i/>
                <w:noProof/>
                <w:color w:val="000000"/>
                <w:sz w:val="18"/>
              </w:rPr>
              <w:t xml:space="preserve"> (7)</w:t>
            </w:r>
          </w:p>
        </w:tc>
      </w:tr>
      <w:tr>
        <w:trPr>
          <w:trHeight w:val="255"/>
        </w:trPr>
        <w:tc>
          <w:tcPr>
            <w:tcW w:w="3467" w:type="dxa"/>
            <w:tcBorders>
              <w:top w:val="nil"/>
              <w:left w:val="nil"/>
              <w:bottom w:val="nil"/>
              <w:right w:val="nil"/>
              <w:tl2br w:val="nil"/>
              <w:tr2bl w:val="nil"/>
            </w:tcBorders>
            <w:shd w:val="solid" w:color="CCE1EA" w:fill="FFFFFF"/>
            <w:tcMar>
              <w:left w:w="60" w:type="dxa"/>
              <w:right w:w="60" w:type="dxa"/>
            </w:tcMar>
            <w:vAlign w:val="center"/>
          </w:tcPr>
          <w:p>
            <w:pPr>
              <w:pStyle w:val="DMETW18983BIPCNA8"/>
              <w:rPr>
                <w:rFonts w:ascii="Verdana" w:eastAsia="Verdana" w:hAnsi="Verdana" w:cs="Verdana"/>
                <w:b/>
                <w:noProof/>
                <w:color w:val="000000"/>
                <w:sz w:val="18"/>
              </w:rPr>
            </w:pPr>
            <w:r>
              <w:rPr>
                <w:rFonts w:ascii="Verdana" w:hAnsi="Verdana"/>
                <w:b/>
                <w:noProof/>
                <w:color w:val="000000"/>
                <w:sz w:val="18"/>
              </w:rPr>
              <w:t>LIKUTIS 2018 m. gruodžio 31 d.</w:t>
            </w:r>
          </w:p>
        </w:tc>
        <w:tc>
          <w:tcPr>
            <w:tcW w:w="1407"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707"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w:t>
            </w:r>
          </w:p>
        </w:tc>
        <w:tc>
          <w:tcPr>
            <w:tcW w:w="1701"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724"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(10 098)</w:t>
            </w:r>
          </w:p>
        </w:tc>
        <w:tc>
          <w:tcPr>
            <w:tcW w:w="1447"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627</w:t>
            </w:r>
          </w:p>
        </w:tc>
        <w:tc>
          <w:tcPr>
            <w:tcW w:w="1648"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(2 509)</w:t>
            </w:r>
          </w:p>
        </w:tc>
        <w:tc>
          <w:tcPr>
            <w:tcW w:w="1295"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183</w:t>
            </w:r>
          </w:p>
        </w:tc>
      </w:tr>
      <w:tr>
        <w:trPr>
          <w:trHeight w:val="255"/>
        </w:trPr>
        <w:tc>
          <w:tcPr>
            <w:tcW w:w="3467" w:type="dxa"/>
            <w:tcBorders>
              <w:top w:val="nil"/>
              <w:left w:val="nil"/>
              <w:bottom w:val="nil"/>
              <w:right w:val="nil"/>
              <w:tl2br w:val="nil"/>
              <w:tr2bl w:val="nil"/>
            </w:tcBorders>
            <w:shd w:val="clear" w:color="auto" w:fill="auto"/>
            <w:tcMar>
              <w:left w:w="60" w:type="dxa"/>
              <w:right w:w="60" w:type="dxa"/>
            </w:tcMar>
            <w:vAlign w:val="center"/>
          </w:tcPr>
          <w:p>
            <w:pPr>
              <w:pStyle w:val="DMETW18983BIPCNA8"/>
              <w:rPr>
                <w:rFonts w:ascii="Verdana" w:eastAsia="Verdana" w:hAnsi="Verdana" w:cs="Verdana"/>
                <w:i/>
                <w:noProof/>
                <w:color w:val="000000"/>
                <w:sz w:val="18"/>
              </w:rPr>
            </w:pPr>
            <w:r>
              <w:rPr>
                <w:rFonts w:ascii="Verdana" w:hAnsi="Verdana"/>
                <w:i/>
                <w:noProof/>
                <w:color w:val="000000"/>
                <w:sz w:val="18"/>
              </w:rPr>
              <w:t>Perkėlimas į 10-ąjį EPF ir iš jo</w:t>
            </w:r>
          </w:p>
        </w:tc>
        <w:tc>
          <w:tcPr>
            <w:tcW w:w="1407"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p>
        </w:tc>
        <w:tc>
          <w:tcPr>
            <w:tcW w:w="1707"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p>
        </w:tc>
        <w:tc>
          <w:tcPr>
            <w:tcW w:w="1701"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r>
              <w:rPr>
                <w:rFonts w:ascii="Verdana" w:hAnsi="Verdana"/>
                <w:i/>
                <w:noProof/>
                <w:color w:val="000000"/>
                <w:sz w:val="18"/>
              </w:rPr>
              <w:t>–</w:t>
            </w:r>
          </w:p>
        </w:tc>
        <w:tc>
          <w:tcPr>
            <w:tcW w:w="1724"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p>
        </w:tc>
        <w:tc>
          <w:tcPr>
            <w:tcW w:w="1447"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p>
        </w:tc>
        <w:tc>
          <w:tcPr>
            <w:tcW w:w="1648"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r>
              <w:rPr>
                <w:rFonts w:ascii="Verdana" w:hAnsi="Verdana"/>
                <w:i/>
                <w:noProof/>
                <w:color w:val="000000"/>
                <w:sz w:val="18"/>
              </w:rPr>
              <w:t xml:space="preserve"> (1)</w:t>
            </w:r>
          </w:p>
        </w:tc>
        <w:tc>
          <w:tcPr>
            <w:tcW w:w="1295"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r>
              <w:rPr>
                <w:rFonts w:ascii="Verdana" w:hAnsi="Verdana"/>
                <w:i/>
                <w:noProof/>
                <w:color w:val="000000"/>
                <w:sz w:val="18"/>
              </w:rPr>
              <w:t xml:space="preserve"> (1)</w:t>
            </w:r>
          </w:p>
        </w:tc>
      </w:tr>
      <w:tr>
        <w:trPr>
          <w:trHeight w:val="255"/>
        </w:trPr>
        <w:tc>
          <w:tcPr>
            <w:tcW w:w="3467" w:type="dxa"/>
            <w:tcBorders>
              <w:top w:val="nil"/>
              <w:left w:val="nil"/>
              <w:bottom w:val="nil"/>
              <w:right w:val="nil"/>
              <w:tl2br w:val="nil"/>
              <w:tr2bl w:val="nil"/>
            </w:tcBorders>
            <w:shd w:val="solid" w:color="CCE1EA" w:fill="FFFFFF"/>
            <w:tcMar>
              <w:left w:w="60" w:type="dxa"/>
              <w:right w:w="60" w:type="dxa"/>
            </w:tcMar>
            <w:vAlign w:val="center"/>
          </w:tcPr>
          <w:p>
            <w:pPr>
              <w:pStyle w:val="DMETW18983BIPCNA8"/>
              <w:rPr>
                <w:rFonts w:ascii="Verdana" w:eastAsia="Verdana" w:hAnsi="Verdana" w:cs="Verdana"/>
                <w:b/>
                <w:noProof/>
                <w:color w:val="000000"/>
                <w:sz w:val="18"/>
              </w:rPr>
            </w:pPr>
            <w:r>
              <w:rPr>
                <w:rFonts w:ascii="Verdana" w:hAnsi="Verdana"/>
                <w:b/>
                <w:noProof/>
                <w:color w:val="000000"/>
                <w:sz w:val="18"/>
              </w:rPr>
              <w:t>LIKUTIS 2019 m. gruodžio 31 d.</w:t>
            </w:r>
          </w:p>
        </w:tc>
        <w:tc>
          <w:tcPr>
            <w:tcW w:w="1407"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707"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w:t>
            </w:r>
          </w:p>
        </w:tc>
        <w:tc>
          <w:tcPr>
            <w:tcW w:w="1701"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724"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(10 098)</w:t>
            </w:r>
          </w:p>
        </w:tc>
        <w:tc>
          <w:tcPr>
            <w:tcW w:w="1447"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627</w:t>
            </w:r>
          </w:p>
        </w:tc>
        <w:tc>
          <w:tcPr>
            <w:tcW w:w="1648"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(2 510)</w:t>
            </w:r>
          </w:p>
        </w:tc>
        <w:tc>
          <w:tcPr>
            <w:tcW w:w="1295"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183</w:t>
            </w:r>
          </w:p>
        </w:tc>
      </w:tr>
    </w:tbl>
    <w:p>
      <w:pPr>
        <w:pStyle w:val="Textstand-alone"/>
      </w:pP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4"/>
        <w:gridCol w:w="1276"/>
        <w:gridCol w:w="1466"/>
        <w:gridCol w:w="2219"/>
        <w:gridCol w:w="1560"/>
        <w:gridCol w:w="1466"/>
        <w:gridCol w:w="1652"/>
        <w:gridCol w:w="1115"/>
      </w:tblGrid>
      <w:tr>
        <w:trPr>
          <w:trHeight w:val="255"/>
        </w:trPr>
        <w:tc>
          <w:tcPr>
            <w:tcW w:w="14358" w:type="dxa"/>
            <w:gridSpan w:val="8"/>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6"/>
              </w:rPr>
            </w:pPr>
            <w:bookmarkStart w:id="32" w:name="DOC_TBL00010_1_1"/>
            <w:bookmarkEnd w:id="32"/>
            <w:r>
              <w:rPr>
                <w:rFonts w:ascii="Verdana" w:hAnsi="Verdana"/>
                <w:i/>
                <w:noProof/>
                <w:color w:val="000000"/>
                <w:sz w:val="16"/>
              </w:rPr>
              <w:t>mln. EUR</w:t>
            </w:r>
          </w:p>
        </w:tc>
      </w:tr>
      <w:tr>
        <w:trPr>
          <w:trHeight w:val="255"/>
        </w:trPr>
        <w:tc>
          <w:tcPr>
            <w:tcW w:w="3604" w:type="dxa"/>
            <w:tcBorders>
              <w:top w:val="nil"/>
              <w:left w:val="nil"/>
              <w:bottom w:val="nil"/>
              <w:right w:val="nil"/>
              <w:tl2br w:val="nil"/>
              <w:tr2bl w:val="nil"/>
            </w:tcBorders>
            <w:shd w:val="solid" w:color="016794" w:fill="FFFFFF"/>
            <w:tcMar>
              <w:left w:w="60" w:type="dxa"/>
              <w:right w:w="60" w:type="dxa"/>
            </w:tcMar>
            <w:vAlign w:val="center"/>
          </w:tcPr>
          <w:p>
            <w:pPr>
              <w:pStyle w:val="DMETW18983BIPCNA9"/>
              <w:jc w:val="center"/>
              <w:rPr>
                <w:rFonts w:ascii="Verdana" w:eastAsia="Verdana" w:hAnsi="Verdana" w:cs="Verdana"/>
                <w:noProof/>
                <w:color w:val="FFFFFF"/>
              </w:rPr>
            </w:pPr>
            <w:r>
              <w:rPr>
                <w:rFonts w:ascii="Verdana" w:hAnsi="Verdana"/>
                <w:noProof/>
                <w:color w:val="FFFFFF"/>
              </w:rPr>
              <w:t>9-asis EPF</w:t>
            </w:r>
          </w:p>
        </w:tc>
        <w:tc>
          <w:tcPr>
            <w:tcW w:w="1276" w:type="dxa"/>
            <w:tcBorders>
              <w:top w:val="nil"/>
              <w:left w:val="nil"/>
              <w:bottom w:val="nil"/>
              <w:right w:val="nil"/>
              <w:tl2br w:val="nil"/>
              <w:tr2bl w:val="nil"/>
            </w:tcBorders>
            <w:shd w:val="solid" w:color="016794" w:fill="FFFFFF"/>
            <w:tcMar>
              <w:left w:w="60" w:type="dxa"/>
              <w:right w:w="60" w:type="dxa"/>
            </w:tcMar>
            <w:vAlign w:val="center"/>
          </w:tcPr>
          <w:p>
            <w:pPr>
              <w:pStyle w:val="DMETW18983BIPCNA9"/>
              <w:jc w:val="center"/>
              <w:rPr>
                <w:rFonts w:ascii="Verdana" w:eastAsia="Verdana" w:hAnsi="Verdana" w:cs="Verdana"/>
                <w:noProof/>
                <w:color w:val="FFFFFF"/>
              </w:rPr>
            </w:pPr>
            <w:r>
              <w:rPr>
                <w:rFonts w:ascii="Verdana" w:hAnsi="Verdana"/>
                <w:noProof/>
                <w:color w:val="FFFFFF"/>
              </w:rPr>
              <w:t>Fondo kapitalas – aktyvūs EPF (A)</w:t>
            </w:r>
          </w:p>
        </w:tc>
        <w:tc>
          <w:tcPr>
            <w:tcW w:w="1466" w:type="dxa"/>
            <w:tcBorders>
              <w:top w:val="nil"/>
              <w:left w:val="nil"/>
              <w:bottom w:val="nil"/>
              <w:right w:val="nil"/>
              <w:tl2br w:val="nil"/>
              <w:tr2bl w:val="nil"/>
            </w:tcBorders>
            <w:shd w:val="solid" w:color="016794" w:fill="FFFFFF"/>
            <w:tcMar>
              <w:left w:w="60" w:type="dxa"/>
              <w:right w:w="60" w:type="dxa"/>
            </w:tcMar>
            <w:vAlign w:val="center"/>
          </w:tcPr>
          <w:p>
            <w:pPr>
              <w:pStyle w:val="DMETW18983BIPCNA9"/>
              <w:jc w:val="center"/>
              <w:rPr>
                <w:rFonts w:ascii="Verdana" w:eastAsia="Verdana" w:hAnsi="Verdana" w:cs="Verdana"/>
                <w:noProof/>
                <w:color w:val="FFFFFF"/>
              </w:rPr>
            </w:pPr>
            <w:r>
              <w:rPr>
                <w:rFonts w:ascii="Verdana" w:hAnsi="Verdana"/>
                <w:noProof/>
                <w:color w:val="FFFFFF"/>
              </w:rPr>
              <w:t>Nepareikalautosios lėšos – aktyvūs EPF (B)</w:t>
            </w:r>
          </w:p>
        </w:tc>
        <w:tc>
          <w:tcPr>
            <w:tcW w:w="2219" w:type="dxa"/>
            <w:tcBorders>
              <w:top w:val="nil"/>
              <w:left w:val="nil"/>
              <w:bottom w:val="nil"/>
              <w:right w:val="nil"/>
              <w:tl2br w:val="nil"/>
              <w:tr2bl w:val="nil"/>
            </w:tcBorders>
            <w:shd w:val="solid" w:color="016794" w:fill="FFFFFF"/>
            <w:tcMar>
              <w:left w:w="60" w:type="dxa"/>
              <w:right w:w="60" w:type="dxa"/>
            </w:tcMar>
            <w:vAlign w:val="center"/>
          </w:tcPr>
          <w:p>
            <w:pPr>
              <w:pStyle w:val="DMETW18983BIPCNA9"/>
              <w:jc w:val="center"/>
              <w:rPr>
                <w:rFonts w:ascii="Verdana" w:eastAsia="Verdana" w:hAnsi="Verdana" w:cs="Verdana"/>
                <w:noProof/>
                <w:color w:val="FFFFFF"/>
              </w:rPr>
            </w:pPr>
            <w:r>
              <w:rPr>
                <w:rFonts w:ascii="Verdana" w:hAnsi="Verdana"/>
                <w:noProof/>
                <w:color w:val="FFFFFF"/>
              </w:rPr>
              <w:t>Pareikalautasis fondo kapitalas – aktyvūs EPF (C) = (A) − (B)</w:t>
            </w:r>
          </w:p>
        </w:tc>
        <w:tc>
          <w:tcPr>
            <w:tcW w:w="1560" w:type="dxa"/>
            <w:tcBorders>
              <w:top w:val="nil"/>
              <w:left w:val="nil"/>
              <w:bottom w:val="nil"/>
              <w:right w:val="nil"/>
              <w:tl2br w:val="nil"/>
              <w:tr2bl w:val="nil"/>
            </w:tcBorders>
            <w:shd w:val="solid" w:color="016794" w:fill="FFFFFF"/>
            <w:tcMar>
              <w:left w:w="60" w:type="dxa"/>
              <w:right w:w="60" w:type="dxa"/>
            </w:tcMar>
            <w:vAlign w:val="center"/>
          </w:tcPr>
          <w:p>
            <w:pPr>
              <w:pStyle w:val="DMETW18983BIPCNA9"/>
              <w:jc w:val="center"/>
              <w:rPr>
                <w:rFonts w:ascii="Verdana" w:eastAsia="Verdana" w:hAnsi="Verdana" w:cs="Verdana"/>
                <w:noProof/>
                <w:color w:val="FFFFFF"/>
              </w:rPr>
            </w:pPr>
            <w:r>
              <w:rPr>
                <w:rFonts w:ascii="Verdana" w:hAnsi="Verdana"/>
                <w:noProof/>
                <w:color w:val="FFFFFF"/>
              </w:rPr>
              <w:t>Sukaupti rezervai (D)</w:t>
            </w:r>
          </w:p>
        </w:tc>
        <w:tc>
          <w:tcPr>
            <w:tcW w:w="1466" w:type="dxa"/>
            <w:tcBorders>
              <w:top w:val="nil"/>
              <w:left w:val="nil"/>
              <w:bottom w:val="nil"/>
              <w:right w:val="nil"/>
              <w:tl2br w:val="nil"/>
              <w:tr2bl w:val="nil"/>
            </w:tcBorders>
            <w:shd w:val="solid" w:color="016794" w:fill="FFFFFF"/>
            <w:tcMar>
              <w:left w:w="60" w:type="dxa"/>
              <w:right w:w="60" w:type="dxa"/>
            </w:tcMar>
            <w:vAlign w:val="center"/>
          </w:tcPr>
          <w:p>
            <w:pPr>
              <w:pStyle w:val="DMETW18983BIPCNA9"/>
              <w:jc w:val="center"/>
              <w:rPr>
                <w:rFonts w:ascii="Verdana" w:eastAsia="Verdana" w:hAnsi="Verdana" w:cs="Verdana"/>
                <w:noProof/>
                <w:color w:val="FFFFFF"/>
              </w:rPr>
            </w:pPr>
            <w:r>
              <w:rPr>
                <w:rFonts w:ascii="Verdana" w:hAnsi="Verdana"/>
                <w:noProof/>
                <w:color w:val="FFFFFF"/>
              </w:rPr>
              <w:t>Iš veiklą užbaigusių EPF perkeltas pareikalautasis fondo kapitalas (E)</w:t>
            </w:r>
          </w:p>
        </w:tc>
        <w:tc>
          <w:tcPr>
            <w:tcW w:w="1652" w:type="dxa"/>
            <w:tcBorders>
              <w:top w:val="nil"/>
              <w:left w:val="nil"/>
              <w:bottom w:val="nil"/>
              <w:right w:val="nil"/>
              <w:tl2br w:val="nil"/>
              <w:tr2bl w:val="nil"/>
            </w:tcBorders>
            <w:shd w:val="solid" w:color="016794" w:fill="FFFFFF"/>
            <w:tcMar>
              <w:left w:w="60" w:type="dxa"/>
              <w:right w:w="60" w:type="dxa"/>
            </w:tcMar>
            <w:vAlign w:val="center"/>
          </w:tcPr>
          <w:p>
            <w:pPr>
              <w:pStyle w:val="DMETW18983BIPCNA9"/>
              <w:jc w:val="center"/>
              <w:rPr>
                <w:rFonts w:ascii="Verdana" w:eastAsia="Verdana" w:hAnsi="Verdana" w:cs="Verdana"/>
                <w:noProof/>
                <w:color w:val="FFFFFF"/>
              </w:rPr>
            </w:pPr>
            <w:r>
              <w:rPr>
                <w:rFonts w:ascii="Verdana" w:hAnsi="Verdana"/>
                <w:noProof/>
                <w:color w:val="FFFFFF"/>
              </w:rPr>
              <w:t>Pareikalautojo fondo kapitalo pervedimai tarp aktyvių EPF (F)</w:t>
            </w:r>
          </w:p>
        </w:tc>
        <w:tc>
          <w:tcPr>
            <w:tcW w:w="1115" w:type="dxa"/>
            <w:tcBorders>
              <w:top w:val="nil"/>
              <w:left w:val="nil"/>
              <w:bottom w:val="nil"/>
              <w:right w:val="nil"/>
              <w:tl2br w:val="nil"/>
              <w:tr2bl w:val="nil"/>
            </w:tcBorders>
            <w:shd w:val="solid" w:color="016794" w:fill="FFFFFF"/>
            <w:tcMar>
              <w:left w:w="60" w:type="dxa"/>
              <w:right w:w="60" w:type="dxa"/>
            </w:tcMar>
            <w:vAlign w:val="center"/>
          </w:tcPr>
          <w:p>
            <w:pPr>
              <w:pStyle w:val="DMETW18983BIPCNA9"/>
              <w:jc w:val="center"/>
              <w:rPr>
                <w:rFonts w:ascii="Verdana" w:eastAsia="Verdana" w:hAnsi="Verdana" w:cs="Verdana"/>
                <w:noProof/>
                <w:color w:val="FFFFFF"/>
              </w:rPr>
            </w:pPr>
            <w:r>
              <w:rPr>
                <w:rFonts w:ascii="Verdana" w:hAnsi="Verdana"/>
                <w:noProof/>
                <w:color w:val="FFFFFF"/>
              </w:rPr>
              <w:t>Iš viso grynojo turto (C) + (D) + (E) + (F)</w:t>
            </w:r>
          </w:p>
        </w:tc>
      </w:tr>
      <w:tr>
        <w:trPr>
          <w:trHeight w:val="255"/>
        </w:trPr>
        <w:tc>
          <w:tcPr>
            <w:tcW w:w="3604" w:type="dxa"/>
            <w:tcBorders>
              <w:top w:val="nil"/>
              <w:left w:val="nil"/>
              <w:bottom w:val="nil"/>
              <w:right w:val="nil"/>
              <w:tl2br w:val="nil"/>
              <w:tr2bl w:val="nil"/>
            </w:tcBorders>
            <w:shd w:val="solid" w:color="CCE1EA" w:fill="FFFFFF"/>
            <w:tcMar>
              <w:left w:w="60" w:type="dxa"/>
              <w:right w:w="60" w:type="dxa"/>
            </w:tcMar>
            <w:vAlign w:val="center"/>
          </w:tcPr>
          <w:p>
            <w:pPr>
              <w:pStyle w:val="DMETW18983BIPCNA9"/>
              <w:rPr>
                <w:rFonts w:ascii="Verdana" w:eastAsia="Verdana" w:hAnsi="Verdana" w:cs="Verdana"/>
                <w:b/>
                <w:noProof/>
                <w:color w:val="000000"/>
                <w:sz w:val="18"/>
              </w:rPr>
            </w:pPr>
            <w:r>
              <w:rPr>
                <w:rFonts w:ascii="Verdana" w:hAnsi="Verdana"/>
                <w:b/>
                <w:noProof/>
                <w:color w:val="000000"/>
                <w:sz w:val="18"/>
              </w:rPr>
              <w:t>LIKUTIS 2017 m. gruodžio 31 d.</w:t>
            </w:r>
          </w:p>
        </w:tc>
        <w:tc>
          <w:tcPr>
            <w:tcW w:w="127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10 773</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w:t>
            </w:r>
          </w:p>
        </w:tc>
        <w:tc>
          <w:tcPr>
            <w:tcW w:w="2219"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10 773</w:t>
            </w:r>
          </w:p>
        </w:tc>
        <w:tc>
          <w:tcPr>
            <w:tcW w:w="1560"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(14 352)</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1 625</w:t>
            </w:r>
          </w:p>
        </w:tc>
        <w:tc>
          <w:tcPr>
            <w:tcW w:w="1652"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2 177</w:t>
            </w:r>
          </w:p>
        </w:tc>
        <w:tc>
          <w:tcPr>
            <w:tcW w:w="1115"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222</w:t>
            </w:r>
          </w:p>
        </w:tc>
      </w:tr>
      <w:tr>
        <w:trPr>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pPr>
              <w:pStyle w:val="DMETW18983BIPCNA9"/>
              <w:rPr>
                <w:rFonts w:ascii="Verdana" w:eastAsia="Verdana" w:hAnsi="Verdana" w:cs="Verdana"/>
                <w:i/>
                <w:noProof/>
                <w:color w:val="000000"/>
                <w:sz w:val="18"/>
              </w:rPr>
            </w:pPr>
            <w:r>
              <w:rPr>
                <w:rFonts w:ascii="Verdana" w:hAnsi="Verdana"/>
                <w:i/>
                <w:noProof/>
                <w:color w:val="000000"/>
                <w:sz w:val="18"/>
              </w:rPr>
              <w:t>Perkėlimas į 10-ąjį EPF ir iš jo</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2219"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w:t>
            </w: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652"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 xml:space="preserve"> (40)</w:t>
            </w:r>
          </w:p>
        </w:tc>
        <w:tc>
          <w:tcPr>
            <w:tcW w:w="1115"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 xml:space="preserve"> (40)</w:t>
            </w:r>
          </w:p>
        </w:tc>
      </w:tr>
      <w:tr>
        <w:trPr>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pPr>
              <w:pStyle w:val="DMETW18983BIPCNA9"/>
              <w:rPr>
                <w:rFonts w:ascii="Verdana" w:eastAsia="Verdana" w:hAnsi="Verdana" w:cs="Verdana"/>
                <w:i/>
                <w:noProof/>
                <w:color w:val="000000"/>
                <w:sz w:val="18"/>
              </w:rPr>
            </w:pPr>
            <w:r>
              <w:rPr>
                <w:rFonts w:ascii="Verdana" w:hAnsi="Verdana"/>
                <w:i/>
                <w:noProof/>
                <w:color w:val="000000"/>
                <w:sz w:val="18"/>
              </w:rPr>
              <w:t>Ekonominis metų rezultatas</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2219"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w:t>
            </w: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 xml:space="preserve"> (53)</w:t>
            </w: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652"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115"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 xml:space="preserve"> (53)</w:t>
            </w:r>
          </w:p>
        </w:tc>
      </w:tr>
      <w:tr>
        <w:trPr>
          <w:trHeight w:val="255"/>
        </w:trPr>
        <w:tc>
          <w:tcPr>
            <w:tcW w:w="3604" w:type="dxa"/>
            <w:tcBorders>
              <w:top w:val="nil"/>
              <w:left w:val="nil"/>
              <w:bottom w:val="nil"/>
              <w:right w:val="nil"/>
              <w:tl2br w:val="nil"/>
              <w:tr2bl w:val="nil"/>
            </w:tcBorders>
            <w:shd w:val="solid" w:color="CCE1EA" w:fill="FFFFFF"/>
            <w:tcMar>
              <w:left w:w="60" w:type="dxa"/>
              <w:right w:w="60" w:type="dxa"/>
            </w:tcMar>
            <w:vAlign w:val="center"/>
          </w:tcPr>
          <w:p>
            <w:pPr>
              <w:pStyle w:val="DMETW18983BIPCNA9"/>
              <w:rPr>
                <w:rFonts w:ascii="Verdana" w:eastAsia="Verdana" w:hAnsi="Verdana" w:cs="Verdana"/>
                <w:b/>
                <w:noProof/>
                <w:color w:val="000000"/>
                <w:sz w:val="18"/>
              </w:rPr>
            </w:pPr>
            <w:r>
              <w:rPr>
                <w:rFonts w:ascii="Verdana" w:hAnsi="Verdana"/>
                <w:b/>
                <w:noProof/>
                <w:color w:val="000000"/>
                <w:sz w:val="18"/>
              </w:rPr>
              <w:t>LIKUTIS 2018 m. gruodžio 31 d.</w:t>
            </w:r>
          </w:p>
        </w:tc>
        <w:tc>
          <w:tcPr>
            <w:tcW w:w="127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10 773</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w:t>
            </w:r>
          </w:p>
        </w:tc>
        <w:tc>
          <w:tcPr>
            <w:tcW w:w="2219"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10 773</w:t>
            </w:r>
          </w:p>
        </w:tc>
        <w:tc>
          <w:tcPr>
            <w:tcW w:w="1560"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(14 406)</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1 625</w:t>
            </w:r>
          </w:p>
        </w:tc>
        <w:tc>
          <w:tcPr>
            <w:tcW w:w="1652"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2 137</w:t>
            </w:r>
          </w:p>
        </w:tc>
        <w:tc>
          <w:tcPr>
            <w:tcW w:w="1115"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129</w:t>
            </w:r>
          </w:p>
        </w:tc>
      </w:tr>
      <w:tr>
        <w:trPr>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pPr>
              <w:pStyle w:val="DMETW18983BIPCNA9"/>
              <w:rPr>
                <w:rFonts w:ascii="Verdana" w:eastAsia="Verdana" w:hAnsi="Verdana" w:cs="Verdana"/>
                <w:i/>
                <w:noProof/>
                <w:color w:val="000000"/>
                <w:sz w:val="18"/>
              </w:rPr>
            </w:pPr>
            <w:r>
              <w:rPr>
                <w:rFonts w:ascii="Verdana" w:hAnsi="Verdana"/>
                <w:i/>
                <w:noProof/>
                <w:color w:val="000000"/>
                <w:sz w:val="18"/>
              </w:rPr>
              <w:t>Kapitalo padidėjimas – įnašai</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 xml:space="preserve"> 15</w:t>
            </w:r>
          </w:p>
        </w:tc>
        <w:tc>
          <w:tcPr>
            <w:tcW w:w="2219"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 xml:space="preserve"> (15)</w:t>
            </w: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652"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115"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 xml:space="preserve"> (15)</w:t>
            </w:r>
          </w:p>
        </w:tc>
      </w:tr>
      <w:tr>
        <w:trPr>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pPr>
              <w:pStyle w:val="DMETW18983BIPCNA9"/>
              <w:rPr>
                <w:rFonts w:ascii="Verdana" w:eastAsia="Verdana" w:hAnsi="Verdana" w:cs="Verdana"/>
                <w:i/>
                <w:noProof/>
                <w:color w:val="000000"/>
                <w:sz w:val="18"/>
              </w:rPr>
            </w:pPr>
            <w:r>
              <w:rPr>
                <w:rFonts w:ascii="Verdana" w:hAnsi="Verdana"/>
                <w:i/>
                <w:noProof/>
                <w:color w:val="000000"/>
                <w:sz w:val="18"/>
              </w:rPr>
              <w:t>Perkėlimas į 10-ąjį EPF ir iš jo</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2219"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w:t>
            </w: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652"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 xml:space="preserve"> (27)</w:t>
            </w:r>
          </w:p>
        </w:tc>
        <w:tc>
          <w:tcPr>
            <w:tcW w:w="1115"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 xml:space="preserve"> (27)</w:t>
            </w:r>
          </w:p>
        </w:tc>
      </w:tr>
      <w:tr>
        <w:trPr>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pPr>
              <w:pStyle w:val="DMETW18983BIPCNA9"/>
              <w:rPr>
                <w:rFonts w:ascii="Verdana" w:eastAsia="Verdana" w:hAnsi="Verdana" w:cs="Verdana"/>
                <w:i/>
                <w:noProof/>
                <w:color w:val="000000"/>
                <w:sz w:val="18"/>
              </w:rPr>
            </w:pPr>
            <w:r>
              <w:rPr>
                <w:rFonts w:ascii="Verdana" w:hAnsi="Verdana"/>
                <w:i/>
                <w:noProof/>
                <w:color w:val="000000"/>
                <w:sz w:val="18"/>
              </w:rPr>
              <w:t>Ekonominis metų rezultatas</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2219"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w:t>
            </w: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 xml:space="preserve"> (34)</w:t>
            </w: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652"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w:t>
            </w:r>
          </w:p>
        </w:tc>
        <w:tc>
          <w:tcPr>
            <w:tcW w:w="1115"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 xml:space="preserve"> (34)</w:t>
            </w:r>
          </w:p>
        </w:tc>
      </w:tr>
      <w:tr>
        <w:trPr>
          <w:trHeight w:val="255"/>
        </w:trPr>
        <w:tc>
          <w:tcPr>
            <w:tcW w:w="3604" w:type="dxa"/>
            <w:tcBorders>
              <w:top w:val="nil"/>
              <w:left w:val="nil"/>
              <w:bottom w:val="nil"/>
              <w:right w:val="nil"/>
              <w:tl2br w:val="nil"/>
              <w:tr2bl w:val="nil"/>
            </w:tcBorders>
            <w:shd w:val="solid" w:color="CCE1EA" w:fill="FFFFFF"/>
            <w:tcMar>
              <w:left w:w="60" w:type="dxa"/>
              <w:right w:w="60" w:type="dxa"/>
            </w:tcMar>
            <w:vAlign w:val="center"/>
          </w:tcPr>
          <w:p>
            <w:pPr>
              <w:pStyle w:val="DMETW18983BIPCNA9"/>
              <w:rPr>
                <w:rFonts w:ascii="Verdana" w:eastAsia="Verdana" w:hAnsi="Verdana" w:cs="Verdana"/>
                <w:b/>
                <w:noProof/>
                <w:color w:val="000000"/>
                <w:sz w:val="18"/>
              </w:rPr>
            </w:pPr>
            <w:r>
              <w:rPr>
                <w:rFonts w:ascii="Verdana" w:hAnsi="Verdana"/>
                <w:b/>
                <w:noProof/>
                <w:color w:val="000000"/>
                <w:sz w:val="18"/>
              </w:rPr>
              <w:t>LIKUTIS 2019 m. gruodžio 31 d.</w:t>
            </w:r>
          </w:p>
        </w:tc>
        <w:tc>
          <w:tcPr>
            <w:tcW w:w="127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10 773</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15</w:t>
            </w:r>
          </w:p>
        </w:tc>
        <w:tc>
          <w:tcPr>
            <w:tcW w:w="2219"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10 758</w:t>
            </w:r>
          </w:p>
        </w:tc>
        <w:tc>
          <w:tcPr>
            <w:tcW w:w="1560"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(14 440)</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1 625</w:t>
            </w:r>
          </w:p>
        </w:tc>
        <w:tc>
          <w:tcPr>
            <w:tcW w:w="1652"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2 109</w:t>
            </w:r>
          </w:p>
        </w:tc>
        <w:tc>
          <w:tcPr>
            <w:tcW w:w="1115"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53</w:t>
            </w:r>
          </w:p>
        </w:tc>
      </w:tr>
    </w:tbl>
    <w:p>
      <w:pPr>
        <w:pStyle w:val="HEADERTITLE1"/>
        <w:sectPr>
          <w:headerReference w:type="even" r:id="rId101"/>
          <w:headerReference w:type="default" r:id="rId102"/>
          <w:footerReference w:type="even" r:id="rId103"/>
          <w:footerReference w:type="default" r:id="rId104"/>
          <w:headerReference w:type="first" r:id="rId105"/>
          <w:footerReference w:type="first" r:id="rId106"/>
          <w:pgSz w:w="16838" w:h="11906" w:orient="landscape" w:code="9"/>
          <w:pgMar w:top="1134" w:right="1134" w:bottom="1134" w:left="1134" w:header="708" w:footer="708" w:gutter="0"/>
          <w:cols w:space="708"/>
          <w:docGrid w:linePitch="360"/>
        </w:sectPr>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0"/>
        <w:gridCol w:w="1577"/>
        <w:gridCol w:w="1652"/>
        <w:gridCol w:w="1701"/>
        <w:gridCol w:w="1320"/>
        <w:gridCol w:w="1823"/>
        <w:gridCol w:w="1824"/>
        <w:gridCol w:w="1142"/>
      </w:tblGrid>
      <w:tr>
        <w:trPr>
          <w:trHeight w:val="255"/>
        </w:trPr>
        <w:tc>
          <w:tcPr>
            <w:tcW w:w="14249" w:type="dxa"/>
            <w:gridSpan w:val="8"/>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6"/>
              </w:rPr>
            </w:pPr>
            <w:bookmarkStart w:id="33" w:name="DOC_TBL00006_1_1"/>
            <w:bookmarkEnd w:id="33"/>
            <w:r>
              <w:rPr>
                <w:rFonts w:ascii="Verdana" w:hAnsi="Verdana"/>
                <w:i/>
                <w:noProof/>
                <w:color w:val="000000"/>
                <w:sz w:val="16"/>
              </w:rPr>
              <w:t>mln. EUR</w:t>
            </w:r>
          </w:p>
        </w:tc>
      </w:tr>
      <w:tr>
        <w:trPr>
          <w:trHeight w:val="255"/>
        </w:trPr>
        <w:tc>
          <w:tcPr>
            <w:tcW w:w="3210" w:type="dxa"/>
            <w:tcBorders>
              <w:top w:val="nil"/>
              <w:left w:val="nil"/>
              <w:bottom w:val="nil"/>
              <w:right w:val="nil"/>
              <w:tl2br w:val="nil"/>
              <w:tr2bl w:val="nil"/>
            </w:tcBorders>
            <w:shd w:val="solid" w:color="016794" w:fill="FFFFFF"/>
            <w:tcMar>
              <w:left w:w="60" w:type="dxa"/>
              <w:right w:w="60" w:type="dxa"/>
            </w:tcMar>
            <w:vAlign w:val="center"/>
          </w:tcPr>
          <w:p>
            <w:pPr>
              <w:pStyle w:val="DMETW18983BIPCNA10"/>
              <w:jc w:val="center"/>
              <w:rPr>
                <w:rFonts w:ascii="Verdana" w:eastAsia="Verdana" w:hAnsi="Verdana" w:cs="Verdana"/>
                <w:noProof/>
                <w:color w:val="FFFFFF"/>
              </w:rPr>
            </w:pPr>
            <w:r>
              <w:rPr>
                <w:rFonts w:ascii="Verdana" w:hAnsi="Verdana"/>
                <w:noProof/>
                <w:color w:val="FFFFFF"/>
              </w:rPr>
              <w:t>10-asis EPF</w:t>
            </w:r>
          </w:p>
        </w:tc>
        <w:tc>
          <w:tcPr>
            <w:tcW w:w="1577" w:type="dxa"/>
            <w:tcBorders>
              <w:top w:val="nil"/>
              <w:left w:val="nil"/>
              <w:bottom w:val="nil"/>
              <w:right w:val="nil"/>
              <w:tl2br w:val="nil"/>
              <w:tr2bl w:val="nil"/>
            </w:tcBorders>
            <w:shd w:val="solid" w:color="016794" w:fill="FFFFFF"/>
            <w:tcMar>
              <w:left w:w="60" w:type="dxa"/>
              <w:right w:w="60" w:type="dxa"/>
            </w:tcMar>
            <w:vAlign w:val="center"/>
          </w:tcPr>
          <w:p>
            <w:pPr>
              <w:pStyle w:val="DMETW18983BIPCNA10"/>
              <w:jc w:val="center"/>
              <w:rPr>
                <w:rFonts w:ascii="Verdana" w:eastAsia="Verdana" w:hAnsi="Verdana" w:cs="Verdana"/>
                <w:noProof/>
                <w:color w:val="FFFFFF"/>
              </w:rPr>
            </w:pPr>
            <w:r>
              <w:rPr>
                <w:rFonts w:ascii="Verdana" w:hAnsi="Verdana"/>
                <w:noProof/>
                <w:color w:val="FFFFFF"/>
              </w:rPr>
              <w:t>Fondo kapitalas – aktyvūs EPF (A)</w:t>
            </w:r>
          </w:p>
        </w:tc>
        <w:tc>
          <w:tcPr>
            <w:tcW w:w="1652" w:type="dxa"/>
            <w:tcBorders>
              <w:top w:val="nil"/>
              <w:left w:val="nil"/>
              <w:bottom w:val="nil"/>
              <w:right w:val="nil"/>
              <w:tl2br w:val="nil"/>
              <w:tr2bl w:val="nil"/>
            </w:tcBorders>
            <w:shd w:val="solid" w:color="016794" w:fill="FFFFFF"/>
            <w:tcMar>
              <w:left w:w="60" w:type="dxa"/>
              <w:right w:w="60" w:type="dxa"/>
            </w:tcMar>
            <w:vAlign w:val="center"/>
          </w:tcPr>
          <w:p>
            <w:pPr>
              <w:pStyle w:val="DMETW18983BIPCNA10"/>
              <w:jc w:val="center"/>
              <w:rPr>
                <w:rFonts w:ascii="Verdana" w:eastAsia="Verdana" w:hAnsi="Verdana" w:cs="Verdana"/>
                <w:noProof/>
                <w:color w:val="FFFFFF"/>
              </w:rPr>
            </w:pPr>
            <w:r>
              <w:rPr>
                <w:rFonts w:ascii="Verdana" w:hAnsi="Verdana"/>
                <w:noProof/>
                <w:color w:val="FFFFFF"/>
              </w:rPr>
              <w:t>Nepareikalautosios lėšos – aktyvūs EPF (B)</w:t>
            </w:r>
          </w:p>
        </w:tc>
        <w:tc>
          <w:tcPr>
            <w:tcW w:w="1701" w:type="dxa"/>
            <w:tcBorders>
              <w:top w:val="nil"/>
              <w:left w:val="nil"/>
              <w:bottom w:val="nil"/>
              <w:right w:val="nil"/>
              <w:tl2br w:val="nil"/>
              <w:tr2bl w:val="nil"/>
            </w:tcBorders>
            <w:shd w:val="solid" w:color="016794" w:fill="FFFFFF"/>
            <w:tcMar>
              <w:left w:w="60" w:type="dxa"/>
              <w:right w:w="60" w:type="dxa"/>
            </w:tcMar>
            <w:vAlign w:val="center"/>
          </w:tcPr>
          <w:p>
            <w:pPr>
              <w:pStyle w:val="DMETW18983BIPCNA10"/>
              <w:jc w:val="center"/>
              <w:rPr>
                <w:rFonts w:ascii="Verdana" w:eastAsia="Verdana" w:hAnsi="Verdana" w:cs="Verdana"/>
                <w:noProof/>
                <w:color w:val="FFFFFF"/>
              </w:rPr>
            </w:pPr>
            <w:r>
              <w:rPr>
                <w:rFonts w:ascii="Verdana" w:hAnsi="Verdana"/>
                <w:noProof/>
                <w:color w:val="FFFFFF"/>
              </w:rPr>
              <w:t>Pareikalautasis fondo kapitalas – aktyvūs EPF (C) = (A) − (B)</w:t>
            </w:r>
          </w:p>
        </w:tc>
        <w:tc>
          <w:tcPr>
            <w:tcW w:w="1320" w:type="dxa"/>
            <w:tcBorders>
              <w:top w:val="nil"/>
              <w:left w:val="nil"/>
              <w:bottom w:val="nil"/>
              <w:right w:val="nil"/>
              <w:tl2br w:val="nil"/>
              <w:tr2bl w:val="nil"/>
            </w:tcBorders>
            <w:shd w:val="solid" w:color="016794" w:fill="FFFFFF"/>
            <w:tcMar>
              <w:left w:w="60" w:type="dxa"/>
              <w:right w:w="60" w:type="dxa"/>
            </w:tcMar>
            <w:vAlign w:val="center"/>
          </w:tcPr>
          <w:p>
            <w:pPr>
              <w:pStyle w:val="DMETW18983BIPCNA10"/>
              <w:jc w:val="center"/>
              <w:rPr>
                <w:rFonts w:ascii="Verdana" w:eastAsia="Verdana" w:hAnsi="Verdana" w:cs="Verdana"/>
                <w:noProof/>
                <w:color w:val="FFFFFF"/>
              </w:rPr>
            </w:pPr>
            <w:r>
              <w:rPr>
                <w:rFonts w:ascii="Verdana" w:hAnsi="Verdana"/>
                <w:noProof/>
                <w:color w:val="FFFFFF"/>
              </w:rPr>
              <w:t>Sukaupti rezervai (D)</w:t>
            </w:r>
          </w:p>
        </w:tc>
        <w:tc>
          <w:tcPr>
            <w:tcW w:w="1823" w:type="dxa"/>
            <w:tcBorders>
              <w:top w:val="nil"/>
              <w:left w:val="nil"/>
              <w:bottom w:val="nil"/>
              <w:right w:val="nil"/>
              <w:tl2br w:val="nil"/>
              <w:tr2bl w:val="nil"/>
            </w:tcBorders>
            <w:shd w:val="solid" w:color="016794" w:fill="FFFFFF"/>
            <w:tcMar>
              <w:left w:w="60" w:type="dxa"/>
              <w:right w:w="60" w:type="dxa"/>
            </w:tcMar>
            <w:vAlign w:val="center"/>
          </w:tcPr>
          <w:p>
            <w:pPr>
              <w:pStyle w:val="DMETW18983BIPCNA10"/>
              <w:jc w:val="center"/>
              <w:rPr>
                <w:rFonts w:ascii="Verdana" w:eastAsia="Verdana" w:hAnsi="Verdana" w:cs="Verdana"/>
                <w:noProof/>
                <w:color w:val="FFFFFF"/>
              </w:rPr>
            </w:pPr>
            <w:r>
              <w:rPr>
                <w:rFonts w:ascii="Verdana" w:hAnsi="Verdana"/>
                <w:noProof/>
                <w:color w:val="FFFFFF"/>
              </w:rPr>
              <w:t>Iš veiklą užbaigusių EPF perkeltas pareikalautasis fondo kapitalas (E)</w:t>
            </w:r>
          </w:p>
        </w:tc>
        <w:tc>
          <w:tcPr>
            <w:tcW w:w="1824" w:type="dxa"/>
            <w:tcBorders>
              <w:top w:val="nil"/>
              <w:left w:val="nil"/>
              <w:bottom w:val="nil"/>
              <w:right w:val="nil"/>
              <w:tl2br w:val="nil"/>
              <w:tr2bl w:val="nil"/>
            </w:tcBorders>
            <w:shd w:val="solid" w:color="016794" w:fill="FFFFFF"/>
            <w:tcMar>
              <w:left w:w="60" w:type="dxa"/>
              <w:right w:w="60" w:type="dxa"/>
            </w:tcMar>
            <w:vAlign w:val="center"/>
          </w:tcPr>
          <w:p>
            <w:pPr>
              <w:pStyle w:val="DMETW18983BIPCNA10"/>
              <w:jc w:val="center"/>
              <w:rPr>
                <w:rFonts w:ascii="Verdana" w:eastAsia="Verdana" w:hAnsi="Verdana" w:cs="Verdana"/>
                <w:noProof/>
                <w:color w:val="FFFFFF"/>
              </w:rPr>
            </w:pPr>
            <w:r>
              <w:rPr>
                <w:rFonts w:ascii="Verdana" w:hAnsi="Verdana"/>
                <w:noProof/>
                <w:color w:val="FFFFFF"/>
              </w:rPr>
              <w:t>Pareikalautojo fondo kapitalo pervedimai tarp aktyvių EPF (F)</w:t>
            </w:r>
          </w:p>
        </w:tc>
        <w:tc>
          <w:tcPr>
            <w:tcW w:w="1142" w:type="dxa"/>
            <w:tcBorders>
              <w:top w:val="nil"/>
              <w:left w:val="nil"/>
              <w:bottom w:val="nil"/>
              <w:right w:val="nil"/>
              <w:tl2br w:val="nil"/>
              <w:tr2bl w:val="nil"/>
            </w:tcBorders>
            <w:shd w:val="solid" w:color="016794" w:fill="FFFFFF"/>
            <w:tcMar>
              <w:left w:w="60" w:type="dxa"/>
              <w:right w:w="60" w:type="dxa"/>
            </w:tcMar>
            <w:vAlign w:val="center"/>
          </w:tcPr>
          <w:p>
            <w:pPr>
              <w:pStyle w:val="DMETW18983BIPCNA10"/>
              <w:jc w:val="center"/>
              <w:rPr>
                <w:rFonts w:ascii="Verdana" w:eastAsia="Verdana" w:hAnsi="Verdana" w:cs="Verdana"/>
                <w:noProof/>
                <w:color w:val="FFFFFF"/>
              </w:rPr>
            </w:pPr>
            <w:r>
              <w:rPr>
                <w:rFonts w:ascii="Verdana" w:hAnsi="Verdana"/>
                <w:noProof/>
                <w:color w:val="FFFFFF"/>
              </w:rPr>
              <w:t>Iš viso grynojo turto (C) + (D) + (E) + (F)</w:t>
            </w:r>
          </w:p>
        </w:tc>
      </w:tr>
      <w:tr>
        <w:trPr>
          <w:trHeight w:val="255"/>
        </w:trPr>
        <w:tc>
          <w:tcPr>
            <w:tcW w:w="3210"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rPr>
                <w:rFonts w:ascii="Verdana" w:eastAsia="Verdana" w:hAnsi="Verdana" w:cs="Verdana"/>
                <w:b/>
                <w:noProof/>
                <w:color w:val="000000"/>
                <w:sz w:val="18"/>
              </w:rPr>
            </w:pPr>
            <w:r>
              <w:rPr>
                <w:rFonts w:ascii="Verdana" w:hAnsi="Verdana"/>
                <w:b/>
                <w:noProof/>
                <w:color w:val="000000"/>
                <w:sz w:val="18"/>
              </w:rPr>
              <w:t>LIKUTIS 2017 m. gruodžio 31 d.</w:t>
            </w:r>
          </w:p>
        </w:tc>
        <w:tc>
          <w:tcPr>
            <w:tcW w:w="1577"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652"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0</w:t>
            </w:r>
          </w:p>
        </w:tc>
        <w:tc>
          <w:tcPr>
            <w:tcW w:w="1701"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320"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(17 078)</w:t>
            </w:r>
          </w:p>
        </w:tc>
        <w:tc>
          <w:tcPr>
            <w:tcW w:w="182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w:t>
            </w:r>
          </w:p>
        </w:tc>
        <w:tc>
          <w:tcPr>
            <w:tcW w:w="1824"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120</w:t>
            </w:r>
          </w:p>
        </w:tc>
        <w:tc>
          <w:tcPr>
            <w:tcW w:w="1142"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4 003</w:t>
            </w:r>
          </w:p>
        </w:tc>
      </w:tr>
      <w:tr>
        <w:trPr>
          <w:trHeight w:val="255"/>
        </w:trPr>
        <w:tc>
          <w:tcPr>
            <w:tcW w:w="3210" w:type="dxa"/>
            <w:tcBorders>
              <w:top w:val="nil"/>
              <w:left w:val="nil"/>
              <w:bottom w:val="nil"/>
              <w:right w:val="nil"/>
              <w:tl2br w:val="nil"/>
              <w:tr2bl w:val="nil"/>
            </w:tcBorders>
            <w:shd w:val="clear" w:color="auto" w:fill="auto"/>
            <w:tcMar>
              <w:left w:w="60" w:type="dxa"/>
              <w:right w:w="60" w:type="dxa"/>
            </w:tcMar>
            <w:vAlign w:val="center"/>
          </w:tcPr>
          <w:p>
            <w:pPr>
              <w:pStyle w:val="DMETW18983BIPCNA10"/>
              <w:rPr>
                <w:rFonts w:ascii="Verdana" w:eastAsia="Verdana" w:hAnsi="Verdana" w:cs="Verdana"/>
                <w:i/>
                <w:noProof/>
                <w:color w:val="000000"/>
                <w:sz w:val="18"/>
              </w:rPr>
            </w:pPr>
            <w:r>
              <w:rPr>
                <w:rFonts w:ascii="Verdana" w:hAnsi="Verdana"/>
                <w:i/>
                <w:noProof/>
                <w:color w:val="000000"/>
                <w:sz w:val="18"/>
              </w:rPr>
              <w:t>Perkėlimas į 8-ąjį ir 9-ąjį EPF ir iš jų</w:t>
            </w:r>
          </w:p>
        </w:tc>
        <w:tc>
          <w:tcPr>
            <w:tcW w:w="1577"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652"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701"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w:t>
            </w:r>
          </w:p>
        </w:tc>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2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24"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 xml:space="preserve"> 47</w:t>
            </w:r>
          </w:p>
        </w:tc>
        <w:tc>
          <w:tcPr>
            <w:tcW w:w="1142"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 xml:space="preserve"> 47</w:t>
            </w:r>
          </w:p>
        </w:tc>
      </w:tr>
      <w:tr>
        <w:trPr>
          <w:trHeight w:val="255"/>
        </w:trPr>
        <w:tc>
          <w:tcPr>
            <w:tcW w:w="3210" w:type="dxa"/>
            <w:tcBorders>
              <w:top w:val="nil"/>
              <w:left w:val="nil"/>
              <w:bottom w:val="nil"/>
              <w:right w:val="nil"/>
              <w:tl2br w:val="nil"/>
              <w:tr2bl w:val="nil"/>
            </w:tcBorders>
            <w:shd w:val="clear" w:color="auto" w:fill="auto"/>
            <w:tcMar>
              <w:left w:w="60" w:type="dxa"/>
              <w:right w:w="60" w:type="dxa"/>
            </w:tcMar>
            <w:vAlign w:val="center"/>
          </w:tcPr>
          <w:p>
            <w:pPr>
              <w:pStyle w:val="DMETW18983BIPCNA10"/>
              <w:rPr>
                <w:rFonts w:ascii="Verdana" w:eastAsia="Verdana" w:hAnsi="Verdana" w:cs="Verdana"/>
                <w:i/>
                <w:noProof/>
                <w:color w:val="000000"/>
                <w:sz w:val="18"/>
              </w:rPr>
            </w:pPr>
            <w:r>
              <w:rPr>
                <w:rFonts w:ascii="Verdana" w:hAnsi="Verdana"/>
                <w:i/>
                <w:noProof/>
                <w:color w:val="000000"/>
                <w:sz w:val="18"/>
              </w:rPr>
              <w:t>Perkėlimas į 11-ąjį EPF ir iš jo</w:t>
            </w:r>
          </w:p>
        </w:tc>
        <w:tc>
          <w:tcPr>
            <w:tcW w:w="1577"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652"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701"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w:t>
            </w:r>
          </w:p>
        </w:tc>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2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24"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 xml:space="preserve"> (112)</w:t>
            </w:r>
          </w:p>
        </w:tc>
        <w:tc>
          <w:tcPr>
            <w:tcW w:w="1142"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 xml:space="preserve"> (112)</w:t>
            </w:r>
          </w:p>
        </w:tc>
      </w:tr>
      <w:tr>
        <w:trPr>
          <w:trHeight w:val="255"/>
        </w:trPr>
        <w:tc>
          <w:tcPr>
            <w:tcW w:w="3210" w:type="dxa"/>
            <w:tcBorders>
              <w:top w:val="nil"/>
              <w:left w:val="nil"/>
              <w:bottom w:val="nil"/>
              <w:right w:val="nil"/>
              <w:tl2br w:val="nil"/>
              <w:tr2bl w:val="nil"/>
            </w:tcBorders>
            <w:shd w:val="clear" w:color="auto" w:fill="auto"/>
            <w:tcMar>
              <w:left w:w="60" w:type="dxa"/>
              <w:right w:w="60" w:type="dxa"/>
            </w:tcMar>
            <w:vAlign w:val="center"/>
          </w:tcPr>
          <w:p>
            <w:pPr>
              <w:pStyle w:val="DMETW18983BIPCNA10"/>
              <w:rPr>
                <w:rFonts w:ascii="Verdana" w:eastAsia="Verdana" w:hAnsi="Verdana" w:cs="Verdana"/>
                <w:i/>
                <w:noProof/>
                <w:color w:val="000000"/>
                <w:sz w:val="18"/>
              </w:rPr>
            </w:pPr>
            <w:r>
              <w:rPr>
                <w:rFonts w:ascii="Verdana" w:hAnsi="Verdana"/>
                <w:i/>
                <w:noProof/>
                <w:color w:val="000000"/>
                <w:sz w:val="18"/>
              </w:rPr>
              <w:t>Ekonominis metų rezultatas</w:t>
            </w:r>
          </w:p>
        </w:tc>
        <w:tc>
          <w:tcPr>
            <w:tcW w:w="1577"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652"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701"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w:t>
            </w:r>
          </w:p>
        </w:tc>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(1 000)</w:t>
            </w:r>
          </w:p>
        </w:tc>
        <w:tc>
          <w:tcPr>
            <w:tcW w:w="182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24"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142"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(1 000)</w:t>
            </w:r>
          </w:p>
        </w:tc>
      </w:tr>
      <w:tr>
        <w:trPr>
          <w:trHeight w:val="255"/>
        </w:trPr>
        <w:tc>
          <w:tcPr>
            <w:tcW w:w="3210"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rPr>
                <w:rFonts w:ascii="Verdana" w:eastAsia="Verdana" w:hAnsi="Verdana" w:cs="Verdana"/>
                <w:b/>
                <w:noProof/>
                <w:color w:val="000000"/>
                <w:sz w:val="18"/>
              </w:rPr>
            </w:pPr>
            <w:r>
              <w:rPr>
                <w:rFonts w:ascii="Verdana" w:hAnsi="Verdana"/>
                <w:b/>
                <w:noProof/>
                <w:color w:val="000000"/>
                <w:sz w:val="18"/>
              </w:rPr>
              <w:t>LIKUTIS 2018 m. gruodžio 31 d.</w:t>
            </w:r>
          </w:p>
        </w:tc>
        <w:tc>
          <w:tcPr>
            <w:tcW w:w="1577"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652"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0</w:t>
            </w:r>
          </w:p>
        </w:tc>
        <w:tc>
          <w:tcPr>
            <w:tcW w:w="1701"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320"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(18 077)</w:t>
            </w:r>
          </w:p>
        </w:tc>
        <w:tc>
          <w:tcPr>
            <w:tcW w:w="182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w:t>
            </w:r>
          </w:p>
        </w:tc>
        <w:tc>
          <w:tcPr>
            <w:tcW w:w="1824"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55</w:t>
            </w:r>
          </w:p>
        </w:tc>
        <w:tc>
          <w:tcPr>
            <w:tcW w:w="1142"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2 938</w:t>
            </w:r>
          </w:p>
        </w:tc>
      </w:tr>
      <w:tr>
        <w:trPr>
          <w:trHeight w:val="255"/>
        </w:trPr>
        <w:tc>
          <w:tcPr>
            <w:tcW w:w="3210" w:type="dxa"/>
            <w:tcBorders>
              <w:top w:val="nil"/>
              <w:left w:val="nil"/>
              <w:bottom w:val="nil"/>
              <w:right w:val="nil"/>
              <w:tl2br w:val="nil"/>
              <w:tr2bl w:val="nil"/>
            </w:tcBorders>
            <w:shd w:val="clear" w:color="auto" w:fill="auto"/>
            <w:tcMar>
              <w:left w:w="60" w:type="dxa"/>
              <w:right w:w="60" w:type="dxa"/>
            </w:tcMar>
            <w:vAlign w:val="center"/>
          </w:tcPr>
          <w:p>
            <w:pPr>
              <w:pStyle w:val="DMETW18983BIPCNA10"/>
              <w:rPr>
                <w:rFonts w:ascii="Verdana" w:eastAsia="Verdana" w:hAnsi="Verdana" w:cs="Verdana"/>
                <w:i/>
                <w:noProof/>
                <w:color w:val="000000"/>
                <w:sz w:val="18"/>
              </w:rPr>
            </w:pPr>
            <w:r>
              <w:rPr>
                <w:rFonts w:ascii="Verdana" w:hAnsi="Verdana"/>
                <w:i/>
                <w:noProof/>
                <w:color w:val="000000"/>
                <w:sz w:val="18"/>
              </w:rPr>
              <w:t>Perkėlimas į 8-ąjį ir 9-ąjį EPF ir iš jų</w:t>
            </w:r>
          </w:p>
        </w:tc>
        <w:tc>
          <w:tcPr>
            <w:tcW w:w="1577"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652"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701"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w:t>
            </w:r>
          </w:p>
        </w:tc>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2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24"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 xml:space="preserve"> 28</w:t>
            </w:r>
          </w:p>
        </w:tc>
        <w:tc>
          <w:tcPr>
            <w:tcW w:w="1142"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 xml:space="preserve"> 28</w:t>
            </w:r>
          </w:p>
        </w:tc>
      </w:tr>
      <w:tr>
        <w:trPr>
          <w:trHeight w:val="255"/>
        </w:trPr>
        <w:tc>
          <w:tcPr>
            <w:tcW w:w="3210" w:type="dxa"/>
            <w:tcBorders>
              <w:top w:val="nil"/>
              <w:left w:val="nil"/>
              <w:bottom w:val="nil"/>
              <w:right w:val="nil"/>
              <w:tl2br w:val="nil"/>
              <w:tr2bl w:val="nil"/>
            </w:tcBorders>
            <w:shd w:val="clear" w:color="auto" w:fill="auto"/>
            <w:tcMar>
              <w:left w:w="60" w:type="dxa"/>
              <w:right w:w="60" w:type="dxa"/>
            </w:tcMar>
            <w:vAlign w:val="center"/>
          </w:tcPr>
          <w:p>
            <w:pPr>
              <w:pStyle w:val="DMETW18983BIPCNA10"/>
              <w:rPr>
                <w:rFonts w:ascii="Verdana" w:eastAsia="Verdana" w:hAnsi="Verdana" w:cs="Verdana"/>
                <w:i/>
                <w:noProof/>
                <w:color w:val="000000"/>
                <w:sz w:val="18"/>
              </w:rPr>
            </w:pPr>
            <w:r>
              <w:rPr>
                <w:rFonts w:ascii="Verdana" w:hAnsi="Verdana"/>
                <w:i/>
                <w:noProof/>
                <w:color w:val="000000"/>
                <w:sz w:val="18"/>
              </w:rPr>
              <w:t>Perkėlimas į 11-ąjį EPF ir iš jo</w:t>
            </w:r>
          </w:p>
        </w:tc>
        <w:tc>
          <w:tcPr>
            <w:tcW w:w="1577"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652"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701"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w:t>
            </w:r>
          </w:p>
        </w:tc>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2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24"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 xml:space="preserve"> 181</w:t>
            </w:r>
          </w:p>
        </w:tc>
        <w:tc>
          <w:tcPr>
            <w:tcW w:w="1142"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 xml:space="preserve"> 181</w:t>
            </w:r>
          </w:p>
        </w:tc>
      </w:tr>
      <w:tr>
        <w:trPr>
          <w:trHeight w:val="255"/>
        </w:trPr>
        <w:tc>
          <w:tcPr>
            <w:tcW w:w="3210" w:type="dxa"/>
            <w:tcBorders>
              <w:top w:val="nil"/>
              <w:left w:val="nil"/>
              <w:bottom w:val="nil"/>
              <w:right w:val="nil"/>
              <w:tl2br w:val="nil"/>
              <w:tr2bl w:val="nil"/>
            </w:tcBorders>
            <w:shd w:val="clear" w:color="auto" w:fill="auto"/>
            <w:tcMar>
              <w:left w:w="60" w:type="dxa"/>
              <w:right w:w="60" w:type="dxa"/>
            </w:tcMar>
            <w:vAlign w:val="center"/>
          </w:tcPr>
          <w:p>
            <w:pPr>
              <w:pStyle w:val="DMETW18983BIPCNA10"/>
              <w:rPr>
                <w:rFonts w:ascii="Verdana" w:eastAsia="Verdana" w:hAnsi="Verdana" w:cs="Verdana"/>
                <w:i/>
                <w:noProof/>
                <w:color w:val="000000"/>
                <w:sz w:val="18"/>
              </w:rPr>
            </w:pPr>
            <w:r>
              <w:rPr>
                <w:rFonts w:ascii="Verdana" w:hAnsi="Verdana"/>
                <w:i/>
                <w:noProof/>
                <w:color w:val="000000"/>
                <w:sz w:val="18"/>
              </w:rPr>
              <w:t>Ekonominis metų rezultatas</w:t>
            </w:r>
          </w:p>
        </w:tc>
        <w:tc>
          <w:tcPr>
            <w:tcW w:w="1577"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652"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701"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w:t>
            </w:r>
          </w:p>
        </w:tc>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 xml:space="preserve"> (529)</w:t>
            </w:r>
          </w:p>
        </w:tc>
        <w:tc>
          <w:tcPr>
            <w:tcW w:w="182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24"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w:t>
            </w:r>
          </w:p>
        </w:tc>
        <w:tc>
          <w:tcPr>
            <w:tcW w:w="1142"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 xml:space="preserve"> (529)</w:t>
            </w:r>
          </w:p>
        </w:tc>
      </w:tr>
      <w:tr>
        <w:trPr>
          <w:trHeight w:val="255"/>
        </w:trPr>
        <w:tc>
          <w:tcPr>
            <w:tcW w:w="3210"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rPr>
                <w:rFonts w:ascii="Verdana" w:eastAsia="Verdana" w:hAnsi="Verdana" w:cs="Verdana"/>
                <w:b/>
                <w:noProof/>
                <w:color w:val="000000"/>
                <w:sz w:val="18"/>
              </w:rPr>
            </w:pPr>
            <w:r>
              <w:rPr>
                <w:rFonts w:ascii="Verdana" w:hAnsi="Verdana"/>
                <w:b/>
                <w:noProof/>
                <w:color w:val="000000"/>
                <w:sz w:val="18"/>
              </w:rPr>
              <w:t>LIKUTIS 2019 m. gruodžio 31 d.</w:t>
            </w:r>
          </w:p>
        </w:tc>
        <w:tc>
          <w:tcPr>
            <w:tcW w:w="1577"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652"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w:t>
            </w:r>
          </w:p>
        </w:tc>
        <w:tc>
          <w:tcPr>
            <w:tcW w:w="1701"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320"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(18 606)</w:t>
            </w:r>
          </w:p>
        </w:tc>
        <w:tc>
          <w:tcPr>
            <w:tcW w:w="182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w:t>
            </w:r>
          </w:p>
        </w:tc>
        <w:tc>
          <w:tcPr>
            <w:tcW w:w="1824"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265</w:t>
            </w:r>
          </w:p>
        </w:tc>
        <w:tc>
          <w:tcPr>
            <w:tcW w:w="1142"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2 618</w:t>
            </w:r>
          </w:p>
        </w:tc>
      </w:tr>
    </w:tbl>
    <w:p>
      <w:pPr>
        <w:pStyle w:val="Textstand-alone"/>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5"/>
        <w:gridCol w:w="1416"/>
        <w:gridCol w:w="1703"/>
        <w:gridCol w:w="1169"/>
        <w:gridCol w:w="1381"/>
        <w:gridCol w:w="1419"/>
        <w:gridCol w:w="1417"/>
        <w:gridCol w:w="1312"/>
        <w:gridCol w:w="1949"/>
      </w:tblGrid>
      <w:tr>
        <w:trPr>
          <w:trHeight w:val="255"/>
        </w:trPr>
        <w:tc>
          <w:tcPr>
            <w:tcW w:w="14661" w:type="dxa"/>
            <w:gridSpan w:val="9"/>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6"/>
              </w:rPr>
            </w:pPr>
            <w:bookmarkStart w:id="34" w:name="DOC_TBL00007_1_1"/>
            <w:bookmarkEnd w:id="34"/>
            <w:r>
              <w:rPr>
                <w:rFonts w:ascii="Verdana" w:hAnsi="Verdana"/>
                <w:i/>
                <w:noProof/>
                <w:color w:val="000000"/>
                <w:sz w:val="16"/>
              </w:rPr>
              <w:t>mln. EUR</w:t>
            </w:r>
          </w:p>
        </w:tc>
      </w:tr>
      <w:tr>
        <w:trPr>
          <w:trHeight w:val="255"/>
        </w:trPr>
        <w:tc>
          <w:tcPr>
            <w:tcW w:w="2895"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hAnsi="Verdana"/>
                <w:noProof/>
                <w:color w:val="FFFFFF"/>
              </w:rPr>
              <w:t>11-asis EPF</w:t>
            </w:r>
          </w:p>
        </w:tc>
        <w:tc>
          <w:tcPr>
            <w:tcW w:w="1416"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hAnsi="Verdana"/>
                <w:noProof/>
                <w:color w:val="FFFFFF"/>
              </w:rPr>
              <w:t>Fondo kapitalas – aktyvūs EPF (A)</w:t>
            </w:r>
          </w:p>
        </w:tc>
        <w:tc>
          <w:tcPr>
            <w:tcW w:w="1703"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hAnsi="Verdana"/>
                <w:noProof/>
                <w:color w:val="FFFFFF"/>
              </w:rPr>
              <w:t>Nepareikalautosios lėšos – aktyvūs EPF (B)</w:t>
            </w:r>
          </w:p>
        </w:tc>
        <w:tc>
          <w:tcPr>
            <w:tcW w:w="1169"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hAnsi="Verdana"/>
                <w:noProof/>
                <w:color w:val="FFFFFF"/>
              </w:rPr>
              <w:t>Pareikalautasis fondo kapitalas – aktyvūs EPF (C) = (A) − (B)</w:t>
            </w:r>
          </w:p>
        </w:tc>
        <w:tc>
          <w:tcPr>
            <w:tcW w:w="1381"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hAnsi="Verdana"/>
                <w:noProof/>
                <w:color w:val="FFFFFF"/>
              </w:rPr>
              <w:t>Sukaupti rezervai (D)</w:t>
            </w:r>
          </w:p>
        </w:tc>
        <w:tc>
          <w:tcPr>
            <w:tcW w:w="1419"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hAnsi="Verdana"/>
                <w:noProof/>
                <w:color w:val="FFFFFF"/>
              </w:rPr>
              <w:t>Iš veiklą užbaigusių EPF perkeltas pareikalautasis fondo kapitalas (E)</w:t>
            </w:r>
          </w:p>
        </w:tc>
        <w:tc>
          <w:tcPr>
            <w:tcW w:w="1417"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hAnsi="Verdana"/>
                <w:noProof/>
                <w:color w:val="FFFFFF"/>
              </w:rPr>
              <w:t>Pareikalautojo fondo kapitalo pervedimai tarp aktyvių EPF (F)</w:t>
            </w:r>
          </w:p>
        </w:tc>
        <w:tc>
          <w:tcPr>
            <w:tcW w:w="1312"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hAnsi="Verdana"/>
                <w:noProof/>
                <w:color w:val="FFFFFF"/>
              </w:rPr>
              <w:t>Tikrosios vertės rezervas (G)</w:t>
            </w:r>
          </w:p>
        </w:tc>
        <w:tc>
          <w:tcPr>
            <w:tcW w:w="1949"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hAnsi="Verdana"/>
                <w:noProof/>
                <w:color w:val="FFFFFF"/>
              </w:rPr>
              <w:t>Iš viso grynojo turto (C) + (D) + (E) + (F) + (G)</w:t>
            </w:r>
          </w:p>
        </w:tc>
      </w:tr>
      <w:tr>
        <w:trPr>
          <w:trHeight w:val="255"/>
        </w:trPr>
        <w:tc>
          <w:tcPr>
            <w:tcW w:w="2895"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rPr>
                <w:rFonts w:ascii="Verdana" w:eastAsia="Verdana" w:hAnsi="Verdana" w:cs="Verdana"/>
                <w:b/>
                <w:noProof/>
                <w:color w:val="000000"/>
                <w:sz w:val="18"/>
              </w:rPr>
            </w:pPr>
            <w:r>
              <w:rPr>
                <w:rFonts w:ascii="Verdana" w:hAnsi="Verdana"/>
                <w:b/>
                <w:noProof/>
                <w:color w:val="000000"/>
                <w:sz w:val="18"/>
              </w:rPr>
              <w:t>LIKUTIS 2017 m. gruodžio 31 d.</w:t>
            </w:r>
          </w:p>
        </w:tc>
        <w:tc>
          <w:tcPr>
            <w:tcW w:w="141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29 367</w:t>
            </w:r>
          </w:p>
        </w:tc>
        <w:tc>
          <w:tcPr>
            <w:tcW w:w="1703"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27 090</w:t>
            </w:r>
          </w:p>
        </w:tc>
        <w:tc>
          <w:tcPr>
            <w:tcW w:w="1169"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2 277</w:t>
            </w:r>
          </w:p>
        </w:tc>
        <w:tc>
          <w:tcPr>
            <w:tcW w:w="1381"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(5 508)</w:t>
            </w:r>
          </w:p>
        </w:tc>
        <w:tc>
          <w:tcPr>
            <w:tcW w:w="1419"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w:t>
            </w:r>
          </w:p>
        </w:tc>
        <w:tc>
          <w:tcPr>
            <w:tcW w:w="1417"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206</w:t>
            </w:r>
          </w:p>
        </w:tc>
        <w:tc>
          <w:tcPr>
            <w:tcW w:w="1312"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w:t>
            </w:r>
          </w:p>
        </w:tc>
        <w:tc>
          <w:tcPr>
            <w:tcW w:w="1949"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(3 025)</w:t>
            </w:r>
          </w:p>
        </w:tc>
      </w:tr>
      <w:tr>
        <w:trPr>
          <w:trHeight w:val="255"/>
        </w:trPr>
        <w:tc>
          <w:tcPr>
            <w:tcW w:w="2895" w:type="dxa"/>
            <w:tcBorders>
              <w:top w:val="nil"/>
              <w:left w:val="nil"/>
              <w:bottom w:val="nil"/>
              <w:right w:val="nil"/>
              <w:tl2br w:val="nil"/>
              <w:tr2bl w:val="nil"/>
            </w:tcBorders>
            <w:shd w:val="clear" w:color="auto" w:fill="auto"/>
            <w:tcMar>
              <w:left w:w="60" w:type="dxa"/>
              <w:right w:w="60" w:type="dxa"/>
            </w:tcMar>
            <w:vAlign w:val="center"/>
          </w:tcPr>
          <w:p>
            <w:pPr>
              <w:pStyle w:val="DMETW18983BIPCNA11"/>
              <w:rPr>
                <w:rFonts w:ascii="Verdana" w:eastAsia="Verdana" w:hAnsi="Verdana" w:cs="Verdana"/>
                <w:i/>
                <w:noProof/>
                <w:color w:val="000000"/>
                <w:sz w:val="18"/>
              </w:rPr>
            </w:pPr>
            <w:r>
              <w:rPr>
                <w:rFonts w:ascii="Verdana" w:hAnsi="Verdana"/>
                <w:i/>
                <w:noProof/>
                <w:color w:val="000000"/>
                <w:sz w:val="18"/>
              </w:rPr>
              <w:t>Kapitalo padidėjimas – įnašai</w:t>
            </w:r>
          </w:p>
        </w:tc>
        <w:tc>
          <w:tcPr>
            <w:tcW w:w="141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703"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(4 250)</w:t>
            </w:r>
          </w:p>
        </w:tc>
        <w:tc>
          <w:tcPr>
            <w:tcW w:w="1169"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4 250</w:t>
            </w:r>
          </w:p>
        </w:tc>
        <w:tc>
          <w:tcPr>
            <w:tcW w:w="1381"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19"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w:t>
            </w:r>
          </w:p>
        </w:tc>
        <w:tc>
          <w:tcPr>
            <w:tcW w:w="1312"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949"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4 250</w:t>
            </w:r>
          </w:p>
        </w:tc>
      </w:tr>
      <w:tr>
        <w:trPr>
          <w:trHeight w:val="255"/>
        </w:trPr>
        <w:tc>
          <w:tcPr>
            <w:tcW w:w="2895" w:type="dxa"/>
            <w:tcBorders>
              <w:top w:val="nil"/>
              <w:left w:val="nil"/>
              <w:bottom w:val="nil"/>
              <w:right w:val="nil"/>
              <w:tl2br w:val="nil"/>
              <w:tr2bl w:val="nil"/>
            </w:tcBorders>
            <w:shd w:val="clear" w:color="auto" w:fill="auto"/>
            <w:tcMar>
              <w:left w:w="60" w:type="dxa"/>
              <w:right w:w="60" w:type="dxa"/>
            </w:tcMar>
            <w:vAlign w:val="center"/>
          </w:tcPr>
          <w:p>
            <w:pPr>
              <w:pStyle w:val="DMETW18983BIPCNA11"/>
              <w:rPr>
                <w:rFonts w:ascii="Verdana" w:eastAsia="Verdana" w:hAnsi="Verdana" w:cs="Verdana"/>
                <w:i/>
                <w:noProof/>
                <w:color w:val="000000"/>
                <w:sz w:val="18"/>
              </w:rPr>
            </w:pPr>
            <w:r>
              <w:rPr>
                <w:rFonts w:ascii="Verdana" w:hAnsi="Verdana"/>
                <w:i/>
                <w:noProof/>
                <w:color w:val="000000"/>
                <w:sz w:val="18"/>
              </w:rPr>
              <w:t>Perkėlimas į 8-ąjį, 9-ąjį ir 10-ąjį EPF ir iš jų</w:t>
            </w:r>
          </w:p>
        </w:tc>
        <w:tc>
          <w:tcPr>
            <w:tcW w:w="141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703"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169"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w:t>
            </w:r>
          </w:p>
        </w:tc>
        <w:tc>
          <w:tcPr>
            <w:tcW w:w="1381"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19"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 xml:space="preserve"> 112</w:t>
            </w:r>
          </w:p>
        </w:tc>
        <w:tc>
          <w:tcPr>
            <w:tcW w:w="1312"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949"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 xml:space="preserve"> 112</w:t>
            </w:r>
          </w:p>
        </w:tc>
      </w:tr>
      <w:tr>
        <w:trPr>
          <w:trHeight w:val="255"/>
        </w:trPr>
        <w:tc>
          <w:tcPr>
            <w:tcW w:w="2895" w:type="dxa"/>
            <w:tcBorders>
              <w:top w:val="nil"/>
              <w:left w:val="nil"/>
              <w:bottom w:val="nil"/>
              <w:right w:val="nil"/>
              <w:tl2br w:val="nil"/>
              <w:tr2bl w:val="nil"/>
            </w:tcBorders>
            <w:shd w:val="clear" w:color="auto" w:fill="auto"/>
            <w:tcMar>
              <w:left w:w="60" w:type="dxa"/>
              <w:right w:w="60" w:type="dxa"/>
            </w:tcMar>
            <w:vAlign w:val="center"/>
          </w:tcPr>
          <w:p>
            <w:pPr>
              <w:pStyle w:val="DMETW18983BIPCNA11"/>
              <w:rPr>
                <w:rFonts w:ascii="Verdana" w:eastAsia="Verdana" w:hAnsi="Verdana" w:cs="Verdana"/>
                <w:i/>
                <w:noProof/>
                <w:color w:val="000000"/>
                <w:sz w:val="18"/>
              </w:rPr>
            </w:pPr>
            <w:r>
              <w:rPr>
                <w:rFonts w:ascii="Verdana" w:hAnsi="Verdana"/>
                <w:i/>
                <w:noProof/>
                <w:color w:val="000000"/>
                <w:sz w:val="18"/>
              </w:rPr>
              <w:t>Ekonominis metų rezultatas</w:t>
            </w:r>
          </w:p>
        </w:tc>
        <w:tc>
          <w:tcPr>
            <w:tcW w:w="141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703"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169"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w:t>
            </w:r>
          </w:p>
        </w:tc>
        <w:tc>
          <w:tcPr>
            <w:tcW w:w="1381"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(3 065)</w:t>
            </w:r>
          </w:p>
        </w:tc>
        <w:tc>
          <w:tcPr>
            <w:tcW w:w="1419"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w:t>
            </w:r>
          </w:p>
        </w:tc>
        <w:tc>
          <w:tcPr>
            <w:tcW w:w="1312"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949"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(3 065)</w:t>
            </w:r>
          </w:p>
        </w:tc>
      </w:tr>
      <w:tr>
        <w:trPr>
          <w:trHeight w:val="255"/>
        </w:trPr>
        <w:tc>
          <w:tcPr>
            <w:tcW w:w="2895"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rPr>
                <w:rFonts w:ascii="Verdana" w:eastAsia="Verdana" w:hAnsi="Verdana" w:cs="Verdana"/>
                <w:b/>
                <w:noProof/>
                <w:color w:val="000000"/>
                <w:sz w:val="18"/>
              </w:rPr>
            </w:pPr>
            <w:r>
              <w:rPr>
                <w:rFonts w:ascii="Verdana" w:hAnsi="Verdana"/>
                <w:b/>
                <w:noProof/>
                <w:color w:val="000000"/>
                <w:sz w:val="18"/>
              </w:rPr>
              <w:t>LIKUTIS 2018 m. gruodžio 31 d.</w:t>
            </w:r>
          </w:p>
        </w:tc>
        <w:tc>
          <w:tcPr>
            <w:tcW w:w="141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29 367</w:t>
            </w:r>
          </w:p>
        </w:tc>
        <w:tc>
          <w:tcPr>
            <w:tcW w:w="1703"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22 840</w:t>
            </w:r>
          </w:p>
        </w:tc>
        <w:tc>
          <w:tcPr>
            <w:tcW w:w="1169"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6 527</w:t>
            </w:r>
          </w:p>
        </w:tc>
        <w:tc>
          <w:tcPr>
            <w:tcW w:w="1381"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(8 573)</w:t>
            </w:r>
          </w:p>
        </w:tc>
        <w:tc>
          <w:tcPr>
            <w:tcW w:w="1419"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w:t>
            </w:r>
          </w:p>
        </w:tc>
        <w:tc>
          <w:tcPr>
            <w:tcW w:w="1417"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317</w:t>
            </w:r>
          </w:p>
        </w:tc>
        <w:tc>
          <w:tcPr>
            <w:tcW w:w="1312"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w:t>
            </w:r>
          </w:p>
        </w:tc>
        <w:tc>
          <w:tcPr>
            <w:tcW w:w="1949"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(1 729)</w:t>
            </w:r>
          </w:p>
        </w:tc>
      </w:tr>
      <w:tr>
        <w:trPr>
          <w:trHeight w:val="255"/>
        </w:trPr>
        <w:tc>
          <w:tcPr>
            <w:tcW w:w="2895" w:type="dxa"/>
            <w:tcBorders>
              <w:top w:val="nil"/>
              <w:left w:val="nil"/>
              <w:bottom w:val="nil"/>
              <w:right w:val="nil"/>
              <w:tl2br w:val="nil"/>
              <w:tr2bl w:val="nil"/>
            </w:tcBorders>
            <w:shd w:val="clear" w:color="auto" w:fill="auto"/>
            <w:tcMar>
              <w:left w:w="60" w:type="dxa"/>
              <w:right w:w="60" w:type="dxa"/>
            </w:tcMar>
            <w:vAlign w:val="center"/>
          </w:tcPr>
          <w:p>
            <w:pPr>
              <w:pStyle w:val="DMETW18983BIPCNA11"/>
              <w:rPr>
                <w:rFonts w:ascii="Verdana" w:eastAsia="Verdana" w:hAnsi="Verdana" w:cs="Verdana"/>
                <w:i/>
                <w:noProof/>
                <w:color w:val="000000"/>
                <w:sz w:val="18"/>
              </w:rPr>
            </w:pPr>
            <w:r>
              <w:rPr>
                <w:rFonts w:ascii="Verdana" w:hAnsi="Verdana"/>
                <w:i/>
                <w:noProof/>
                <w:color w:val="000000"/>
                <w:sz w:val="18"/>
              </w:rPr>
              <w:t>Tikrosios vertės pokyčiai</w:t>
            </w:r>
          </w:p>
        </w:tc>
        <w:tc>
          <w:tcPr>
            <w:tcW w:w="141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703"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169"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381"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19"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312"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 xml:space="preserve"> (2)</w:t>
            </w:r>
          </w:p>
        </w:tc>
        <w:tc>
          <w:tcPr>
            <w:tcW w:w="1949"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 xml:space="preserve"> (2)</w:t>
            </w:r>
          </w:p>
        </w:tc>
      </w:tr>
      <w:tr>
        <w:trPr>
          <w:trHeight w:val="255"/>
        </w:trPr>
        <w:tc>
          <w:tcPr>
            <w:tcW w:w="2895" w:type="dxa"/>
            <w:tcBorders>
              <w:top w:val="nil"/>
              <w:left w:val="nil"/>
              <w:bottom w:val="nil"/>
              <w:right w:val="nil"/>
              <w:tl2br w:val="nil"/>
              <w:tr2bl w:val="nil"/>
            </w:tcBorders>
            <w:shd w:val="clear" w:color="auto" w:fill="auto"/>
            <w:tcMar>
              <w:left w:w="60" w:type="dxa"/>
              <w:right w:w="60" w:type="dxa"/>
            </w:tcMar>
            <w:vAlign w:val="center"/>
          </w:tcPr>
          <w:p>
            <w:pPr>
              <w:pStyle w:val="DMETW18983BIPCNA11"/>
              <w:rPr>
                <w:rFonts w:ascii="Verdana" w:eastAsia="Verdana" w:hAnsi="Verdana" w:cs="Verdana"/>
                <w:i/>
                <w:noProof/>
                <w:color w:val="000000"/>
                <w:sz w:val="18"/>
              </w:rPr>
            </w:pPr>
            <w:r>
              <w:rPr>
                <w:rFonts w:ascii="Verdana" w:hAnsi="Verdana"/>
                <w:i/>
                <w:noProof/>
                <w:color w:val="000000"/>
                <w:sz w:val="18"/>
              </w:rPr>
              <w:t>Kapitalo padidėjimas – įnašai</w:t>
            </w:r>
          </w:p>
        </w:tc>
        <w:tc>
          <w:tcPr>
            <w:tcW w:w="141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703"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(4 400)</w:t>
            </w:r>
          </w:p>
        </w:tc>
        <w:tc>
          <w:tcPr>
            <w:tcW w:w="1169"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4 400</w:t>
            </w:r>
          </w:p>
        </w:tc>
        <w:tc>
          <w:tcPr>
            <w:tcW w:w="1381"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19"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 xml:space="preserve"> (181)</w:t>
            </w:r>
          </w:p>
        </w:tc>
        <w:tc>
          <w:tcPr>
            <w:tcW w:w="1312"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949"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4 219</w:t>
            </w:r>
          </w:p>
        </w:tc>
      </w:tr>
      <w:tr>
        <w:trPr>
          <w:trHeight w:val="255"/>
        </w:trPr>
        <w:tc>
          <w:tcPr>
            <w:tcW w:w="2895" w:type="dxa"/>
            <w:tcBorders>
              <w:top w:val="nil"/>
              <w:left w:val="nil"/>
              <w:bottom w:val="nil"/>
              <w:right w:val="nil"/>
              <w:tl2br w:val="nil"/>
              <w:tr2bl w:val="nil"/>
            </w:tcBorders>
            <w:shd w:val="clear" w:color="auto" w:fill="auto"/>
            <w:tcMar>
              <w:left w:w="60" w:type="dxa"/>
              <w:right w:w="60" w:type="dxa"/>
            </w:tcMar>
            <w:vAlign w:val="center"/>
          </w:tcPr>
          <w:p>
            <w:pPr>
              <w:pStyle w:val="DMETW18983BIPCNA11"/>
              <w:rPr>
                <w:rFonts w:ascii="Verdana" w:eastAsia="Verdana" w:hAnsi="Verdana" w:cs="Verdana"/>
                <w:i/>
                <w:noProof/>
                <w:color w:val="000000"/>
                <w:sz w:val="18"/>
              </w:rPr>
            </w:pPr>
            <w:r>
              <w:rPr>
                <w:rFonts w:ascii="Verdana" w:hAnsi="Verdana"/>
                <w:i/>
                <w:noProof/>
                <w:color w:val="000000"/>
                <w:sz w:val="18"/>
              </w:rPr>
              <w:t>Ekonominis metų rezultatas</w:t>
            </w:r>
          </w:p>
        </w:tc>
        <w:tc>
          <w:tcPr>
            <w:tcW w:w="141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703"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169"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w:t>
            </w:r>
          </w:p>
        </w:tc>
        <w:tc>
          <w:tcPr>
            <w:tcW w:w="1381"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(3 393)</w:t>
            </w:r>
          </w:p>
        </w:tc>
        <w:tc>
          <w:tcPr>
            <w:tcW w:w="1419"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w:t>
            </w:r>
          </w:p>
        </w:tc>
        <w:tc>
          <w:tcPr>
            <w:tcW w:w="1312"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949"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(3 393)</w:t>
            </w:r>
          </w:p>
        </w:tc>
      </w:tr>
      <w:tr>
        <w:trPr>
          <w:trHeight w:val="255"/>
        </w:trPr>
        <w:tc>
          <w:tcPr>
            <w:tcW w:w="2895"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rPr>
                <w:rFonts w:ascii="Verdana" w:eastAsia="Verdana" w:hAnsi="Verdana" w:cs="Verdana"/>
                <w:b/>
                <w:noProof/>
                <w:color w:val="000000"/>
                <w:sz w:val="18"/>
              </w:rPr>
            </w:pPr>
            <w:r>
              <w:rPr>
                <w:rFonts w:ascii="Verdana" w:hAnsi="Verdana"/>
                <w:b/>
                <w:noProof/>
                <w:color w:val="000000"/>
                <w:sz w:val="18"/>
              </w:rPr>
              <w:t>LIKUTIS 2019 m. gruodžio 31 d.</w:t>
            </w:r>
          </w:p>
        </w:tc>
        <w:tc>
          <w:tcPr>
            <w:tcW w:w="141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29 367</w:t>
            </w:r>
          </w:p>
        </w:tc>
        <w:tc>
          <w:tcPr>
            <w:tcW w:w="1703"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18 440</w:t>
            </w:r>
          </w:p>
        </w:tc>
        <w:tc>
          <w:tcPr>
            <w:tcW w:w="1169"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10 927</w:t>
            </w:r>
          </w:p>
        </w:tc>
        <w:tc>
          <w:tcPr>
            <w:tcW w:w="1381"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(11 966)</w:t>
            </w:r>
          </w:p>
        </w:tc>
        <w:tc>
          <w:tcPr>
            <w:tcW w:w="1419"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w:t>
            </w:r>
          </w:p>
        </w:tc>
        <w:tc>
          <w:tcPr>
            <w:tcW w:w="1417"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136</w:t>
            </w:r>
          </w:p>
        </w:tc>
        <w:tc>
          <w:tcPr>
            <w:tcW w:w="1312"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(2)</w:t>
            </w:r>
          </w:p>
        </w:tc>
        <w:tc>
          <w:tcPr>
            <w:tcW w:w="1949"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(905)</w:t>
            </w:r>
          </w:p>
        </w:tc>
      </w:tr>
      <w:bookmarkEnd w:id="24"/>
    </w:tbl>
    <w:p>
      <w:pPr>
        <w:pStyle w:val="Textstand-alone"/>
        <w:sectPr>
          <w:headerReference w:type="even" r:id="rId107"/>
          <w:headerReference w:type="default" r:id="rId108"/>
          <w:footerReference w:type="even" r:id="rId109"/>
          <w:footerReference w:type="default" r:id="rId110"/>
          <w:headerReference w:type="first" r:id="rId111"/>
          <w:footerReference w:type="first" r:id="rId112"/>
          <w:pgSz w:w="16838" w:h="11906" w:orient="landscape" w:code="9"/>
          <w:pgMar w:top="1134" w:right="1134" w:bottom="1134" w:left="1134" w:header="708" w:footer="708" w:gutter="0"/>
          <w:cols w:space="708"/>
          <w:docGrid w:linePitch="360"/>
        </w:sectPr>
      </w:pPr>
    </w:p>
    <w:p>
      <w:pPr>
        <w:pStyle w:val="HEADERTITLE1"/>
        <w:spacing w:before="240" w:after="720"/>
        <w:rPr>
          <w:sz w:val="40"/>
        </w:rPr>
      </w:pPr>
      <w:bookmarkStart w:id="35" w:name="_Toc9948393"/>
      <w:bookmarkStart w:id="36" w:name="_DMBM_18995"/>
    </w:p>
    <w:p>
      <w:pPr>
        <w:pStyle w:val="HEADERTITLE1"/>
        <w:spacing w:before="240" w:after="720"/>
        <w:rPr>
          <w:sz w:val="40"/>
        </w:rPr>
      </w:pPr>
    </w:p>
    <w:p>
      <w:pPr>
        <w:pStyle w:val="HEADERTITLE1"/>
        <w:spacing w:before="240" w:after="720"/>
        <w:rPr>
          <w:sz w:val="40"/>
        </w:rPr>
      </w:pPr>
    </w:p>
    <w:p>
      <w:pPr>
        <w:pStyle w:val="HEADERTITLE1"/>
        <w:spacing w:before="240" w:after="720"/>
        <w:rPr>
          <w:sz w:val="40"/>
        </w:rPr>
      </w:pPr>
    </w:p>
    <w:p>
      <w:pPr>
        <w:pStyle w:val="HEADERTITLE1"/>
        <w:rPr>
          <w:sz w:val="40"/>
          <w:szCs w:val="40"/>
        </w:rPr>
      </w:pPr>
      <w:bookmarkStart w:id="37" w:name="_Toc48834990"/>
      <w:r>
        <w:rPr>
          <w:sz w:val="40"/>
          <w:szCs w:val="40"/>
        </w:rPr>
        <w:t>EPF FINANSINIŲ ATASKAITŲ PASTABOS</w:t>
      </w:r>
      <w:bookmarkEnd w:id="35"/>
      <w:bookmarkEnd w:id="37"/>
    </w:p>
    <w:p>
      <w:pPr>
        <w:pStyle w:val="TOPHEADERNOTE"/>
        <w:rPr>
          <w:noProof/>
        </w:rPr>
      </w:pPr>
      <w:r>
        <w:rPr>
          <w:noProof/>
        </w:rPr>
        <w:t xml:space="preserve"> </w:t>
      </w: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sectPr>
          <w:headerReference w:type="even" r:id="rId113"/>
          <w:headerReference w:type="default" r:id="rId114"/>
          <w:footerReference w:type="even" r:id="rId115"/>
          <w:footerReference w:type="default" r:id="rId116"/>
          <w:headerReference w:type="first" r:id="rId117"/>
          <w:footerReference w:type="first" r:id="rId118"/>
          <w:pgSz w:w="11906" w:h="16838" w:code="9"/>
          <w:pgMar w:top="1134" w:right="1134" w:bottom="1134" w:left="1134" w:header="709" w:footer="709" w:gutter="0"/>
          <w:cols w:space="708"/>
          <w:docGrid w:linePitch="360"/>
        </w:sectPr>
      </w:pPr>
      <w:r>
        <w:rPr>
          <w:noProof/>
        </w:rPr>
        <w:t>Reikėtų atkreipti dėmesį, kad skaičius suapvalinant iki milijonų eurų kai kurių lentelėse pateikiamų finansinių duomenų suma gali būti netiksli.</w:t>
      </w:r>
      <w:bookmarkEnd w:id="36"/>
    </w:p>
    <w:p>
      <w:pPr>
        <w:pStyle w:val="HEADER1Part2"/>
        <w:rPr>
          <w:noProof/>
        </w:rPr>
      </w:pPr>
      <w:bookmarkStart w:id="38" w:name="Significant_acc_pol"/>
      <w:bookmarkStart w:id="39" w:name="_Toc393205650"/>
      <w:bookmarkStart w:id="40" w:name="_Toc457387394"/>
      <w:bookmarkStart w:id="41" w:name="_CSF_TOC_1_0"/>
      <w:bookmarkStart w:id="42" w:name="_DMBM_17676"/>
      <w:r>
        <w:rPr>
          <w:noProof/>
        </w:rPr>
        <w:t>SVARBIAUSI APSKAITOS POLITIKOS PRINCIPAI</w:t>
      </w:r>
      <w:bookmarkEnd w:id="38"/>
      <w:bookmarkEnd w:id="39"/>
      <w:bookmarkEnd w:id="40"/>
    </w:p>
    <w:p>
      <w:pPr>
        <w:pStyle w:val="HEADER2Part2"/>
        <w:rPr>
          <w:noProof/>
        </w:rPr>
      </w:pPr>
      <w:r>
        <w:rPr>
          <w:noProof/>
        </w:rPr>
        <w:t>APSKAITOS PRINCIPAI</w:t>
      </w:r>
    </w:p>
    <w:p>
      <w:pPr>
        <w:pStyle w:val="Textstand-alone"/>
      </w:pPr>
      <w:r>
        <w:t xml:space="preserve">Finansinių ataskaitų tikslas – pateikti plačiam naudotojų ratui naudingos informacijos apie subjekto finansinę būklę, veiklos rezultatus ir pinigų srautus. </w:t>
      </w:r>
    </w:p>
    <w:p>
      <w:pPr>
        <w:pStyle w:val="Textstand-alone"/>
      </w:pPr>
      <w:r>
        <w:t>Bendri aspektai (arba apskaitos principai), kurių reikia laikytis rengiant finansines ataskaitas, išdėstyti ES apskaitos taisyklėje Nr. 1 „Finansinės ataskaitos“ ir yra tokie patys, kaip ir aprašytieji TVSAS 1, t. y. teisingo pateikimo, kaupiamojo principo, veiklos tęstinumo, pateikimo nuoseklumo, reikšmingumo, sumavimo, atskaitymo ir lyginamosios informacijos. Finansinės atskaitomybės kokybinės savybės yra svarbumas, sąžiningas pateikimas (patikimumas), suprantamumas, savalaikiškumas, palyginamumas ir patikrinamumas.</w:t>
      </w:r>
    </w:p>
    <w:p>
      <w:pPr>
        <w:pStyle w:val="HEADER2Part2"/>
        <w:rPr>
          <w:noProof/>
        </w:rPr>
      </w:pPr>
      <w:r>
        <w:rPr>
          <w:noProof/>
        </w:rPr>
        <w:t>ATASKAITŲ RENGIMO PAGRINDAS</w:t>
      </w:r>
    </w:p>
    <w:p>
      <w:pPr>
        <w:pStyle w:val="HEADER3Part2"/>
        <w:rPr>
          <w:noProof/>
        </w:rPr>
      </w:pPr>
      <w:r>
        <w:rPr>
          <w:noProof/>
        </w:rPr>
        <w:t>Ataskaitinis laikotarpis</w:t>
      </w:r>
    </w:p>
    <w:p>
      <w:pPr>
        <w:pStyle w:val="Textstand-alone"/>
      </w:pPr>
      <w:r>
        <w:t>Finansinės ataskaitos teikiamos kasmet. Finansiniai metai prasideda sausio 1 d. ir baigiasi gruodžio 31 d.</w:t>
      </w:r>
    </w:p>
    <w:p>
      <w:pPr>
        <w:pStyle w:val="HEADER3Part2"/>
        <w:rPr>
          <w:noProof/>
        </w:rPr>
      </w:pPr>
      <w:r>
        <w:rPr>
          <w:noProof/>
        </w:rPr>
        <w:t>Valiuta ir perskaičiavimo pagrindas</w:t>
      </w:r>
    </w:p>
    <w:p>
      <w:pPr>
        <w:pStyle w:val="Textstand-alone"/>
      </w:pPr>
      <w:r>
        <w:t>ES funkcinė valiuta yra euro, todėl metinių ataskaitų duomenys nurodomi tūkstančiais eurų. Sandoriai užsienio valiuta yra perskaičiuojami eurais taikant sandorio atlikimo dieną galiojantį valiutos keitimo kursą. Į finansinės veiklos ataskaitą įtraukiamas valiutos keitimo pelnas ir nuostoliai, patirti vykdant sandorius užsienio valiuta ir perskaičiuojant užsienio valiuta išreikštą piniginį turtą ir įsipareigojimus, taikant metų pabaigoje galiojantį valiutos keitimo kursą. Nekilnojamajam turtui, įrangai ir įrenginiams bei nematerialiajam turtui, kurie išlaiko savo vertę eurais tokiu kursu, kuris galiojo jų įsigijimo dieną, taikomi skirtingi perskaičiavimo metodai.</w:t>
      </w:r>
    </w:p>
    <w:p>
      <w:pPr>
        <w:pStyle w:val="Textstand-alone"/>
      </w:pPr>
      <w:r>
        <w:t>Piniginio turto ir įsipareigojimų užsienio valiuta likučiai metų pabaigoje perskaičiuojami į eurus toliau pateikiamu gruodžio 31 d. galiojančiu Europos Centrinio Banko (ECB) valiutos kursu.</w:t>
      </w:r>
    </w:p>
    <w:p>
      <w:pPr>
        <w:pStyle w:val="HEADER5"/>
        <w:rPr>
          <w:noProof/>
        </w:rPr>
      </w:pPr>
      <w:r>
        <w:rPr>
          <w:noProof/>
        </w:rPr>
        <w:t>Euro kursas</w:t>
      </w:r>
    </w:p>
    <w:tbl>
      <w:tblPr>
        <w:tblW w:w="5011"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9"/>
        <w:gridCol w:w="1862"/>
        <w:gridCol w:w="1964"/>
        <w:gridCol w:w="1309"/>
        <w:gridCol w:w="1657"/>
        <w:gridCol w:w="1678"/>
      </w:tblGrid>
      <w:tr>
        <w:trPr>
          <w:trHeight w:hRule="exact" w:val="510"/>
        </w:trPr>
        <w:tc>
          <w:tcPr>
            <w:tcW w:w="1309" w:type="dxa"/>
            <w:tcBorders>
              <w:top w:val="nil"/>
              <w:left w:val="nil"/>
              <w:bottom w:val="nil"/>
              <w:right w:val="nil"/>
            </w:tcBorders>
            <w:shd w:val="solid" w:color="016794" w:fill="FFFFFF"/>
            <w:tcMar>
              <w:top w:w="0" w:type="dxa"/>
              <w:left w:w="60" w:type="dxa"/>
              <w:bottom w:w="0" w:type="dxa"/>
              <w:right w:w="60" w:type="dxa"/>
            </w:tcMar>
            <w:vAlign w:val="center"/>
          </w:tcPr>
          <w:p>
            <w:pPr>
              <w:pStyle w:val="DMETW17185BIPCURR"/>
              <w:rPr>
                <w:rFonts w:ascii="Verdana" w:eastAsia="Times New Roman" w:hAnsi="Verdana" w:cs="Verdana"/>
                <w:noProof/>
                <w:color w:val="FFFFFF"/>
              </w:rPr>
            </w:pPr>
            <w:bookmarkStart w:id="43" w:name="DOC_TBL00011_1_1"/>
            <w:bookmarkEnd w:id="43"/>
            <w:r>
              <w:rPr>
                <w:rFonts w:ascii="Verdana" w:hAnsi="Verdana"/>
                <w:noProof/>
                <w:color w:val="FFFFFF"/>
              </w:rPr>
              <w:t>Valiuta</w:t>
            </w:r>
          </w:p>
        </w:tc>
        <w:tc>
          <w:tcPr>
            <w:tcW w:w="1862" w:type="dxa"/>
            <w:tcBorders>
              <w:top w:val="nil"/>
              <w:left w:val="nil"/>
              <w:bottom w:val="nil"/>
              <w:right w:val="nil"/>
            </w:tcBorders>
            <w:shd w:val="solid" w:color="016794" w:fill="FFFFFF"/>
            <w:tcMar>
              <w:top w:w="0" w:type="dxa"/>
              <w:left w:w="60" w:type="dxa"/>
              <w:bottom w:w="0" w:type="dxa"/>
              <w:right w:w="60" w:type="dxa"/>
            </w:tcMar>
            <w:vAlign w:val="center"/>
          </w:tcPr>
          <w:p>
            <w:pPr>
              <w:pStyle w:val="DMETW17185BIPCURR"/>
              <w:jc w:val="right"/>
              <w:rPr>
                <w:rFonts w:ascii="Verdana" w:eastAsia="Times New Roman" w:hAnsi="Verdana" w:cs="Verdana"/>
                <w:noProof/>
                <w:color w:val="FFFFFF"/>
              </w:rPr>
            </w:pPr>
            <w:r>
              <w:rPr>
                <w:rFonts w:ascii="Verdana" w:hAnsi="Verdana"/>
                <w:noProof/>
                <w:color w:val="FFFFFF"/>
              </w:rPr>
              <w:t>2019 12 31</w:t>
            </w:r>
          </w:p>
        </w:tc>
        <w:tc>
          <w:tcPr>
            <w:tcW w:w="1964" w:type="dxa"/>
            <w:tcBorders>
              <w:top w:val="nil"/>
              <w:left w:val="nil"/>
              <w:bottom w:val="nil"/>
              <w:right w:val="nil"/>
            </w:tcBorders>
            <w:shd w:val="solid" w:color="016794" w:fill="FFFFFF"/>
            <w:tcMar>
              <w:top w:w="0" w:type="dxa"/>
              <w:left w:w="60" w:type="dxa"/>
              <w:bottom w:w="0" w:type="dxa"/>
              <w:right w:w="60" w:type="dxa"/>
            </w:tcMar>
            <w:vAlign w:val="center"/>
          </w:tcPr>
          <w:p>
            <w:pPr>
              <w:pStyle w:val="DMETW17185BIPCURR"/>
              <w:jc w:val="right"/>
              <w:rPr>
                <w:rFonts w:ascii="Verdana" w:eastAsia="Times New Roman" w:hAnsi="Verdana" w:cs="Verdana"/>
                <w:noProof/>
                <w:color w:val="FFFFFF"/>
              </w:rPr>
            </w:pPr>
            <w:r>
              <w:rPr>
                <w:rFonts w:ascii="Verdana" w:hAnsi="Verdana"/>
                <w:noProof/>
                <w:color w:val="FFFFFF"/>
              </w:rPr>
              <w:t>2018 12 31</w:t>
            </w:r>
          </w:p>
        </w:tc>
        <w:tc>
          <w:tcPr>
            <w:tcW w:w="1309" w:type="dxa"/>
            <w:tcBorders>
              <w:top w:val="nil"/>
              <w:left w:val="nil"/>
              <w:bottom w:val="nil"/>
              <w:right w:val="nil"/>
            </w:tcBorders>
            <w:shd w:val="solid" w:color="016794" w:fill="FFFFFF"/>
            <w:tcMar>
              <w:top w:w="0" w:type="dxa"/>
              <w:left w:w="60" w:type="dxa"/>
              <w:bottom w:w="0" w:type="dxa"/>
              <w:right w:w="60" w:type="dxa"/>
            </w:tcMar>
            <w:vAlign w:val="center"/>
          </w:tcPr>
          <w:p>
            <w:pPr>
              <w:pStyle w:val="DMETW17185BIPCURR"/>
              <w:rPr>
                <w:rFonts w:ascii="Verdana" w:eastAsia="Times New Roman" w:hAnsi="Verdana" w:cs="Verdana"/>
                <w:noProof/>
                <w:color w:val="FFFFFF"/>
              </w:rPr>
            </w:pPr>
            <w:r>
              <w:rPr>
                <w:rFonts w:ascii="Verdana" w:hAnsi="Verdana"/>
                <w:noProof/>
                <w:color w:val="FFFFFF"/>
              </w:rPr>
              <w:t>Valiuta</w:t>
            </w:r>
          </w:p>
        </w:tc>
        <w:tc>
          <w:tcPr>
            <w:tcW w:w="1657" w:type="dxa"/>
            <w:tcBorders>
              <w:top w:val="nil"/>
              <w:left w:val="nil"/>
              <w:bottom w:val="nil"/>
              <w:right w:val="nil"/>
            </w:tcBorders>
            <w:shd w:val="solid" w:color="016794" w:fill="FFFFFF"/>
            <w:tcMar>
              <w:top w:w="0" w:type="dxa"/>
              <w:left w:w="60" w:type="dxa"/>
              <w:bottom w:w="0" w:type="dxa"/>
              <w:right w:w="60" w:type="dxa"/>
            </w:tcMar>
            <w:vAlign w:val="center"/>
          </w:tcPr>
          <w:p>
            <w:pPr>
              <w:pStyle w:val="DMETW17185BIPCURR"/>
              <w:jc w:val="right"/>
              <w:rPr>
                <w:rFonts w:ascii="Verdana" w:eastAsia="Times New Roman" w:hAnsi="Verdana" w:cs="Verdana"/>
                <w:noProof/>
                <w:color w:val="FFFFFF"/>
              </w:rPr>
            </w:pPr>
            <w:r>
              <w:rPr>
                <w:rFonts w:ascii="Verdana" w:hAnsi="Verdana"/>
                <w:noProof/>
                <w:color w:val="FFFFFF"/>
              </w:rPr>
              <w:t>2019 12 31</w:t>
            </w:r>
          </w:p>
        </w:tc>
        <w:tc>
          <w:tcPr>
            <w:tcW w:w="1678" w:type="dxa"/>
            <w:tcBorders>
              <w:top w:val="nil"/>
              <w:left w:val="nil"/>
              <w:bottom w:val="nil"/>
              <w:right w:val="nil"/>
            </w:tcBorders>
            <w:shd w:val="solid" w:color="016794" w:fill="FFFFFF"/>
            <w:tcMar>
              <w:top w:w="0" w:type="dxa"/>
              <w:left w:w="60" w:type="dxa"/>
              <w:bottom w:w="0" w:type="dxa"/>
              <w:right w:w="60" w:type="dxa"/>
            </w:tcMar>
            <w:vAlign w:val="center"/>
          </w:tcPr>
          <w:p>
            <w:pPr>
              <w:pStyle w:val="DMETW17185BIPCURR"/>
              <w:jc w:val="right"/>
              <w:rPr>
                <w:rFonts w:ascii="Verdana" w:eastAsia="Times New Roman" w:hAnsi="Verdana" w:cs="Verdana"/>
                <w:noProof/>
                <w:color w:val="FFFFFF"/>
              </w:rPr>
            </w:pPr>
            <w:r>
              <w:rPr>
                <w:rFonts w:ascii="Verdana" w:hAnsi="Verdana"/>
                <w:noProof/>
                <w:color w:val="FFFFFF"/>
              </w:rPr>
              <w:t>2018 12 31</w:t>
            </w:r>
          </w:p>
        </w:tc>
      </w:tr>
      <w:tr>
        <w:trPr>
          <w:trHeight w:hRule="exact" w:val="255"/>
        </w:trPr>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hAnsi="Verdana"/>
                <w:b/>
                <w:noProof/>
                <w:color w:val="000000"/>
                <w:sz w:val="18"/>
              </w:rPr>
              <w:t>BGN</w:t>
            </w:r>
          </w:p>
        </w:tc>
        <w:tc>
          <w:tcPr>
            <w:tcW w:w="1862"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hAnsi="Verdana"/>
                <w:b/>
                <w:noProof/>
                <w:color w:val="000000"/>
                <w:sz w:val="18"/>
              </w:rPr>
              <w:t>1,9558</w:t>
            </w:r>
          </w:p>
        </w:tc>
        <w:tc>
          <w:tcPr>
            <w:tcW w:w="1964"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hAnsi="Verdana"/>
                <w:i/>
                <w:noProof/>
                <w:color w:val="000000"/>
                <w:sz w:val="18"/>
              </w:rPr>
              <w:t>1,9558</w:t>
            </w:r>
          </w:p>
        </w:tc>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hAnsi="Verdana"/>
                <w:b/>
                <w:noProof/>
                <w:color w:val="000000"/>
                <w:sz w:val="18"/>
              </w:rPr>
              <w:t>PLN</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hAnsi="Verdana"/>
                <w:b/>
                <w:noProof/>
                <w:color w:val="000000"/>
                <w:sz w:val="18"/>
              </w:rPr>
              <w:t>4,2568</w:t>
            </w:r>
          </w:p>
        </w:tc>
        <w:tc>
          <w:tcPr>
            <w:tcW w:w="1678"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hAnsi="Verdana"/>
                <w:i/>
                <w:noProof/>
                <w:color w:val="000000"/>
                <w:sz w:val="18"/>
              </w:rPr>
              <w:t>4,3014</w:t>
            </w:r>
          </w:p>
        </w:tc>
      </w:tr>
      <w:tr>
        <w:trPr>
          <w:trHeight w:hRule="exact" w:val="255"/>
        </w:trPr>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hAnsi="Verdana"/>
                <w:b/>
                <w:noProof/>
                <w:color w:val="000000"/>
                <w:sz w:val="18"/>
              </w:rPr>
              <w:t>CZK</w:t>
            </w:r>
          </w:p>
        </w:tc>
        <w:tc>
          <w:tcPr>
            <w:tcW w:w="1862"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hAnsi="Verdana"/>
                <w:b/>
                <w:noProof/>
                <w:color w:val="000000"/>
                <w:sz w:val="18"/>
              </w:rPr>
              <w:t>25,4080</w:t>
            </w:r>
          </w:p>
        </w:tc>
        <w:tc>
          <w:tcPr>
            <w:tcW w:w="1964"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hAnsi="Verdana"/>
                <w:i/>
                <w:noProof/>
                <w:color w:val="000000"/>
                <w:sz w:val="18"/>
              </w:rPr>
              <w:t>25,7240</w:t>
            </w:r>
          </w:p>
        </w:tc>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hAnsi="Verdana"/>
                <w:b/>
                <w:noProof/>
                <w:color w:val="000000"/>
                <w:sz w:val="18"/>
              </w:rPr>
              <w:t>RON</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hAnsi="Verdana"/>
                <w:b/>
                <w:noProof/>
                <w:color w:val="000000"/>
                <w:sz w:val="18"/>
              </w:rPr>
              <w:t>4,783</w:t>
            </w:r>
          </w:p>
        </w:tc>
        <w:tc>
          <w:tcPr>
            <w:tcW w:w="1678"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hAnsi="Verdana"/>
                <w:i/>
                <w:noProof/>
                <w:color w:val="000000"/>
                <w:sz w:val="18"/>
              </w:rPr>
              <w:t>4,6635</w:t>
            </w:r>
          </w:p>
        </w:tc>
      </w:tr>
      <w:tr>
        <w:trPr>
          <w:trHeight w:hRule="exact" w:val="255"/>
        </w:trPr>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hAnsi="Verdana"/>
                <w:b/>
                <w:noProof/>
                <w:color w:val="000000"/>
                <w:sz w:val="18"/>
              </w:rPr>
              <w:t>DKK</w:t>
            </w:r>
          </w:p>
        </w:tc>
        <w:tc>
          <w:tcPr>
            <w:tcW w:w="1862"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hAnsi="Verdana"/>
                <w:b/>
                <w:noProof/>
                <w:color w:val="000000"/>
                <w:sz w:val="18"/>
              </w:rPr>
              <w:t>7,4715</w:t>
            </w:r>
          </w:p>
        </w:tc>
        <w:tc>
          <w:tcPr>
            <w:tcW w:w="1964"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hAnsi="Verdana"/>
                <w:i/>
                <w:noProof/>
                <w:color w:val="000000"/>
                <w:sz w:val="18"/>
              </w:rPr>
              <w:t>7,4673</w:t>
            </w:r>
          </w:p>
        </w:tc>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hAnsi="Verdana"/>
                <w:b/>
                <w:noProof/>
                <w:color w:val="000000"/>
                <w:sz w:val="18"/>
              </w:rPr>
              <w:t>SEK</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hAnsi="Verdana"/>
                <w:b/>
                <w:noProof/>
                <w:color w:val="000000"/>
                <w:sz w:val="18"/>
              </w:rPr>
              <w:t>10,4468</w:t>
            </w:r>
          </w:p>
        </w:tc>
        <w:tc>
          <w:tcPr>
            <w:tcW w:w="1678"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hAnsi="Verdana"/>
                <w:i/>
                <w:noProof/>
                <w:color w:val="000000"/>
                <w:sz w:val="18"/>
              </w:rPr>
              <w:t>10,2548</w:t>
            </w:r>
          </w:p>
        </w:tc>
      </w:tr>
      <w:tr>
        <w:trPr>
          <w:trHeight w:hRule="exact" w:val="255"/>
        </w:trPr>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hAnsi="Verdana"/>
                <w:b/>
                <w:noProof/>
                <w:color w:val="000000"/>
                <w:sz w:val="18"/>
              </w:rPr>
              <w:t>GBP</w:t>
            </w:r>
          </w:p>
        </w:tc>
        <w:tc>
          <w:tcPr>
            <w:tcW w:w="1862"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hAnsi="Verdana"/>
                <w:b/>
                <w:noProof/>
                <w:color w:val="000000"/>
                <w:sz w:val="18"/>
              </w:rPr>
              <w:t>0,8508</w:t>
            </w:r>
          </w:p>
        </w:tc>
        <w:tc>
          <w:tcPr>
            <w:tcW w:w="1964"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hAnsi="Verdana"/>
                <w:i/>
                <w:noProof/>
                <w:color w:val="000000"/>
                <w:sz w:val="18"/>
              </w:rPr>
              <w:t>0,8945</w:t>
            </w:r>
          </w:p>
        </w:tc>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hAnsi="Verdana"/>
                <w:b/>
                <w:noProof/>
                <w:color w:val="000000"/>
                <w:sz w:val="18"/>
              </w:rPr>
              <w:t>CHF</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hAnsi="Verdana"/>
                <w:b/>
                <w:noProof/>
                <w:color w:val="000000"/>
                <w:sz w:val="18"/>
              </w:rPr>
              <w:t>1,0854</w:t>
            </w:r>
          </w:p>
        </w:tc>
        <w:tc>
          <w:tcPr>
            <w:tcW w:w="1678"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hAnsi="Verdana"/>
                <w:i/>
                <w:noProof/>
                <w:color w:val="000000"/>
                <w:sz w:val="18"/>
              </w:rPr>
              <w:t>1,1269</w:t>
            </w:r>
          </w:p>
        </w:tc>
      </w:tr>
      <w:tr>
        <w:trPr>
          <w:trHeight w:hRule="exact" w:val="255"/>
        </w:trPr>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hAnsi="Verdana"/>
                <w:b/>
                <w:noProof/>
                <w:color w:val="000000"/>
                <w:sz w:val="18"/>
              </w:rPr>
              <w:t>HRK</w:t>
            </w:r>
          </w:p>
        </w:tc>
        <w:tc>
          <w:tcPr>
            <w:tcW w:w="1862"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hAnsi="Verdana"/>
                <w:b/>
                <w:noProof/>
                <w:color w:val="000000"/>
                <w:sz w:val="18"/>
              </w:rPr>
              <w:t>7,4395</w:t>
            </w:r>
          </w:p>
        </w:tc>
        <w:tc>
          <w:tcPr>
            <w:tcW w:w="1964"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hAnsi="Verdana"/>
                <w:i/>
                <w:noProof/>
                <w:color w:val="000000"/>
                <w:sz w:val="18"/>
              </w:rPr>
              <w:t>7,4125</w:t>
            </w:r>
          </w:p>
        </w:tc>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hAnsi="Verdana"/>
                <w:b/>
                <w:noProof/>
                <w:color w:val="000000"/>
                <w:sz w:val="18"/>
              </w:rPr>
              <w:t>JPY</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hAnsi="Verdana"/>
                <w:b/>
                <w:noProof/>
                <w:color w:val="000000"/>
                <w:sz w:val="18"/>
              </w:rPr>
              <w:t>121,9400</w:t>
            </w:r>
          </w:p>
        </w:tc>
        <w:tc>
          <w:tcPr>
            <w:tcW w:w="1678"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hAnsi="Verdana"/>
                <w:i/>
                <w:noProof/>
                <w:color w:val="000000"/>
                <w:sz w:val="18"/>
              </w:rPr>
              <w:t>125,8500</w:t>
            </w:r>
          </w:p>
        </w:tc>
      </w:tr>
      <w:tr>
        <w:trPr>
          <w:trHeight w:hRule="exact" w:val="255"/>
        </w:trPr>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hAnsi="Verdana"/>
                <w:b/>
                <w:noProof/>
                <w:color w:val="000000"/>
                <w:sz w:val="18"/>
              </w:rPr>
              <w:t>HUF</w:t>
            </w:r>
          </w:p>
        </w:tc>
        <w:tc>
          <w:tcPr>
            <w:tcW w:w="1862"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hAnsi="Verdana"/>
                <w:b/>
                <w:noProof/>
                <w:color w:val="000000"/>
                <w:sz w:val="18"/>
              </w:rPr>
              <w:t>330,5300</w:t>
            </w:r>
          </w:p>
        </w:tc>
        <w:tc>
          <w:tcPr>
            <w:tcW w:w="1964"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hAnsi="Verdana"/>
                <w:i/>
                <w:noProof/>
                <w:color w:val="000000"/>
                <w:sz w:val="18"/>
              </w:rPr>
              <w:t>320,9800</w:t>
            </w:r>
          </w:p>
        </w:tc>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hAnsi="Verdana"/>
                <w:b/>
                <w:noProof/>
                <w:color w:val="000000"/>
                <w:sz w:val="18"/>
              </w:rPr>
              <w:t>USD</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hAnsi="Verdana"/>
                <w:b/>
                <w:noProof/>
                <w:color w:val="000000"/>
                <w:sz w:val="18"/>
              </w:rPr>
              <w:t>1,1234</w:t>
            </w:r>
          </w:p>
        </w:tc>
        <w:tc>
          <w:tcPr>
            <w:tcW w:w="1678"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hAnsi="Verdana"/>
                <w:i/>
                <w:noProof/>
                <w:color w:val="000000"/>
                <w:sz w:val="18"/>
              </w:rPr>
              <w:t>1,145</w:t>
            </w:r>
          </w:p>
        </w:tc>
      </w:tr>
    </w:tbl>
    <w:p>
      <w:pPr>
        <w:pStyle w:val="HEADER3Part2"/>
        <w:rPr>
          <w:noProof/>
        </w:rPr>
      </w:pPr>
      <w:r>
        <w:rPr>
          <w:noProof/>
        </w:rPr>
        <w:t>Įverčių taikymas</w:t>
      </w:r>
    </w:p>
    <w:p>
      <w:pPr>
        <w:pStyle w:val="Textstand-alone"/>
      </w:pPr>
      <w:r>
        <w:t xml:space="preserve">Pagal TVSAS ir bendruosius apskaitos principus finansinėse ataskaitose nurodomos sumos būtinai turi būti pagrįstos įverčiais ir vadovybės prielaidomis, pagrįstais patikimiausia turima informacija. Reikšmingi įverčiai turi apimti bent jau šiuos elementus: išmokų darbuotojams įsipareigojimų sumas, sukauptas ir būsimojo laikotarpių pajamas bei sąnaudas, atidėjinius, finansinę riziką, susijusią su gautinomis sumomis, neapibrėžtąjį turtą ir neapibrėžtuosius įsipareigojimus ir turto vertės sumažėjimo laipsnį. Faktiniai rezultatai gali skirtis nuo šių įverčių. </w:t>
      </w:r>
    </w:p>
    <w:p>
      <w:pPr>
        <w:pStyle w:val="Textstand-alone"/>
      </w:pPr>
      <w:r>
        <w:t xml:space="preserve">Pagrįsti įverčiai yra esminė finansinių atskaitų rengimo dalis ir netrukdo jų patikimumui. Įvertį gali tekti peržiūrėti iš naujo, jeigu pasikeičia aplinkybės, kuriomis buvo grindžiamas toks įvertis, ar jeigu atsiranda naujos informacijos arba daugiau patirties. Įverčio peržiūrėjimas dėl savo pobūdžio nėra siejamas su ankstesniais ataskaitiniais laikotarpiais ir nėra klaidos taisymas. Apskaitos įverčio pokyčio poveikis pripažįstamas nurodant perteklių ar deficitą tais laikotarpiais, kai jis tapo žinomas. </w:t>
      </w:r>
    </w:p>
    <w:p>
      <w:pPr>
        <w:pStyle w:val="HEADER2Part2"/>
        <w:rPr>
          <w:noProof/>
        </w:rPr>
      </w:pPr>
      <w:r>
        <w:rPr>
          <w:noProof/>
        </w:rPr>
        <w:t>BALANSAS</w:t>
      </w:r>
    </w:p>
    <w:p>
      <w:pPr>
        <w:pStyle w:val="HEADER3Part2"/>
        <w:rPr>
          <w:noProof/>
        </w:rPr>
      </w:pPr>
      <w:r>
        <w:rPr>
          <w:noProof/>
        </w:rPr>
        <w:t>Nematerialusis turtas</w:t>
      </w:r>
    </w:p>
    <w:p>
      <w:pPr>
        <w:pStyle w:val="Textstand-alone"/>
      </w:pPr>
      <w:r>
        <w:t>Nematerialusis turtas – identifikuojamas nepiniginis turtas, neturintis fizinio pavidalo. Turtas yra identifikuojamas, jeigu jis gali būti išskirtas (t. y. jis gali būti atskirtas arba atidalintas nuo subjekto, pvz., parduodant, perduodant, licencijuojant, nuomojant arba atiduodant mainais – tiek atskirai, tiek kartu su susijusia sutartimi, identifikuojamu turtu arba įsipareigojimu, nepaisant to, ar subjektas ketina tai daryti), arba jis atsiranda dėl privalomų susitarimų (įskaitant sutartines arba kitas juridines teises), neatsižvelgiant į tai, ar tas teises galima perleisti arba atskirti nuo  subjekto ar nuo kitų teisių ir įsipareigojimų).</w:t>
      </w:r>
    </w:p>
    <w:p>
      <w:pPr>
        <w:pStyle w:val="Textstand-alone"/>
      </w:pPr>
      <w:r>
        <w:t>Įsigytas nematerialusis turtas nurodomas įsigijimo savikaina, atėmus sukauptus amortizacijos ir vertės sumažėjimo nuostolius. Viduje kuriamas nematerialusis turtas kapitalizuojamas, kai jis atitinka susijusius ES apskaitos taisyklių kriterijus, o išlaidos yra susijusios tik su turto kūrimo etapu. Kapitalizuojamos sąnaudos apima visas tiesiogiai priskiriamas sąnaudas, kurių reikia turtui sukurti, pagaminti ir paruošti naudoti vadovybės numatytu būdu. Su mokslinių tyrimų veikla susijusios sąnaudos, nekapitalizuojamos technologinės plėtros sąnaudos ir priežiūros sąnaudos pripažįstamos išlaidomis, kai patiriamos.</w:t>
      </w:r>
    </w:p>
    <w:p>
      <w:pPr>
        <w:pStyle w:val="Textstand-alone"/>
      </w:pPr>
      <w:r>
        <w:t>Turtas amortizuojamas tiesiniu metodu per nustatytą jo naudingo tarnavimo laikotarpį – 3–11 metų. Nustatyta nematerialiojo turto naudingo tarnavimo trukmė priklauso nuo jo konkretaus naudingo tarnavimo laikotarpio arba sutartimi nustatyto teisinio laikotarpio.</w:t>
      </w:r>
    </w:p>
    <w:p>
      <w:pPr>
        <w:pStyle w:val="HEADER3Part2"/>
        <w:rPr>
          <w:noProof/>
        </w:rPr>
      </w:pPr>
      <w:r>
        <w:rPr>
          <w:noProof/>
        </w:rPr>
        <w:t>Nekilnojamasis turtas, įranga ir įrenginiai</w:t>
      </w:r>
    </w:p>
    <w:p>
      <w:pPr>
        <w:pStyle w:val="Textstand-alone"/>
      </w:pPr>
      <w:r>
        <w:t>Visas nekilnojamasis turtas, įranga ir įrenginiai parodomi įsigijimo savikaina, atėmus sukauptus nusidėvėjimo ir vertės sumažėjimo nuostolius. Į savikainą įtraukiamos išlaidos, tiesiogiai susijusios su turto įsigijimu, statyba ar perdavimu. Paskesnės sąnaudos pridedamos prie turto balansinės vertės arba prireikus pripažįstamos atskiru turtu tik tais atvejais, kai yra tikėtina, kad subjektas ateityje gaus su tuo turtu susijusios ekonominės naudos arba naudojimo galimybių ir kad galima patikimai įvertinti tokio turto savikainą. Remonto ir priežiūros sąnaudos parodomos finansinio laikotarpio, kuriuo jos buvo patirtos, finansinės veiklos ataskaitoje. Žemės nusidėvėjimas nėra skaičiuojamas, nes laikoma, kad jos naudojimo trukmė neribota. Statomo turto nusidėvėjimas nėra skaičiuojamas, nes šiuo turtu dar negalima naudotis. Siekiant nustatyti kito turto likutinę vertę, jo nusidėvėjimas skaičiuojamas pagal tiesinį metodą, padalinant jo savikainą, atėmus likutinę vertę, to turto nustatytai naudojimo trukmei tokiu būdu: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2"/>
        <w:gridCol w:w="5196"/>
      </w:tblGrid>
      <w:tr>
        <w:trPr>
          <w:trHeight w:hRule="exact" w:val="255"/>
        </w:trPr>
        <w:tc>
          <w:tcPr>
            <w:tcW w:w="3135" w:type="dxa"/>
            <w:tcBorders>
              <w:top w:val="nil"/>
              <w:left w:val="nil"/>
              <w:bottom w:val="nil"/>
              <w:right w:val="nil"/>
            </w:tcBorders>
            <w:shd w:val="solid" w:color="016794" w:fill="FFFFFF"/>
            <w:tcMar>
              <w:top w:w="0" w:type="dxa"/>
              <w:left w:w="60" w:type="dxa"/>
              <w:bottom w:w="0" w:type="dxa"/>
              <w:right w:w="60" w:type="dxa"/>
            </w:tcMar>
            <w:vAlign w:val="center"/>
          </w:tcPr>
          <w:p>
            <w:pPr>
              <w:pStyle w:val="DMETW17185BIPDRCAS"/>
              <w:rPr>
                <w:rFonts w:ascii="Verdana" w:eastAsia="Times New Roman" w:hAnsi="Verdana" w:cs="Verdana"/>
                <w:noProof/>
                <w:color w:val="FFFFFF"/>
              </w:rPr>
            </w:pPr>
            <w:bookmarkStart w:id="44" w:name="DOC_TBL00012_1_1"/>
            <w:bookmarkEnd w:id="44"/>
            <w:r>
              <w:rPr>
                <w:rFonts w:ascii="Verdana" w:hAnsi="Verdana"/>
                <w:noProof/>
                <w:color w:val="FFFFFF"/>
              </w:rPr>
              <w:t>Turto rūšis</w:t>
            </w:r>
          </w:p>
        </w:tc>
        <w:tc>
          <w:tcPr>
            <w:tcW w:w="3570" w:type="dxa"/>
            <w:tcBorders>
              <w:top w:val="nil"/>
              <w:left w:val="nil"/>
              <w:bottom w:val="nil"/>
              <w:right w:val="nil"/>
            </w:tcBorders>
            <w:shd w:val="solid" w:color="016794" w:fill="FFFFFF"/>
            <w:tcMar>
              <w:top w:w="0" w:type="dxa"/>
              <w:left w:w="60" w:type="dxa"/>
              <w:bottom w:w="0" w:type="dxa"/>
              <w:right w:w="60" w:type="dxa"/>
            </w:tcMar>
            <w:vAlign w:val="center"/>
          </w:tcPr>
          <w:p>
            <w:pPr>
              <w:pStyle w:val="DMETW17185BIPDRCAS"/>
              <w:jc w:val="center"/>
              <w:rPr>
                <w:rFonts w:ascii="Verdana" w:eastAsia="Times New Roman" w:hAnsi="Verdana" w:cs="Verdana"/>
                <w:noProof/>
                <w:color w:val="FFFFFF"/>
              </w:rPr>
            </w:pPr>
            <w:r>
              <w:rPr>
                <w:rFonts w:ascii="Verdana" w:hAnsi="Verdana"/>
                <w:noProof/>
                <w:color w:val="FFFFFF"/>
              </w:rPr>
              <w:t>Tiesinio nusidėvėjimo norma</w:t>
            </w:r>
          </w:p>
        </w:tc>
      </w:tr>
      <w:tr>
        <w:trPr>
          <w:trHeight w:hRule="exact" w:val="255"/>
        </w:trPr>
        <w:tc>
          <w:tcPr>
            <w:tcW w:w="3135"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rPr>
                <w:rFonts w:ascii="Verdana" w:eastAsia="Times New Roman" w:hAnsi="Verdana" w:cs="Verdana"/>
                <w:i/>
                <w:noProof/>
                <w:color w:val="000000"/>
                <w:sz w:val="18"/>
              </w:rPr>
            </w:pPr>
            <w:r>
              <w:rPr>
                <w:rFonts w:ascii="Verdana" w:hAnsi="Verdana"/>
                <w:i/>
                <w:noProof/>
                <w:color w:val="000000"/>
                <w:sz w:val="18"/>
              </w:rPr>
              <w:t>Pastatai</w:t>
            </w:r>
          </w:p>
        </w:tc>
        <w:tc>
          <w:tcPr>
            <w:tcW w:w="3570"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jc w:val="center"/>
              <w:rPr>
                <w:rFonts w:ascii="Verdana" w:eastAsia="Times New Roman" w:hAnsi="Verdana" w:cs="Verdana"/>
                <w:i/>
                <w:noProof/>
                <w:color w:val="000000"/>
                <w:sz w:val="18"/>
              </w:rPr>
            </w:pPr>
            <w:r>
              <w:rPr>
                <w:rFonts w:ascii="Verdana" w:hAnsi="Verdana"/>
                <w:i/>
                <w:noProof/>
                <w:color w:val="000000"/>
                <w:sz w:val="18"/>
              </w:rPr>
              <w:t>4–10 %</w:t>
            </w:r>
          </w:p>
        </w:tc>
      </w:tr>
      <w:tr>
        <w:trPr>
          <w:trHeight w:hRule="exact" w:val="255"/>
        </w:trPr>
        <w:tc>
          <w:tcPr>
            <w:tcW w:w="3135"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rPr>
                <w:rFonts w:ascii="Verdana" w:eastAsia="Times New Roman" w:hAnsi="Verdana" w:cs="Verdana"/>
                <w:i/>
                <w:noProof/>
                <w:color w:val="000000"/>
                <w:sz w:val="18"/>
              </w:rPr>
            </w:pPr>
            <w:r>
              <w:rPr>
                <w:rFonts w:ascii="Verdana" w:hAnsi="Verdana"/>
                <w:i/>
                <w:noProof/>
                <w:color w:val="000000"/>
                <w:sz w:val="18"/>
              </w:rPr>
              <w:t>Įranga ir įrenginiai</w:t>
            </w:r>
          </w:p>
        </w:tc>
        <w:tc>
          <w:tcPr>
            <w:tcW w:w="3570"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jc w:val="center"/>
              <w:rPr>
                <w:rFonts w:ascii="Verdana" w:eastAsia="Times New Roman" w:hAnsi="Verdana" w:cs="Verdana"/>
                <w:i/>
                <w:noProof/>
                <w:color w:val="000000"/>
                <w:sz w:val="18"/>
              </w:rPr>
            </w:pPr>
            <w:r>
              <w:rPr>
                <w:rFonts w:ascii="Verdana" w:hAnsi="Verdana"/>
                <w:i/>
                <w:noProof/>
                <w:color w:val="000000"/>
                <w:sz w:val="18"/>
              </w:rPr>
              <w:t>10–25 %</w:t>
            </w:r>
          </w:p>
        </w:tc>
      </w:tr>
      <w:tr>
        <w:trPr>
          <w:trHeight w:hRule="exact" w:val="255"/>
        </w:trPr>
        <w:tc>
          <w:tcPr>
            <w:tcW w:w="3135"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rPr>
                <w:rFonts w:ascii="Verdana" w:eastAsia="Times New Roman" w:hAnsi="Verdana" w:cs="Verdana"/>
                <w:i/>
                <w:noProof/>
                <w:color w:val="000000"/>
                <w:sz w:val="18"/>
              </w:rPr>
            </w:pPr>
            <w:r>
              <w:rPr>
                <w:rFonts w:ascii="Verdana" w:hAnsi="Verdana"/>
                <w:i/>
                <w:noProof/>
                <w:color w:val="000000"/>
                <w:sz w:val="18"/>
              </w:rPr>
              <w:t>Baldai ir transporto priemonės</w:t>
            </w:r>
          </w:p>
        </w:tc>
        <w:tc>
          <w:tcPr>
            <w:tcW w:w="3570"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jc w:val="center"/>
              <w:rPr>
                <w:rFonts w:ascii="Verdana" w:eastAsia="Times New Roman" w:hAnsi="Verdana" w:cs="Verdana"/>
                <w:i/>
                <w:noProof/>
                <w:color w:val="000000"/>
                <w:sz w:val="18"/>
              </w:rPr>
            </w:pPr>
            <w:r>
              <w:rPr>
                <w:rFonts w:ascii="Verdana" w:hAnsi="Verdana"/>
                <w:i/>
                <w:noProof/>
                <w:color w:val="000000"/>
                <w:sz w:val="18"/>
              </w:rPr>
              <w:t>10–25 %</w:t>
            </w:r>
          </w:p>
        </w:tc>
      </w:tr>
      <w:tr>
        <w:trPr>
          <w:trHeight w:hRule="exact" w:val="255"/>
        </w:trPr>
        <w:tc>
          <w:tcPr>
            <w:tcW w:w="3135"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rPr>
                <w:rFonts w:ascii="Verdana" w:eastAsia="Times New Roman" w:hAnsi="Verdana" w:cs="Verdana"/>
                <w:i/>
                <w:noProof/>
                <w:color w:val="000000"/>
                <w:sz w:val="18"/>
              </w:rPr>
            </w:pPr>
            <w:r>
              <w:rPr>
                <w:rFonts w:ascii="Verdana" w:hAnsi="Verdana"/>
                <w:i/>
                <w:noProof/>
                <w:color w:val="000000"/>
                <w:sz w:val="18"/>
              </w:rPr>
              <w:t>Aparatinė įranga</w:t>
            </w:r>
          </w:p>
        </w:tc>
        <w:tc>
          <w:tcPr>
            <w:tcW w:w="3570"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jc w:val="center"/>
              <w:rPr>
                <w:rFonts w:ascii="Verdana" w:eastAsia="Times New Roman" w:hAnsi="Verdana" w:cs="Verdana"/>
                <w:i/>
                <w:noProof/>
                <w:color w:val="000000"/>
                <w:sz w:val="18"/>
              </w:rPr>
            </w:pPr>
            <w:r>
              <w:rPr>
                <w:rFonts w:ascii="Verdana" w:hAnsi="Verdana"/>
                <w:i/>
                <w:noProof/>
                <w:color w:val="000000"/>
                <w:sz w:val="18"/>
              </w:rPr>
              <w:t>25–33 %</w:t>
            </w:r>
          </w:p>
        </w:tc>
      </w:tr>
      <w:tr>
        <w:trPr>
          <w:trHeight w:hRule="exact" w:val="255"/>
        </w:trPr>
        <w:tc>
          <w:tcPr>
            <w:tcW w:w="3135"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rPr>
                <w:rFonts w:ascii="Verdana" w:eastAsia="Times New Roman" w:hAnsi="Verdana" w:cs="Verdana"/>
                <w:i/>
                <w:noProof/>
                <w:color w:val="000000"/>
                <w:sz w:val="18"/>
              </w:rPr>
            </w:pPr>
            <w:r>
              <w:rPr>
                <w:rFonts w:ascii="Verdana" w:hAnsi="Verdana"/>
                <w:i/>
                <w:noProof/>
                <w:color w:val="000000"/>
                <w:sz w:val="18"/>
              </w:rPr>
              <w:t>Kita</w:t>
            </w:r>
          </w:p>
        </w:tc>
        <w:tc>
          <w:tcPr>
            <w:tcW w:w="3570"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jc w:val="center"/>
              <w:rPr>
                <w:rFonts w:ascii="Verdana" w:eastAsia="Times New Roman" w:hAnsi="Verdana" w:cs="Verdana"/>
                <w:i/>
                <w:noProof/>
                <w:color w:val="000000"/>
                <w:sz w:val="18"/>
              </w:rPr>
            </w:pPr>
            <w:r>
              <w:rPr>
                <w:rFonts w:ascii="Verdana" w:hAnsi="Verdana"/>
                <w:i/>
                <w:noProof/>
                <w:color w:val="000000"/>
                <w:sz w:val="18"/>
              </w:rPr>
              <w:t>10–33 %</w:t>
            </w:r>
          </w:p>
        </w:tc>
      </w:tr>
    </w:tbl>
    <w:p>
      <w:pPr>
        <w:pStyle w:val="Textstand-alone"/>
      </w:pPr>
      <w:r>
        <w:t>Perleidimo pelnas arba nuostoliai apskaičiuojami lyginant pajamas, atėmus pardavimo išlaidas, su perleisto turto balansine verte ir įtraukiami į finansinės veiklos ataskaitą.</w:t>
      </w:r>
    </w:p>
    <w:p>
      <w:pPr>
        <w:pStyle w:val="Textstand-alone"/>
        <w:sectPr>
          <w:headerReference w:type="even" r:id="rId119"/>
          <w:headerReference w:type="default" r:id="rId120"/>
          <w:footerReference w:type="even" r:id="rId121"/>
          <w:footerReference w:type="default" r:id="rId122"/>
          <w:headerReference w:type="first" r:id="rId123"/>
          <w:footerReference w:type="first" r:id="rId124"/>
          <w:pgSz w:w="11906" w:h="16838"/>
          <w:pgMar w:top="1134" w:right="1134" w:bottom="1134" w:left="1134" w:header="709" w:footer="709" w:gutter="0"/>
          <w:cols w:space="708"/>
          <w:docGrid w:linePitch="360"/>
        </w:sectPr>
      </w:pPr>
    </w:p>
    <w:p>
      <w:pPr>
        <w:pStyle w:val="HEADER5"/>
        <w:rPr>
          <w:noProof/>
        </w:rPr>
      </w:pPr>
      <w:r>
        <w:rPr>
          <w:noProof/>
        </w:rPr>
        <w:t>Nuoma</w:t>
      </w:r>
    </w:p>
    <w:p>
      <w:pPr>
        <w:pStyle w:val="Textstand-alone"/>
      </w:pPr>
      <w:r>
        <w:t>Nuoma – sutartis, pagal kurią nuomotojas už vieną įmoką ar keletą įmokų suteikia nuomininkui teisę sutartą laikotarpį naudotis turtu. Nuoma skirstoma į finansinę nuomą arba veiklos nuomą.</w:t>
      </w:r>
    </w:p>
    <w:p>
      <w:pPr>
        <w:pStyle w:val="Textstand-alone"/>
      </w:pPr>
      <w:r>
        <w:t xml:space="preserve">Finansinė nuoma – nuoma, kai iš esmės visa su nuosavybe susijusi rizika ir nauda perduodamos nuomininkui. Kai nuomininkas sudaro finansinės nuomos sutartį, pagal finansinės nuomos sutartį įsigytas turtas pripažįstamas turtu, o susiję nuomos įsipareigojimai pripažįstami įsipareigojimais nuo nuomos laikotarpio pradžios. Turtas ir įsipareigojimai pripažįstami sumomis, lygiomis nuomojamo turto tikrajai vertei arba, jei ji mažesnė, dabartinei minimalių įmokų pagal nuomos sutartį vertei. Jos abi nustatomos nuomos pradžioje. Visu nuomos laikotarpiu turto, nuomojamo finansinės nuomos būdu, nusidėvėjimas skaičiuojamas per turto naudojimo trukmę arba per nuomos laikotarpį, atsižvelgiant į tai, kuris iš jų trumpesnis. Minimalias nuomos įmokas sudaro finansinis mokestis (palūkanų elementas) ir neįvykdyto įsipareigojimo sumažėjimas (kapitalo elementas). Finansinis mokestis paskirstomas kiekvienam laikotarpiui per visą nuomos laikotarpį, kad būtų galima nustatyti pastovią periodinę palūkanų normą, taikomą įsipareigojimo likučiui, kuris atitinkamai parodomas kaip trumpalaikis / ilgalaikis. Neapibrėžtieji nuomos mokesčiai turi būti laikomi sąnaudomis jų atsiradimo laikotarpį. </w:t>
      </w:r>
    </w:p>
    <w:p>
      <w:pPr>
        <w:pStyle w:val="Textstand-alone"/>
      </w:pPr>
      <w:r>
        <w:t>Veiklos nuoma – nuoma, išskyrus finansinę nuomą, t. y. nuoma, kai nuomotojas išlaiko iš esmės visą su turto nuosavybe siejamą riziką ir naudą. Kai nuomininkas sudaro veiklos nuomos sutartį, veiklos nuomos mokesčiai finansinės veiklos ataskaitoje pripažįstami sąnaudomis pagal tiesinį metodą atsižvelgiant į nuomos trukmę; nei nuomojamas turtas, nei nuomos įsipareigojimas į finansinės būklės ataskaitą neįtraukiami.</w:t>
      </w:r>
    </w:p>
    <w:p>
      <w:pPr>
        <w:pStyle w:val="HEADER3Part2"/>
        <w:keepNext/>
        <w:rPr>
          <w:noProof/>
        </w:rPr>
      </w:pPr>
      <w:r>
        <w:rPr>
          <w:noProof/>
        </w:rPr>
        <w:t>Nefinansinio turto vertės sumažėjimas</w:t>
      </w:r>
    </w:p>
    <w:p>
      <w:pPr>
        <w:pStyle w:val="Textstand-alone"/>
      </w:pPr>
      <w:r>
        <w:t>Turtas, kurio naudojimo trukmė yra neribota, nėra amortizuojamas ar nudėvimas ir kasmet tikrinama, ar jo vertė nesumažėjo. Tikrinama, ar nesumažėjo amortizuojamo arba nudėvimo turto vertė, kai finansinių ataskaitų datą esama požymių, kad turto vertė gali būti sumažėjusi. Vertės sumažėjimo nuostoliai pripažįstami kaip suma, kuria turto balansinė vertė viršija jo atsiperkamąją (padengimo) vertę. Atsiperkamoji (padengimo) vertė yra lygi turto tikrajai vertei, atėmus pardavimo išlaidas, arba naudojimo vertei, atsižvelgiant į tai, kuri iš jų didesnė.</w:t>
      </w:r>
    </w:p>
    <w:p>
      <w:pPr>
        <w:pStyle w:val="Textstand-alone"/>
      </w:pPr>
      <w:r>
        <w:t>Nematerialiojo turto ir nekilnojamojo turto, įrangos bei įrenginių likutinės vertės ir naudojimo trukmė peržiūrimos ir prireikus koreguojamos bent kartą per metus. Jeigu ankstesniaisiais metais nurodytos vertės sumažėjimo priežastys nebeaktualios, vertės sumažėjimo nuostoliai atitinkamai panaikinami.</w:t>
      </w:r>
      <w:r>
        <w:tab/>
      </w:r>
    </w:p>
    <w:p>
      <w:pPr>
        <w:pStyle w:val="HEADER3Part2"/>
        <w:rPr>
          <w:noProof/>
        </w:rPr>
      </w:pPr>
      <w:bookmarkStart w:id="45" w:name="_Ref471899148"/>
      <w:r>
        <w:rPr>
          <w:noProof/>
        </w:rPr>
        <w:t>Finansinis turtas</w:t>
      </w:r>
      <w:bookmarkEnd w:id="45"/>
    </w:p>
    <w:p>
      <w:pPr>
        <w:pStyle w:val="Textstand-alone"/>
      </w:pPr>
      <w:r>
        <w:t>Finansinis turtas skirstomas į šias kategorijas: „tikrąja verte vertinamas finansinis turtas kaip perteklius arba deficitas“, „paskolos ir gautinos sumos“, „investicijos, į iki išpirkimo termino laikomą finansinį turtą“ ir „parduoti laikomas finansinis turtas“. Dėl finansinių priemonių klasifikavimo nusprendžiama pirminio pripažinimo metu ir jis peržiūrimas paskutinę kiekvieno ataskaitinio laikotarpio dieną.</w:t>
      </w:r>
    </w:p>
    <w:p>
      <w:pPr>
        <w:pStyle w:val="TextSubtitlenumberingRCItalic"/>
        <w:numPr>
          <w:ilvl w:val="0"/>
          <w:numId w:val="114"/>
        </w:numPr>
        <w:ind w:left="284"/>
        <w:rPr>
          <w:noProof/>
        </w:rPr>
      </w:pPr>
      <w:r>
        <w:rPr>
          <w:noProof/>
        </w:rPr>
        <w:t>Tikrąja verte vertinamas finansinis turtas kaip perteklius arba deficitas</w:t>
      </w:r>
    </w:p>
    <w:p>
      <w:pPr>
        <w:pStyle w:val="Textstand-alone"/>
      </w:pPr>
      <w:r>
        <w:t>Finansinis turtas priskiriamas prie šios kategorijos, jeigu jis įsigytas turint pagrindinį tikslą jį greitai parduoti arba jeigu taip nusprendė subjektas. Prie šios kategorijos taip pat priskiriamos išvestinės finansinės priemonės. Šios kategorijos turtas yra priskiriamas prie trumpalaikio turto, jeigu jį tikimasi realizuoti per 12 mėnesių nuo paskutinės ataskaitinio laikotarpio dienos. Šiais finansiniais metais subjektas neturėjo jokių prie šios kategorijos priskiriamų investicijų.</w:t>
      </w:r>
    </w:p>
    <w:p>
      <w:pPr>
        <w:pStyle w:val="TextSubtitlenumberingRCItalic"/>
        <w:numPr>
          <w:ilvl w:val="0"/>
          <w:numId w:val="114"/>
        </w:numPr>
        <w:ind w:left="426" w:hanging="426"/>
        <w:rPr>
          <w:noProof/>
        </w:rPr>
      </w:pPr>
      <w:r>
        <w:rPr>
          <w:noProof/>
        </w:rPr>
        <w:t>Paskolos ir gautinos sumos</w:t>
      </w:r>
    </w:p>
    <w:p>
      <w:pPr>
        <w:pStyle w:val="Textstand-alone"/>
      </w:pPr>
      <w:r>
        <w:t>Paskolos ir gautinos sumos – neišvestinis finansinis turtas su fiksuotais arba nustatomais mokėjimais, nekotiruojamas aktyviojoje rinkoje. Šios sumos atsiranda, kai subjektas tiesiogiai skolininkui suteikia pinigų, prekių arba paslaugų be ketinimo prekiauti gautinomis sumomis. Jos nurodomos kaip ilgalaikis turtas, išskyrus sumas, kurios turi būti sumokėtos per 12 mėnesių nuo paskutinės ataskaitinio laikotarpio dienos. Paskolos ir gautinos sumos apima terminuotuosius indėlius, kurių pradinis terminas viršija tris mėnesius.</w:t>
      </w:r>
    </w:p>
    <w:p>
      <w:pPr>
        <w:pStyle w:val="TextSubtitlenumberingRCItalic"/>
        <w:numPr>
          <w:ilvl w:val="0"/>
          <w:numId w:val="114"/>
        </w:numPr>
        <w:ind w:left="426" w:hanging="426"/>
        <w:rPr>
          <w:noProof/>
        </w:rPr>
      </w:pPr>
      <w:r>
        <w:rPr>
          <w:noProof/>
        </w:rPr>
        <w:t>Investicijos į iki išpirkimo termino laikomą finansinį turtą</w:t>
      </w:r>
    </w:p>
    <w:p>
      <w:pPr>
        <w:pStyle w:val="Textstand-alone"/>
      </w:pPr>
      <w:r>
        <w:t xml:space="preserve">Investicijos į iki išpirkimo termino laikomą finansinį turtą yra neišvestinis finansinis turtas su fiksuotais arba nustatomais mokėjimais bei fiksuotais išpirkimo terminais, kurių subjektas ketina ir gali laikytis. Šiais finansiniais metais subjektas neturėjo jokių prie šios kategorijos priskiriamų investicijų. </w:t>
      </w:r>
    </w:p>
    <w:p>
      <w:pPr>
        <w:pStyle w:val="TextSubtitlenumberingRCItalic"/>
        <w:numPr>
          <w:ilvl w:val="0"/>
          <w:numId w:val="114"/>
        </w:numPr>
        <w:ind w:left="426" w:hanging="426"/>
        <w:rPr>
          <w:noProof/>
        </w:rPr>
      </w:pPr>
      <w:r>
        <w:rPr>
          <w:noProof/>
        </w:rPr>
        <w:t>Parduoti laikomas finansinis turtas</w:t>
      </w:r>
    </w:p>
    <w:p>
      <w:pPr>
        <w:pStyle w:val="Textstand-alone"/>
      </w:pPr>
      <w:r>
        <w:t>Parduoti laikomas finansinis turtas yra neišvestinė finansinė priemonė, kuri arba yra priskirta prie šios kategorijos arba nepatenka į jokią kitą kategoriją. Jis klasifikuojamas arba kaip trumpalaikis arba kaip ilgalaikis turtas, priklausomai nuo laikotarpio, kurį subjektas tikisi jį laikyti ir kuris paprastai yra iki išpirkimo datos. Šiais finansiniais metais subjektas neturėjo jokių prie šios kategorijos priskiriamų investicijų.</w:t>
      </w:r>
    </w:p>
    <w:p>
      <w:pPr>
        <w:pStyle w:val="HEADER5"/>
        <w:keepNext/>
        <w:keepLines/>
        <w:rPr>
          <w:noProof/>
        </w:rPr>
      </w:pPr>
      <w:r>
        <w:rPr>
          <w:noProof/>
        </w:rPr>
        <w:t>Pirminis pripažinimas ir vertinimas</w:t>
      </w:r>
    </w:p>
    <w:p>
      <w:pPr>
        <w:pStyle w:val="Textstand-alone"/>
        <w:keepNext/>
        <w:keepLines/>
      </w:pPr>
      <w:r>
        <w:t>Tikrąja verte vertinamo finansinio turto kaip pertekliaus arba deficito, laikomo iki išpirkimo termino ir parduoti, pirkimas ir pardavimas pripažįstamas prekybos dieną, t. y. tą dieną, kai subjektas įsipareigoja pirkti arba parduoti turtą. Pinigų ekvivalentai ir paskolos pripažįstami tada, kai pinigai laikomi finansų įstaigoje arba iš anksto sumokami skolininkams. Finansinės priemonės pirmą kartą pripažįstamos tikrąja verte. Sandorių, susijusių su visu finansiniu turtu, kuris neapskaitomas tikrąja verte kaip perteklius arba deficitas, išlaidos pridedamos prie tikrosios vertės pirminio pripažinimo metu.</w:t>
      </w:r>
    </w:p>
    <w:p>
      <w:pPr>
        <w:pStyle w:val="Textstand-alone"/>
      </w:pPr>
      <w:r>
        <w:t>Finansinių priemonių pripažinimas nutraukiamas, kai teisių į pinigų srautus iš investicijų galiojimas baigiasi arba subjektas kitai šaliai perleidžia iš esmės visą su nuosavybe susijusią riziką ir naudą.</w:t>
      </w:r>
    </w:p>
    <w:p>
      <w:pPr>
        <w:pStyle w:val="HEADER5"/>
        <w:keepNext/>
        <w:keepLines/>
        <w:rPr>
          <w:noProof/>
        </w:rPr>
      </w:pPr>
      <w:r>
        <w:rPr>
          <w:noProof/>
        </w:rPr>
        <w:t>Vėlesnis vertinimas</w:t>
      </w:r>
    </w:p>
    <w:p>
      <w:pPr>
        <w:pStyle w:val="Textstand-alone"/>
        <w:keepNext/>
        <w:keepLines/>
      </w:pPr>
      <w:r>
        <w:t>Tikrąja verte vertinamas finansinis turtas kaip perteklius arba deficitas vėliau apskaitomas tikrąja verte, įskaitant pelną ir nuostolius, atsirandančius dėl tikrosios vertės pokyčių, įtraukiamus į finansinės veiklos ataskaitą jų atsiradimo laikotarpiu.</w:t>
      </w:r>
    </w:p>
    <w:p>
      <w:pPr>
        <w:pStyle w:val="Textstand-alone"/>
      </w:pPr>
      <w:r>
        <w:t>Paskolos ir gautinos sumos bei iki išpirkimo termino laikomos investicijos yra apskaitomos amortizuota savikaina, taikant faktinių palūkanų metodą.</w:t>
      </w:r>
    </w:p>
    <w:p>
      <w:pPr>
        <w:pStyle w:val="Textstand-alone"/>
      </w:pPr>
      <w:r>
        <w:t xml:space="preserve">Parduoti laikomas finansinis turtas vėliau apskaitomas tikrąja verte. Pelnas ir nuostoliai, atsirandantys dėl tikrosios vertės pokyčių, pripažįstami tikrosios vertės rezerve. Parduoti laikomo finansinio turto palūkanos, apskaičiuotos taikant faktinių palūkanų metodą, pripažįstamos finansinės veiklos ataskaitoje. </w:t>
      </w:r>
    </w:p>
    <w:p>
      <w:pPr>
        <w:pStyle w:val="Textstand-alone"/>
      </w:pPr>
      <w:r>
        <w:t>Paskutinę kiekvieno ataskaitinio laikotarpio dieną subjektas įvertina, ar nėra objektyvių įrodymų apie sumažėjusią finansinio turto vertę ir ar į finansinės veiklos ataskaitą nereikia įtraukti nuostolių dėl vertės sumažėjimo.</w:t>
      </w:r>
    </w:p>
    <w:p>
      <w:pPr>
        <w:pStyle w:val="HEADER3Part2"/>
        <w:rPr>
          <w:noProof/>
        </w:rPr>
      </w:pPr>
      <w:r>
        <w:rPr>
          <w:noProof/>
        </w:rPr>
        <w:t>Išankstinio finansavimo sumos</w:t>
      </w:r>
    </w:p>
    <w:p>
      <w:pPr>
        <w:pStyle w:val="Textstand-alone"/>
      </w:pPr>
      <w:r>
        <w:t xml:space="preserve">Išankstinis finansavimas – tai mokėjimas, kuriuo gavėjui suteikiamas pinigų avansas, t. y. pradinės lėšos. Šios lėšos gali būti padalytos į kelis mokėjimus per konkrečioje sutartyje, sprendime, susitarime arba pagrindiniame teisės akte nustatytą laikotarpį. Pradinės lėšos arba avansas per susitarime nustatytą laikotarpį yra naudojami tuo tikslu, kuriuo buvo išmokėti, arba grąžinami. Jeigu gavėjas nepatiria finansuoti tinkamų išlaidų, jis privalo išankstinį finansavimą grąžinti subjektui. Taigi, kadangi subjektas išlaiko išankstinio finansavimo kontrolę ir turi teisę susigrąžinti reikalavimų neatitinkančią dalį, suma parodoma kaip turtas. </w:t>
      </w:r>
    </w:p>
    <w:p>
      <w:pPr>
        <w:pStyle w:val="Textstand-alone"/>
      </w:pPr>
      <w:r>
        <w:t>Išankstinis finansavimas pirmą kartą pripažįstamas balanse, kai pinigai pervedami gavėjui. Jis vertinamas sumokėto atlygio suma. Vėlesniais laikotarpiais išankstinis finansavimas vertinamas pirmą kartą balanse pripažinta suma, atėmus per laikotarpį patirtas finansuoti tinkamas išlaidas (kai reikia, įskaitant apskaičiuotąsias sumas).</w:t>
      </w:r>
    </w:p>
    <w:p>
      <w:pPr>
        <w:pStyle w:val="HEADER3Part2"/>
        <w:rPr>
          <w:noProof/>
        </w:rPr>
      </w:pPr>
      <w:r>
        <w:rPr>
          <w:noProof/>
        </w:rPr>
        <w:t>Gautinos ir susigrąžintinos sumos</w:t>
      </w:r>
    </w:p>
    <w:p>
      <w:pPr>
        <w:pStyle w:val="Textstand-alone"/>
      </w:pPr>
      <w:r>
        <w:t>Pagal ES apskaitos taisykles reikalaujama prekybos ir neprekybines operacijas parodyti atskirai. Siekiant atskirti šias dvi kategorijas, terminas „gautina suma“ taikomas tik prekybos operacijoms, o neprekybinėms operacijoms, t. y. kai ES gauna vertę iš kito subjekto, mainais tiesiogiai nesuteikdama maždaug vienodos vertės, vartojamas terminas „susigrąžintinos sumos“ (pvz., iš valstybių narių susigrąžintinos sumos, susijusios su nuosavais ištekliais).</w:t>
      </w:r>
    </w:p>
    <w:p>
      <w:pPr>
        <w:pStyle w:val="Textstand-alone"/>
      </w:pPr>
      <w:r>
        <w:t>Iš prekybos operacijų gautinos sumos atitinka finansinių priemonių apibrėžtį, todėl yra priskiriamos prie paskolų ir gautinų sumų kategorijos bei atitinkamai apskaičiuojamos (žr. 1.3.4 pastabą).</w:t>
      </w:r>
    </w:p>
    <w:p>
      <w:pPr>
        <w:pStyle w:val="Textstand-alone"/>
      </w:pPr>
      <w:r>
        <w:t>Iš neprekybinių operacijų susigrąžintinos sumos apskaitomos pradine suma (patikslinta atsižvelgus į palūkanas ir nuobaudas), atėmus vertės sumažinimą dėl vertės sumažėjimo. Vertės sumažinimas dėl vertės sumažėjimo nustatomas tada, kai yra objektyvių įrodymų, kad subjektas negalės surinkti visų pradinio dydžio gautinų sumų. Vertės sumažinimo suma lygi turto balansinės vertės ir atsiperkamosios vertės skirtumui. Vertės sumažinimo suma pripažįstama finansinės veiklos ataskaitoje.</w:t>
      </w:r>
    </w:p>
    <w:p>
      <w:pPr>
        <w:pStyle w:val="HEADER3Part2"/>
        <w:rPr>
          <w:noProof/>
        </w:rPr>
      </w:pPr>
      <w:r>
        <w:rPr>
          <w:noProof/>
        </w:rPr>
        <w:t>Pinigai ir pinigų ekvivalentai</w:t>
      </w:r>
    </w:p>
    <w:p>
      <w:pPr>
        <w:pStyle w:val="Textstand-alone"/>
      </w:pPr>
      <w:r>
        <w:t>Pinigai ir pinigų ekvivalentai yra finansinės priemonės, jie apima pinigus kasoje, bankuose laikomus indėlius iki pareikalavimo arba trumpalaikius indėlius ir kitas trumpalaikes itin likvidžias investicijas, kurių pradinis terminas ne ilgesnis kaip trys mėnesiai.</w:t>
      </w:r>
    </w:p>
    <w:p>
      <w:pPr>
        <w:pStyle w:val="HEADER3Part2"/>
        <w:rPr>
          <w:noProof/>
        </w:rPr>
      </w:pPr>
      <w:r>
        <w:rPr>
          <w:noProof/>
        </w:rPr>
        <w:t>Atidėjiniai</w:t>
      </w:r>
    </w:p>
    <w:p>
      <w:pPr>
        <w:pStyle w:val="Textstand-alone"/>
      </w:pPr>
      <w:r>
        <w:t>Atidėjiniai pripažįstami tuomet, kai subjektas turi dabartinį teisinį arba konstruktyvų įsipareigojimą trečiosioms šalims, susijusį su praeities įvykiais, ir labai tikėtina, kad įsipareigojimui įvykdyti bus reikalingos išteklių išmokos, o suma gali būti patikimai įvertinta. Atidėjiniai būsimiems veiklos nuostoliams nepripažįstami. Atidėjinio suma yra tiksliausias išlaidų, kurios, kaip numatoma, gali būti reikalingos finansinių ataskaitų sudarymo dieną turimam įsipareigojimui padengti, įvertis. Kai atidėjinys susijęs su daug punktų, įsipareigojimas vertinamas apskaičiuojant visus galimus rezultatus ir jų tikimybę (tikėtinos vertės metodas).</w:t>
      </w:r>
    </w:p>
    <w:p>
      <w:pPr>
        <w:pStyle w:val="Textstand-alone"/>
      </w:pPr>
      <w:r>
        <w:t>Atidėjiniai nuostolingoms sutartims vertinami numatomų sutarties nutraukimo išlaidų arba numatomų grynųjų sutarties tęsimo išlaidų (priklausomai nuo to, kurios yra mažesnės) dabartine verte.</w:t>
      </w:r>
    </w:p>
    <w:p>
      <w:pPr>
        <w:pStyle w:val="HEADER3Part2"/>
        <w:rPr>
          <w:noProof/>
        </w:rPr>
      </w:pPr>
      <w:r>
        <w:rPr>
          <w:noProof/>
        </w:rPr>
        <w:t>Mokėtinos sumos</w:t>
      </w:r>
    </w:p>
    <w:p>
      <w:pPr>
        <w:pStyle w:val="Textstand-alone"/>
      </w:pPr>
      <w:r>
        <w:t xml:space="preserve">Mokėtinos sumos apima sumas, susijusias ir su prekybos operacijomis, kaip antai prekių ir paslaugų pirkimu, ir su neprekybinėmis operacijomis, pvz., su dotacijų arba kitokio ES finansavimo gavėjų prašymais padengti išlaidas arba gautu išankstiniu finansavimu (žr. </w:t>
      </w:r>
      <w:r>
        <w:rPr>
          <w:b/>
        </w:rPr>
        <w:t>1.4.1</w:t>
      </w:r>
      <w:r>
        <w:t xml:space="preserve"> pastabą). </w:t>
      </w:r>
    </w:p>
    <w:p>
      <w:pPr>
        <w:pStyle w:val="Textstand-alone"/>
      </w:pPr>
      <w:r>
        <w:t>Kai gavėjams skiriamos dotacijos ar kitoks finansavimas, prašymai padengti išlaidas įrašomi kaip mokėtinos sumos, lygios prašomai sumai, kai gaunamas prašymas padengti išlaidas. Atlikus patikrinimą ir priėmus finansuoti tinkamas išlaidas, mokėtinos sumos vertinamos patvirtintos ir reikalavimus atitinkančios sumos dydžiu.</w:t>
      </w:r>
    </w:p>
    <w:p>
      <w:pPr>
        <w:pStyle w:val="Textstand-alone"/>
      </w:pPr>
      <w:r>
        <w:t>Mokėtinos sumos, susijusios su prekių ir paslaugų pirkimu, pripažįstamos gavus pradinės sumos sąskaitą faktūrą, o susijusios išlaidos įtraukiamos į apskaitą, kai prekės yra pristatytos arba paslaugos suteiktos ir kai jas priima subjektas.</w:t>
      </w:r>
    </w:p>
    <w:p>
      <w:pPr>
        <w:pStyle w:val="HEADER3Part2"/>
        <w:rPr>
          <w:noProof/>
        </w:rPr>
      </w:pPr>
      <w:r>
        <w:rPr>
          <w:noProof/>
        </w:rPr>
        <w:t>Sukauptos ir būsimojo laikotarpio pajamos bei sąnaudos</w:t>
      </w:r>
    </w:p>
    <w:p>
      <w:pPr>
        <w:pStyle w:val="DGTextstand-alone"/>
      </w:pPr>
      <w:r>
        <w:t>Operacijos ir įvykiai finansinėse ataskaitose pripažįstami tuo laikotarpiu, su kuriuo jie susiję. Metų pabaigoje, jeigu paslauga buvo suteikta, subjektas pristatė prekes arba yra sudarytas sutartinis susitarimas (pavyzdžiui, remiantis sutartimi), bet sąskaita faktūra dar neišrašyta, sukauptos pajamos bus pripažintos finansinėse atskaitose. Be to, metų pabaigoje, jeigu sąskaita faktūra išrašyta, o paslaugos dar nesuteiktos arba prekės dar nepristatytos, pajamos bus atidėtos ir pripažintos kitą ataskaitinį laikotarpį.</w:t>
      </w:r>
    </w:p>
    <w:p>
      <w:pPr>
        <w:pStyle w:val="DGTextstand-alone"/>
      </w:pPr>
      <w:r>
        <w:t xml:space="preserve">Išlaidos taip pat apskaitomos tuo laikotarpiu, su kuriuo jos susijusios. Sukauptos sąnaudos ataskaitinio laikotarpio pabaigoje pripažįstamos remiantis apskaičiuotąja pervedimo įsipareigojimo, kuris turi būti atliktas per tam tikrą laikotarpį, suma. Sukauptos sąnaudos skaičiuojamos pagal išsamias apskaitos pareigūno parengtas veiklos ir praktines gaires, kurių tikslas – užtikrinti, kad finansinėse ataskaitose būtų sąžiningai nurodyti ekonominiai ir kiti įvykiai, kurie turi būti nurodyti. Analogiškai, kai mokėjimas už dar nesuteiktas paslaugas arba dar nepristatytas prekes atliekamas avansu, išlaidos bus atidėtos ir pripažintos kitą ataskaitinį laikotarpį. </w:t>
      </w:r>
    </w:p>
    <w:p>
      <w:pPr>
        <w:pStyle w:val="DGTextstand-alone"/>
      </w:pPr>
    </w:p>
    <w:p>
      <w:pPr>
        <w:pStyle w:val="HEADER2Part2"/>
        <w:spacing w:before="0"/>
        <w:rPr>
          <w:noProof/>
        </w:rPr>
      </w:pPr>
      <w:r>
        <w:rPr>
          <w:noProof/>
        </w:rPr>
        <w:t>FINANSINĖS VEIKLOS ATASKAITA</w:t>
      </w:r>
    </w:p>
    <w:p>
      <w:pPr>
        <w:pStyle w:val="HEADER3Part2"/>
        <w:rPr>
          <w:noProof/>
        </w:rPr>
      </w:pPr>
      <w:r>
        <w:rPr>
          <w:noProof/>
        </w:rPr>
        <w:t>Pajamos</w:t>
      </w:r>
    </w:p>
    <w:p>
      <w:pPr>
        <w:pStyle w:val="Textstand-alone"/>
      </w:pPr>
      <w:r>
        <w:t xml:space="preserve">Pajamos apima subjekto gautas ir gautinas bendrosios ekonominės naudos įplaukas ar naudojimo galimybes, kurios lemia grynojo turto padidėjimą (o šis padidėjimas atsiranda ne dėl savininkų įnašų). </w:t>
      </w:r>
    </w:p>
    <w:p>
      <w:pPr>
        <w:pStyle w:val="Textstand-alone"/>
      </w:pPr>
      <w:r>
        <w:t>Atsižvelgiant į susijusių operacijų pobūdį, finansinės veiklos ataskaitoje išskiriamos:</w:t>
      </w:r>
    </w:p>
    <w:p>
      <w:pPr>
        <w:pStyle w:val="TextSubtitlenumberingRCItalic"/>
        <w:numPr>
          <w:ilvl w:val="0"/>
          <w:numId w:val="16"/>
        </w:numPr>
        <w:rPr>
          <w:noProof/>
        </w:rPr>
      </w:pPr>
      <w:r>
        <w:rPr>
          <w:noProof/>
        </w:rPr>
        <w:t>Pajamos iš neprekybinių operacijų</w:t>
      </w:r>
    </w:p>
    <w:p>
      <w:pPr>
        <w:pStyle w:val="Textstand-alone"/>
      </w:pPr>
      <w:r>
        <w:t xml:space="preserve">Pajamos iš neprekybinių operacijų yra mokesčiai ir pervedimai, kadangi perdavėjas pateikia išteklius subjektui gavėjui, o subjektas gavėjas tiesiogiai mainais nepateikia maždaug vienodos vertės išteklių. </w:t>
      </w:r>
    </w:p>
    <w:p>
      <w:pPr>
        <w:pStyle w:val="Textstand-alone"/>
      </w:pPr>
      <w:r>
        <w:t>Pervedimai – tai kitokios nei mokesčiai, su neprekybinėmis operacijomis susijusios ateityje gautinos ekonominės naudos įplaukos arba naudojimo galimybės. Subjektas pervestą turtą pripažįsta tada, kai jis kontroliuoja išteklius dėl praeities įvykio (pervedimo) ir tikisi iš jų gauti būsimos ekonominės naudos arba naudojimo galimybių, ir kai galima patikimai nustatyti tikrąją vertę. Dėl neprekybinės operacijos gaunami ištekliai, pripažinti kaip turtas (pvz., pinigai), taip pat pripažįstami kaip pajamos, išskyrus atvejus, kai subjektas turi dabartinį įsipareigojimą to pervedimo atžvilgiu (jam taikoma sąlyga), kuri turi būti įvykdyta, kad pajamas būtų galima pripažinti. Kol sąlyga neįvykdoma, pajamos atidedamos ir pripažįstamos kaip įsipareigojimas (gautas išankstinis finansavimas).</w:t>
      </w:r>
    </w:p>
    <w:p>
      <w:pPr>
        <w:pStyle w:val="TextSubtitlenumberingRCItalic"/>
        <w:numPr>
          <w:ilvl w:val="0"/>
          <w:numId w:val="16"/>
        </w:numPr>
        <w:rPr>
          <w:noProof/>
        </w:rPr>
      </w:pPr>
      <w:r>
        <w:rPr>
          <w:noProof/>
        </w:rPr>
        <w:t>Pajamos iš prekybos operacijų</w:t>
      </w:r>
    </w:p>
    <w:p>
      <w:pPr>
        <w:pStyle w:val="Textstand-alone"/>
      </w:pPr>
      <w:r>
        <w:t>Prekių ir paslaugų pardavimo pajamos pripažįstamos, kai didžioji su prekių nuosavybe susijusios rizikos ir naudos dalis perduodama pirkėjui. Su paslaugų teikimu susijusio sandorio pajamos pripažįstamos atsižvelgiant į sandorio baigtumo laipsnį finansinių ataskaitų sudarymo dieną.</w:t>
      </w:r>
    </w:p>
    <w:p>
      <w:pPr>
        <w:pStyle w:val="HEADER3Part2"/>
        <w:rPr>
          <w:noProof/>
        </w:rPr>
      </w:pPr>
      <w:r>
        <w:rPr>
          <w:noProof/>
        </w:rPr>
        <w:t>Išlaidos</w:t>
      </w:r>
    </w:p>
    <w:p>
      <w:pPr>
        <w:pStyle w:val="Textstand-alone"/>
      </w:pPr>
      <w:r>
        <w:t xml:space="preserve">Išlaidos yra ekonominės naudos arba naudojimo galimybių sumažėjimas ataskaitiniu laikotarpiu dėl turto netekimo ar panaudojimo arba prisiimtų įsipareigojimų, dėl kurių sumažėja grynasis turtas (nuosavas kapitalas). Išlaidos apima tiek prekybos, tiek neprekybinių operacijų išlaidas. </w:t>
      </w:r>
    </w:p>
    <w:p>
      <w:pPr>
        <w:pStyle w:val="Textstand-alone"/>
      </w:pPr>
      <w:r>
        <w:t xml:space="preserve">Prekybos operacijų išlaidos, patiriamos perkant prekes ir paslaugas, pripažįstamos, kai prekės pristatomos ir subjektas jas priima. Jos vertinamos pradine sąskaitoje faktūroje nurodyta suma. Be to, paskutinę ataskaitinio laikotarpio dieną išlaidos, susijusios su per laikotarpį suteikta paslauga, už kurią sąskaita faktūra dar negauta arba nepriimta, pripažįstamos finansinės veiklos ataskaitoje. </w:t>
      </w:r>
    </w:p>
    <w:p>
      <w:pPr>
        <w:pStyle w:val="Textstand-alone"/>
      </w:pPr>
      <w:r>
        <w:t>Neprekybinių operacijų išlaidos yra susijusios su pervedimais gavėjams ir gali būti trijų rūšių: teisės į gautinas sumas, pervedimai pagal susitarimą ir atskiros dotacijos, įnašai ir dovanojamos lėšos. Pervedimai pripažįstami sąnaudomis tą laikotarpį, kurį įvyko įvykiai, dėl kurių buvo atliktas pervedimas, jeigu tik pervedimo pobūdis yra leidžiamas pagal reglamentą arba yra pasirašytas susitarimas, pagal kurį leidžiama atlikti pervedimą; gavėjas atitiko visus tinkamumo kriterijus; galima pagrįstai apskaičiuoti sumą.</w:t>
      </w:r>
    </w:p>
    <w:p>
      <w:pPr>
        <w:pStyle w:val="Textstand-alone"/>
      </w:pPr>
      <w:r>
        <w:t>Kai gaunamas bet koks pripažinimo kriterijus atitinkantis mokėjimo prašymas arba prašymas padengti išlaidas, jie pripažįstami išlaidomis, lygiomis reikalavimus atitinkančiai sumai. Finansuoti tinkamos išlaidos, kurios turi būti kompensuotos gavėjams, tačiau apie kurias dar nėra pranešta, metų pabaigoje yra įvertinamos ir įrašomos kaip sukauptos sąnaudos.</w:t>
      </w:r>
    </w:p>
    <w:p>
      <w:pPr>
        <w:pStyle w:val="HEADER2Part2"/>
        <w:keepNext/>
        <w:keepLines/>
        <w:rPr>
          <w:noProof/>
        </w:rPr>
      </w:pPr>
      <w:r>
        <w:rPr>
          <w:noProof/>
        </w:rPr>
        <w:t>NEAPIBRĖŽTASIS TURTAS IR NEAPIBRĖŽTIEJI ĮSIPAREIGOJIMAI</w:t>
      </w:r>
    </w:p>
    <w:p>
      <w:pPr>
        <w:pStyle w:val="HEADER3Part2"/>
        <w:keepNext/>
        <w:keepLines/>
        <w:rPr>
          <w:noProof/>
        </w:rPr>
      </w:pPr>
      <w:r>
        <w:rPr>
          <w:noProof/>
        </w:rPr>
        <w:t xml:space="preserve">Neapibrėžtasis turtas </w:t>
      </w:r>
    </w:p>
    <w:p>
      <w:pPr>
        <w:pStyle w:val="Textstand-alone"/>
        <w:keepNext/>
        <w:keepLines/>
      </w:pPr>
      <w:r>
        <w:t>Neapibrėžtasis turtas – dėl praeities įvykių galintis atsirasti turtas, kurio buvimas bus patvirtintas tiktai įvykus arba neįvykus vienam ar daugiau subjekto nevisiškai kontroliuojamų neapibrėžtų būsimųjų įvykių. Neapibrėžtasis turtas parodomas, kai tikimasi gauti ekonominės naudos arba turėti naudojimo galimybių.</w:t>
      </w:r>
    </w:p>
    <w:p>
      <w:pPr>
        <w:pStyle w:val="HEADER3Part2"/>
        <w:rPr>
          <w:noProof/>
        </w:rPr>
      </w:pPr>
      <w:r>
        <w:rPr>
          <w:noProof/>
        </w:rPr>
        <w:t xml:space="preserve">Neapibrėžtieji įsipareigojimai </w:t>
      </w:r>
    </w:p>
    <w:p>
      <w:pPr>
        <w:pStyle w:val="Textstand-alone"/>
      </w:pPr>
      <w:r>
        <w:t>Neapibrėžtasis įsipareigojimas – dėl praeities įvykių galintis atsirasti įsipareigojimas, kurio buvimas bus patvirtintas tiktai įvykus arba neįvykus vienam ar daugiau subjekto nevisiškai kontroliuojamų neapibrėžtų būsimų įvykių, arba dabartinis įsipareigojimas, atsiradęs dėl praeities įvykių, kuris dar nėra pripažintas, nes nėra tikėtina, kad įsipareigojimui įvykdyti bus reikalingi ekonominę naudą arba naudojimo galimybių teikiantys ištekliai, arba retais atvejais – kai įsipareigojimo suma negali būti pakankamai patikimai nustatyta.</w:t>
      </w:r>
      <w:bookmarkEnd w:id="41"/>
      <w:r>
        <w:t xml:space="preserve"> Neapibrėžtasis įsipareigojimas parodomas, nebent ekonominę naudą teikiančių išteklių išmokų arba naudojimo galimybių tikimybė yra maža.</w:t>
      </w:r>
    </w:p>
    <w:p>
      <w:pPr>
        <w:pStyle w:val="Textstand-alone"/>
        <w:sectPr>
          <w:headerReference w:type="even" r:id="rId125"/>
          <w:headerReference w:type="default" r:id="rId126"/>
          <w:footerReference w:type="even" r:id="rId127"/>
          <w:footerReference w:type="default" r:id="rId128"/>
          <w:headerReference w:type="first" r:id="rId129"/>
          <w:footerReference w:type="first" r:id="rId130"/>
          <w:pgSz w:w="11906" w:h="16838"/>
          <w:pgMar w:top="1134" w:right="1134" w:bottom="1134" w:left="1134" w:header="709" w:footer="709" w:gutter="0"/>
          <w:cols w:space="708"/>
          <w:docGrid w:linePitch="360"/>
        </w:sectPr>
      </w:pPr>
    </w:p>
    <w:bookmarkEnd w:id="42"/>
    <w:p>
      <w:pPr>
        <w:pStyle w:val="Textstand-alone"/>
        <w:sectPr>
          <w:headerReference w:type="even" r:id="rId131"/>
          <w:headerReference w:type="default" r:id="rId132"/>
          <w:footerReference w:type="even" r:id="rId133"/>
          <w:footerReference w:type="default" r:id="rId134"/>
          <w:headerReference w:type="first" r:id="rId135"/>
          <w:footerReference w:type="first" r:id="rId136"/>
          <w:type w:val="continuous"/>
          <w:pgSz w:w="11906" w:h="16838"/>
          <w:pgMar w:top="1134" w:right="1134" w:bottom="1134" w:left="1134" w:header="709" w:footer="709" w:gutter="0"/>
          <w:cols w:space="708"/>
          <w:docGrid w:linePitch="360"/>
        </w:sectPr>
      </w:pPr>
    </w:p>
    <w:p>
      <w:pPr>
        <w:pStyle w:val="HEADER2Part2"/>
        <w:rPr>
          <w:noProof/>
        </w:rPr>
      </w:pPr>
      <w:bookmarkStart w:id="46" w:name="_DMBM_18490"/>
      <w:r>
        <w:rPr>
          <w:noProof/>
        </w:rPr>
        <w:t>BENDRAS FINANSAVIMAS</w:t>
      </w:r>
    </w:p>
    <w:p>
      <w:pPr>
        <w:pStyle w:val="Textstand-alone"/>
      </w:pPr>
      <w:r>
        <w:t>Gauti bendro finansavimo įnašai atitinka sąlyginių pajamų iš neprekybinių operacijų kriterijus ir yra parodyti kaip valstybėms narėms, ne valstybėms narėms ir kitiems subjektams mokėtinos sumos. EPF turi panaudoti įnašus paslaugoms trečiosioms šalims teikti, o jei to nedaro – turi grąžinti turtą (gautus įnašus). Likusią mokėtiną bendro finansavimo susitarimų sumą sudaro gauti bendro finansavimo įnašai, atėmus su projektu susijusias patirtas išlaidas. Grynajam turtui tai nedaro jokio poveikio.</w:t>
      </w:r>
    </w:p>
    <w:p>
      <w:pPr>
        <w:pStyle w:val="Textstand-alone"/>
      </w:pPr>
      <w:r>
        <w:t>Su bendro finansavimo projektais susijusios išlaidos pripažįstamos tuomet, kai patiriamos. Atitinkama įnašų suma pripažįstama kaip veiklos pajamos ir ekonominiam tų metų rezultatui tai nedaro jokio poveikio.</w:t>
      </w:r>
    </w:p>
    <w:p>
      <w:pPr>
        <w:pStyle w:val="Textstand-alone"/>
      </w:pPr>
    </w:p>
    <w:bookmarkEnd w:id="46"/>
    <w:p>
      <w:pPr>
        <w:pStyle w:val="Textstand-alone"/>
        <w:spacing w:before="0" w:after="0"/>
        <w:sectPr>
          <w:headerReference w:type="even" r:id="rId137"/>
          <w:headerReference w:type="default" r:id="rId138"/>
          <w:footerReference w:type="even" r:id="rId139"/>
          <w:footerReference w:type="default" r:id="rId140"/>
          <w:headerReference w:type="first" r:id="rId141"/>
          <w:footerReference w:type="first" r:id="rId142"/>
          <w:type w:val="continuous"/>
          <w:pgSz w:w="11906" w:h="16838"/>
          <w:pgMar w:top="1134" w:right="1134" w:bottom="1134" w:left="1134" w:header="709" w:footer="709" w:gutter="0"/>
          <w:cols w:space="708"/>
          <w:docGrid w:linePitch="360"/>
        </w:sectPr>
      </w:pPr>
    </w:p>
    <w:p>
      <w:pPr>
        <w:pStyle w:val="HEADER1Part2"/>
        <w:rPr>
          <w:noProof/>
        </w:rPr>
      </w:pPr>
      <w:bookmarkStart w:id="47" w:name="_DMBM_18996"/>
      <w:r>
        <w:rPr>
          <w:noProof/>
        </w:rPr>
        <w:t>BALANSO PASTABOS</w:t>
      </w:r>
    </w:p>
    <w:p>
      <w:pPr>
        <w:pStyle w:val="HEADERTABLE"/>
        <w:rPr>
          <w:noProof/>
        </w:rPr>
      </w:pPr>
      <w:r>
        <w:rPr>
          <w:noProof/>
        </w:rPr>
        <w:t>TURTAS</w:t>
      </w:r>
    </w:p>
    <w:p>
      <w:pPr>
        <w:pStyle w:val="HEADER2Part2"/>
        <w:rPr>
          <w:noProof/>
        </w:rPr>
      </w:pPr>
      <w:r>
        <w:rPr>
          <w:noProof/>
        </w:rPr>
        <w:t>FINANSINIS TURTAS</w:t>
      </w:r>
    </w:p>
    <w:p>
      <w:pPr>
        <w:pStyle w:val="Textstand-alone"/>
        <w:spacing w:after="360"/>
      </w:pPr>
      <w:r>
        <w:t>2019 m. gruodžio 31 d. EPF finansinio turto vertė siekė 36 mln. EUR (2018 m. – nulį). Jį sudarė parduoti laikomas finansinis turtas, kuris beveik visas yra investicijos į nuosavo kapitalo priemones.</w:t>
      </w:r>
    </w:p>
    <w:p>
      <w:pPr>
        <w:pStyle w:val="HEADER2Part2"/>
        <w:spacing w:before="0" w:after="120"/>
        <w:rPr>
          <w:noProof/>
        </w:rPr>
      </w:pPr>
      <w:bookmarkStart w:id="48" w:name="_Ref35550594"/>
      <w:r>
        <w:rPr>
          <w:noProof/>
        </w:rPr>
        <w:t>IŠANKSTINIS FINANSAVIMAS</w:t>
      </w:r>
      <w:bookmarkEnd w:id="48"/>
    </w:p>
    <w:p>
      <w:pPr>
        <w:pStyle w:val="Textstand-alone"/>
        <w:spacing w:before="0"/>
      </w:pPr>
      <w:r>
        <w:t>Pagal daugumą sutarčių numatoma, kad išankstiniai mokėjimai atliekami iki darbų pradžios, tiekiamų prekių pristatymo arba paslaugų suteikimo. Kartais sutartyse pateiktame mokėjimų tvarkaraštyje numatoma mokėjimus atlikti atsižvelgiant į pažangos ataskaitas. Išankstinis finansavimas paprastai atliekamas šalies arba teritorijos, kurioje vykdomas projektas, valiuta.</w:t>
      </w:r>
    </w:p>
    <w:p>
      <w:pPr>
        <w:pStyle w:val="Textstand-alone"/>
        <w:spacing w:after="0"/>
      </w:pPr>
      <w:r>
        <w:t>Pagal išankstinio finansavimo galimo panaudojimo laiką nustatoma, ar išankstinis finansavimas bus parodomas kaip trumpalaikis ar kaip ilgalaikis. Panaudojimo laikas nustatytas su projektu susijusiame susitarime. Visos sumos, panaudotinos per dvylikos mėnesių terminą nuo finansinių ataskaitų sudarymo dienos, parodomos kaip trumpalaikis išankstinis finansavimas. Kadangi dauguma EPF projektų yra ilgalaikiai, jiems skiriamais išankstiniais mokėjimais turėtų būti galima naudotis ilgiau nei vienus metus. Todėl šios išankstinio finansavimo sumos parodomos kaip ilgalaikis turtas.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5"/>
        <w:gridCol w:w="1221"/>
        <w:gridCol w:w="870"/>
        <w:gridCol w:w="682"/>
        <w:gridCol w:w="847"/>
        <w:gridCol w:w="846"/>
        <w:gridCol w:w="1411"/>
        <w:gridCol w:w="1376"/>
      </w:tblGrid>
      <w:tr>
        <w:trPr>
          <w:trHeight w:val="255"/>
        </w:trPr>
        <w:tc>
          <w:tcPr>
            <w:tcW w:w="2505" w:type="dxa"/>
            <w:gridSpan w:val="8"/>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6"/>
              </w:rPr>
            </w:pPr>
            <w:bookmarkStart w:id="49" w:name="DOC_TBL00013_1_1"/>
            <w:bookmarkEnd w:id="49"/>
            <w:r>
              <w:rPr>
                <w:rFonts w:ascii="Verdana" w:hAnsi="Verdana"/>
                <w:i/>
                <w:noProof/>
                <w:color w:val="000000"/>
                <w:sz w:val="16"/>
              </w:rPr>
              <w:t>mln. EUR</w:t>
            </w:r>
          </w:p>
        </w:tc>
      </w:tr>
      <w:tr>
        <w:trPr>
          <w:trHeight w:val="255"/>
        </w:trPr>
        <w:tc>
          <w:tcPr>
            <w:tcW w:w="250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F"/>
              <w:jc w:val="center"/>
              <w:rPr>
                <w:rFonts w:ascii="Verdana" w:eastAsia="Times New Roman" w:hAnsi="Verdana" w:cs="Verdana"/>
                <w:noProof/>
                <w:color w:val="FFFFFF"/>
              </w:rPr>
            </w:pPr>
          </w:p>
        </w:tc>
        <w:tc>
          <w:tcPr>
            <w:tcW w:w="122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F"/>
              <w:jc w:val="center"/>
              <w:rPr>
                <w:rFonts w:ascii="Verdana" w:eastAsia="Times New Roman" w:hAnsi="Verdana" w:cs="Verdana"/>
                <w:noProof/>
                <w:color w:val="FFFFFF"/>
              </w:rPr>
            </w:pPr>
            <w:r>
              <w:rPr>
                <w:rFonts w:ascii="Verdana" w:hAnsi="Verdana"/>
                <w:noProof/>
                <w:color w:val="FFFFFF"/>
              </w:rPr>
              <w:t>Pastaba</w:t>
            </w:r>
          </w:p>
        </w:tc>
        <w:tc>
          <w:tcPr>
            <w:tcW w:w="87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F"/>
              <w:jc w:val="right"/>
              <w:rPr>
                <w:rFonts w:ascii="Verdana" w:eastAsia="Times New Roman" w:hAnsi="Verdana" w:cs="Verdana"/>
                <w:noProof/>
                <w:color w:val="FFFFFF"/>
              </w:rPr>
            </w:pPr>
            <w:r>
              <w:rPr>
                <w:rFonts w:ascii="Verdana" w:hAnsi="Verdana"/>
                <w:noProof/>
                <w:color w:val="FFFFFF"/>
              </w:rPr>
              <w:t>8-asis EPF</w:t>
            </w:r>
          </w:p>
        </w:tc>
        <w:tc>
          <w:tcPr>
            <w:tcW w:w="68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F"/>
              <w:jc w:val="right"/>
              <w:rPr>
                <w:rFonts w:ascii="Verdana" w:eastAsia="Times New Roman" w:hAnsi="Verdana" w:cs="Verdana"/>
                <w:noProof/>
                <w:color w:val="FFFFFF"/>
              </w:rPr>
            </w:pPr>
            <w:r>
              <w:rPr>
                <w:rFonts w:ascii="Verdana" w:hAnsi="Verdana"/>
                <w:noProof/>
                <w:color w:val="FFFFFF"/>
              </w:rPr>
              <w:t>9-asis EPF</w:t>
            </w:r>
          </w:p>
        </w:tc>
        <w:tc>
          <w:tcPr>
            <w:tcW w:w="84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F"/>
              <w:jc w:val="right"/>
              <w:rPr>
                <w:rFonts w:ascii="Verdana" w:eastAsia="Times New Roman" w:hAnsi="Verdana" w:cs="Verdana"/>
                <w:noProof/>
                <w:color w:val="FFFFFF"/>
              </w:rPr>
            </w:pPr>
            <w:r>
              <w:rPr>
                <w:rFonts w:ascii="Verdana" w:hAnsi="Verdana"/>
                <w:noProof/>
                <w:color w:val="FFFFFF"/>
              </w:rPr>
              <w:t>10-asis EPF</w:t>
            </w:r>
          </w:p>
        </w:tc>
        <w:tc>
          <w:tcPr>
            <w:tcW w:w="84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F"/>
              <w:jc w:val="right"/>
              <w:rPr>
                <w:rFonts w:ascii="Verdana" w:eastAsia="Times New Roman" w:hAnsi="Verdana" w:cs="Verdana"/>
                <w:noProof/>
                <w:color w:val="FFFFFF"/>
              </w:rPr>
            </w:pPr>
            <w:r>
              <w:rPr>
                <w:rFonts w:ascii="Verdana" w:hAnsi="Verdana"/>
                <w:noProof/>
                <w:color w:val="FFFFFF"/>
              </w:rPr>
              <w:t>11-asis EPF</w:t>
            </w:r>
          </w:p>
        </w:tc>
        <w:tc>
          <w:tcPr>
            <w:tcW w:w="141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F"/>
              <w:jc w:val="right"/>
              <w:rPr>
                <w:rFonts w:ascii="Verdana" w:eastAsia="Times New Roman" w:hAnsi="Verdana" w:cs="Verdana"/>
                <w:noProof/>
                <w:color w:val="FFFFFF"/>
              </w:rPr>
            </w:pPr>
            <w:r>
              <w:rPr>
                <w:rFonts w:ascii="Verdana" w:hAnsi="Verdana"/>
                <w:noProof/>
                <w:color w:val="FFFFFF"/>
              </w:rPr>
              <w:t>2019 12 31</w:t>
            </w:r>
          </w:p>
        </w:tc>
        <w:tc>
          <w:tcPr>
            <w:tcW w:w="137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F"/>
              <w:jc w:val="right"/>
              <w:rPr>
                <w:rFonts w:ascii="Verdana" w:eastAsia="Times New Roman" w:hAnsi="Verdana" w:cs="Verdana"/>
                <w:noProof/>
                <w:color w:val="FFFFFF"/>
              </w:rPr>
            </w:pPr>
            <w:r>
              <w:rPr>
                <w:rFonts w:ascii="Verdana" w:hAnsi="Verdana"/>
                <w:noProof/>
                <w:color w:val="FFFFFF"/>
              </w:rPr>
              <w:t>2018 12 31</w:t>
            </w:r>
          </w:p>
        </w:tc>
      </w:tr>
      <w:tr>
        <w:trPr>
          <w:trHeight w:val="255"/>
        </w:trPr>
        <w:tc>
          <w:tcPr>
            <w:tcW w:w="2505" w:type="dxa"/>
            <w:tcBorders>
              <w:top w:val="nil"/>
              <w:left w:val="nil"/>
              <w:bottom w:val="nil"/>
              <w:right w:val="nil"/>
            </w:tcBorders>
            <w:tcMar>
              <w:top w:w="0" w:type="dxa"/>
              <w:left w:w="60" w:type="dxa"/>
              <w:bottom w:w="0" w:type="dxa"/>
              <w:right w:w="60" w:type="dxa"/>
            </w:tcMar>
            <w:vAlign w:val="center"/>
          </w:tcPr>
          <w:p>
            <w:pPr>
              <w:pStyle w:val="DMETW18983BIPPF"/>
              <w:rPr>
                <w:rFonts w:ascii="Verdana" w:eastAsia="Times New Roman" w:hAnsi="Verdana" w:cs="Verdana"/>
                <w:i/>
                <w:noProof/>
                <w:color w:val="000000"/>
                <w:sz w:val="18"/>
              </w:rPr>
            </w:pPr>
            <w:r>
              <w:rPr>
                <w:rFonts w:ascii="Verdana" w:hAnsi="Verdana"/>
                <w:i/>
                <w:noProof/>
                <w:color w:val="000000"/>
                <w:sz w:val="18"/>
              </w:rPr>
              <w:t>Ilgalaikis išankstinis finansavimas</w:t>
            </w:r>
          </w:p>
        </w:tc>
        <w:tc>
          <w:tcPr>
            <w:tcW w:w="1221" w:type="dxa"/>
            <w:tcBorders>
              <w:top w:val="nil"/>
              <w:left w:val="nil"/>
              <w:bottom w:val="nil"/>
              <w:right w:val="nil"/>
            </w:tcBorders>
            <w:tcMar>
              <w:top w:w="0" w:type="dxa"/>
              <w:left w:w="60" w:type="dxa"/>
              <w:bottom w:w="0" w:type="dxa"/>
              <w:right w:w="60" w:type="dxa"/>
            </w:tcMar>
            <w:vAlign w:val="center"/>
          </w:tcPr>
          <w:p>
            <w:pPr>
              <w:pStyle w:val="DMETW18983BIPPF"/>
              <w:jc w:val="center"/>
              <w:rPr>
                <w:rFonts w:ascii="Verdana" w:eastAsia="Times New Roman" w:hAnsi="Verdana" w:cs="Verdana"/>
                <w:noProof/>
                <w:color w:val="000000"/>
                <w:sz w:val="18"/>
              </w:rPr>
            </w:pPr>
            <w:r>
              <w:rPr>
                <w:rFonts w:ascii="Verdana" w:hAnsi="Verdana"/>
                <w:noProof/>
                <w:color w:val="000000"/>
                <w:sz w:val="18"/>
              </w:rPr>
              <w:t>2.2.1</w:t>
            </w:r>
          </w:p>
        </w:tc>
        <w:tc>
          <w:tcPr>
            <w:tcW w:w="870"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hAnsi="Verdana"/>
                <w:i/>
                <w:noProof/>
                <w:color w:val="000000"/>
                <w:sz w:val="18"/>
              </w:rPr>
              <w:t>–</w:t>
            </w:r>
          </w:p>
        </w:tc>
        <w:tc>
          <w:tcPr>
            <w:tcW w:w="682"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hAnsi="Verdana"/>
                <w:i/>
                <w:noProof/>
                <w:color w:val="000000"/>
                <w:sz w:val="18"/>
              </w:rPr>
              <w:t xml:space="preserve"> 6</w:t>
            </w:r>
          </w:p>
        </w:tc>
        <w:tc>
          <w:tcPr>
            <w:tcW w:w="847"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hAnsi="Verdana"/>
                <w:i/>
                <w:noProof/>
                <w:color w:val="000000"/>
                <w:sz w:val="18"/>
              </w:rPr>
              <w:t xml:space="preserve"> 325</w:t>
            </w:r>
          </w:p>
        </w:tc>
        <w:tc>
          <w:tcPr>
            <w:tcW w:w="846"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hAnsi="Verdana"/>
                <w:i/>
                <w:noProof/>
                <w:color w:val="000000"/>
                <w:sz w:val="18"/>
              </w:rPr>
              <w:t xml:space="preserve"> 580</w:t>
            </w:r>
          </w:p>
        </w:tc>
        <w:tc>
          <w:tcPr>
            <w:tcW w:w="1411"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hAnsi="Verdana"/>
                <w:i/>
                <w:noProof/>
                <w:color w:val="000000"/>
                <w:sz w:val="18"/>
              </w:rPr>
              <w:t xml:space="preserve"> 910</w:t>
            </w:r>
          </w:p>
        </w:tc>
        <w:tc>
          <w:tcPr>
            <w:tcW w:w="1376"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hAnsi="Verdana"/>
                <w:i/>
                <w:noProof/>
                <w:color w:val="000000"/>
                <w:sz w:val="18"/>
              </w:rPr>
              <w:t xml:space="preserve"> 887</w:t>
            </w:r>
          </w:p>
        </w:tc>
      </w:tr>
      <w:tr>
        <w:trPr>
          <w:trHeight w:val="255"/>
        </w:trPr>
        <w:tc>
          <w:tcPr>
            <w:tcW w:w="2505" w:type="dxa"/>
            <w:tcBorders>
              <w:top w:val="nil"/>
              <w:left w:val="nil"/>
              <w:bottom w:val="nil"/>
              <w:right w:val="nil"/>
            </w:tcBorders>
            <w:tcMar>
              <w:top w:w="0" w:type="dxa"/>
              <w:left w:w="60" w:type="dxa"/>
              <w:bottom w:w="0" w:type="dxa"/>
              <w:right w:w="60" w:type="dxa"/>
            </w:tcMar>
            <w:vAlign w:val="center"/>
          </w:tcPr>
          <w:p>
            <w:pPr>
              <w:pStyle w:val="DMETW18983BIPPF"/>
              <w:rPr>
                <w:rFonts w:ascii="Verdana" w:eastAsia="Times New Roman" w:hAnsi="Verdana" w:cs="Verdana"/>
                <w:i/>
                <w:noProof/>
                <w:color w:val="000000"/>
                <w:sz w:val="18"/>
              </w:rPr>
            </w:pPr>
            <w:r>
              <w:rPr>
                <w:rFonts w:ascii="Verdana" w:hAnsi="Verdana"/>
                <w:i/>
                <w:noProof/>
                <w:color w:val="000000"/>
                <w:sz w:val="18"/>
              </w:rPr>
              <w:t>Trumpalaikis išankstinis finansavimas</w:t>
            </w:r>
          </w:p>
        </w:tc>
        <w:tc>
          <w:tcPr>
            <w:tcW w:w="1221" w:type="dxa"/>
            <w:tcBorders>
              <w:top w:val="nil"/>
              <w:left w:val="nil"/>
              <w:bottom w:val="nil"/>
              <w:right w:val="nil"/>
            </w:tcBorders>
            <w:tcMar>
              <w:top w:w="0" w:type="dxa"/>
              <w:left w:w="60" w:type="dxa"/>
              <w:bottom w:w="0" w:type="dxa"/>
              <w:right w:w="60" w:type="dxa"/>
            </w:tcMar>
            <w:vAlign w:val="center"/>
          </w:tcPr>
          <w:p>
            <w:pPr>
              <w:pStyle w:val="DMETW18983BIPPF"/>
              <w:jc w:val="center"/>
              <w:rPr>
                <w:rFonts w:ascii="Verdana" w:eastAsia="Times New Roman" w:hAnsi="Verdana" w:cs="Verdana"/>
                <w:noProof/>
                <w:color w:val="000000"/>
                <w:sz w:val="18"/>
              </w:rPr>
            </w:pPr>
            <w:r>
              <w:rPr>
                <w:rFonts w:ascii="Verdana" w:hAnsi="Verdana"/>
                <w:noProof/>
                <w:color w:val="000000"/>
                <w:sz w:val="18"/>
              </w:rPr>
              <w:t>2.2.2</w:t>
            </w:r>
          </w:p>
        </w:tc>
        <w:tc>
          <w:tcPr>
            <w:tcW w:w="870"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682"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hAnsi="Verdana"/>
                <w:i/>
                <w:noProof/>
                <w:color w:val="000000"/>
                <w:sz w:val="18"/>
              </w:rPr>
              <w:t xml:space="preserve"> 26</w:t>
            </w:r>
          </w:p>
        </w:tc>
        <w:tc>
          <w:tcPr>
            <w:tcW w:w="847"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hAnsi="Verdana"/>
                <w:i/>
                <w:noProof/>
                <w:color w:val="000000"/>
                <w:sz w:val="18"/>
              </w:rPr>
              <w:t xml:space="preserve"> 441</w:t>
            </w:r>
          </w:p>
        </w:tc>
        <w:tc>
          <w:tcPr>
            <w:tcW w:w="846"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hAnsi="Verdana"/>
                <w:i/>
                <w:noProof/>
                <w:color w:val="000000"/>
                <w:sz w:val="18"/>
              </w:rPr>
              <w:t xml:space="preserve"> 821</w:t>
            </w:r>
          </w:p>
        </w:tc>
        <w:tc>
          <w:tcPr>
            <w:tcW w:w="1411"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hAnsi="Verdana"/>
                <w:i/>
                <w:noProof/>
                <w:color w:val="000000"/>
                <w:sz w:val="18"/>
              </w:rPr>
              <w:t>1 288</w:t>
            </w:r>
          </w:p>
        </w:tc>
        <w:tc>
          <w:tcPr>
            <w:tcW w:w="1376"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hAnsi="Verdana"/>
                <w:i/>
                <w:noProof/>
                <w:color w:val="000000"/>
                <w:sz w:val="18"/>
              </w:rPr>
              <w:t>1 448</w:t>
            </w:r>
          </w:p>
        </w:tc>
      </w:tr>
      <w:tr>
        <w:trPr>
          <w:trHeight w:val="255"/>
        </w:trPr>
        <w:tc>
          <w:tcPr>
            <w:tcW w:w="250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PF"/>
              <w:rPr>
                <w:rFonts w:ascii="Verdana" w:eastAsia="Times New Roman" w:hAnsi="Verdana" w:cs="Verdana"/>
                <w:b/>
                <w:noProof/>
                <w:color w:val="000000"/>
                <w:sz w:val="18"/>
              </w:rPr>
            </w:pPr>
            <w:r>
              <w:rPr>
                <w:rFonts w:ascii="Verdana" w:hAnsi="Verdana"/>
                <w:b/>
                <w:noProof/>
                <w:color w:val="000000"/>
                <w:sz w:val="18"/>
              </w:rPr>
              <w:t>Iš viso</w:t>
            </w:r>
          </w:p>
        </w:tc>
        <w:tc>
          <w:tcPr>
            <w:tcW w:w="1221"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PF"/>
              <w:jc w:val="right"/>
              <w:rPr>
                <w:rFonts w:ascii="Verdana" w:eastAsia="Times New Roman" w:hAnsi="Verdana" w:cs="Verdana"/>
                <w:b/>
                <w:noProof/>
                <w:color w:val="000000"/>
                <w:sz w:val="18"/>
              </w:rPr>
            </w:pPr>
          </w:p>
        </w:tc>
        <w:tc>
          <w:tcPr>
            <w:tcW w:w="870"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PF"/>
              <w:jc w:val="right"/>
              <w:rPr>
                <w:rFonts w:ascii="Verdana" w:eastAsia="Times New Roman" w:hAnsi="Verdana" w:cs="Verdana"/>
                <w:b/>
                <w:noProof/>
                <w:color w:val="000000"/>
                <w:sz w:val="18"/>
              </w:rPr>
            </w:pPr>
            <w:r>
              <w:rPr>
                <w:rFonts w:ascii="Verdana" w:hAnsi="Verdana"/>
                <w:b/>
                <w:noProof/>
                <w:color w:val="000000"/>
                <w:sz w:val="18"/>
              </w:rPr>
              <w:t xml:space="preserve">  0</w:t>
            </w:r>
          </w:p>
        </w:tc>
        <w:tc>
          <w:tcPr>
            <w:tcW w:w="68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PF"/>
              <w:jc w:val="right"/>
              <w:rPr>
                <w:rFonts w:ascii="Verdana" w:eastAsia="Times New Roman" w:hAnsi="Verdana" w:cs="Verdana"/>
                <w:b/>
                <w:noProof/>
                <w:color w:val="000000"/>
                <w:sz w:val="18"/>
              </w:rPr>
            </w:pPr>
            <w:r>
              <w:rPr>
                <w:rFonts w:ascii="Verdana" w:hAnsi="Verdana"/>
                <w:b/>
                <w:noProof/>
                <w:color w:val="000000"/>
                <w:sz w:val="18"/>
              </w:rPr>
              <w:t xml:space="preserve">  32</w:t>
            </w:r>
          </w:p>
        </w:tc>
        <w:tc>
          <w:tcPr>
            <w:tcW w:w="84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PF"/>
              <w:jc w:val="right"/>
              <w:rPr>
                <w:rFonts w:ascii="Verdana" w:eastAsia="Times New Roman" w:hAnsi="Verdana" w:cs="Verdana"/>
                <w:b/>
                <w:noProof/>
                <w:color w:val="000000"/>
                <w:sz w:val="18"/>
              </w:rPr>
            </w:pPr>
            <w:r>
              <w:rPr>
                <w:rFonts w:ascii="Verdana" w:hAnsi="Verdana"/>
                <w:b/>
                <w:noProof/>
                <w:color w:val="000000"/>
                <w:sz w:val="18"/>
              </w:rPr>
              <w:t xml:space="preserve">  766</w:t>
            </w:r>
          </w:p>
        </w:tc>
        <w:tc>
          <w:tcPr>
            <w:tcW w:w="84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PF"/>
              <w:jc w:val="right"/>
              <w:rPr>
                <w:rFonts w:ascii="Verdana" w:eastAsia="Times New Roman" w:hAnsi="Verdana" w:cs="Verdana"/>
                <w:b/>
                <w:noProof/>
                <w:color w:val="000000"/>
                <w:sz w:val="18"/>
              </w:rPr>
            </w:pPr>
            <w:r>
              <w:rPr>
                <w:rFonts w:ascii="Verdana" w:hAnsi="Verdana"/>
                <w:b/>
                <w:noProof/>
                <w:color w:val="000000"/>
                <w:sz w:val="18"/>
              </w:rPr>
              <w:t xml:space="preserve"> 1 401</w:t>
            </w:r>
          </w:p>
        </w:tc>
        <w:tc>
          <w:tcPr>
            <w:tcW w:w="1411"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PF"/>
              <w:jc w:val="right"/>
              <w:rPr>
                <w:rFonts w:ascii="Verdana" w:eastAsia="Times New Roman" w:hAnsi="Verdana" w:cs="Verdana"/>
                <w:b/>
                <w:noProof/>
                <w:color w:val="000000"/>
                <w:sz w:val="18"/>
              </w:rPr>
            </w:pPr>
            <w:r>
              <w:rPr>
                <w:rFonts w:ascii="Verdana" w:hAnsi="Verdana"/>
                <w:b/>
                <w:noProof/>
                <w:color w:val="000000"/>
                <w:sz w:val="18"/>
              </w:rPr>
              <w:t xml:space="preserve"> 2 199</w:t>
            </w:r>
          </w:p>
        </w:tc>
        <w:tc>
          <w:tcPr>
            <w:tcW w:w="137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PF"/>
              <w:jc w:val="right"/>
              <w:rPr>
                <w:rFonts w:ascii="Verdana" w:eastAsia="Times New Roman" w:hAnsi="Verdana" w:cs="Verdana"/>
                <w:b/>
                <w:noProof/>
                <w:color w:val="000000"/>
                <w:sz w:val="18"/>
              </w:rPr>
            </w:pPr>
            <w:r>
              <w:rPr>
                <w:rFonts w:ascii="Verdana" w:hAnsi="Verdana"/>
                <w:b/>
                <w:noProof/>
                <w:color w:val="000000"/>
                <w:sz w:val="18"/>
              </w:rPr>
              <w:t xml:space="preserve"> 2 335</w:t>
            </w:r>
          </w:p>
        </w:tc>
      </w:tr>
    </w:tbl>
    <w:p>
      <w:pPr>
        <w:pStyle w:val="Textstand-alone"/>
      </w:pPr>
      <w:r>
        <w:t xml:space="preserve">Bendro išankstinio finansavimo sumažėjimą 2019 m. gruodžio 31 d. daugiausia galima paaiškinti sumažėjusiu 10-ojo EPF išankstiniu finansavimu (2018 m. – 964 mln. EUR). Pagal EPF gyvavimo ciklą daugelis su 10-uoju EPF susijusių sutarčių buvo įvykdytos ir užbaigtos. Pagal šį EPF vykdomų sutarčių skaičius sumažėjo nuo maždaug 2 600 2018 m. iki maždaug 2 300 2019 m. Todėl išankstinio finansavimo mokėjimų paramos gavėjams lygis sumažėjo, o išankstinio finansavimo patvirtinimų padaugėjo. </w:t>
      </w:r>
    </w:p>
    <w:p>
      <w:pPr>
        <w:pStyle w:val="Textstand-alone"/>
      </w:pPr>
      <w:r>
        <w:t xml:space="preserve">Šį sumažėjimą iš dalies kompensavo padidintas išankstinis finansavimas, susijęs su 11-uoju EPF (2018 m. – 1 328 mln. EUR). 11-asis EPF pradėjo veikti 2015 m., o 2019 m. buvo visu pajėgumu įgyvendinamos priimtos priemonės. Vykdomų sutarčių skaičius padidėjo nuo maždaug 2 300 2018 m. iki 3 400 2019 m., todėl bendra vykdomo išankstinio finansavimo suma padidėjo 73 mln. EUR. </w:t>
      </w:r>
    </w:p>
    <w:p>
      <w:pPr>
        <w:pStyle w:val="Textstand-alone"/>
        <w:sectPr>
          <w:headerReference w:type="even" r:id="rId143"/>
          <w:headerReference w:type="default" r:id="rId144"/>
          <w:footerReference w:type="even" r:id="rId145"/>
          <w:footerReference w:type="default" r:id="rId146"/>
          <w:headerReference w:type="first" r:id="rId147"/>
          <w:footerReference w:type="first" r:id="rId148"/>
          <w:pgSz w:w="11906" w:h="16838" w:code="9"/>
          <w:pgMar w:top="1134" w:right="1134" w:bottom="1134" w:left="1134" w:header="709" w:footer="709" w:gutter="0"/>
          <w:cols w:space="708"/>
          <w:docGrid w:linePitch="360"/>
        </w:sectPr>
      </w:pPr>
    </w:p>
    <w:p>
      <w:pPr>
        <w:pStyle w:val="HEADER3Part2"/>
        <w:spacing w:before="60" w:after="60"/>
        <w:rPr>
          <w:noProof/>
        </w:rPr>
      </w:pPr>
      <w:r>
        <w:rPr>
          <w:noProof/>
        </w:rPr>
        <w:t>Ilgalaikis išankstinis finansavimas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3"/>
        <w:gridCol w:w="2687"/>
        <w:gridCol w:w="2258"/>
      </w:tblGrid>
      <w:tr>
        <w:trPr>
          <w:trHeight w:val="255"/>
        </w:trPr>
        <w:tc>
          <w:tcPr>
            <w:tcW w:w="4813" w:type="dxa"/>
            <w:gridSpan w:val="3"/>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6"/>
              </w:rPr>
            </w:pPr>
            <w:bookmarkStart w:id="50" w:name="DOC_TBL00014_1_1"/>
            <w:bookmarkEnd w:id="50"/>
            <w:r>
              <w:rPr>
                <w:rFonts w:ascii="Verdana" w:hAnsi="Verdana"/>
                <w:i/>
                <w:noProof/>
                <w:color w:val="000000"/>
                <w:sz w:val="16"/>
              </w:rPr>
              <w:t>mln. EUR</w:t>
            </w:r>
          </w:p>
        </w:tc>
      </w:tr>
      <w:tr>
        <w:trPr>
          <w:trHeight w:val="255"/>
        </w:trPr>
        <w:tc>
          <w:tcPr>
            <w:tcW w:w="481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CPFBMM"/>
              <w:jc w:val="right"/>
              <w:rPr>
                <w:rFonts w:ascii="Verdana" w:eastAsia="Times New Roman" w:hAnsi="Verdana" w:cs="Verdana"/>
                <w:noProof/>
                <w:color w:val="FFFFFF"/>
                <w:sz w:val="18"/>
              </w:rPr>
            </w:pPr>
          </w:p>
        </w:tc>
        <w:tc>
          <w:tcPr>
            <w:tcW w:w="268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CPFBMM"/>
              <w:jc w:val="right"/>
              <w:rPr>
                <w:rFonts w:ascii="Verdana" w:eastAsia="Times New Roman" w:hAnsi="Verdana" w:cs="Verdana"/>
                <w:noProof/>
                <w:color w:val="FFFFFF"/>
              </w:rPr>
            </w:pPr>
            <w:r>
              <w:rPr>
                <w:rFonts w:ascii="Verdana" w:hAnsi="Verdana"/>
                <w:noProof/>
                <w:color w:val="FFFFFF"/>
              </w:rPr>
              <w:t>2019 12 31</w:t>
            </w:r>
          </w:p>
        </w:tc>
        <w:tc>
          <w:tcPr>
            <w:tcW w:w="225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CPFBMM"/>
              <w:jc w:val="right"/>
              <w:rPr>
                <w:rFonts w:ascii="Verdana" w:eastAsia="Times New Roman" w:hAnsi="Verdana" w:cs="Verdana"/>
                <w:noProof/>
                <w:color w:val="FFFFFF"/>
              </w:rPr>
            </w:pPr>
            <w:r>
              <w:rPr>
                <w:rFonts w:ascii="Verdana" w:hAnsi="Verdana"/>
                <w:noProof/>
                <w:color w:val="FFFFFF"/>
              </w:rPr>
              <w:t>2018 12 31</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b/>
                <w:noProof/>
                <w:color w:val="000000"/>
                <w:sz w:val="18"/>
              </w:rPr>
            </w:pPr>
            <w:r>
              <w:rPr>
                <w:rFonts w:ascii="Verdana" w:hAnsi="Verdana"/>
                <w:b/>
                <w:noProof/>
                <w:color w:val="000000"/>
                <w:sz w:val="18"/>
              </w:rPr>
              <w:t>Tiesioginis valdymas</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b/>
                <w:noProof/>
                <w:color w:val="000000"/>
                <w:sz w:val="18"/>
              </w:rPr>
            </w:pP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b/>
                <w:noProof/>
                <w:color w:val="000000"/>
                <w:sz w:val="18"/>
              </w:rPr>
            </w:pP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hAnsi="Verdana"/>
                <w:i/>
                <w:noProof/>
                <w:color w:val="000000"/>
                <w:sz w:val="18"/>
              </w:rPr>
              <w:t>Vykdo:</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hAnsi="Verdana"/>
                <w:i/>
                <w:noProof/>
                <w:color w:val="000000"/>
                <w:sz w:val="18"/>
              </w:rPr>
              <w:t>Komisija</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190</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140</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hAnsi="Verdana"/>
                <w:i/>
                <w:noProof/>
                <w:color w:val="000000"/>
                <w:sz w:val="18"/>
              </w:rPr>
              <w:t>ES vykdomosios įstaigos</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6</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hAnsi="Verdana"/>
                <w:i/>
                <w:noProof/>
                <w:color w:val="000000"/>
                <w:sz w:val="18"/>
              </w:rPr>
              <w:t>ES delegacijos</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49</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48</w:t>
            </w:r>
          </w:p>
        </w:tc>
      </w:tr>
      <w:tr>
        <w:trPr>
          <w:trHeight w:val="255"/>
        </w:trPr>
        <w:tc>
          <w:tcPr>
            <w:tcW w:w="481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NCPFBMM"/>
              <w:jc w:val="right"/>
              <w:rPr>
                <w:rFonts w:ascii="Verdana" w:eastAsia="Times New Roman" w:hAnsi="Verdana" w:cs="Verdana"/>
                <w:b/>
                <w:noProof/>
                <w:color w:val="000000"/>
                <w:sz w:val="18"/>
              </w:rPr>
            </w:pPr>
          </w:p>
        </w:tc>
        <w:tc>
          <w:tcPr>
            <w:tcW w:w="268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NCPFBMM"/>
              <w:jc w:val="right"/>
              <w:rPr>
                <w:rFonts w:ascii="Verdana" w:eastAsia="Times New Roman" w:hAnsi="Verdana" w:cs="Verdana"/>
                <w:b/>
                <w:noProof/>
                <w:color w:val="000000"/>
                <w:sz w:val="18"/>
              </w:rPr>
            </w:pPr>
            <w:r>
              <w:rPr>
                <w:rFonts w:ascii="Verdana" w:hAnsi="Verdana"/>
                <w:b/>
                <w:noProof/>
                <w:color w:val="000000"/>
                <w:sz w:val="18"/>
              </w:rPr>
              <w:t xml:space="preserve">  244</w:t>
            </w:r>
          </w:p>
        </w:tc>
        <w:tc>
          <w:tcPr>
            <w:tcW w:w="225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NCPFBMM"/>
              <w:jc w:val="right"/>
              <w:rPr>
                <w:rFonts w:ascii="Verdana" w:eastAsia="Times New Roman" w:hAnsi="Verdana" w:cs="Verdana"/>
                <w:b/>
                <w:noProof/>
                <w:color w:val="000000"/>
                <w:sz w:val="18"/>
              </w:rPr>
            </w:pPr>
            <w:r>
              <w:rPr>
                <w:rFonts w:ascii="Verdana" w:hAnsi="Verdana"/>
                <w:b/>
                <w:noProof/>
                <w:color w:val="000000"/>
                <w:sz w:val="18"/>
              </w:rPr>
              <w:t xml:space="preserve">  188</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b/>
                <w:noProof/>
                <w:color w:val="000000"/>
                <w:sz w:val="18"/>
              </w:rPr>
            </w:pPr>
            <w:r>
              <w:rPr>
                <w:rFonts w:ascii="Verdana" w:hAnsi="Verdana"/>
                <w:b/>
                <w:noProof/>
                <w:color w:val="000000"/>
                <w:sz w:val="18"/>
              </w:rPr>
              <w:t>Netiesioginis valdymas</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b/>
                <w:noProof/>
                <w:color w:val="000000"/>
                <w:sz w:val="18"/>
              </w:rPr>
            </w:pP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b/>
                <w:noProof/>
                <w:color w:val="000000"/>
                <w:sz w:val="18"/>
              </w:rPr>
            </w:pP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hAnsi="Verdana"/>
                <w:i/>
                <w:noProof/>
                <w:color w:val="000000"/>
                <w:sz w:val="18"/>
              </w:rPr>
              <w:t>Vykdo:</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hAnsi="Verdana"/>
                <w:i/>
                <w:noProof/>
                <w:color w:val="000000"/>
                <w:sz w:val="18"/>
              </w:rPr>
              <w:t>EIB ir EIF</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313</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367</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hAnsi="Verdana"/>
                <w:i/>
                <w:noProof/>
                <w:color w:val="000000"/>
                <w:sz w:val="18"/>
              </w:rPr>
              <w:t>Tarptautinės organizacijos</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291</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280</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hAnsi="Verdana"/>
                <w:i/>
                <w:noProof/>
                <w:color w:val="000000"/>
                <w:sz w:val="18"/>
              </w:rPr>
              <w:t>Privatinės teisės įstaigos, teikiančios viešąsias paslaugas</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22</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6</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hAnsi="Verdana"/>
                <w:i/>
                <w:noProof/>
                <w:color w:val="000000"/>
                <w:sz w:val="18"/>
              </w:rPr>
              <w:t>Viešosios teisės įstaigos</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22</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24</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hAnsi="Verdana"/>
                <w:i/>
                <w:noProof/>
                <w:color w:val="000000"/>
                <w:sz w:val="18"/>
              </w:rPr>
              <w:t>Trečiosios šalys</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17</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21</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hAnsi="Verdana"/>
                <w:i/>
                <w:noProof/>
                <w:color w:val="000000"/>
                <w:sz w:val="18"/>
              </w:rPr>
              <w:t>ES įstaigos ir viešojo ir privačiojo sektorių partnerystės įstaigos</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w:t>
            </w:r>
          </w:p>
        </w:tc>
      </w:tr>
      <w:tr>
        <w:trPr>
          <w:trHeight w:val="255"/>
        </w:trPr>
        <w:tc>
          <w:tcPr>
            <w:tcW w:w="4813" w:type="dxa"/>
            <w:tcBorders>
              <w:top w:val="single" w:sz="4" w:space="0" w:color="016794"/>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b/>
                <w:noProof/>
                <w:color w:val="000000"/>
                <w:sz w:val="18"/>
              </w:rPr>
            </w:pPr>
          </w:p>
        </w:tc>
        <w:tc>
          <w:tcPr>
            <w:tcW w:w="2687" w:type="dxa"/>
            <w:tcBorders>
              <w:top w:val="single" w:sz="4" w:space="0" w:color="016794"/>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b/>
                <w:noProof/>
                <w:color w:val="000000"/>
                <w:sz w:val="18"/>
              </w:rPr>
            </w:pPr>
            <w:r>
              <w:rPr>
                <w:rFonts w:ascii="Verdana" w:hAnsi="Verdana"/>
                <w:b/>
                <w:noProof/>
                <w:color w:val="000000"/>
                <w:sz w:val="18"/>
              </w:rPr>
              <w:t xml:space="preserve">  665</w:t>
            </w:r>
          </w:p>
        </w:tc>
        <w:tc>
          <w:tcPr>
            <w:tcW w:w="2258" w:type="dxa"/>
            <w:tcBorders>
              <w:top w:val="single" w:sz="4" w:space="0" w:color="016794"/>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b/>
                <w:noProof/>
                <w:color w:val="000000"/>
                <w:sz w:val="18"/>
              </w:rPr>
            </w:pPr>
            <w:r>
              <w:rPr>
                <w:rFonts w:ascii="Verdana" w:hAnsi="Verdana"/>
                <w:b/>
                <w:noProof/>
                <w:color w:val="000000"/>
                <w:sz w:val="18"/>
              </w:rPr>
              <w:t xml:space="preserve">  698</w:t>
            </w:r>
          </w:p>
        </w:tc>
      </w:tr>
      <w:tr>
        <w:trPr>
          <w:trHeight w:val="255"/>
        </w:trPr>
        <w:tc>
          <w:tcPr>
            <w:tcW w:w="481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CPFBMM"/>
              <w:rPr>
                <w:rFonts w:ascii="Verdana" w:eastAsia="Times New Roman" w:hAnsi="Verdana" w:cs="Verdana"/>
                <w:b/>
                <w:noProof/>
                <w:color w:val="000000"/>
                <w:sz w:val="18"/>
              </w:rPr>
            </w:pPr>
            <w:r>
              <w:rPr>
                <w:rFonts w:ascii="Verdana" w:hAnsi="Verdana"/>
                <w:b/>
                <w:noProof/>
                <w:color w:val="000000"/>
                <w:sz w:val="18"/>
              </w:rPr>
              <w:t>Iš viso</w:t>
            </w:r>
          </w:p>
        </w:tc>
        <w:tc>
          <w:tcPr>
            <w:tcW w:w="268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CPFBMM"/>
              <w:jc w:val="right"/>
              <w:rPr>
                <w:rFonts w:ascii="Verdana" w:eastAsia="Times New Roman" w:hAnsi="Verdana" w:cs="Verdana"/>
                <w:b/>
                <w:noProof/>
                <w:color w:val="000000"/>
                <w:sz w:val="18"/>
              </w:rPr>
            </w:pPr>
            <w:r>
              <w:rPr>
                <w:rFonts w:ascii="Verdana" w:hAnsi="Verdana"/>
                <w:b/>
                <w:noProof/>
                <w:color w:val="000000"/>
                <w:sz w:val="18"/>
              </w:rPr>
              <w:t xml:space="preserve">  910</w:t>
            </w:r>
          </w:p>
        </w:tc>
        <w:tc>
          <w:tcPr>
            <w:tcW w:w="225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CPFBMM"/>
              <w:jc w:val="right"/>
              <w:rPr>
                <w:rFonts w:ascii="Verdana" w:eastAsia="Times New Roman" w:hAnsi="Verdana" w:cs="Verdana"/>
                <w:b/>
                <w:noProof/>
                <w:color w:val="000000"/>
                <w:sz w:val="18"/>
              </w:rPr>
            </w:pPr>
            <w:r>
              <w:rPr>
                <w:rFonts w:ascii="Verdana" w:hAnsi="Verdana"/>
                <w:b/>
                <w:noProof/>
                <w:color w:val="000000"/>
                <w:sz w:val="18"/>
              </w:rPr>
              <w:t xml:space="preserve">  887</w:t>
            </w:r>
          </w:p>
        </w:tc>
      </w:tr>
    </w:tbl>
    <w:p>
      <w:pPr>
        <w:pStyle w:val="HEADER3Part2"/>
        <w:tabs>
          <w:tab w:val="left" w:pos="4253"/>
        </w:tabs>
        <w:rPr>
          <w:noProof/>
        </w:rPr>
      </w:pPr>
      <w:r>
        <w:rPr>
          <w:noProof/>
        </w:rPr>
        <w:t>Trumpalaikis išankstinis finansavimas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1417"/>
        <w:gridCol w:w="1134"/>
        <w:gridCol w:w="1134"/>
        <w:gridCol w:w="1134"/>
        <w:gridCol w:w="1418"/>
        <w:gridCol w:w="1334"/>
      </w:tblGrid>
      <w:tr>
        <w:trPr>
          <w:trHeight w:val="255"/>
        </w:trPr>
        <w:tc>
          <w:tcPr>
            <w:tcW w:w="2187" w:type="dxa"/>
            <w:gridSpan w:val="7"/>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6"/>
              </w:rPr>
            </w:pPr>
            <w:bookmarkStart w:id="51" w:name="DOC_TBL00015_1_1"/>
            <w:bookmarkEnd w:id="51"/>
            <w:r>
              <w:rPr>
                <w:rFonts w:ascii="Verdana" w:hAnsi="Verdana"/>
                <w:i/>
                <w:noProof/>
                <w:color w:val="000000"/>
                <w:sz w:val="16"/>
              </w:rPr>
              <w:t>mln. EUR</w:t>
            </w:r>
          </w:p>
        </w:tc>
      </w:tr>
      <w:tr>
        <w:trPr>
          <w:trHeight w:val="255"/>
        </w:trPr>
        <w:tc>
          <w:tcPr>
            <w:tcW w:w="218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PF"/>
              <w:jc w:val="center"/>
              <w:rPr>
                <w:rFonts w:ascii="Verdana" w:eastAsia="Times New Roman" w:hAnsi="Verdana" w:cs="Verdana"/>
                <w:noProof/>
                <w:color w:val="FFFFFF"/>
              </w:rPr>
            </w:pPr>
          </w:p>
        </w:tc>
        <w:tc>
          <w:tcPr>
            <w:tcW w:w="141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PF"/>
              <w:jc w:val="right"/>
              <w:rPr>
                <w:rFonts w:ascii="Verdana" w:eastAsia="Times New Roman" w:hAnsi="Verdana" w:cs="Verdana"/>
                <w:noProof/>
                <w:color w:val="FFFFFF"/>
              </w:rPr>
            </w:pPr>
            <w:r>
              <w:rPr>
                <w:rFonts w:ascii="Verdana" w:hAnsi="Verdana"/>
                <w:noProof/>
                <w:color w:val="FFFFFF"/>
              </w:rPr>
              <w:t>8-asis EPF</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PF"/>
              <w:jc w:val="right"/>
              <w:rPr>
                <w:rFonts w:ascii="Verdana" w:eastAsia="Times New Roman" w:hAnsi="Verdana" w:cs="Verdana"/>
                <w:noProof/>
                <w:color w:val="FFFFFF"/>
              </w:rPr>
            </w:pPr>
            <w:r>
              <w:rPr>
                <w:rFonts w:ascii="Verdana" w:hAnsi="Verdana"/>
                <w:noProof/>
                <w:color w:val="FFFFFF"/>
              </w:rPr>
              <w:t>9-asis EPF</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PF"/>
              <w:jc w:val="right"/>
              <w:rPr>
                <w:rFonts w:ascii="Verdana" w:eastAsia="Times New Roman" w:hAnsi="Verdana" w:cs="Verdana"/>
                <w:noProof/>
                <w:color w:val="FFFFFF"/>
              </w:rPr>
            </w:pPr>
            <w:r>
              <w:rPr>
                <w:rFonts w:ascii="Verdana" w:hAnsi="Verdana"/>
                <w:noProof/>
                <w:color w:val="FFFFFF"/>
              </w:rPr>
              <w:t>10-asis EPF</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PF"/>
              <w:jc w:val="right"/>
              <w:rPr>
                <w:rFonts w:ascii="Verdana" w:eastAsia="Times New Roman" w:hAnsi="Verdana" w:cs="Verdana"/>
                <w:noProof/>
                <w:color w:val="FFFFFF"/>
              </w:rPr>
            </w:pPr>
            <w:r>
              <w:rPr>
                <w:rFonts w:ascii="Verdana" w:hAnsi="Verdana"/>
                <w:noProof/>
                <w:color w:val="FFFFFF"/>
              </w:rPr>
              <w:t>11-asis EPF</w:t>
            </w:r>
          </w:p>
        </w:tc>
        <w:tc>
          <w:tcPr>
            <w:tcW w:w="141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PF"/>
              <w:jc w:val="right"/>
              <w:rPr>
                <w:rFonts w:ascii="Verdana" w:eastAsia="Times New Roman" w:hAnsi="Verdana" w:cs="Verdana"/>
                <w:noProof/>
                <w:color w:val="FFFFFF"/>
              </w:rPr>
            </w:pPr>
            <w:r>
              <w:rPr>
                <w:rFonts w:ascii="Verdana" w:hAnsi="Verdana"/>
                <w:noProof/>
                <w:color w:val="FFFFFF"/>
              </w:rPr>
              <w:t>2019 12 31</w:t>
            </w:r>
          </w:p>
        </w:tc>
        <w:tc>
          <w:tcPr>
            <w:tcW w:w="13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PF"/>
              <w:jc w:val="right"/>
              <w:rPr>
                <w:rFonts w:ascii="Verdana" w:eastAsia="Times New Roman" w:hAnsi="Verdana" w:cs="Verdana"/>
                <w:noProof/>
                <w:color w:val="FFFFFF"/>
              </w:rPr>
            </w:pPr>
            <w:r>
              <w:rPr>
                <w:rFonts w:ascii="Verdana" w:hAnsi="Verdana"/>
                <w:noProof/>
                <w:color w:val="FFFFFF"/>
              </w:rPr>
              <w:t>2018 12 31</w:t>
            </w:r>
          </w:p>
        </w:tc>
      </w:tr>
      <w:tr>
        <w:trPr>
          <w:trHeight w:val="255"/>
        </w:trPr>
        <w:tc>
          <w:tcPr>
            <w:tcW w:w="2187" w:type="dxa"/>
            <w:tcBorders>
              <w:top w:val="nil"/>
              <w:left w:val="nil"/>
              <w:bottom w:val="nil"/>
              <w:right w:val="nil"/>
            </w:tcBorders>
            <w:tcMar>
              <w:top w:w="0" w:type="dxa"/>
              <w:left w:w="60" w:type="dxa"/>
              <w:bottom w:w="0" w:type="dxa"/>
              <w:right w:w="60" w:type="dxa"/>
            </w:tcMar>
            <w:vAlign w:val="center"/>
          </w:tcPr>
          <w:p>
            <w:pPr>
              <w:pStyle w:val="DMETW18983BIPCPF"/>
              <w:rPr>
                <w:rFonts w:ascii="Verdana" w:eastAsia="Times New Roman" w:hAnsi="Verdana" w:cs="Verdana"/>
                <w:i/>
                <w:noProof/>
                <w:color w:val="000000"/>
                <w:sz w:val="18"/>
              </w:rPr>
            </w:pPr>
            <w:r>
              <w:rPr>
                <w:rFonts w:ascii="Verdana" w:hAnsi="Verdana"/>
                <w:i/>
                <w:noProof/>
                <w:color w:val="000000"/>
                <w:sz w:val="18"/>
              </w:rPr>
              <w:t>Išankstinis finansavimas (bendra suma)</w:t>
            </w:r>
          </w:p>
        </w:tc>
        <w:tc>
          <w:tcPr>
            <w:tcW w:w="1417"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134"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hAnsi="Verdana"/>
                <w:i/>
                <w:noProof/>
                <w:color w:val="000000"/>
                <w:sz w:val="18"/>
              </w:rPr>
              <w:t xml:space="preserve"> 115</w:t>
            </w:r>
          </w:p>
        </w:tc>
        <w:tc>
          <w:tcPr>
            <w:tcW w:w="1134"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hAnsi="Verdana"/>
                <w:i/>
                <w:noProof/>
                <w:color w:val="000000"/>
                <w:sz w:val="18"/>
              </w:rPr>
              <w:t>1 627</w:t>
            </w:r>
          </w:p>
        </w:tc>
        <w:tc>
          <w:tcPr>
            <w:tcW w:w="1134"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hAnsi="Verdana"/>
                <w:i/>
                <w:noProof/>
                <w:color w:val="000000"/>
                <w:sz w:val="18"/>
              </w:rPr>
              <w:t>3 288</w:t>
            </w:r>
          </w:p>
        </w:tc>
        <w:tc>
          <w:tcPr>
            <w:tcW w:w="1418"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hAnsi="Verdana"/>
                <w:i/>
                <w:noProof/>
                <w:color w:val="000000"/>
                <w:sz w:val="18"/>
              </w:rPr>
              <w:t>5 030</w:t>
            </w:r>
          </w:p>
        </w:tc>
        <w:tc>
          <w:tcPr>
            <w:tcW w:w="1334"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hAnsi="Verdana"/>
                <w:i/>
                <w:noProof/>
                <w:color w:val="000000"/>
                <w:sz w:val="18"/>
              </w:rPr>
              <w:t>5 153</w:t>
            </w:r>
          </w:p>
        </w:tc>
      </w:tr>
      <w:tr>
        <w:trPr>
          <w:trHeight w:val="255"/>
        </w:trPr>
        <w:tc>
          <w:tcPr>
            <w:tcW w:w="2187" w:type="dxa"/>
            <w:tcBorders>
              <w:top w:val="nil"/>
              <w:left w:val="nil"/>
              <w:bottom w:val="nil"/>
              <w:right w:val="nil"/>
            </w:tcBorders>
            <w:tcMar>
              <w:top w:w="0" w:type="dxa"/>
              <w:left w:w="60" w:type="dxa"/>
              <w:bottom w:w="0" w:type="dxa"/>
              <w:right w:w="60" w:type="dxa"/>
            </w:tcMar>
            <w:vAlign w:val="center"/>
          </w:tcPr>
          <w:p>
            <w:pPr>
              <w:pStyle w:val="DMETW18983BIPCPF"/>
              <w:rPr>
                <w:rFonts w:ascii="Verdana" w:eastAsia="Times New Roman" w:hAnsi="Verdana" w:cs="Verdana"/>
                <w:i/>
                <w:noProof/>
                <w:color w:val="000000"/>
                <w:sz w:val="18"/>
              </w:rPr>
            </w:pPr>
            <w:r>
              <w:rPr>
                <w:rFonts w:ascii="Verdana" w:hAnsi="Verdana"/>
                <w:i/>
                <w:noProof/>
                <w:color w:val="000000"/>
                <w:sz w:val="18"/>
              </w:rPr>
              <w:t>Padengta atliekant atskyrimą</w:t>
            </w:r>
          </w:p>
        </w:tc>
        <w:tc>
          <w:tcPr>
            <w:tcW w:w="1417"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hAnsi="Verdana"/>
                <w:i/>
                <w:noProof/>
                <w:color w:val="000000"/>
                <w:sz w:val="18"/>
              </w:rPr>
              <w:t xml:space="preserve"> (89)</w:t>
            </w:r>
          </w:p>
        </w:tc>
        <w:tc>
          <w:tcPr>
            <w:tcW w:w="1134"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hAnsi="Verdana"/>
                <w:i/>
                <w:noProof/>
                <w:color w:val="000000"/>
                <w:sz w:val="18"/>
              </w:rPr>
              <w:t>(1 186)</w:t>
            </w:r>
          </w:p>
        </w:tc>
        <w:tc>
          <w:tcPr>
            <w:tcW w:w="1134"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hAnsi="Verdana"/>
                <w:i/>
                <w:noProof/>
                <w:color w:val="000000"/>
                <w:sz w:val="18"/>
              </w:rPr>
              <w:t>(2 467)</w:t>
            </w:r>
          </w:p>
        </w:tc>
        <w:tc>
          <w:tcPr>
            <w:tcW w:w="1418"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hAnsi="Verdana"/>
                <w:i/>
                <w:noProof/>
                <w:color w:val="000000"/>
                <w:sz w:val="18"/>
              </w:rPr>
              <w:t>(3 742)</w:t>
            </w:r>
          </w:p>
        </w:tc>
        <w:tc>
          <w:tcPr>
            <w:tcW w:w="1334"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hAnsi="Verdana"/>
                <w:i/>
                <w:noProof/>
                <w:color w:val="000000"/>
                <w:sz w:val="18"/>
              </w:rPr>
              <w:t>(3 705)</w:t>
            </w:r>
          </w:p>
        </w:tc>
      </w:tr>
      <w:tr>
        <w:trPr>
          <w:trHeight w:val="255"/>
        </w:trPr>
        <w:tc>
          <w:tcPr>
            <w:tcW w:w="218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PF"/>
              <w:rPr>
                <w:rFonts w:ascii="Verdana" w:eastAsia="Times New Roman" w:hAnsi="Verdana" w:cs="Verdana"/>
                <w:b/>
                <w:noProof/>
                <w:color w:val="000000"/>
                <w:sz w:val="18"/>
              </w:rPr>
            </w:pPr>
            <w:r>
              <w:rPr>
                <w:rFonts w:ascii="Verdana" w:hAnsi="Verdana"/>
                <w:b/>
                <w:noProof/>
                <w:color w:val="000000"/>
                <w:sz w:val="18"/>
              </w:rPr>
              <w:t>Iš viso</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PF"/>
              <w:jc w:val="right"/>
              <w:rPr>
                <w:rFonts w:ascii="Verdana" w:eastAsia="Times New Roman" w:hAnsi="Verdana" w:cs="Verdana"/>
                <w:b/>
                <w:noProof/>
                <w:color w:val="000000"/>
                <w:sz w:val="18"/>
              </w:rPr>
            </w:pPr>
            <w:r>
              <w:rPr>
                <w:rFonts w:ascii="Verdana" w:hAnsi="Verdana"/>
                <w:b/>
                <w:noProof/>
                <w:color w:val="000000"/>
                <w:sz w:val="18"/>
              </w:rPr>
              <w:t xml:space="preserve">  0</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PF"/>
              <w:jc w:val="right"/>
              <w:rPr>
                <w:rFonts w:ascii="Verdana" w:eastAsia="Times New Roman" w:hAnsi="Verdana" w:cs="Verdana"/>
                <w:b/>
                <w:noProof/>
                <w:color w:val="000000"/>
                <w:sz w:val="18"/>
              </w:rPr>
            </w:pPr>
            <w:r>
              <w:rPr>
                <w:rFonts w:ascii="Verdana" w:hAnsi="Verdana"/>
                <w:b/>
                <w:noProof/>
                <w:color w:val="000000"/>
                <w:sz w:val="18"/>
              </w:rPr>
              <w:t xml:space="preserve">  26</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PF"/>
              <w:jc w:val="right"/>
              <w:rPr>
                <w:rFonts w:ascii="Verdana" w:eastAsia="Times New Roman" w:hAnsi="Verdana" w:cs="Verdana"/>
                <w:b/>
                <w:noProof/>
                <w:color w:val="000000"/>
                <w:sz w:val="18"/>
              </w:rPr>
            </w:pPr>
            <w:r>
              <w:rPr>
                <w:rFonts w:ascii="Verdana" w:hAnsi="Verdana"/>
                <w:b/>
                <w:noProof/>
                <w:color w:val="000000"/>
                <w:sz w:val="18"/>
              </w:rPr>
              <w:t xml:space="preserve">  441</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PF"/>
              <w:jc w:val="right"/>
              <w:rPr>
                <w:rFonts w:ascii="Verdana" w:eastAsia="Times New Roman" w:hAnsi="Verdana" w:cs="Verdana"/>
                <w:b/>
                <w:noProof/>
                <w:color w:val="000000"/>
                <w:sz w:val="18"/>
              </w:rPr>
            </w:pPr>
            <w:r>
              <w:rPr>
                <w:rFonts w:ascii="Verdana" w:hAnsi="Verdana"/>
                <w:b/>
                <w:noProof/>
                <w:color w:val="000000"/>
                <w:sz w:val="18"/>
              </w:rPr>
              <w:t xml:space="preserve">  821</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PF"/>
              <w:jc w:val="right"/>
              <w:rPr>
                <w:rFonts w:ascii="Verdana" w:eastAsia="Times New Roman" w:hAnsi="Verdana" w:cs="Verdana"/>
                <w:b/>
                <w:noProof/>
                <w:color w:val="000000"/>
                <w:sz w:val="18"/>
              </w:rPr>
            </w:pPr>
            <w:r>
              <w:rPr>
                <w:rFonts w:ascii="Verdana" w:hAnsi="Verdana"/>
                <w:b/>
                <w:noProof/>
                <w:color w:val="000000"/>
                <w:sz w:val="18"/>
              </w:rPr>
              <w:t xml:space="preserve"> 1 288</w:t>
            </w:r>
          </w:p>
        </w:tc>
        <w:tc>
          <w:tcPr>
            <w:tcW w:w="13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PF"/>
              <w:jc w:val="right"/>
              <w:rPr>
                <w:rFonts w:ascii="Verdana" w:eastAsia="Times New Roman" w:hAnsi="Verdana" w:cs="Verdana"/>
                <w:b/>
                <w:noProof/>
                <w:color w:val="000000"/>
                <w:sz w:val="18"/>
              </w:rPr>
            </w:pPr>
            <w:r>
              <w:rPr>
                <w:rFonts w:ascii="Verdana" w:hAnsi="Verdana"/>
                <w:b/>
                <w:noProof/>
                <w:color w:val="000000"/>
                <w:sz w:val="18"/>
              </w:rPr>
              <w:t xml:space="preserve"> 1 448</w:t>
            </w:r>
          </w:p>
        </w:tc>
      </w:tr>
    </w:tbl>
    <w:p>
      <w:pPr>
        <w:pStyle w:val="HEADER3Part2"/>
        <w:rPr>
          <w:noProof/>
        </w:rPr>
      </w:pPr>
      <w:r>
        <w:rPr>
          <w:noProof/>
        </w:rPr>
        <w:t>Gautos išankstinio finansavimo garantijos</w:t>
      </w:r>
    </w:p>
    <w:p>
      <w:pPr>
        <w:pStyle w:val="Textstand-alone"/>
        <w:rPr>
          <w:iCs/>
        </w:rPr>
      </w:pPr>
      <w:r>
        <w:t>Garantijos yra skirtos išankstiniam finansavimui užtikrinti ir jų atsisakoma, kai sumokama paskutinė pagal projektą reikalaujama suma.</w:t>
      </w:r>
      <w:r>
        <w:rPr>
          <w:b/>
        </w:rPr>
        <w:t xml:space="preserve"> </w:t>
      </w:r>
      <w:r>
        <w:t>2019 m. gruodžio 31 d. EPF gautų išankstinio finansavimo garantijų vertė sumažėjo iki 46 mln. EUR (2018 m. – 79 mln. EUR).</w:t>
      </w:r>
    </w:p>
    <w:p>
      <w:pPr>
        <w:pStyle w:val="Textstand-alone"/>
        <w:spacing w:after="360"/>
      </w:pPr>
      <w:r>
        <w:t xml:space="preserve">Daugiausia išankstinio finansavimo išmokėta pagal netiesioginį valdymą. Šiuo atveju garantijos gavėjas yra ne EPF, o perkančioji organizacija. Net jei EPF nėra gavėjas, tomis garantijomis apsaugomas jo turtas. </w:t>
      </w:r>
    </w:p>
    <w:p>
      <w:pPr>
        <w:pStyle w:val="HEADER2Part2"/>
        <w:spacing w:before="120" w:after="120"/>
        <w:rPr>
          <w:noProof/>
        </w:rPr>
      </w:pPr>
      <w:r>
        <w:rPr>
          <w:noProof/>
        </w:rPr>
        <w:t>PATIKOS FONDO ĮNAŠAI</w:t>
      </w:r>
    </w:p>
    <w:p>
      <w:pPr>
        <w:pStyle w:val="Textstand-alone"/>
      </w:pPr>
      <w:r>
        <w:t>Šioje antraštinėje dalyje nurodyta suma, sumokėta kaip įnašai į ES patikos fondą Afrikai ir ES patikos fondą „Bêkou“. Įnašai neapima sąnaudų, kurias patyrė patikos fondai ir kurios priskirtinos EPF.</w:t>
      </w:r>
    </w:p>
    <w:p>
      <w:pPr>
        <w:pStyle w:val="Textstand-alone"/>
      </w:pPr>
      <w:r>
        <w:t>Patikos fondo įnašus EPF naudoja laikydamasis tiesioginio valdymo principo.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2018"/>
        <w:gridCol w:w="1195"/>
        <w:gridCol w:w="2303"/>
        <w:gridCol w:w="1583"/>
      </w:tblGrid>
      <w:tr>
        <w:trPr>
          <w:trHeight w:hRule="exact" w:val="300"/>
        </w:trPr>
        <w:tc>
          <w:tcPr>
            <w:tcW w:w="9758" w:type="dxa"/>
            <w:gridSpan w:val="5"/>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6"/>
              </w:rPr>
            </w:pPr>
            <w:bookmarkStart w:id="52" w:name="DOC_TBL00016_1_1"/>
            <w:bookmarkEnd w:id="52"/>
            <w:r>
              <w:rPr>
                <w:rFonts w:ascii="Verdana" w:hAnsi="Verdana"/>
                <w:i/>
                <w:noProof/>
                <w:color w:val="000000"/>
                <w:sz w:val="16"/>
              </w:rPr>
              <w:t>mln. EUR</w:t>
            </w:r>
          </w:p>
        </w:tc>
      </w:tr>
      <w:tr>
        <w:trPr>
          <w:trHeight w:hRule="exact" w:val="684"/>
        </w:trPr>
        <w:tc>
          <w:tcPr>
            <w:tcW w:w="265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TFCONTR"/>
              <w:keepNext/>
              <w:keepLines/>
              <w:jc w:val="center"/>
              <w:rPr>
                <w:rFonts w:ascii="Verdana" w:eastAsia="Times New Roman" w:hAnsi="Verdana" w:cs="Verdana"/>
                <w:noProof/>
                <w:color w:val="FFFFFF"/>
                <w:sz w:val="18"/>
              </w:rPr>
            </w:pPr>
          </w:p>
        </w:tc>
        <w:tc>
          <w:tcPr>
            <w:tcW w:w="201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TFCONTR"/>
              <w:keepNext/>
              <w:keepLines/>
              <w:jc w:val="center"/>
              <w:rPr>
                <w:rFonts w:ascii="Verdana" w:eastAsia="Times New Roman" w:hAnsi="Verdana" w:cs="Verdana"/>
                <w:noProof/>
                <w:color w:val="FFFFFF"/>
                <w:sz w:val="18"/>
              </w:rPr>
            </w:pPr>
            <w:r>
              <w:rPr>
                <w:rFonts w:ascii="Verdana" w:hAnsi="Verdana"/>
                <w:noProof/>
                <w:color w:val="FFFFFF"/>
                <w:sz w:val="18"/>
              </w:rPr>
              <w:t>Grynasis įnašas 2018 m. gruodžio 31 d.</w:t>
            </w:r>
          </w:p>
        </w:tc>
        <w:tc>
          <w:tcPr>
            <w:tcW w:w="119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TFCONTR"/>
              <w:keepNext/>
              <w:keepLines/>
              <w:jc w:val="center"/>
              <w:rPr>
                <w:rFonts w:ascii="Verdana" w:eastAsia="Times New Roman" w:hAnsi="Verdana" w:cs="Verdana"/>
                <w:noProof/>
                <w:color w:val="FFFFFF"/>
                <w:sz w:val="18"/>
              </w:rPr>
            </w:pPr>
            <w:r>
              <w:rPr>
                <w:rFonts w:ascii="Verdana" w:hAnsi="Verdana"/>
                <w:noProof/>
                <w:color w:val="FFFFFF"/>
                <w:sz w:val="18"/>
              </w:rPr>
              <w:t>2019 m. sumokėti įnašai</w:t>
            </w:r>
          </w:p>
        </w:tc>
        <w:tc>
          <w:tcPr>
            <w:tcW w:w="230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TFCONTR"/>
              <w:keepNext/>
              <w:keepLines/>
              <w:jc w:val="center"/>
              <w:rPr>
                <w:rFonts w:ascii="Verdana" w:eastAsia="Times New Roman" w:hAnsi="Verdana" w:cs="Verdana"/>
                <w:noProof/>
                <w:color w:val="FFFFFF"/>
                <w:sz w:val="18"/>
              </w:rPr>
            </w:pPr>
            <w:r>
              <w:rPr>
                <w:rFonts w:ascii="Verdana" w:hAnsi="Verdana"/>
                <w:noProof/>
                <w:color w:val="FFFFFF"/>
                <w:sz w:val="18"/>
              </w:rPr>
              <w:t>Patikos fondų grynųjų išlaidų priskyrimas 2019 m.</w:t>
            </w:r>
          </w:p>
        </w:tc>
        <w:tc>
          <w:tcPr>
            <w:tcW w:w="158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TFCONTR"/>
              <w:keepNext/>
              <w:keepLines/>
              <w:jc w:val="center"/>
              <w:rPr>
                <w:rFonts w:ascii="Verdana" w:eastAsia="Times New Roman" w:hAnsi="Verdana" w:cs="Verdana"/>
                <w:noProof/>
                <w:color w:val="FFFFFF"/>
                <w:sz w:val="18"/>
              </w:rPr>
            </w:pPr>
            <w:r>
              <w:rPr>
                <w:rFonts w:ascii="Verdana" w:hAnsi="Verdana"/>
                <w:noProof/>
                <w:color w:val="FFFFFF"/>
                <w:sz w:val="18"/>
              </w:rPr>
              <w:t>Grynasis įnašas 2019 m. gruodžio 31 d.</w:t>
            </w:r>
          </w:p>
        </w:tc>
      </w:tr>
      <w:tr>
        <w:trPr>
          <w:trHeight w:hRule="exact" w:val="228"/>
        </w:trPr>
        <w:tc>
          <w:tcPr>
            <w:tcW w:w="2659" w:type="dxa"/>
            <w:tcBorders>
              <w:top w:val="nil"/>
              <w:left w:val="nil"/>
              <w:bottom w:val="nil"/>
              <w:right w:val="nil"/>
            </w:tcBorders>
            <w:tcMar>
              <w:top w:w="0" w:type="dxa"/>
              <w:left w:w="60" w:type="dxa"/>
              <w:bottom w:w="0" w:type="dxa"/>
              <w:right w:w="60" w:type="dxa"/>
            </w:tcMar>
            <w:vAlign w:val="center"/>
          </w:tcPr>
          <w:p>
            <w:pPr>
              <w:pStyle w:val="DMETW18983BIPTFCONTR"/>
              <w:keepNext/>
              <w:keepLines/>
              <w:rPr>
                <w:rFonts w:ascii="Verdana" w:eastAsia="Times New Roman" w:hAnsi="Verdana" w:cs="Verdana"/>
                <w:i/>
                <w:noProof/>
                <w:color w:val="000000"/>
                <w:sz w:val="18"/>
              </w:rPr>
            </w:pPr>
            <w:r>
              <w:rPr>
                <w:rFonts w:ascii="Verdana" w:hAnsi="Verdana"/>
                <w:i/>
                <w:noProof/>
                <w:color w:val="000000"/>
                <w:sz w:val="18"/>
              </w:rPr>
              <w:t>Afrika</w:t>
            </w:r>
          </w:p>
        </w:tc>
        <w:tc>
          <w:tcPr>
            <w:tcW w:w="2018" w:type="dxa"/>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8"/>
              </w:rPr>
            </w:pPr>
            <w:r>
              <w:rPr>
                <w:rFonts w:ascii="Verdana" w:hAnsi="Verdana"/>
                <w:i/>
                <w:noProof/>
                <w:color w:val="000000"/>
                <w:sz w:val="18"/>
              </w:rPr>
              <w:t xml:space="preserve"> 193</w:t>
            </w:r>
          </w:p>
        </w:tc>
        <w:tc>
          <w:tcPr>
            <w:tcW w:w="1195" w:type="dxa"/>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8"/>
              </w:rPr>
            </w:pPr>
            <w:r>
              <w:rPr>
                <w:rFonts w:ascii="Verdana" w:hAnsi="Verdana"/>
                <w:i/>
                <w:noProof/>
                <w:color w:val="000000"/>
                <w:sz w:val="18"/>
              </w:rPr>
              <w:t xml:space="preserve"> 600</w:t>
            </w:r>
          </w:p>
        </w:tc>
        <w:tc>
          <w:tcPr>
            <w:tcW w:w="2303" w:type="dxa"/>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8"/>
              </w:rPr>
            </w:pPr>
            <w:r>
              <w:rPr>
                <w:rFonts w:ascii="Verdana" w:hAnsi="Verdana"/>
                <w:i/>
                <w:noProof/>
                <w:color w:val="000000"/>
                <w:sz w:val="18"/>
              </w:rPr>
              <w:t xml:space="preserve"> (530)</w:t>
            </w:r>
          </w:p>
        </w:tc>
        <w:tc>
          <w:tcPr>
            <w:tcW w:w="1583" w:type="dxa"/>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8"/>
              </w:rPr>
            </w:pPr>
            <w:r>
              <w:rPr>
                <w:rFonts w:ascii="Verdana" w:hAnsi="Verdana"/>
                <w:i/>
                <w:noProof/>
                <w:color w:val="000000"/>
                <w:sz w:val="18"/>
              </w:rPr>
              <w:t xml:space="preserve"> 263</w:t>
            </w:r>
          </w:p>
        </w:tc>
      </w:tr>
      <w:tr>
        <w:trPr>
          <w:trHeight w:hRule="exact" w:val="228"/>
        </w:trPr>
        <w:tc>
          <w:tcPr>
            <w:tcW w:w="2659" w:type="dxa"/>
            <w:tcBorders>
              <w:top w:val="nil"/>
              <w:left w:val="nil"/>
              <w:bottom w:val="nil"/>
              <w:right w:val="nil"/>
            </w:tcBorders>
            <w:tcMar>
              <w:top w:w="0" w:type="dxa"/>
              <w:left w:w="60" w:type="dxa"/>
              <w:bottom w:w="0" w:type="dxa"/>
              <w:right w:w="60" w:type="dxa"/>
            </w:tcMar>
            <w:vAlign w:val="center"/>
          </w:tcPr>
          <w:p>
            <w:pPr>
              <w:pStyle w:val="DMETW18983BIPTFCONTR"/>
              <w:keepNext/>
              <w:keepLines/>
              <w:rPr>
                <w:rFonts w:ascii="Verdana" w:eastAsia="Times New Roman" w:hAnsi="Verdana" w:cs="Verdana"/>
                <w:i/>
                <w:noProof/>
                <w:color w:val="000000"/>
                <w:sz w:val="18"/>
              </w:rPr>
            </w:pPr>
            <w:r>
              <w:rPr>
                <w:rFonts w:ascii="Verdana" w:hAnsi="Verdana"/>
                <w:i/>
                <w:noProof/>
                <w:color w:val="000000"/>
                <w:sz w:val="18"/>
              </w:rPr>
              <w:t>„Bêkou“</w:t>
            </w:r>
          </w:p>
        </w:tc>
        <w:tc>
          <w:tcPr>
            <w:tcW w:w="2018" w:type="dxa"/>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8"/>
              </w:rPr>
            </w:pPr>
            <w:r>
              <w:rPr>
                <w:rFonts w:ascii="Verdana" w:hAnsi="Verdana"/>
                <w:i/>
                <w:noProof/>
                <w:color w:val="000000"/>
                <w:sz w:val="18"/>
              </w:rPr>
              <w:t xml:space="preserve"> 9</w:t>
            </w:r>
          </w:p>
        </w:tc>
        <w:tc>
          <w:tcPr>
            <w:tcW w:w="1195" w:type="dxa"/>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8"/>
              </w:rPr>
            </w:pPr>
            <w:r>
              <w:rPr>
                <w:rFonts w:ascii="Verdana" w:hAnsi="Verdana"/>
                <w:i/>
                <w:noProof/>
                <w:color w:val="000000"/>
                <w:sz w:val="18"/>
              </w:rPr>
              <w:t>–</w:t>
            </w:r>
          </w:p>
        </w:tc>
        <w:tc>
          <w:tcPr>
            <w:tcW w:w="2303" w:type="dxa"/>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8"/>
              </w:rPr>
            </w:pPr>
            <w:r>
              <w:rPr>
                <w:rFonts w:ascii="Verdana" w:hAnsi="Verdana"/>
                <w:i/>
                <w:noProof/>
                <w:color w:val="000000"/>
                <w:sz w:val="18"/>
              </w:rPr>
              <w:t xml:space="preserve"> (5)</w:t>
            </w:r>
          </w:p>
        </w:tc>
        <w:tc>
          <w:tcPr>
            <w:tcW w:w="1583" w:type="dxa"/>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8"/>
              </w:rPr>
            </w:pPr>
            <w:r>
              <w:rPr>
                <w:rFonts w:ascii="Verdana" w:hAnsi="Verdana"/>
                <w:i/>
                <w:noProof/>
                <w:color w:val="000000"/>
                <w:sz w:val="18"/>
              </w:rPr>
              <w:t xml:space="preserve"> 4</w:t>
            </w:r>
          </w:p>
        </w:tc>
      </w:tr>
      <w:tr>
        <w:trPr>
          <w:trHeight w:hRule="exact" w:val="228"/>
        </w:trPr>
        <w:tc>
          <w:tcPr>
            <w:tcW w:w="265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TFCONTR"/>
              <w:keepNext/>
              <w:keepLines/>
              <w:rPr>
                <w:rFonts w:ascii="Verdana" w:eastAsia="Times New Roman" w:hAnsi="Verdana" w:cs="Verdana"/>
                <w:b/>
                <w:noProof/>
                <w:color w:val="000000"/>
                <w:sz w:val="18"/>
              </w:rPr>
            </w:pPr>
            <w:r>
              <w:rPr>
                <w:rFonts w:ascii="Verdana" w:hAnsi="Verdana"/>
                <w:b/>
                <w:noProof/>
                <w:color w:val="000000"/>
                <w:sz w:val="18"/>
              </w:rPr>
              <w:t>Iš viso</w:t>
            </w:r>
          </w:p>
        </w:tc>
        <w:tc>
          <w:tcPr>
            <w:tcW w:w="201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TFCONTR"/>
              <w:keepNext/>
              <w:keepLines/>
              <w:jc w:val="right"/>
              <w:rPr>
                <w:rFonts w:ascii="Verdana" w:eastAsia="Times New Roman" w:hAnsi="Verdana" w:cs="Verdana"/>
                <w:b/>
                <w:noProof/>
                <w:color w:val="000000"/>
                <w:sz w:val="18"/>
              </w:rPr>
            </w:pPr>
            <w:r>
              <w:rPr>
                <w:rFonts w:ascii="Verdana" w:hAnsi="Verdana"/>
                <w:b/>
                <w:noProof/>
                <w:color w:val="000000"/>
                <w:sz w:val="18"/>
              </w:rPr>
              <w:t xml:space="preserve">  201</w:t>
            </w:r>
          </w:p>
        </w:tc>
        <w:tc>
          <w:tcPr>
            <w:tcW w:w="1195"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TFCONTR"/>
              <w:keepNext/>
              <w:keepLines/>
              <w:jc w:val="right"/>
              <w:rPr>
                <w:rFonts w:ascii="Verdana" w:eastAsia="Times New Roman" w:hAnsi="Verdana" w:cs="Verdana"/>
                <w:b/>
                <w:noProof/>
                <w:color w:val="000000"/>
                <w:sz w:val="18"/>
              </w:rPr>
            </w:pPr>
            <w:r>
              <w:rPr>
                <w:rFonts w:ascii="Verdana" w:hAnsi="Verdana"/>
                <w:b/>
                <w:noProof/>
                <w:color w:val="000000"/>
                <w:sz w:val="18"/>
              </w:rPr>
              <w:t xml:space="preserve">  600</w:t>
            </w:r>
          </w:p>
        </w:tc>
        <w:tc>
          <w:tcPr>
            <w:tcW w:w="230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TFCONTR"/>
              <w:keepNext/>
              <w:keepLines/>
              <w:jc w:val="right"/>
              <w:rPr>
                <w:rFonts w:ascii="Verdana" w:eastAsia="Times New Roman" w:hAnsi="Verdana" w:cs="Verdana"/>
                <w:b/>
                <w:noProof/>
                <w:color w:val="000000"/>
                <w:sz w:val="18"/>
              </w:rPr>
            </w:pPr>
            <w:r>
              <w:rPr>
                <w:rFonts w:ascii="Verdana" w:hAnsi="Verdana"/>
                <w:b/>
                <w:noProof/>
                <w:color w:val="000000"/>
                <w:sz w:val="18"/>
              </w:rPr>
              <w:t xml:space="preserve">  (535)</w:t>
            </w:r>
          </w:p>
        </w:tc>
        <w:tc>
          <w:tcPr>
            <w:tcW w:w="158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TFCONTR"/>
              <w:keepNext/>
              <w:keepLines/>
              <w:jc w:val="right"/>
              <w:rPr>
                <w:rFonts w:ascii="Verdana" w:eastAsia="Times New Roman" w:hAnsi="Verdana" w:cs="Verdana"/>
                <w:b/>
                <w:noProof/>
                <w:color w:val="000000"/>
                <w:sz w:val="18"/>
              </w:rPr>
            </w:pPr>
            <w:r>
              <w:rPr>
                <w:rFonts w:ascii="Verdana" w:hAnsi="Verdana"/>
                <w:b/>
                <w:noProof/>
                <w:color w:val="000000"/>
                <w:sz w:val="18"/>
              </w:rPr>
              <w:t xml:space="preserve">  266</w:t>
            </w:r>
          </w:p>
        </w:tc>
      </w:tr>
    </w:tbl>
    <w:p>
      <w:pPr>
        <w:keepNext/>
        <w:keepLines/>
        <w:rPr>
          <w:noProof/>
          <w:lang w:bidi="en-GB"/>
        </w:rPr>
        <w:sectPr>
          <w:headerReference w:type="even" r:id="rId149"/>
          <w:headerReference w:type="default" r:id="rId150"/>
          <w:footerReference w:type="even" r:id="rId151"/>
          <w:footerReference w:type="default" r:id="rId152"/>
          <w:headerReference w:type="first" r:id="rId153"/>
          <w:footerReference w:type="first" r:id="rId154"/>
          <w:pgSz w:w="11906" w:h="16838" w:code="9"/>
          <w:pgMar w:top="1134" w:right="1134" w:bottom="1134" w:left="1134" w:header="709" w:footer="709" w:gutter="0"/>
          <w:cols w:space="708"/>
          <w:docGrid w:linePitch="360"/>
        </w:sectPr>
      </w:pPr>
    </w:p>
    <w:p>
      <w:pPr>
        <w:pStyle w:val="HEADER2Part2"/>
        <w:keepNext/>
        <w:rPr>
          <w:noProof/>
        </w:rPr>
      </w:pPr>
      <w:r>
        <w:rPr>
          <w:noProof/>
        </w:rPr>
        <w:t xml:space="preserve">IŠ PREKYBOS GAUTINOS SUMOS IR NEPREKYBINĖS SUSIGRĄŽINTINOS SUMOS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911"/>
        <w:gridCol w:w="1923"/>
        <w:gridCol w:w="1965"/>
      </w:tblGrid>
      <w:tr>
        <w:trPr>
          <w:trHeight w:hRule="exact" w:val="300"/>
        </w:trPr>
        <w:tc>
          <w:tcPr>
            <w:tcW w:w="9618" w:type="dxa"/>
            <w:gridSpan w:val="4"/>
            <w:tcBorders>
              <w:top w:val="nil"/>
              <w:left w:val="nil"/>
              <w:bottom w:val="nil"/>
              <w:right w:val="nil"/>
            </w:tcBorders>
            <w:tcMar>
              <w:top w:w="0" w:type="dxa"/>
              <w:left w:w="60" w:type="dxa"/>
              <w:bottom w:w="0" w:type="dxa"/>
              <w:right w:w="60" w:type="dxa"/>
            </w:tcMar>
            <w:vAlign w:val="center"/>
          </w:tcPr>
          <w:p>
            <w:pPr>
              <w:pStyle w:val="DMETW18983BIPERNER"/>
              <w:jc w:val="right"/>
              <w:rPr>
                <w:rFonts w:ascii="Verdana" w:eastAsia="Times New Roman" w:hAnsi="Verdana" w:cs="Verdana"/>
                <w:i/>
                <w:noProof/>
                <w:color w:val="000000"/>
                <w:sz w:val="16"/>
              </w:rPr>
            </w:pPr>
            <w:bookmarkStart w:id="53" w:name="DOC_TBL00018_1_1"/>
            <w:bookmarkEnd w:id="53"/>
            <w:r>
              <w:rPr>
                <w:rFonts w:ascii="Verdana" w:hAnsi="Verdana"/>
                <w:i/>
                <w:noProof/>
                <w:color w:val="000000"/>
                <w:sz w:val="16"/>
              </w:rPr>
              <w:t>mln. EUR</w:t>
            </w:r>
          </w:p>
        </w:tc>
      </w:tr>
      <w:tr>
        <w:trPr>
          <w:trHeight w:hRule="exact" w:val="252"/>
        </w:trPr>
        <w:tc>
          <w:tcPr>
            <w:tcW w:w="481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RNER"/>
              <w:rPr>
                <w:rFonts w:ascii="Verdana" w:eastAsia="Times New Roman" w:hAnsi="Verdana" w:cs="Verdana"/>
                <w:noProof/>
                <w:color w:val="FFFFFF"/>
              </w:rPr>
            </w:pPr>
          </w:p>
        </w:tc>
        <w:tc>
          <w:tcPr>
            <w:tcW w:w="91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RNER"/>
              <w:jc w:val="right"/>
              <w:rPr>
                <w:rFonts w:ascii="Verdana" w:eastAsia="Times New Roman" w:hAnsi="Verdana" w:cs="Verdana"/>
                <w:noProof/>
                <w:color w:val="FFFFFF"/>
              </w:rPr>
            </w:pPr>
            <w:r>
              <w:rPr>
                <w:rFonts w:ascii="Verdana" w:hAnsi="Verdana"/>
                <w:noProof/>
                <w:color w:val="FFFFFF"/>
              </w:rPr>
              <w:t>Pastaba</w:t>
            </w:r>
          </w:p>
        </w:tc>
        <w:tc>
          <w:tcPr>
            <w:tcW w:w="192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RNER"/>
              <w:jc w:val="right"/>
              <w:rPr>
                <w:rFonts w:ascii="Verdana" w:eastAsia="Times New Roman" w:hAnsi="Verdana" w:cs="Verdana"/>
                <w:noProof/>
                <w:color w:val="FFFFFF"/>
              </w:rPr>
            </w:pPr>
            <w:r>
              <w:rPr>
                <w:rFonts w:ascii="Verdana" w:hAnsi="Verdana"/>
                <w:noProof/>
                <w:color w:val="FFFFFF"/>
              </w:rPr>
              <w:t>2019 12 31</w:t>
            </w:r>
          </w:p>
        </w:tc>
        <w:tc>
          <w:tcPr>
            <w:tcW w:w="196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RNER"/>
              <w:jc w:val="right"/>
              <w:rPr>
                <w:rFonts w:ascii="Verdana" w:eastAsia="Times New Roman" w:hAnsi="Verdana" w:cs="Verdana"/>
                <w:noProof/>
                <w:color w:val="FFFFFF"/>
              </w:rPr>
            </w:pPr>
            <w:r>
              <w:rPr>
                <w:rFonts w:ascii="Verdana" w:hAnsi="Verdana"/>
                <w:noProof/>
                <w:color w:val="FFFFFF"/>
              </w:rPr>
              <w:t>2018 12 31</w:t>
            </w:r>
          </w:p>
        </w:tc>
      </w:tr>
      <w:tr>
        <w:trPr>
          <w:trHeight w:hRule="exact" w:val="228"/>
        </w:trPr>
        <w:tc>
          <w:tcPr>
            <w:tcW w:w="4819" w:type="dxa"/>
            <w:tcBorders>
              <w:top w:val="nil"/>
              <w:left w:val="nil"/>
              <w:bottom w:val="nil"/>
              <w:right w:val="nil"/>
            </w:tcBorders>
            <w:tcMar>
              <w:top w:w="0" w:type="dxa"/>
              <w:left w:w="60" w:type="dxa"/>
              <w:bottom w:w="0" w:type="dxa"/>
              <w:right w:w="60" w:type="dxa"/>
            </w:tcMar>
            <w:vAlign w:val="center"/>
          </w:tcPr>
          <w:p>
            <w:pPr>
              <w:pStyle w:val="DMETW18983BIPERNER"/>
              <w:rPr>
                <w:rFonts w:ascii="Verdana" w:eastAsia="Times New Roman" w:hAnsi="Verdana" w:cs="Verdana"/>
                <w:i/>
                <w:noProof/>
                <w:color w:val="000000"/>
                <w:sz w:val="18"/>
              </w:rPr>
            </w:pPr>
            <w:r>
              <w:rPr>
                <w:rFonts w:ascii="Verdana" w:hAnsi="Verdana"/>
                <w:i/>
                <w:noProof/>
                <w:color w:val="000000"/>
                <w:sz w:val="18"/>
              </w:rPr>
              <w:t>Iš neprekybinių operacijų susigrąžintinos sumos</w:t>
            </w:r>
          </w:p>
        </w:tc>
        <w:tc>
          <w:tcPr>
            <w:tcW w:w="911" w:type="dxa"/>
            <w:tcBorders>
              <w:top w:val="nil"/>
              <w:left w:val="nil"/>
              <w:bottom w:val="nil"/>
              <w:right w:val="nil"/>
            </w:tcBorders>
            <w:shd w:val="solid" w:color="FFFFFF" w:fill="FFFFFF"/>
            <w:tcMar>
              <w:top w:w="0" w:type="dxa"/>
              <w:left w:w="60" w:type="dxa"/>
              <w:bottom w:w="0" w:type="dxa"/>
              <w:right w:w="60" w:type="dxa"/>
            </w:tcMar>
            <w:vAlign w:val="center"/>
          </w:tcPr>
          <w:p>
            <w:pPr>
              <w:pStyle w:val="DMETW18983BIPERNER"/>
              <w:jc w:val="center"/>
              <w:rPr>
                <w:rFonts w:ascii="Verdana" w:eastAsia="Times New Roman" w:hAnsi="Verdana" w:cs="Verdana"/>
                <w:noProof/>
                <w:color w:val="000000"/>
                <w:sz w:val="18"/>
              </w:rPr>
            </w:pPr>
            <w:r>
              <w:rPr>
                <w:rFonts w:ascii="Verdana" w:hAnsi="Verdana"/>
                <w:noProof/>
                <w:color w:val="000000"/>
                <w:sz w:val="18"/>
              </w:rPr>
              <w:t>2.4.1</w:t>
            </w:r>
          </w:p>
        </w:tc>
        <w:tc>
          <w:tcPr>
            <w:tcW w:w="1923" w:type="dxa"/>
            <w:tcBorders>
              <w:top w:val="nil"/>
              <w:left w:val="nil"/>
              <w:bottom w:val="nil"/>
              <w:right w:val="nil"/>
            </w:tcBorders>
            <w:shd w:val="solid" w:color="FFFFFF" w:fill="FFFFFF"/>
            <w:tcMar>
              <w:top w:w="0" w:type="dxa"/>
              <w:left w:w="60" w:type="dxa"/>
              <w:bottom w:w="0" w:type="dxa"/>
              <w:right w:w="60" w:type="dxa"/>
            </w:tcMar>
            <w:vAlign w:val="center"/>
          </w:tcPr>
          <w:p>
            <w:pPr>
              <w:pStyle w:val="DMETW18983BIPERNER"/>
              <w:jc w:val="right"/>
              <w:rPr>
                <w:rFonts w:ascii="Verdana" w:eastAsia="Times New Roman" w:hAnsi="Verdana" w:cs="Verdana"/>
                <w:i/>
                <w:noProof/>
                <w:color w:val="000000"/>
                <w:sz w:val="18"/>
              </w:rPr>
            </w:pPr>
            <w:r>
              <w:rPr>
                <w:rFonts w:ascii="Verdana" w:hAnsi="Verdana"/>
                <w:i/>
                <w:noProof/>
                <w:color w:val="000000"/>
                <w:sz w:val="18"/>
              </w:rPr>
              <w:t xml:space="preserve"> 32</w:t>
            </w:r>
          </w:p>
        </w:tc>
        <w:tc>
          <w:tcPr>
            <w:tcW w:w="1965" w:type="dxa"/>
            <w:tcBorders>
              <w:top w:val="nil"/>
              <w:left w:val="nil"/>
              <w:bottom w:val="nil"/>
              <w:right w:val="nil"/>
            </w:tcBorders>
            <w:shd w:val="solid" w:color="FFFFFF" w:fill="FFFFFF"/>
            <w:tcMar>
              <w:top w:w="0" w:type="dxa"/>
              <w:left w:w="60" w:type="dxa"/>
              <w:bottom w:w="0" w:type="dxa"/>
              <w:right w:w="60" w:type="dxa"/>
            </w:tcMar>
            <w:vAlign w:val="center"/>
          </w:tcPr>
          <w:p>
            <w:pPr>
              <w:pStyle w:val="DMETW18983BIPERNER"/>
              <w:jc w:val="right"/>
              <w:rPr>
                <w:rFonts w:ascii="Verdana" w:eastAsia="Times New Roman" w:hAnsi="Verdana" w:cs="Verdana"/>
                <w:i/>
                <w:noProof/>
                <w:color w:val="000000"/>
                <w:sz w:val="18"/>
              </w:rPr>
            </w:pPr>
            <w:r>
              <w:rPr>
                <w:rFonts w:ascii="Verdana" w:hAnsi="Verdana"/>
                <w:i/>
                <w:noProof/>
                <w:color w:val="000000"/>
                <w:sz w:val="18"/>
              </w:rPr>
              <w:t xml:space="preserve"> 37</w:t>
            </w:r>
          </w:p>
        </w:tc>
      </w:tr>
      <w:tr>
        <w:trPr>
          <w:trHeight w:hRule="exact" w:val="228"/>
        </w:trPr>
        <w:tc>
          <w:tcPr>
            <w:tcW w:w="4819" w:type="dxa"/>
            <w:tcBorders>
              <w:top w:val="nil"/>
              <w:left w:val="nil"/>
              <w:bottom w:val="nil"/>
              <w:right w:val="nil"/>
            </w:tcBorders>
            <w:tcMar>
              <w:top w:w="0" w:type="dxa"/>
              <w:left w:w="60" w:type="dxa"/>
              <w:bottom w:w="0" w:type="dxa"/>
              <w:right w:w="60" w:type="dxa"/>
            </w:tcMar>
            <w:vAlign w:val="center"/>
          </w:tcPr>
          <w:p>
            <w:pPr>
              <w:pStyle w:val="DMETW18983BIPERNER"/>
              <w:rPr>
                <w:rFonts w:ascii="Verdana" w:eastAsia="Times New Roman" w:hAnsi="Verdana" w:cs="Verdana"/>
                <w:i/>
                <w:noProof/>
                <w:color w:val="000000"/>
                <w:sz w:val="18"/>
              </w:rPr>
            </w:pPr>
            <w:r>
              <w:rPr>
                <w:rFonts w:ascii="Verdana" w:hAnsi="Verdana"/>
                <w:i/>
                <w:noProof/>
                <w:color w:val="000000"/>
                <w:sz w:val="18"/>
              </w:rPr>
              <w:t>Iš prekybos operacijų gautinos sumos</w:t>
            </w:r>
          </w:p>
        </w:tc>
        <w:tc>
          <w:tcPr>
            <w:tcW w:w="911" w:type="dxa"/>
            <w:tcBorders>
              <w:top w:val="nil"/>
              <w:left w:val="nil"/>
              <w:bottom w:val="nil"/>
              <w:right w:val="nil"/>
            </w:tcBorders>
            <w:shd w:val="solid" w:color="FFFFFF" w:fill="FFFFFF"/>
            <w:tcMar>
              <w:top w:w="0" w:type="dxa"/>
              <w:left w:w="60" w:type="dxa"/>
              <w:bottom w:w="0" w:type="dxa"/>
              <w:right w:w="60" w:type="dxa"/>
            </w:tcMar>
            <w:vAlign w:val="center"/>
          </w:tcPr>
          <w:p>
            <w:pPr>
              <w:pStyle w:val="DMETW18983BIPERNER"/>
              <w:jc w:val="center"/>
              <w:rPr>
                <w:rFonts w:ascii="Verdana" w:eastAsia="Times New Roman" w:hAnsi="Verdana" w:cs="Verdana"/>
                <w:noProof/>
                <w:color w:val="000000"/>
                <w:sz w:val="18"/>
              </w:rPr>
            </w:pPr>
            <w:r>
              <w:rPr>
                <w:rFonts w:ascii="Verdana" w:hAnsi="Verdana"/>
                <w:noProof/>
                <w:color w:val="000000"/>
                <w:sz w:val="18"/>
              </w:rPr>
              <w:t>2.4.2</w:t>
            </w:r>
          </w:p>
        </w:tc>
        <w:tc>
          <w:tcPr>
            <w:tcW w:w="1923" w:type="dxa"/>
            <w:tcBorders>
              <w:top w:val="nil"/>
              <w:left w:val="nil"/>
              <w:bottom w:val="nil"/>
              <w:right w:val="nil"/>
            </w:tcBorders>
            <w:shd w:val="solid" w:color="FFFFFF" w:fill="FFFFFF"/>
            <w:tcMar>
              <w:top w:w="0" w:type="dxa"/>
              <w:left w:w="60" w:type="dxa"/>
              <w:bottom w:w="0" w:type="dxa"/>
              <w:right w:w="60" w:type="dxa"/>
            </w:tcMar>
            <w:vAlign w:val="center"/>
          </w:tcPr>
          <w:p>
            <w:pPr>
              <w:pStyle w:val="DMETW18983BIPERNER"/>
              <w:jc w:val="right"/>
              <w:rPr>
                <w:rFonts w:ascii="Verdana" w:eastAsia="Times New Roman" w:hAnsi="Verdana" w:cs="Verdana"/>
                <w:i/>
                <w:noProof/>
                <w:color w:val="000000"/>
                <w:sz w:val="18"/>
              </w:rPr>
            </w:pPr>
            <w:r>
              <w:rPr>
                <w:rFonts w:ascii="Verdana" w:hAnsi="Verdana"/>
                <w:i/>
                <w:noProof/>
                <w:color w:val="000000"/>
                <w:sz w:val="18"/>
              </w:rPr>
              <w:t xml:space="preserve"> 91</w:t>
            </w:r>
          </w:p>
        </w:tc>
        <w:tc>
          <w:tcPr>
            <w:tcW w:w="1965" w:type="dxa"/>
            <w:tcBorders>
              <w:top w:val="nil"/>
              <w:left w:val="nil"/>
              <w:bottom w:val="nil"/>
              <w:right w:val="nil"/>
            </w:tcBorders>
            <w:shd w:val="solid" w:color="FFFFFF" w:fill="FFFFFF"/>
            <w:tcMar>
              <w:top w:w="0" w:type="dxa"/>
              <w:left w:w="60" w:type="dxa"/>
              <w:bottom w:w="0" w:type="dxa"/>
              <w:right w:w="60" w:type="dxa"/>
            </w:tcMar>
            <w:vAlign w:val="center"/>
          </w:tcPr>
          <w:p>
            <w:pPr>
              <w:pStyle w:val="DMETW18983BIPERNER"/>
              <w:jc w:val="right"/>
              <w:rPr>
                <w:rFonts w:ascii="Verdana" w:eastAsia="Times New Roman" w:hAnsi="Verdana" w:cs="Verdana"/>
                <w:i/>
                <w:noProof/>
                <w:color w:val="000000"/>
                <w:sz w:val="18"/>
              </w:rPr>
            </w:pPr>
            <w:r>
              <w:rPr>
                <w:rFonts w:ascii="Verdana" w:hAnsi="Verdana"/>
                <w:i/>
                <w:noProof/>
                <w:color w:val="000000"/>
                <w:sz w:val="18"/>
              </w:rPr>
              <w:t xml:space="preserve"> 101</w:t>
            </w:r>
          </w:p>
        </w:tc>
      </w:tr>
      <w:tr>
        <w:trPr>
          <w:trHeight w:hRule="exact" w:val="228"/>
        </w:trPr>
        <w:tc>
          <w:tcPr>
            <w:tcW w:w="481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RNER"/>
              <w:rPr>
                <w:rFonts w:ascii="Verdana" w:eastAsia="Times New Roman" w:hAnsi="Verdana" w:cs="Verdana"/>
                <w:b/>
                <w:noProof/>
                <w:color w:val="000000"/>
                <w:sz w:val="18"/>
              </w:rPr>
            </w:pPr>
            <w:r>
              <w:rPr>
                <w:rFonts w:ascii="Verdana" w:hAnsi="Verdana"/>
                <w:b/>
                <w:noProof/>
                <w:color w:val="000000"/>
                <w:sz w:val="18"/>
              </w:rPr>
              <w:t>Iš viso</w:t>
            </w:r>
          </w:p>
        </w:tc>
        <w:tc>
          <w:tcPr>
            <w:tcW w:w="91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RNER"/>
              <w:rPr>
                <w:rFonts w:ascii="Verdana" w:eastAsia="Times New Roman" w:hAnsi="Verdana" w:cs="Verdana"/>
                <w:b/>
                <w:noProof/>
                <w:color w:val="000000"/>
                <w:sz w:val="18"/>
              </w:rPr>
            </w:pPr>
          </w:p>
        </w:tc>
        <w:tc>
          <w:tcPr>
            <w:tcW w:w="192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RNER"/>
              <w:jc w:val="right"/>
              <w:rPr>
                <w:rFonts w:ascii="Verdana" w:eastAsia="Times New Roman" w:hAnsi="Verdana" w:cs="Verdana"/>
                <w:b/>
                <w:noProof/>
                <w:color w:val="000000"/>
                <w:sz w:val="18"/>
              </w:rPr>
            </w:pPr>
            <w:r>
              <w:rPr>
                <w:rFonts w:ascii="Verdana" w:hAnsi="Verdana"/>
                <w:b/>
                <w:noProof/>
                <w:color w:val="000000"/>
                <w:sz w:val="18"/>
              </w:rPr>
              <w:t xml:space="preserve">  123</w:t>
            </w:r>
          </w:p>
        </w:tc>
        <w:tc>
          <w:tcPr>
            <w:tcW w:w="1965"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RNER"/>
              <w:jc w:val="right"/>
              <w:rPr>
                <w:rFonts w:ascii="Verdana" w:eastAsia="Times New Roman" w:hAnsi="Verdana" w:cs="Verdana"/>
                <w:b/>
                <w:noProof/>
                <w:color w:val="000000"/>
                <w:sz w:val="18"/>
              </w:rPr>
            </w:pPr>
            <w:r>
              <w:rPr>
                <w:rFonts w:ascii="Verdana" w:hAnsi="Verdana"/>
                <w:b/>
                <w:noProof/>
                <w:color w:val="000000"/>
                <w:sz w:val="18"/>
              </w:rPr>
              <w:t xml:space="preserve">  138</w:t>
            </w:r>
          </w:p>
        </w:tc>
      </w:tr>
    </w:tbl>
    <w:p>
      <w:pPr>
        <w:pStyle w:val="HEADER3Part2"/>
        <w:tabs>
          <w:tab w:val="left" w:pos="3544"/>
        </w:tabs>
        <w:rPr>
          <w:noProof/>
        </w:rPr>
      </w:pPr>
      <w:r>
        <w:rPr>
          <w:noProof/>
        </w:rPr>
        <w:t>Iš neprekybinių operacijų susigrąžintinos sumos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2"/>
        <w:gridCol w:w="851"/>
        <w:gridCol w:w="850"/>
        <w:gridCol w:w="851"/>
        <w:gridCol w:w="850"/>
        <w:gridCol w:w="1401"/>
        <w:gridCol w:w="1353"/>
      </w:tblGrid>
      <w:tr>
        <w:trPr>
          <w:trHeight w:val="255"/>
        </w:trPr>
        <w:tc>
          <w:tcPr>
            <w:tcW w:w="9618" w:type="dxa"/>
            <w:gridSpan w:val="7"/>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6"/>
              </w:rPr>
            </w:pPr>
            <w:bookmarkStart w:id="54" w:name="DOC_TBL00017_1_1"/>
            <w:bookmarkEnd w:id="54"/>
            <w:r>
              <w:rPr>
                <w:rFonts w:ascii="Verdana" w:hAnsi="Verdana"/>
                <w:i/>
                <w:noProof/>
                <w:color w:val="000000"/>
                <w:sz w:val="16"/>
              </w:rPr>
              <w:t>mln. EUR</w:t>
            </w:r>
          </w:p>
        </w:tc>
      </w:tr>
      <w:tr>
        <w:trPr>
          <w:trHeight w:val="255"/>
        </w:trPr>
        <w:tc>
          <w:tcPr>
            <w:tcW w:w="346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NET"/>
              <w:keepNext/>
              <w:keepLines/>
              <w:jc w:val="center"/>
              <w:rPr>
                <w:rFonts w:ascii="Verdana" w:eastAsia="Times New Roman" w:hAnsi="Verdana" w:cs="Verdana"/>
                <w:noProof/>
                <w:color w:val="FFFFFF"/>
              </w:rPr>
            </w:pP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NET"/>
              <w:keepNext/>
              <w:keepLines/>
              <w:jc w:val="right"/>
              <w:rPr>
                <w:rFonts w:ascii="Verdana" w:eastAsia="Times New Roman" w:hAnsi="Verdana" w:cs="Verdana"/>
                <w:noProof/>
                <w:color w:val="FFFFFF"/>
              </w:rPr>
            </w:pPr>
            <w:r>
              <w:rPr>
                <w:rFonts w:ascii="Verdana" w:hAnsi="Verdana"/>
                <w:noProof/>
                <w:color w:val="FFFFFF"/>
              </w:rPr>
              <w:t>8-asis EPF</w:t>
            </w: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NET"/>
              <w:keepNext/>
              <w:keepLines/>
              <w:jc w:val="right"/>
              <w:rPr>
                <w:rFonts w:ascii="Verdana" w:eastAsia="Times New Roman" w:hAnsi="Verdana" w:cs="Verdana"/>
                <w:noProof/>
                <w:color w:val="FFFFFF"/>
              </w:rPr>
            </w:pPr>
            <w:r>
              <w:rPr>
                <w:rFonts w:ascii="Verdana" w:hAnsi="Verdana"/>
                <w:noProof/>
                <w:color w:val="FFFFFF"/>
              </w:rPr>
              <w:t>9-asis EPF</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NET"/>
              <w:keepNext/>
              <w:keepLines/>
              <w:jc w:val="right"/>
              <w:rPr>
                <w:rFonts w:ascii="Verdana" w:eastAsia="Times New Roman" w:hAnsi="Verdana" w:cs="Verdana"/>
                <w:noProof/>
                <w:color w:val="FFFFFF"/>
              </w:rPr>
            </w:pPr>
            <w:r>
              <w:rPr>
                <w:rFonts w:ascii="Verdana" w:hAnsi="Verdana"/>
                <w:noProof/>
                <w:color w:val="FFFFFF"/>
              </w:rPr>
              <w:t>10-asis EPF</w:t>
            </w: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NET"/>
              <w:keepNext/>
              <w:keepLines/>
              <w:jc w:val="right"/>
              <w:rPr>
                <w:rFonts w:ascii="Verdana" w:eastAsia="Times New Roman" w:hAnsi="Verdana" w:cs="Verdana"/>
                <w:noProof/>
                <w:color w:val="FFFFFF"/>
              </w:rPr>
            </w:pPr>
            <w:r>
              <w:rPr>
                <w:rFonts w:ascii="Verdana" w:hAnsi="Verdana"/>
                <w:noProof/>
                <w:color w:val="FFFFFF"/>
              </w:rPr>
              <w:t>11-asis EPF</w:t>
            </w:r>
          </w:p>
        </w:tc>
        <w:tc>
          <w:tcPr>
            <w:tcW w:w="140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NET"/>
              <w:keepNext/>
              <w:keepLines/>
              <w:jc w:val="right"/>
              <w:rPr>
                <w:rFonts w:ascii="Verdana" w:eastAsia="Times New Roman" w:hAnsi="Verdana" w:cs="Verdana"/>
                <w:noProof/>
                <w:color w:val="FFFFFF"/>
              </w:rPr>
            </w:pPr>
            <w:r>
              <w:rPr>
                <w:rFonts w:ascii="Verdana" w:hAnsi="Verdana"/>
                <w:noProof/>
                <w:color w:val="FFFFFF"/>
              </w:rPr>
              <w:t>2019 12 31</w:t>
            </w:r>
          </w:p>
        </w:tc>
        <w:tc>
          <w:tcPr>
            <w:tcW w:w="135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NET"/>
              <w:keepNext/>
              <w:keepLines/>
              <w:jc w:val="right"/>
              <w:rPr>
                <w:rFonts w:ascii="Verdana" w:eastAsia="Times New Roman" w:hAnsi="Verdana" w:cs="Verdana"/>
                <w:noProof/>
                <w:color w:val="FFFFFF"/>
              </w:rPr>
            </w:pPr>
            <w:r>
              <w:rPr>
                <w:rFonts w:ascii="Verdana" w:hAnsi="Verdana"/>
                <w:noProof/>
                <w:color w:val="FFFFFF"/>
              </w:rPr>
              <w:t>2018 12 31</w:t>
            </w:r>
          </w:p>
        </w:tc>
      </w:tr>
      <w:tr>
        <w:trPr>
          <w:trHeight w:val="255"/>
        </w:trPr>
        <w:tc>
          <w:tcPr>
            <w:tcW w:w="3462" w:type="dxa"/>
            <w:tcBorders>
              <w:top w:val="nil"/>
              <w:left w:val="nil"/>
              <w:bottom w:val="nil"/>
              <w:right w:val="nil"/>
            </w:tcBorders>
            <w:tcMar>
              <w:top w:w="0" w:type="dxa"/>
              <w:left w:w="60" w:type="dxa"/>
              <w:bottom w:w="0" w:type="dxa"/>
              <w:right w:w="60" w:type="dxa"/>
            </w:tcMar>
            <w:vAlign w:val="center"/>
          </w:tcPr>
          <w:p>
            <w:pPr>
              <w:pStyle w:val="DMETW18983BIPRNET"/>
              <w:keepNext/>
              <w:keepLines/>
              <w:rPr>
                <w:rFonts w:ascii="Verdana" w:eastAsia="Times New Roman" w:hAnsi="Verdana" w:cs="Verdana"/>
                <w:i/>
                <w:noProof/>
                <w:color w:val="000000"/>
                <w:sz w:val="18"/>
              </w:rPr>
            </w:pPr>
            <w:r>
              <w:rPr>
                <w:rFonts w:ascii="Verdana" w:hAnsi="Verdana"/>
                <w:i/>
                <w:noProof/>
                <w:color w:val="000000"/>
                <w:sz w:val="18"/>
              </w:rPr>
              <w:t>Valstybės narės</w:t>
            </w:r>
          </w:p>
        </w:tc>
        <w:tc>
          <w:tcPr>
            <w:tcW w:w="85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140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135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5</w:t>
            </w:r>
          </w:p>
        </w:tc>
      </w:tr>
      <w:tr>
        <w:trPr>
          <w:trHeight w:val="255"/>
        </w:trPr>
        <w:tc>
          <w:tcPr>
            <w:tcW w:w="3462" w:type="dxa"/>
            <w:tcBorders>
              <w:top w:val="nil"/>
              <w:left w:val="nil"/>
              <w:bottom w:val="nil"/>
              <w:right w:val="nil"/>
            </w:tcBorders>
            <w:tcMar>
              <w:top w:w="0" w:type="dxa"/>
              <w:left w:w="60" w:type="dxa"/>
              <w:bottom w:w="0" w:type="dxa"/>
              <w:right w:w="60" w:type="dxa"/>
            </w:tcMar>
            <w:vAlign w:val="center"/>
          </w:tcPr>
          <w:p>
            <w:pPr>
              <w:pStyle w:val="DMETW18983BIPRNET"/>
              <w:keepNext/>
              <w:keepLines/>
              <w:rPr>
                <w:rFonts w:ascii="Verdana" w:eastAsia="Times New Roman" w:hAnsi="Verdana" w:cs="Verdana"/>
                <w:i/>
                <w:noProof/>
                <w:color w:val="000000"/>
                <w:sz w:val="18"/>
              </w:rPr>
            </w:pPr>
            <w:r>
              <w:rPr>
                <w:rFonts w:ascii="Verdana" w:hAnsi="Verdana"/>
                <w:i/>
                <w:noProof/>
                <w:color w:val="000000"/>
                <w:sz w:val="18"/>
              </w:rPr>
              <w:t>Klientai</w:t>
            </w:r>
          </w:p>
        </w:tc>
        <w:tc>
          <w:tcPr>
            <w:tcW w:w="85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85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17</w:t>
            </w:r>
          </w:p>
        </w:tc>
        <w:tc>
          <w:tcPr>
            <w:tcW w:w="85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140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27</w:t>
            </w:r>
          </w:p>
        </w:tc>
        <w:tc>
          <w:tcPr>
            <w:tcW w:w="135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26</w:t>
            </w:r>
          </w:p>
        </w:tc>
      </w:tr>
      <w:tr>
        <w:trPr>
          <w:trHeight w:val="255"/>
        </w:trPr>
        <w:tc>
          <w:tcPr>
            <w:tcW w:w="3462" w:type="dxa"/>
            <w:tcBorders>
              <w:top w:val="nil"/>
              <w:left w:val="nil"/>
              <w:bottom w:val="nil"/>
              <w:right w:val="nil"/>
            </w:tcBorders>
            <w:tcMar>
              <w:top w:w="0" w:type="dxa"/>
              <w:left w:w="60" w:type="dxa"/>
              <w:bottom w:w="0" w:type="dxa"/>
              <w:right w:w="60" w:type="dxa"/>
            </w:tcMar>
            <w:vAlign w:val="center"/>
          </w:tcPr>
          <w:p>
            <w:pPr>
              <w:pStyle w:val="DMETW18983BIPRNET"/>
              <w:keepNext/>
              <w:keepLines/>
              <w:rPr>
                <w:rFonts w:ascii="Verdana" w:eastAsia="Times New Roman" w:hAnsi="Verdana" w:cs="Verdana"/>
                <w:i/>
                <w:noProof/>
                <w:color w:val="000000"/>
                <w:sz w:val="18"/>
              </w:rPr>
            </w:pPr>
            <w:r>
              <w:rPr>
                <w:rFonts w:ascii="Verdana" w:hAnsi="Verdana"/>
                <w:i/>
                <w:noProof/>
                <w:color w:val="000000"/>
                <w:sz w:val="18"/>
              </w:rPr>
              <w:t>Viešosios įstaigos</w:t>
            </w:r>
          </w:p>
        </w:tc>
        <w:tc>
          <w:tcPr>
            <w:tcW w:w="85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9</w:t>
            </w:r>
          </w:p>
        </w:tc>
        <w:tc>
          <w:tcPr>
            <w:tcW w:w="85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11</w:t>
            </w:r>
          </w:p>
        </w:tc>
        <w:tc>
          <w:tcPr>
            <w:tcW w:w="85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140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21</w:t>
            </w:r>
          </w:p>
        </w:tc>
        <w:tc>
          <w:tcPr>
            <w:tcW w:w="135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25</w:t>
            </w:r>
          </w:p>
        </w:tc>
      </w:tr>
      <w:tr>
        <w:trPr>
          <w:trHeight w:val="255"/>
        </w:trPr>
        <w:tc>
          <w:tcPr>
            <w:tcW w:w="3462" w:type="dxa"/>
            <w:tcBorders>
              <w:top w:val="nil"/>
              <w:left w:val="nil"/>
              <w:bottom w:val="nil"/>
              <w:right w:val="nil"/>
            </w:tcBorders>
            <w:tcMar>
              <w:top w:w="0" w:type="dxa"/>
              <w:left w:w="60" w:type="dxa"/>
              <w:bottom w:w="0" w:type="dxa"/>
              <w:right w:w="60" w:type="dxa"/>
            </w:tcMar>
            <w:vAlign w:val="center"/>
          </w:tcPr>
          <w:p>
            <w:pPr>
              <w:pStyle w:val="DMETW18983BIPRNET"/>
              <w:keepNext/>
              <w:keepLines/>
              <w:rPr>
                <w:rFonts w:ascii="Verdana" w:eastAsia="Times New Roman" w:hAnsi="Verdana" w:cs="Verdana"/>
                <w:i/>
                <w:noProof/>
                <w:color w:val="000000"/>
                <w:sz w:val="18"/>
              </w:rPr>
            </w:pPr>
            <w:r>
              <w:rPr>
                <w:rFonts w:ascii="Verdana" w:hAnsi="Verdana"/>
                <w:i/>
                <w:noProof/>
                <w:color w:val="000000"/>
                <w:sz w:val="18"/>
              </w:rPr>
              <w:t>Trečiosios valstybės</w:t>
            </w:r>
          </w:p>
        </w:tc>
        <w:tc>
          <w:tcPr>
            <w:tcW w:w="85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85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85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40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7</w:t>
            </w:r>
          </w:p>
        </w:tc>
        <w:tc>
          <w:tcPr>
            <w:tcW w:w="135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5</w:t>
            </w:r>
          </w:p>
        </w:tc>
      </w:tr>
      <w:tr>
        <w:trPr>
          <w:trHeight w:val="255"/>
        </w:trPr>
        <w:tc>
          <w:tcPr>
            <w:tcW w:w="3462" w:type="dxa"/>
            <w:tcBorders>
              <w:top w:val="nil"/>
              <w:left w:val="nil"/>
              <w:bottom w:val="nil"/>
              <w:right w:val="nil"/>
            </w:tcBorders>
            <w:tcMar>
              <w:top w:w="0" w:type="dxa"/>
              <w:left w:w="60" w:type="dxa"/>
              <w:bottom w:w="0" w:type="dxa"/>
              <w:right w:w="60" w:type="dxa"/>
            </w:tcMar>
            <w:vAlign w:val="center"/>
          </w:tcPr>
          <w:p>
            <w:pPr>
              <w:pStyle w:val="DMETW18983BIPRNET"/>
              <w:keepNext/>
              <w:keepLines/>
              <w:rPr>
                <w:rFonts w:ascii="Verdana" w:eastAsia="Times New Roman" w:hAnsi="Verdana" w:cs="Verdana"/>
                <w:i/>
                <w:noProof/>
                <w:color w:val="000000"/>
                <w:sz w:val="18"/>
              </w:rPr>
            </w:pPr>
            <w:r>
              <w:rPr>
                <w:rFonts w:ascii="Verdana" w:hAnsi="Verdana"/>
                <w:i/>
                <w:noProof/>
                <w:color w:val="000000"/>
                <w:sz w:val="18"/>
              </w:rPr>
              <w:t>Vertės sumažinimas</w:t>
            </w:r>
          </w:p>
        </w:tc>
        <w:tc>
          <w:tcPr>
            <w:tcW w:w="85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85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(13)</w:t>
            </w:r>
          </w:p>
        </w:tc>
        <w:tc>
          <w:tcPr>
            <w:tcW w:w="85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(12)</w:t>
            </w:r>
          </w:p>
        </w:tc>
        <w:tc>
          <w:tcPr>
            <w:tcW w:w="85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140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(27)</w:t>
            </w:r>
          </w:p>
        </w:tc>
        <w:tc>
          <w:tcPr>
            <w:tcW w:w="135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(27)</w:t>
            </w:r>
          </w:p>
        </w:tc>
      </w:tr>
      <w:tr>
        <w:trPr>
          <w:trHeight w:val="255"/>
        </w:trPr>
        <w:tc>
          <w:tcPr>
            <w:tcW w:w="3462" w:type="dxa"/>
            <w:tcBorders>
              <w:top w:val="nil"/>
              <w:left w:val="nil"/>
              <w:bottom w:val="nil"/>
              <w:right w:val="nil"/>
            </w:tcBorders>
            <w:tcMar>
              <w:top w:w="0" w:type="dxa"/>
              <w:left w:w="60" w:type="dxa"/>
              <w:bottom w:w="0" w:type="dxa"/>
              <w:right w:w="60" w:type="dxa"/>
            </w:tcMar>
            <w:vAlign w:val="center"/>
          </w:tcPr>
          <w:p>
            <w:pPr>
              <w:pStyle w:val="DMETW18983BIPRNET"/>
              <w:keepNext/>
              <w:keepLines/>
              <w:rPr>
                <w:rFonts w:ascii="Verdana" w:eastAsia="Times New Roman" w:hAnsi="Verdana" w:cs="Verdana"/>
                <w:i/>
                <w:noProof/>
                <w:color w:val="000000"/>
                <w:sz w:val="18"/>
              </w:rPr>
            </w:pPr>
            <w:r>
              <w:rPr>
                <w:rFonts w:ascii="Verdana" w:hAnsi="Verdana"/>
                <w:i/>
                <w:noProof/>
                <w:color w:val="000000"/>
                <w:sz w:val="18"/>
              </w:rPr>
              <w:t>Įmonių grupei priklausančių įmonių jungiamosios sąskaitos su ES institucijomis</w:t>
            </w:r>
          </w:p>
        </w:tc>
        <w:tc>
          <w:tcPr>
            <w:tcW w:w="85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140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135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3</w:t>
            </w:r>
          </w:p>
        </w:tc>
      </w:tr>
      <w:tr>
        <w:trPr>
          <w:trHeight w:val="255"/>
        </w:trPr>
        <w:tc>
          <w:tcPr>
            <w:tcW w:w="346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NET"/>
              <w:keepNext/>
              <w:keepLines/>
              <w:rPr>
                <w:rFonts w:ascii="Verdana" w:eastAsia="Times New Roman" w:hAnsi="Verdana" w:cs="Verdana"/>
                <w:b/>
                <w:noProof/>
                <w:color w:val="000000"/>
                <w:sz w:val="18"/>
              </w:rPr>
            </w:pPr>
            <w:r>
              <w:rPr>
                <w:rFonts w:ascii="Verdana" w:hAnsi="Verdana"/>
                <w:b/>
                <w:noProof/>
                <w:color w:val="000000"/>
                <w:sz w:val="18"/>
              </w:rPr>
              <w:t>Iš viso</w:t>
            </w:r>
          </w:p>
        </w:tc>
        <w:tc>
          <w:tcPr>
            <w:tcW w:w="851"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b/>
                <w:noProof/>
                <w:color w:val="000000"/>
                <w:sz w:val="18"/>
              </w:rPr>
            </w:pPr>
            <w:r>
              <w:rPr>
                <w:rFonts w:ascii="Verdana" w:hAnsi="Verdana"/>
                <w:b/>
                <w:noProof/>
                <w:color w:val="000000"/>
                <w:sz w:val="18"/>
              </w:rPr>
              <w:t xml:space="preserve">  0</w:t>
            </w:r>
          </w:p>
        </w:tc>
        <w:tc>
          <w:tcPr>
            <w:tcW w:w="850"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b/>
                <w:noProof/>
                <w:color w:val="000000"/>
                <w:sz w:val="18"/>
              </w:rPr>
            </w:pPr>
            <w:r>
              <w:rPr>
                <w:rFonts w:ascii="Verdana" w:hAnsi="Verdana"/>
                <w:b/>
                <w:noProof/>
                <w:color w:val="000000"/>
                <w:sz w:val="18"/>
              </w:rPr>
              <w:t xml:space="preserve">  3</w:t>
            </w:r>
          </w:p>
        </w:tc>
        <w:tc>
          <w:tcPr>
            <w:tcW w:w="851"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b/>
                <w:noProof/>
                <w:color w:val="000000"/>
                <w:sz w:val="18"/>
              </w:rPr>
            </w:pPr>
            <w:r>
              <w:rPr>
                <w:rFonts w:ascii="Verdana" w:hAnsi="Verdana"/>
                <w:b/>
                <w:noProof/>
                <w:color w:val="000000"/>
                <w:sz w:val="18"/>
              </w:rPr>
              <w:t xml:space="preserve">  20</w:t>
            </w:r>
          </w:p>
        </w:tc>
        <w:tc>
          <w:tcPr>
            <w:tcW w:w="850"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b/>
                <w:noProof/>
                <w:color w:val="000000"/>
                <w:sz w:val="18"/>
              </w:rPr>
            </w:pPr>
            <w:r>
              <w:rPr>
                <w:rFonts w:ascii="Verdana" w:hAnsi="Verdana"/>
                <w:b/>
                <w:noProof/>
                <w:color w:val="000000"/>
                <w:sz w:val="18"/>
              </w:rPr>
              <w:t xml:space="preserve">  9</w:t>
            </w:r>
          </w:p>
        </w:tc>
        <w:tc>
          <w:tcPr>
            <w:tcW w:w="1401"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b/>
                <w:noProof/>
                <w:color w:val="000000"/>
                <w:sz w:val="18"/>
              </w:rPr>
            </w:pPr>
            <w:r>
              <w:rPr>
                <w:rFonts w:ascii="Verdana" w:hAnsi="Verdana"/>
                <w:b/>
                <w:noProof/>
                <w:color w:val="000000"/>
                <w:sz w:val="18"/>
              </w:rPr>
              <w:t xml:space="preserve">  32</w:t>
            </w:r>
          </w:p>
        </w:tc>
        <w:tc>
          <w:tcPr>
            <w:tcW w:w="135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b/>
                <w:noProof/>
                <w:color w:val="000000"/>
                <w:sz w:val="18"/>
              </w:rPr>
            </w:pPr>
            <w:r>
              <w:rPr>
                <w:rFonts w:ascii="Verdana" w:hAnsi="Verdana"/>
                <w:b/>
                <w:noProof/>
                <w:color w:val="000000"/>
                <w:sz w:val="18"/>
              </w:rPr>
              <w:t xml:space="preserve">  37</w:t>
            </w:r>
          </w:p>
        </w:tc>
      </w:tr>
    </w:tbl>
    <w:p>
      <w:pPr>
        <w:pStyle w:val="HEADER3Part2"/>
        <w:keepNext/>
        <w:keepLines/>
        <w:rPr>
          <w:noProof/>
        </w:rPr>
      </w:pPr>
      <w:r>
        <w:rPr>
          <w:noProof/>
        </w:rPr>
        <w:t>Iš prekybos operacijų gautinos sumos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2"/>
        <w:gridCol w:w="1134"/>
        <w:gridCol w:w="1134"/>
        <w:gridCol w:w="851"/>
        <w:gridCol w:w="992"/>
        <w:gridCol w:w="1007"/>
        <w:gridCol w:w="1038"/>
      </w:tblGrid>
      <w:tr>
        <w:trPr>
          <w:trHeight w:val="255"/>
        </w:trPr>
        <w:tc>
          <w:tcPr>
            <w:tcW w:w="9618" w:type="dxa"/>
            <w:gridSpan w:val="7"/>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6"/>
              </w:rPr>
            </w:pPr>
            <w:bookmarkStart w:id="55" w:name="DOC_TBL00020_1_1"/>
            <w:r>
              <w:rPr>
                <w:rFonts w:ascii="Verdana" w:hAnsi="Verdana"/>
                <w:i/>
                <w:noProof/>
                <w:color w:val="000000"/>
                <w:sz w:val="16"/>
              </w:rPr>
              <w:t>mln. EUR</w:t>
            </w:r>
          </w:p>
        </w:tc>
      </w:tr>
      <w:tr>
        <w:trPr>
          <w:trHeight w:val="255"/>
        </w:trPr>
        <w:tc>
          <w:tcPr>
            <w:tcW w:w="346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T"/>
              <w:jc w:val="center"/>
              <w:rPr>
                <w:rFonts w:ascii="Verdana" w:eastAsia="Times New Roman" w:hAnsi="Verdana" w:cs="Verdana"/>
                <w:noProof/>
                <w:color w:val="FFFFFF"/>
              </w:rPr>
            </w:pPr>
            <w:bookmarkStart w:id="56" w:name="DOC_TBL00020_2_1"/>
            <w:bookmarkEnd w:id="55"/>
            <w:bookmarkEnd w:id="56"/>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T"/>
              <w:jc w:val="right"/>
              <w:rPr>
                <w:rFonts w:ascii="Verdana" w:eastAsia="Times New Roman" w:hAnsi="Verdana" w:cs="Verdana"/>
                <w:noProof/>
                <w:color w:val="FFFFFF"/>
              </w:rPr>
            </w:pPr>
            <w:r>
              <w:rPr>
                <w:rFonts w:ascii="Verdana" w:hAnsi="Verdana"/>
                <w:noProof/>
                <w:color w:val="FFFFFF"/>
              </w:rPr>
              <w:t>8-asis EPF</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T"/>
              <w:jc w:val="right"/>
              <w:rPr>
                <w:rFonts w:ascii="Verdana" w:eastAsia="Times New Roman" w:hAnsi="Verdana" w:cs="Verdana"/>
                <w:noProof/>
                <w:color w:val="FFFFFF"/>
              </w:rPr>
            </w:pPr>
            <w:r>
              <w:rPr>
                <w:rFonts w:ascii="Verdana" w:hAnsi="Verdana"/>
                <w:noProof/>
                <w:color w:val="FFFFFF"/>
              </w:rPr>
              <w:t>9-asis EPF</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T"/>
              <w:jc w:val="right"/>
              <w:rPr>
                <w:rFonts w:ascii="Verdana" w:eastAsia="Times New Roman" w:hAnsi="Verdana" w:cs="Verdana"/>
                <w:noProof/>
                <w:color w:val="FFFFFF"/>
              </w:rPr>
            </w:pPr>
            <w:r>
              <w:rPr>
                <w:rFonts w:ascii="Verdana" w:hAnsi="Verdana"/>
                <w:noProof/>
                <w:color w:val="FFFFFF"/>
              </w:rPr>
              <w:t>10-asis EPF</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T"/>
              <w:jc w:val="right"/>
              <w:rPr>
                <w:rFonts w:ascii="Verdana" w:eastAsia="Times New Roman" w:hAnsi="Verdana" w:cs="Verdana"/>
                <w:noProof/>
                <w:color w:val="FFFFFF"/>
              </w:rPr>
            </w:pPr>
            <w:r>
              <w:rPr>
                <w:rFonts w:ascii="Verdana" w:hAnsi="Verdana"/>
                <w:noProof/>
                <w:color w:val="FFFFFF"/>
              </w:rPr>
              <w:t>11-asis EPF</w:t>
            </w:r>
          </w:p>
        </w:tc>
        <w:tc>
          <w:tcPr>
            <w:tcW w:w="100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T"/>
              <w:jc w:val="right"/>
              <w:rPr>
                <w:rFonts w:ascii="Verdana" w:eastAsia="Times New Roman" w:hAnsi="Verdana" w:cs="Verdana"/>
                <w:noProof/>
                <w:color w:val="FFFFFF"/>
              </w:rPr>
            </w:pPr>
            <w:r>
              <w:rPr>
                <w:rFonts w:ascii="Verdana" w:hAnsi="Verdana"/>
                <w:noProof/>
                <w:color w:val="FFFFFF"/>
              </w:rPr>
              <w:t>2019 12 31</w:t>
            </w:r>
          </w:p>
        </w:tc>
        <w:tc>
          <w:tcPr>
            <w:tcW w:w="103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T"/>
              <w:jc w:val="right"/>
              <w:rPr>
                <w:rFonts w:ascii="Verdana" w:eastAsia="Times New Roman" w:hAnsi="Verdana" w:cs="Verdana"/>
                <w:noProof/>
                <w:color w:val="FFFFFF"/>
              </w:rPr>
            </w:pPr>
            <w:r>
              <w:rPr>
                <w:rFonts w:ascii="Verdana" w:hAnsi="Verdana"/>
                <w:noProof/>
                <w:color w:val="FFFFFF"/>
              </w:rPr>
              <w:t>2018 12 31</w:t>
            </w:r>
          </w:p>
        </w:tc>
      </w:tr>
      <w:tr>
        <w:trPr>
          <w:trHeight w:val="255"/>
        </w:trPr>
        <w:tc>
          <w:tcPr>
            <w:tcW w:w="3462" w:type="dxa"/>
            <w:tcBorders>
              <w:top w:val="nil"/>
              <w:left w:val="nil"/>
              <w:bottom w:val="nil"/>
              <w:right w:val="nil"/>
            </w:tcBorders>
            <w:tcMar>
              <w:top w:w="0" w:type="dxa"/>
              <w:left w:w="60" w:type="dxa"/>
              <w:bottom w:w="0" w:type="dxa"/>
              <w:right w:w="60" w:type="dxa"/>
            </w:tcMar>
            <w:vAlign w:val="center"/>
          </w:tcPr>
          <w:p>
            <w:pPr>
              <w:pStyle w:val="DMETW18983BIPRET"/>
              <w:rPr>
                <w:rFonts w:ascii="Verdana" w:eastAsia="Times New Roman" w:hAnsi="Verdana" w:cs="Verdana"/>
                <w:i/>
                <w:noProof/>
                <w:color w:val="000000"/>
                <w:sz w:val="18"/>
              </w:rPr>
            </w:pPr>
            <w:r>
              <w:rPr>
                <w:rFonts w:ascii="Verdana" w:hAnsi="Verdana"/>
                <w:i/>
                <w:noProof/>
                <w:color w:val="000000"/>
                <w:sz w:val="18"/>
              </w:rPr>
              <w:t>Sukauptos pajamos</w:t>
            </w:r>
          </w:p>
        </w:tc>
        <w:tc>
          <w:tcPr>
            <w:tcW w:w="1134"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1134"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65</w:t>
            </w:r>
          </w:p>
        </w:tc>
        <w:tc>
          <w:tcPr>
            <w:tcW w:w="851"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21</w:t>
            </w:r>
          </w:p>
        </w:tc>
        <w:tc>
          <w:tcPr>
            <w:tcW w:w="992"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007"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88</w:t>
            </w:r>
          </w:p>
        </w:tc>
        <w:tc>
          <w:tcPr>
            <w:tcW w:w="1038"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81</w:t>
            </w:r>
          </w:p>
        </w:tc>
      </w:tr>
      <w:tr>
        <w:trPr>
          <w:trHeight w:val="255"/>
        </w:trPr>
        <w:tc>
          <w:tcPr>
            <w:tcW w:w="3462" w:type="dxa"/>
            <w:tcBorders>
              <w:top w:val="nil"/>
              <w:left w:val="nil"/>
              <w:bottom w:val="nil"/>
              <w:right w:val="nil"/>
            </w:tcBorders>
            <w:tcMar>
              <w:top w:w="0" w:type="dxa"/>
              <w:left w:w="60" w:type="dxa"/>
              <w:bottom w:w="0" w:type="dxa"/>
              <w:right w:w="60" w:type="dxa"/>
            </w:tcMar>
            <w:vAlign w:val="center"/>
          </w:tcPr>
          <w:p>
            <w:pPr>
              <w:pStyle w:val="DMETW18983BIPRET"/>
              <w:rPr>
                <w:rFonts w:ascii="Verdana" w:eastAsia="Times New Roman" w:hAnsi="Verdana" w:cs="Verdana"/>
                <w:i/>
                <w:noProof/>
                <w:color w:val="000000"/>
                <w:sz w:val="18"/>
              </w:rPr>
            </w:pPr>
            <w:r>
              <w:rPr>
                <w:rFonts w:ascii="Verdana" w:hAnsi="Verdana"/>
                <w:i/>
                <w:noProof/>
                <w:color w:val="000000"/>
                <w:sz w:val="18"/>
              </w:rPr>
              <w:t>Iš ES gautina suma</w:t>
            </w:r>
          </w:p>
        </w:tc>
        <w:tc>
          <w:tcPr>
            <w:tcW w:w="1134"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1007"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1038"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20</w:t>
            </w:r>
          </w:p>
        </w:tc>
      </w:tr>
      <w:tr>
        <w:trPr>
          <w:trHeight w:val="255"/>
        </w:trPr>
        <w:tc>
          <w:tcPr>
            <w:tcW w:w="3462" w:type="dxa"/>
            <w:tcBorders>
              <w:top w:val="nil"/>
              <w:left w:val="nil"/>
              <w:bottom w:val="nil"/>
              <w:right w:val="nil"/>
            </w:tcBorders>
            <w:tcMar>
              <w:top w:w="0" w:type="dxa"/>
              <w:left w:w="60" w:type="dxa"/>
              <w:bottom w:w="0" w:type="dxa"/>
              <w:right w:w="60" w:type="dxa"/>
            </w:tcMar>
            <w:vAlign w:val="center"/>
          </w:tcPr>
          <w:p>
            <w:pPr>
              <w:pStyle w:val="DMETW18983BIPRET"/>
              <w:rPr>
                <w:rFonts w:ascii="Verdana" w:eastAsia="Times New Roman" w:hAnsi="Verdana" w:cs="Verdana"/>
                <w:i/>
                <w:noProof/>
                <w:color w:val="000000"/>
                <w:sz w:val="18"/>
              </w:rPr>
            </w:pPr>
            <w:r>
              <w:rPr>
                <w:rFonts w:ascii="Verdana" w:hAnsi="Verdana"/>
                <w:i/>
                <w:noProof/>
                <w:color w:val="000000"/>
                <w:sz w:val="18"/>
              </w:rPr>
              <w:t>EPF jungiamosios sąskaitos</w:t>
            </w:r>
          </w:p>
        </w:tc>
        <w:tc>
          <w:tcPr>
            <w:tcW w:w="1134"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182</w:t>
            </w:r>
          </w:p>
        </w:tc>
        <w:tc>
          <w:tcPr>
            <w:tcW w:w="1134"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53</w:t>
            </w:r>
          </w:p>
        </w:tc>
        <w:tc>
          <w:tcPr>
            <w:tcW w:w="851"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2 160</w:t>
            </w:r>
          </w:p>
        </w:tc>
        <w:tc>
          <w:tcPr>
            <w:tcW w:w="992"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(2 395)</w:t>
            </w:r>
          </w:p>
        </w:tc>
        <w:tc>
          <w:tcPr>
            <w:tcW w:w="1007"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038"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(0)</w:t>
            </w:r>
          </w:p>
        </w:tc>
      </w:tr>
      <w:tr>
        <w:trPr>
          <w:trHeight w:val="255"/>
        </w:trPr>
        <w:tc>
          <w:tcPr>
            <w:tcW w:w="346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T"/>
              <w:rPr>
                <w:rFonts w:ascii="Verdana" w:eastAsia="Times New Roman" w:hAnsi="Verdana" w:cs="Verdana"/>
                <w:b/>
                <w:noProof/>
                <w:color w:val="000000"/>
                <w:sz w:val="18"/>
              </w:rPr>
            </w:pPr>
            <w:r>
              <w:rPr>
                <w:rFonts w:ascii="Verdana" w:hAnsi="Verdana"/>
                <w:b/>
                <w:noProof/>
                <w:color w:val="000000"/>
                <w:sz w:val="18"/>
              </w:rPr>
              <w:t>Iš viso</w:t>
            </w:r>
          </w:p>
        </w:tc>
        <w:tc>
          <w:tcPr>
            <w:tcW w:w="1134"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T"/>
              <w:jc w:val="right"/>
              <w:rPr>
                <w:rFonts w:ascii="Verdana" w:eastAsia="Times New Roman" w:hAnsi="Verdana" w:cs="Verdana"/>
                <w:b/>
                <w:noProof/>
                <w:color w:val="000000"/>
                <w:sz w:val="18"/>
              </w:rPr>
            </w:pPr>
            <w:r>
              <w:rPr>
                <w:rFonts w:ascii="Verdana" w:hAnsi="Verdana"/>
                <w:b/>
                <w:noProof/>
                <w:color w:val="000000"/>
                <w:sz w:val="18"/>
              </w:rPr>
              <w:t xml:space="preserve">  183</w:t>
            </w:r>
          </w:p>
        </w:tc>
        <w:tc>
          <w:tcPr>
            <w:tcW w:w="1134"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T"/>
              <w:jc w:val="right"/>
              <w:rPr>
                <w:rFonts w:ascii="Verdana" w:eastAsia="Times New Roman" w:hAnsi="Verdana" w:cs="Verdana"/>
                <w:b/>
                <w:noProof/>
                <w:color w:val="000000"/>
                <w:sz w:val="18"/>
              </w:rPr>
            </w:pPr>
            <w:r>
              <w:rPr>
                <w:rFonts w:ascii="Verdana" w:hAnsi="Verdana"/>
                <w:b/>
                <w:noProof/>
                <w:color w:val="000000"/>
                <w:sz w:val="18"/>
              </w:rPr>
              <w:t xml:space="preserve">  119</w:t>
            </w:r>
          </w:p>
        </w:tc>
        <w:tc>
          <w:tcPr>
            <w:tcW w:w="851"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T"/>
              <w:jc w:val="right"/>
              <w:rPr>
                <w:rFonts w:ascii="Verdana" w:eastAsia="Times New Roman" w:hAnsi="Verdana" w:cs="Verdana"/>
                <w:b/>
                <w:noProof/>
                <w:color w:val="000000"/>
                <w:sz w:val="18"/>
              </w:rPr>
            </w:pPr>
            <w:r>
              <w:rPr>
                <w:rFonts w:ascii="Verdana" w:hAnsi="Verdana"/>
                <w:b/>
                <w:noProof/>
                <w:color w:val="000000"/>
                <w:sz w:val="18"/>
              </w:rPr>
              <w:t xml:space="preserve"> 2 181</w:t>
            </w:r>
          </w:p>
        </w:tc>
        <w:tc>
          <w:tcPr>
            <w:tcW w:w="99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T"/>
              <w:jc w:val="right"/>
              <w:rPr>
                <w:rFonts w:ascii="Verdana" w:eastAsia="Times New Roman" w:hAnsi="Verdana" w:cs="Verdana"/>
                <w:b/>
                <w:noProof/>
                <w:color w:val="000000"/>
                <w:sz w:val="18"/>
              </w:rPr>
            </w:pPr>
            <w:r>
              <w:rPr>
                <w:rFonts w:ascii="Verdana" w:hAnsi="Verdana"/>
                <w:b/>
                <w:noProof/>
                <w:color w:val="000000"/>
                <w:sz w:val="18"/>
              </w:rPr>
              <w:t>(2 391)</w:t>
            </w:r>
          </w:p>
        </w:tc>
        <w:tc>
          <w:tcPr>
            <w:tcW w:w="100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T"/>
              <w:jc w:val="right"/>
              <w:rPr>
                <w:rFonts w:ascii="Verdana" w:eastAsia="Times New Roman" w:hAnsi="Verdana" w:cs="Verdana"/>
                <w:b/>
                <w:noProof/>
                <w:color w:val="000000"/>
                <w:sz w:val="18"/>
              </w:rPr>
            </w:pPr>
            <w:r>
              <w:rPr>
                <w:rFonts w:ascii="Verdana" w:hAnsi="Verdana"/>
                <w:b/>
                <w:noProof/>
                <w:color w:val="000000"/>
                <w:sz w:val="18"/>
              </w:rPr>
              <w:t xml:space="preserve">  91</w:t>
            </w:r>
          </w:p>
        </w:tc>
        <w:tc>
          <w:tcPr>
            <w:tcW w:w="103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T"/>
              <w:jc w:val="right"/>
              <w:rPr>
                <w:rFonts w:ascii="Verdana" w:eastAsia="Times New Roman" w:hAnsi="Verdana" w:cs="Verdana"/>
                <w:b/>
                <w:noProof/>
                <w:color w:val="000000"/>
                <w:sz w:val="18"/>
              </w:rPr>
            </w:pPr>
            <w:r>
              <w:rPr>
                <w:rFonts w:ascii="Verdana" w:hAnsi="Verdana"/>
                <w:b/>
                <w:noProof/>
                <w:color w:val="000000"/>
                <w:sz w:val="18"/>
              </w:rPr>
              <w:t xml:space="preserve">  101</w:t>
            </w:r>
          </w:p>
        </w:tc>
      </w:tr>
    </w:tbl>
    <w:p>
      <w:pPr>
        <w:pStyle w:val="Textstand-alone"/>
      </w:pPr>
      <w:r>
        <w:t>Sukauptos pajamos yra iš išankstinio projektų finansavimo gaunamos sukauptų palūkanų sumos (65 mln. EUR) ir su ES patikos fondu Afrikai susijusio išankstinio finansavimo sukauptų palūkanų sumos (21 mln. EUR).</w:t>
      </w:r>
    </w:p>
    <w:p>
      <w:pPr>
        <w:pStyle w:val="Textstand-alone"/>
      </w:pPr>
      <w:r>
        <w:t>Iš ES gautina suma yra suma, kuri buvo pervesta į Europos Komisijos valdomą patikos sąskaitą.</w:t>
      </w:r>
    </w:p>
    <w:p>
      <w:pPr>
        <w:pStyle w:val="Textstand-alone"/>
      </w:pPr>
      <w:r>
        <w:t xml:space="preserve">Siekiant padidinti veiksmingumą, 11-ajam EPF skiriamas visiems EPF bendras iždas; taip galima vykdyti operacijas tarp skirtingų EPF, kurios išlyginamos įvairius EPF balansus siejančiose EPF jungiamosiose sąskaitose. </w:t>
      </w:r>
    </w:p>
    <w:p>
      <w:pPr>
        <w:pStyle w:val="Textstand-alone"/>
      </w:pPr>
      <w:r>
        <w:t>EPF jungiamosios sąskaitos nurodytos tik atskiruose EPF. Bendra EPF jungiamųjų sąskaitų suma yra nulis.</w:t>
      </w:r>
    </w:p>
    <w:p>
      <w:pPr>
        <w:pStyle w:val="HEADER2Part2"/>
        <w:keepNext/>
        <w:rPr>
          <w:noProof/>
        </w:rPr>
      </w:pPr>
      <w:r>
        <w:rPr>
          <w:noProof/>
        </w:rPr>
        <w:br w:type="page"/>
        <w:t>PINIGAI IR PINIGŲ EKVIVALENTAI</w:t>
      </w:r>
      <w:r>
        <w:rPr>
          <w:rStyle w:val="FootnoteReference"/>
          <w:noProof/>
        </w:rPr>
        <w:footnoteReference w:id="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2"/>
        <w:gridCol w:w="851"/>
        <w:gridCol w:w="850"/>
        <w:gridCol w:w="851"/>
        <w:gridCol w:w="850"/>
        <w:gridCol w:w="1418"/>
        <w:gridCol w:w="1336"/>
      </w:tblGrid>
      <w:tr>
        <w:trPr>
          <w:trHeight w:hRule="exact" w:val="300"/>
        </w:trPr>
        <w:tc>
          <w:tcPr>
            <w:tcW w:w="9618" w:type="dxa"/>
            <w:gridSpan w:val="7"/>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6"/>
              </w:rPr>
            </w:pPr>
            <w:bookmarkStart w:id="57" w:name="DOC_TBL00021_1_1"/>
            <w:bookmarkEnd w:id="57"/>
            <w:r>
              <w:rPr>
                <w:rFonts w:ascii="Verdana" w:hAnsi="Verdana"/>
                <w:i/>
                <w:noProof/>
                <w:color w:val="000000"/>
                <w:sz w:val="16"/>
              </w:rPr>
              <w:t>mln. EUR</w:t>
            </w:r>
          </w:p>
        </w:tc>
      </w:tr>
      <w:tr>
        <w:trPr>
          <w:trHeight w:hRule="exact" w:val="795"/>
        </w:trPr>
        <w:tc>
          <w:tcPr>
            <w:tcW w:w="346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ASH"/>
              <w:jc w:val="center"/>
              <w:rPr>
                <w:rFonts w:ascii="Verdana" w:eastAsia="Times New Roman" w:hAnsi="Verdana" w:cs="Verdana"/>
                <w:noProof/>
                <w:color w:val="FFFFFF"/>
              </w:rPr>
            </w:pP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ASH"/>
              <w:jc w:val="right"/>
              <w:rPr>
                <w:rFonts w:ascii="Verdana" w:eastAsia="Times New Roman" w:hAnsi="Verdana" w:cs="Verdana"/>
                <w:noProof/>
                <w:color w:val="FFFFFF"/>
              </w:rPr>
            </w:pPr>
            <w:r>
              <w:rPr>
                <w:rFonts w:ascii="Verdana" w:hAnsi="Verdana"/>
                <w:noProof/>
                <w:color w:val="FFFFFF"/>
              </w:rPr>
              <w:t>8-asis EPF</w:t>
            </w: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ASH"/>
              <w:jc w:val="right"/>
              <w:rPr>
                <w:rFonts w:ascii="Verdana" w:eastAsia="Times New Roman" w:hAnsi="Verdana" w:cs="Verdana"/>
                <w:noProof/>
                <w:color w:val="FFFFFF"/>
              </w:rPr>
            </w:pPr>
            <w:r>
              <w:rPr>
                <w:rFonts w:ascii="Verdana" w:hAnsi="Verdana"/>
                <w:noProof/>
                <w:color w:val="FFFFFF"/>
              </w:rPr>
              <w:t>9-asis EPF</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ASH"/>
              <w:jc w:val="right"/>
              <w:rPr>
                <w:rFonts w:ascii="Verdana" w:eastAsia="Times New Roman" w:hAnsi="Verdana" w:cs="Verdana"/>
                <w:noProof/>
                <w:color w:val="FFFFFF"/>
              </w:rPr>
            </w:pPr>
            <w:r>
              <w:rPr>
                <w:rFonts w:ascii="Verdana" w:hAnsi="Verdana"/>
                <w:noProof/>
                <w:color w:val="FFFFFF"/>
              </w:rPr>
              <w:t>10-asis EPF</w:t>
            </w: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ASH"/>
              <w:jc w:val="right"/>
              <w:rPr>
                <w:rFonts w:ascii="Verdana" w:eastAsia="Times New Roman" w:hAnsi="Verdana" w:cs="Verdana"/>
                <w:noProof/>
                <w:color w:val="FFFFFF"/>
              </w:rPr>
            </w:pPr>
            <w:r>
              <w:rPr>
                <w:rFonts w:ascii="Verdana" w:hAnsi="Verdana"/>
                <w:noProof/>
                <w:color w:val="FFFFFF"/>
              </w:rPr>
              <w:t>11-asis EPF</w:t>
            </w:r>
          </w:p>
        </w:tc>
        <w:tc>
          <w:tcPr>
            <w:tcW w:w="141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ASH"/>
              <w:jc w:val="right"/>
              <w:rPr>
                <w:rFonts w:ascii="Verdana" w:eastAsia="Times New Roman" w:hAnsi="Verdana" w:cs="Verdana"/>
                <w:noProof/>
                <w:color w:val="FFFFFF"/>
              </w:rPr>
            </w:pPr>
            <w:r>
              <w:rPr>
                <w:rFonts w:ascii="Verdana" w:hAnsi="Verdana"/>
                <w:noProof/>
                <w:color w:val="FFFFFF"/>
              </w:rPr>
              <w:t>2019 12 31</w:t>
            </w:r>
          </w:p>
        </w:tc>
        <w:tc>
          <w:tcPr>
            <w:tcW w:w="133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ASH"/>
              <w:jc w:val="right"/>
              <w:rPr>
                <w:rFonts w:ascii="Verdana" w:eastAsia="Times New Roman" w:hAnsi="Verdana" w:cs="Verdana"/>
                <w:noProof/>
                <w:color w:val="FFFFFF"/>
              </w:rPr>
            </w:pPr>
            <w:r>
              <w:rPr>
                <w:rFonts w:ascii="Verdana" w:hAnsi="Verdana"/>
                <w:noProof/>
                <w:color w:val="FFFFFF"/>
              </w:rPr>
              <w:t>2018 12 31</w:t>
            </w:r>
          </w:p>
        </w:tc>
      </w:tr>
      <w:tr>
        <w:trPr>
          <w:trHeight w:hRule="exact" w:val="228"/>
        </w:trPr>
        <w:tc>
          <w:tcPr>
            <w:tcW w:w="3462" w:type="dxa"/>
            <w:tcBorders>
              <w:top w:val="nil"/>
              <w:left w:val="nil"/>
              <w:bottom w:val="nil"/>
              <w:right w:val="nil"/>
            </w:tcBorders>
            <w:tcMar>
              <w:top w:w="0" w:type="dxa"/>
              <w:left w:w="60" w:type="dxa"/>
              <w:bottom w:w="0" w:type="dxa"/>
              <w:right w:w="60" w:type="dxa"/>
            </w:tcMar>
            <w:vAlign w:val="center"/>
          </w:tcPr>
          <w:p>
            <w:pPr>
              <w:pStyle w:val="DMETW18983BIPCASH"/>
              <w:rPr>
                <w:rFonts w:ascii="Verdana" w:eastAsia="Times New Roman" w:hAnsi="Verdana" w:cs="Verdana"/>
                <w:b/>
                <w:noProof/>
                <w:color w:val="000000"/>
                <w:sz w:val="18"/>
              </w:rPr>
            </w:pPr>
            <w:r>
              <w:rPr>
                <w:rFonts w:ascii="Verdana" w:hAnsi="Verdana"/>
                <w:b/>
                <w:noProof/>
                <w:color w:val="000000"/>
                <w:sz w:val="18"/>
              </w:rPr>
              <w:t>Specialiosios sąskaitos</w:t>
            </w:r>
          </w:p>
        </w:tc>
        <w:tc>
          <w:tcPr>
            <w:tcW w:w="851"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851"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1418"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1336"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r>
      <w:tr>
        <w:trPr>
          <w:trHeight w:hRule="exact" w:val="228"/>
        </w:trPr>
        <w:tc>
          <w:tcPr>
            <w:tcW w:w="3462" w:type="dxa"/>
            <w:tcBorders>
              <w:top w:val="nil"/>
              <w:left w:val="nil"/>
              <w:bottom w:val="nil"/>
              <w:right w:val="nil"/>
            </w:tcBorders>
            <w:tcMar>
              <w:top w:w="0" w:type="dxa"/>
              <w:left w:w="60" w:type="dxa"/>
              <w:bottom w:w="0" w:type="dxa"/>
              <w:right w:w="60" w:type="dxa"/>
            </w:tcMar>
            <w:vAlign w:val="center"/>
          </w:tcPr>
          <w:p>
            <w:pPr>
              <w:pStyle w:val="DMETW18983BIPCASH"/>
              <w:rPr>
                <w:rFonts w:ascii="Verdana" w:eastAsia="Times New Roman" w:hAnsi="Verdana" w:cs="Verdana"/>
                <w:i/>
                <w:noProof/>
                <w:color w:val="000000"/>
                <w:sz w:val="18"/>
              </w:rPr>
            </w:pPr>
            <w:r>
              <w:rPr>
                <w:rFonts w:ascii="Verdana" w:hAnsi="Verdana"/>
                <w:i/>
                <w:noProof/>
                <w:color w:val="000000"/>
                <w:sz w:val="18"/>
              </w:rPr>
              <w:t>Centriniai bankai</w:t>
            </w:r>
          </w:p>
        </w:tc>
        <w:tc>
          <w:tcPr>
            <w:tcW w:w="851"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 xml:space="preserve"> 729</w:t>
            </w:r>
          </w:p>
        </w:tc>
        <w:tc>
          <w:tcPr>
            <w:tcW w:w="1418"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 xml:space="preserve"> 729</w:t>
            </w:r>
          </w:p>
        </w:tc>
        <w:tc>
          <w:tcPr>
            <w:tcW w:w="1336"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 xml:space="preserve"> 276</w:t>
            </w:r>
          </w:p>
        </w:tc>
      </w:tr>
      <w:tr>
        <w:trPr>
          <w:trHeight w:hRule="exact" w:val="228"/>
        </w:trPr>
        <w:tc>
          <w:tcPr>
            <w:tcW w:w="346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851"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w:t>
            </w:r>
          </w:p>
        </w:tc>
        <w:tc>
          <w:tcPr>
            <w:tcW w:w="850"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w:t>
            </w:r>
          </w:p>
        </w:tc>
        <w:tc>
          <w:tcPr>
            <w:tcW w:w="851"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w:t>
            </w:r>
          </w:p>
        </w:tc>
        <w:tc>
          <w:tcPr>
            <w:tcW w:w="850"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 xml:space="preserve">  729</w:t>
            </w:r>
          </w:p>
        </w:tc>
        <w:tc>
          <w:tcPr>
            <w:tcW w:w="141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 xml:space="preserve">  729</w:t>
            </w:r>
          </w:p>
        </w:tc>
        <w:tc>
          <w:tcPr>
            <w:tcW w:w="133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 xml:space="preserve">  276</w:t>
            </w:r>
          </w:p>
        </w:tc>
      </w:tr>
      <w:tr>
        <w:trPr>
          <w:trHeight w:hRule="exact" w:val="228"/>
        </w:trPr>
        <w:tc>
          <w:tcPr>
            <w:tcW w:w="3462" w:type="dxa"/>
            <w:tcBorders>
              <w:top w:val="nil"/>
              <w:left w:val="nil"/>
              <w:bottom w:val="nil"/>
              <w:right w:val="nil"/>
            </w:tcBorders>
            <w:tcMar>
              <w:top w:w="0" w:type="dxa"/>
              <w:left w:w="60" w:type="dxa"/>
              <w:bottom w:w="0" w:type="dxa"/>
              <w:right w:w="60" w:type="dxa"/>
            </w:tcMar>
            <w:vAlign w:val="center"/>
          </w:tcPr>
          <w:p>
            <w:pPr>
              <w:pStyle w:val="DMETW18983BIPCASH"/>
              <w:rPr>
                <w:rFonts w:ascii="Verdana" w:eastAsia="Times New Roman" w:hAnsi="Verdana" w:cs="Verdana"/>
                <w:b/>
                <w:noProof/>
                <w:color w:val="000000"/>
                <w:sz w:val="18"/>
              </w:rPr>
            </w:pPr>
            <w:r>
              <w:rPr>
                <w:rFonts w:ascii="Verdana" w:hAnsi="Verdana"/>
                <w:b/>
                <w:noProof/>
                <w:color w:val="000000"/>
                <w:sz w:val="18"/>
              </w:rPr>
              <w:t>Einamosios sąskaitos</w:t>
            </w:r>
          </w:p>
        </w:tc>
        <w:tc>
          <w:tcPr>
            <w:tcW w:w="851"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851"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1418"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1336"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r>
      <w:tr>
        <w:trPr>
          <w:trHeight w:hRule="exact" w:val="228"/>
        </w:trPr>
        <w:tc>
          <w:tcPr>
            <w:tcW w:w="3462" w:type="dxa"/>
            <w:tcBorders>
              <w:top w:val="nil"/>
              <w:left w:val="nil"/>
              <w:bottom w:val="nil"/>
              <w:right w:val="nil"/>
            </w:tcBorders>
            <w:tcMar>
              <w:top w:w="0" w:type="dxa"/>
              <w:left w:w="60" w:type="dxa"/>
              <w:bottom w:w="0" w:type="dxa"/>
              <w:right w:w="60" w:type="dxa"/>
            </w:tcMar>
            <w:vAlign w:val="center"/>
          </w:tcPr>
          <w:p>
            <w:pPr>
              <w:pStyle w:val="DMETW18983BIPCASH"/>
              <w:rPr>
                <w:rFonts w:ascii="Verdana" w:eastAsia="Times New Roman" w:hAnsi="Verdana" w:cs="Verdana"/>
                <w:i/>
                <w:noProof/>
                <w:color w:val="000000"/>
                <w:sz w:val="18"/>
              </w:rPr>
            </w:pPr>
            <w:r>
              <w:rPr>
                <w:rFonts w:ascii="Verdana" w:hAnsi="Verdana"/>
                <w:i/>
                <w:noProof/>
                <w:color w:val="000000"/>
                <w:sz w:val="18"/>
              </w:rPr>
              <w:t>Komerciniai bankai</w:t>
            </w:r>
          </w:p>
        </w:tc>
        <w:tc>
          <w:tcPr>
            <w:tcW w:w="851"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 xml:space="preserve"> 421</w:t>
            </w:r>
          </w:p>
        </w:tc>
        <w:tc>
          <w:tcPr>
            <w:tcW w:w="1418"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 xml:space="preserve"> 421</w:t>
            </w:r>
          </w:p>
        </w:tc>
        <w:tc>
          <w:tcPr>
            <w:tcW w:w="1336"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 xml:space="preserve"> 87</w:t>
            </w:r>
          </w:p>
        </w:tc>
      </w:tr>
      <w:tr>
        <w:trPr>
          <w:trHeight w:hRule="exact" w:val="479"/>
        </w:trPr>
        <w:tc>
          <w:tcPr>
            <w:tcW w:w="3462" w:type="dxa"/>
            <w:tcBorders>
              <w:top w:val="nil"/>
              <w:left w:val="nil"/>
              <w:bottom w:val="nil"/>
              <w:right w:val="nil"/>
            </w:tcBorders>
            <w:tcMar>
              <w:top w:w="0" w:type="dxa"/>
              <w:left w:w="60" w:type="dxa"/>
              <w:bottom w:w="0" w:type="dxa"/>
              <w:right w:w="60" w:type="dxa"/>
            </w:tcMar>
            <w:vAlign w:val="center"/>
          </w:tcPr>
          <w:p>
            <w:pPr>
              <w:pStyle w:val="DMETW18983BIPCASH"/>
              <w:rPr>
                <w:rFonts w:ascii="Verdana" w:eastAsia="Times New Roman" w:hAnsi="Verdana" w:cs="Verdana"/>
                <w:i/>
                <w:noProof/>
                <w:color w:val="000000"/>
                <w:sz w:val="18"/>
              </w:rPr>
            </w:pPr>
            <w:r>
              <w:rPr>
                <w:rFonts w:ascii="Verdana" w:hAnsi="Verdana"/>
                <w:i/>
                <w:noProof/>
                <w:color w:val="000000"/>
                <w:sz w:val="18"/>
              </w:rPr>
              <w:t>Pinigai, priklausantys finansinėms priemonėms</w:t>
            </w:r>
          </w:p>
        </w:tc>
        <w:tc>
          <w:tcPr>
            <w:tcW w:w="851"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 xml:space="preserve"> 30</w:t>
            </w:r>
          </w:p>
        </w:tc>
        <w:tc>
          <w:tcPr>
            <w:tcW w:w="1418"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 xml:space="preserve"> 30</w:t>
            </w:r>
          </w:p>
        </w:tc>
        <w:tc>
          <w:tcPr>
            <w:tcW w:w="1336"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 xml:space="preserve"> 24</w:t>
            </w:r>
          </w:p>
        </w:tc>
      </w:tr>
      <w:tr>
        <w:trPr>
          <w:trHeight w:hRule="exact" w:val="228"/>
        </w:trPr>
        <w:tc>
          <w:tcPr>
            <w:tcW w:w="3462" w:type="dxa"/>
            <w:tcBorders>
              <w:top w:val="single" w:sz="4" w:space="0" w:color="016794"/>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851" w:type="dxa"/>
            <w:tcBorders>
              <w:top w:val="single" w:sz="4" w:space="0" w:color="016794"/>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w:t>
            </w:r>
          </w:p>
        </w:tc>
        <w:tc>
          <w:tcPr>
            <w:tcW w:w="850" w:type="dxa"/>
            <w:tcBorders>
              <w:top w:val="single" w:sz="4" w:space="0" w:color="016794"/>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w:t>
            </w:r>
          </w:p>
        </w:tc>
        <w:tc>
          <w:tcPr>
            <w:tcW w:w="851" w:type="dxa"/>
            <w:tcBorders>
              <w:top w:val="single" w:sz="4" w:space="0" w:color="016794"/>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w:t>
            </w:r>
          </w:p>
        </w:tc>
        <w:tc>
          <w:tcPr>
            <w:tcW w:w="850" w:type="dxa"/>
            <w:tcBorders>
              <w:top w:val="single" w:sz="4" w:space="0" w:color="016794"/>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 xml:space="preserve">  450</w:t>
            </w:r>
          </w:p>
        </w:tc>
        <w:tc>
          <w:tcPr>
            <w:tcW w:w="1418" w:type="dxa"/>
            <w:tcBorders>
              <w:top w:val="single" w:sz="4" w:space="0" w:color="016794"/>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 xml:space="preserve">  450</w:t>
            </w:r>
          </w:p>
        </w:tc>
        <w:tc>
          <w:tcPr>
            <w:tcW w:w="1336" w:type="dxa"/>
            <w:tcBorders>
              <w:top w:val="single" w:sz="4" w:space="0" w:color="016794"/>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 xml:space="preserve">  111</w:t>
            </w:r>
          </w:p>
        </w:tc>
      </w:tr>
      <w:tr>
        <w:trPr>
          <w:trHeight w:hRule="exact" w:val="228"/>
        </w:trPr>
        <w:tc>
          <w:tcPr>
            <w:tcW w:w="346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ASH"/>
              <w:rPr>
                <w:rFonts w:ascii="Verdana" w:eastAsia="Times New Roman" w:hAnsi="Verdana" w:cs="Verdana"/>
                <w:b/>
                <w:noProof/>
                <w:color w:val="000000"/>
                <w:sz w:val="18"/>
              </w:rPr>
            </w:pPr>
            <w:r>
              <w:rPr>
                <w:rFonts w:ascii="Verdana" w:hAnsi="Verdana"/>
                <w:b/>
                <w:noProof/>
                <w:color w:val="000000"/>
                <w:sz w:val="18"/>
              </w:rPr>
              <w:t>Iš viso</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 xml:space="preserve"> 1 179</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 xml:space="preserve"> 1 179</w:t>
            </w:r>
          </w:p>
        </w:tc>
        <w:tc>
          <w:tcPr>
            <w:tcW w:w="1336"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 xml:space="preserve">  387</w:t>
            </w:r>
          </w:p>
        </w:tc>
      </w:tr>
    </w:tbl>
    <w:p>
      <w:pPr>
        <w:pStyle w:val="Textstand-alone"/>
      </w:pPr>
      <w:r>
        <w:t>Šios išlaidų kategorijos sumų padidėjimą 792 mln. EUR galima paaiškinti daugiausia tuo, kad įvykdyta mažiau mokėjimų, nei prognozuota. 2019 m. gruodžio 31 d. EPF mokėjimai iš viso sudarė 3 910 mln. EUR, palyginti su 4 400 mln. EUR metiniu tikslu. Dvi pagrindinės šio skirtumo priežastys yra sutarties dėl Pasaulinės partnerystės švietimo srityje su Pasaulio banku pasirašymo laikinas sustabdymas ir paramos biudžetui mokėjimų Čade, Haityje ir Benine atidėjimas.</w:t>
      </w:r>
    </w:p>
    <w:p>
      <w:pPr>
        <w:pStyle w:val="Textstand-alone"/>
      </w:pPr>
      <w:r>
        <w:t xml:space="preserve">Be to, eilutėje „Komerciniai bankai“ pateiktos sumos pasidėjimas susijęs su 264 mln. EUR iš 2020 m. kapitalo įnašu, gautu iš Jungtinės Karalystės į „Natwest bank“ sąskaitą gruodžio mėn. pabaigoje (žr. </w:t>
      </w:r>
      <w:r>
        <w:rPr>
          <w:b/>
          <w:bCs/>
        </w:rPr>
        <w:t>2.7.2.1</w:t>
      </w:r>
      <w:r>
        <w:t xml:space="preserve"> pastabą).</w:t>
      </w:r>
    </w:p>
    <w:p>
      <w:pPr>
        <w:pStyle w:val="Textstand-alone"/>
      </w:pPr>
      <w:r>
        <w:t xml:space="preserve">Panašiai kaip ankstesniais metais, siekiant apriboti sandorio šalies riziką, centrinių bankų sąskaitose laikoma daugiau grynųjų pinigų nei komerciniuose bankuose (žr. </w:t>
      </w:r>
      <w:r>
        <w:rPr>
          <w:b/>
        </w:rPr>
        <w:t>5.1</w:t>
      </w:r>
      <w:r>
        <w:t xml:space="preserve"> pastabą).</w:t>
      </w:r>
    </w:p>
    <w:p>
      <w:pPr>
        <w:pStyle w:val="HEADERTABLE"/>
        <w:rPr>
          <w:noProof/>
        </w:rPr>
      </w:pPr>
      <w:r>
        <w:rPr>
          <w:noProof/>
        </w:rPr>
        <w:t>ĮSIPAREIGOJIMAI</w:t>
      </w:r>
    </w:p>
    <w:p>
      <w:pPr>
        <w:pStyle w:val="HEADER2Part2"/>
        <w:rPr>
          <w:noProof/>
        </w:rPr>
      </w:pPr>
      <w:r>
        <w:rPr>
          <w:noProof/>
        </w:rPr>
        <w:t>FINANSINIAI ĮSIPAREIGOJIMAI</w:t>
      </w:r>
    </w:p>
    <w:p>
      <w:pPr>
        <w:pStyle w:val="HEADER3Part2"/>
        <w:tabs>
          <w:tab w:val="left" w:pos="3544"/>
        </w:tabs>
        <w:rPr>
          <w:noProof/>
        </w:rPr>
      </w:pPr>
      <w:r>
        <w:rPr>
          <w:noProof/>
        </w:rPr>
        <w:t>Bendro finansavimo mokėtinos sumos</w:t>
      </w:r>
    </w:p>
    <w:p>
      <w:pPr>
        <w:pStyle w:val="Textstand-alone"/>
      </w:pPr>
      <w:r>
        <w:t xml:space="preserve">Bendro finansavimo mokėtinos sumos yra pagal bendro finansavimo susitarimus EPF gautos lėšos. EPF turi naudoti šiuos įnašus sutartoms paslaugoms teikti trečiosioms šalims, o nepanaudotas lėšas grąžinti įnašų mokėtojams. Nuo bendro finansavimo sumų panaudojimo laiko priklauso, ar jos parodomos kaip trumpalaikės, ar kaip ilgalaikės. </w:t>
      </w:r>
    </w:p>
    <w:p>
      <w:pPr>
        <w:pStyle w:val="Textstand-alone"/>
      </w:pPr>
      <w:r>
        <w:t>Metų pabaigoje įvertinama kiekviena bendro finansavimo mokėtina suma, o visos sumos, kurios greičiausiai nebus panaudotos per ateinančius 12 mėnesių, laikomos ilgalaikėmis.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1"/>
        <w:gridCol w:w="850"/>
        <w:gridCol w:w="851"/>
        <w:gridCol w:w="850"/>
        <w:gridCol w:w="992"/>
        <w:gridCol w:w="1418"/>
        <w:gridCol w:w="1336"/>
      </w:tblGrid>
      <w:tr>
        <w:trPr>
          <w:trHeight w:hRule="exact" w:val="255"/>
        </w:trPr>
        <w:tc>
          <w:tcPr>
            <w:tcW w:w="9618" w:type="dxa"/>
            <w:gridSpan w:val="7"/>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6"/>
              </w:rPr>
            </w:pPr>
            <w:bookmarkStart w:id="58" w:name="DOC_TBL00023_1_1"/>
            <w:bookmarkEnd w:id="58"/>
            <w:r>
              <w:rPr>
                <w:rFonts w:ascii="Verdana" w:hAnsi="Verdana"/>
                <w:i/>
                <w:noProof/>
                <w:color w:val="000000"/>
                <w:sz w:val="16"/>
              </w:rPr>
              <w:t>mln. EUR</w:t>
            </w:r>
          </w:p>
        </w:tc>
      </w:tr>
      <w:tr>
        <w:trPr>
          <w:trHeight w:hRule="exact" w:val="255"/>
        </w:trPr>
        <w:tc>
          <w:tcPr>
            <w:tcW w:w="332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FINPAY"/>
              <w:jc w:val="center"/>
              <w:rPr>
                <w:rFonts w:ascii="Verdana" w:eastAsia="Times New Roman" w:hAnsi="Verdana" w:cs="Verdana"/>
                <w:noProof/>
                <w:color w:val="FFFFFF"/>
              </w:rPr>
            </w:pP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FINPAY"/>
              <w:jc w:val="right"/>
              <w:rPr>
                <w:rFonts w:ascii="Verdana" w:eastAsia="Times New Roman" w:hAnsi="Verdana" w:cs="Verdana"/>
                <w:noProof/>
                <w:color w:val="FFFFFF"/>
              </w:rPr>
            </w:pPr>
            <w:r>
              <w:rPr>
                <w:rFonts w:ascii="Verdana" w:hAnsi="Verdana"/>
                <w:noProof/>
                <w:color w:val="FFFFFF"/>
              </w:rPr>
              <w:t>8-asis EPF</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FINPAY"/>
              <w:jc w:val="right"/>
              <w:rPr>
                <w:rFonts w:ascii="Verdana" w:eastAsia="Times New Roman" w:hAnsi="Verdana" w:cs="Verdana"/>
                <w:noProof/>
                <w:color w:val="FFFFFF"/>
              </w:rPr>
            </w:pPr>
            <w:r>
              <w:rPr>
                <w:rFonts w:ascii="Verdana" w:hAnsi="Verdana"/>
                <w:noProof/>
                <w:color w:val="FFFFFF"/>
              </w:rPr>
              <w:t>9-asis EPF</w:t>
            </w: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FINPAY"/>
              <w:jc w:val="right"/>
              <w:rPr>
                <w:rFonts w:ascii="Verdana" w:eastAsia="Times New Roman" w:hAnsi="Verdana" w:cs="Verdana"/>
                <w:noProof/>
                <w:color w:val="FFFFFF"/>
              </w:rPr>
            </w:pPr>
            <w:r>
              <w:rPr>
                <w:rFonts w:ascii="Verdana" w:hAnsi="Verdana"/>
                <w:noProof/>
                <w:color w:val="FFFFFF"/>
              </w:rPr>
              <w:t>10-asis EPF</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FINPAY"/>
              <w:jc w:val="right"/>
              <w:rPr>
                <w:rFonts w:ascii="Verdana" w:eastAsia="Times New Roman" w:hAnsi="Verdana" w:cs="Verdana"/>
                <w:noProof/>
                <w:color w:val="FFFFFF"/>
              </w:rPr>
            </w:pPr>
            <w:r>
              <w:rPr>
                <w:rFonts w:ascii="Verdana" w:hAnsi="Verdana"/>
                <w:noProof/>
                <w:color w:val="FFFFFF"/>
              </w:rPr>
              <w:t>11-asis EPF</w:t>
            </w:r>
          </w:p>
        </w:tc>
        <w:tc>
          <w:tcPr>
            <w:tcW w:w="141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FINPAY"/>
              <w:jc w:val="right"/>
              <w:rPr>
                <w:rFonts w:ascii="Verdana" w:eastAsia="Times New Roman" w:hAnsi="Verdana" w:cs="Verdana"/>
                <w:noProof/>
                <w:color w:val="FFFFFF"/>
              </w:rPr>
            </w:pPr>
            <w:r>
              <w:rPr>
                <w:rFonts w:ascii="Verdana" w:hAnsi="Verdana"/>
                <w:noProof/>
                <w:color w:val="FFFFFF"/>
              </w:rPr>
              <w:t>2019 12 31</w:t>
            </w:r>
          </w:p>
        </w:tc>
        <w:tc>
          <w:tcPr>
            <w:tcW w:w="133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FINPAY"/>
              <w:jc w:val="right"/>
              <w:rPr>
                <w:rFonts w:ascii="Verdana" w:eastAsia="Times New Roman" w:hAnsi="Verdana" w:cs="Verdana"/>
                <w:noProof/>
                <w:color w:val="FFFFFF"/>
              </w:rPr>
            </w:pPr>
            <w:r>
              <w:rPr>
                <w:rFonts w:ascii="Verdana" w:hAnsi="Verdana"/>
                <w:noProof/>
                <w:color w:val="FFFFFF"/>
              </w:rPr>
              <w:t>2018 12 31</w:t>
            </w:r>
          </w:p>
        </w:tc>
      </w:tr>
      <w:tr>
        <w:trPr>
          <w:trHeight w:hRule="exact" w:val="457"/>
        </w:trPr>
        <w:tc>
          <w:tcPr>
            <w:tcW w:w="3321" w:type="dxa"/>
            <w:tcBorders>
              <w:top w:val="nil"/>
              <w:left w:val="nil"/>
              <w:bottom w:val="nil"/>
              <w:right w:val="nil"/>
            </w:tcBorders>
            <w:tcMar>
              <w:top w:w="0" w:type="dxa"/>
              <w:left w:w="60" w:type="dxa"/>
              <w:bottom w:w="0" w:type="dxa"/>
              <w:right w:w="60" w:type="dxa"/>
            </w:tcMar>
            <w:vAlign w:val="center"/>
          </w:tcPr>
          <w:p>
            <w:pPr>
              <w:pStyle w:val="DMETW18983BIPCOFINPAY"/>
              <w:rPr>
                <w:rFonts w:ascii="Verdana" w:eastAsia="Times New Roman" w:hAnsi="Verdana" w:cs="Verdana"/>
                <w:i/>
                <w:noProof/>
                <w:color w:val="000000"/>
                <w:sz w:val="18"/>
              </w:rPr>
            </w:pPr>
            <w:r>
              <w:rPr>
                <w:rFonts w:ascii="Verdana" w:hAnsi="Verdana"/>
                <w:i/>
                <w:noProof/>
                <w:color w:val="000000"/>
                <w:sz w:val="18"/>
              </w:rPr>
              <w:t>Ilgalaikės bendro finansavimo mokėtinos sumos</w:t>
            </w:r>
          </w:p>
        </w:tc>
        <w:tc>
          <w:tcPr>
            <w:tcW w:w="850"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hAnsi="Verdana"/>
                <w:i/>
                <w:noProof/>
                <w:color w:val="000000"/>
                <w:sz w:val="18"/>
              </w:rPr>
              <w:t xml:space="preserve"> 18</w:t>
            </w:r>
          </w:p>
        </w:tc>
        <w:tc>
          <w:tcPr>
            <w:tcW w:w="1418"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hAnsi="Verdana"/>
                <w:i/>
                <w:noProof/>
                <w:color w:val="000000"/>
                <w:sz w:val="18"/>
              </w:rPr>
              <w:t xml:space="preserve"> 19</w:t>
            </w:r>
          </w:p>
        </w:tc>
        <w:tc>
          <w:tcPr>
            <w:tcW w:w="1336"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hAnsi="Verdana"/>
                <w:i/>
                <w:noProof/>
                <w:color w:val="000000"/>
                <w:sz w:val="18"/>
              </w:rPr>
              <w:t xml:space="preserve"> 18</w:t>
            </w:r>
          </w:p>
        </w:tc>
      </w:tr>
      <w:tr>
        <w:trPr>
          <w:trHeight w:hRule="exact" w:val="489"/>
        </w:trPr>
        <w:tc>
          <w:tcPr>
            <w:tcW w:w="3321" w:type="dxa"/>
            <w:tcBorders>
              <w:top w:val="nil"/>
              <w:left w:val="nil"/>
              <w:bottom w:val="nil"/>
              <w:right w:val="nil"/>
            </w:tcBorders>
            <w:tcMar>
              <w:top w:w="0" w:type="dxa"/>
              <w:left w:w="60" w:type="dxa"/>
              <w:bottom w:w="0" w:type="dxa"/>
              <w:right w:w="60" w:type="dxa"/>
            </w:tcMar>
            <w:vAlign w:val="center"/>
          </w:tcPr>
          <w:p>
            <w:pPr>
              <w:pStyle w:val="DMETW18983BIPCOFINPAY"/>
              <w:rPr>
                <w:rFonts w:ascii="Verdana" w:eastAsia="Times New Roman" w:hAnsi="Verdana" w:cs="Verdana"/>
                <w:i/>
                <w:noProof/>
                <w:color w:val="000000"/>
                <w:sz w:val="18"/>
              </w:rPr>
            </w:pPr>
            <w:r>
              <w:rPr>
                <w:rFonts w:ascii="Verdana" w:hAnsi="Verdana"/>
                <w:i/>
                <w:noProof/>
                <w:color w:val="000000"/>
                <w:sz w:val="18"/>
              </w:rPr>
              <w:t>Trumpalaikės bendro finansavimo mokėtinos sumos</w:t>
            </w:r>
          </w:p>
        </w:tc>
        <w:tc>
          <w:tcPr>
            <w:tcW w:w="850"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hAnsi="Verdana"/>
                <w:i/>
                <w:noProof/>
                <w:color w:val="000000"/>
                <w:sz w:val="18"/>
              </w:rPr>
              <w:t xml:space="preserve"> 38</w:t>
            </w:r>
          </w:p>
        </w:tc>
        <w:tc>
          <w:tcPr>
            <w:tcW w:w="992"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hAnsi="Verdana"/>
                <w:i/>
                <w:noProof/>
                <w:color w:val="000000"/>
                <w:sz w:val="18"/>
              </w:rPr>
              <w:t xml:space="preserve"> 31</w:t>
            </w:r>
          </w:p>
        </w:tc>
        <w:tc>
          <w:tcPr>
            <w:tcW w:w="1418"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hAnsi="Verdana"/>
                <w:i/>
                <w:noProof/>
                <w:color w:val="000000"/>
                <w:sz w:val="18"/>
              </w:rPr>
              <w:t xml:space="preserve"> 69</w:t>
            </w:r>
          </w:p>
        </w:tc>
        <w:tc>
          <w:tcPr>
            <w:tcW w:w="1336"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hAnsi="Verdana"/>
                <w:i/>
                <w:noProof/>
                <w:color w:val="000000"/>
                <w:sz w:val="18"/>
              </w:rPr>
              <w:t xml:space="preserve"> 68</w:t>
            </w:r>
          </w:p>
        </w:tc>
      </w:tr>
      <w:tr>
        <w:trPr>
          <w:trHeight w:hRule="exact" w:val="225"/>
        </w:trPr>
        <w:tc>
          <w:tcPr>
            <w:tcW w:w="3321"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OFINPAY"/>
              <w:rPr>
                <w:rFonts w:ascii="Verdana" w:eastAsia="Times New Roman" w:hAnsi="Verdana" w:cs="Verdana"/>
                <w:b/>
                <w:noProof/>
                <w:color w:val="000000"/>
                <w:sz w:val="18"/>
              </w:rPr>
            </w:pPr>
            <w:r>
              <w:rPr>
                <w:rFonts w:ascii="Verdana" w:hAnsi="Verdana"/>
                <w:b/>
                <w:noProof/>
                <w:color w:val="000000"/>
                <w:sz w:val="18"/>
              </w:rPr>
              <w:t>Iš viso</w:t>
            </w:r>
          </w:p>
        </w:tc>
        <w:tc>
          <w:tcPr>
            <w:tcW w:w="850"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b/>
                <w:noProof/>
                <w:color w:val="000000"/>
                <w:sz w:val="18"/>
              </w:rPr>
            </w:pPr>
            <w:r>
              <w:rPr>
                <w:rFonts w:ascii="Verdana" w:hAnsi="Verdana"/>
                <w:b/>
                <w:noProof/>
                <w:color w:val="000000"/>
                <w:sz w:val="18"/>
              </w:rPr>
              <w:t>–</w:t>
            </w:r>
          </w:p>
        </w:tc>
        <w:tc>
          <w:tcPr>
            <w:tcW w:w="851"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b/>
                <w:noProof/>
                <w:color w:val="000000"/>
                <w:sz w:val="18"/>
              </w:rPr>
            </w:pPr>
            <w:r>
              <w:rPr>
                <w:rFonts w:ascii="Verdana" w:hAnsi="Verdana"/>
                <w:b/>
                <w:noProof/>
                <w:color w:val="000000"/>
                <w:sz w:val="18"/>
              </w:rPr>
              <w:t>–</w:t>
            </w:r>
          </w:p>
        </w:tc>
        <w:tc>
          <w:tcPr>
            <w:tcW w:w="850"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b/>
                <w:noProof/>
                <w:color w:val="000000"/>
                <w:sz w:val="18"/>
              </w:rPr>
            </w:pPr>
            <w:r>
              <w:rPr>
                <w:rFonts w:ascii="Verdana" w:hAnsi="Verdana"/>
                <w:b/>
                <w:noProof/>
                <w:color w:val="000000"/>
                <w:sz w:val="18"/>
              </w:rPr>
              <w:t xml:space="preserve">  39</w:t>
            </w:r>
          </w:p>
        </w:tc>
        <w:tc>
          <w:tcPr>
            <w:tcW w:w="99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b/>
                <w:noProof/>
                <w:color w:val="000000"/>
                <w:sz w:val="18"/>
              </w:rPr>
            </w:pPr>
            <w:r>
              <w:rPr>
                <w:rFonts w:ascii="Verdana" w:hAnsi="Verdana"/>
                <w:b/>
                <w:noProof/>
                <w:color w:val="000000"/>
                <w:sz w:val="18"/>
              </w:rPr>
              <w:t xml:space="preserve">  50</w:t>
            </w:r>
          </w:p>
        </w:tc>
        <w:tc>
          <w:tcPr>
            <w:tcW w:w="141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b/>
                <w:noProof/>
                <w:color w:val="000000"/>
                <w:sz w:val="18"/>
              </w:rPr>
            </w:pPr>
            <w:r>
              <w:rPr>
                <w:rFonts w:ascii="Verdana" w:hAnsi="Verdana"/>
                <w:b/>
                <w:noProof/>
                <w:color w:val="000000"/>
                <w:sz w:val="18"/>
              </w:rPr>
              <w:t xml:space="preserve">  88</w:t>
            </w:r>
          </w:p>
        </w:tc>
        <w:tc>
          <w:tcPr>
            <w:tcW w:w="133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b/>
                <w:noProof/>
                <w:color w:val="000000"/>
                <w:sz w:val="18"/>
              </w:rPr>
            </w:pPr>
            <w:r>
              <w:rPr>
                <w:rFonts w:ascii="Verdana" w:hAnsi="Verdana"/>
                <w:b/>
                <w:noProof/>
                <w:color w:val="000000"/>
                <w:sz w:val="18"/>
              </w:rPr>
              <w:t xml:space="preserve">  86</w:t>
            </w:r>
          </w:p>
        </w:tc>
      </w:tr>
    </w:tbl>
    <w:p>
      <w:pPr>
        <w:pStyle w:val="Textstand-alone"/>
      </w:pPr>
      <w:r>
        <w:t>Visų bendro finansavimo mokėtinų sumų padidėjimas 2,6 mln. EUR yra bendras 2019 m. gautų naujų bendro finansavimo sumų (17 mln. EUR) ir su bendro finansavimo projektais susijusių išlaidų (14,4 mln. EUR) poveikis. Pagal bendro finansavimo apskaitos taisykles patirtos sąnaudos metų rezultatui poveikio neturėjo, nes jos buvo pripažintos tiek bendro finansavimo išlaidomis (</w:t>
      </w:r>
      <w:r>
        <w:rPr>
          <w:b/>
        </w:rPr>
        <w:t>3.4</w:t>
      </w:r>
      <w:r>
        <w:t xml:space="preserve"> pastaba), tiek bendro finansavimo pajamomis (</w:t>
      </w:r>
      <w:r>
        <w:rPr>
          <w:b/>
        </w:rPr>
        <w:t>3.1.1</w:t>
      </w:r>
      <w:r>
        <w:t xml:space="preserve"> pastaba). </w:t>
      </w:r>
    </w:p>
    <w:p>
      <w:pPr>
        <w:pStyle w:val="Textstand-alone"/>
        <w:sectPr>
          <w:headerReference w:type="even" r:id="rId155"/>
          <w:headerReference w:type="default" r:id="rId156"/>
          <w:footerReference w:type="even" r:id="rId157"/>
          <w:footerReference w:type="default" r:id="rId158"/>
          <w:headerReference w:type="first" r:id="rId159"/>
          <w:footerReference w:type="first" r:id="rId160"/>
          <w:type w:val="continuous"/>
          <w:pgSz w:w="11906" w:h="16838"/>
          <w:pgMar w:top="1134" w:right="1274" w:bottom="1134" w:left="1134" w:header="709" w:footer="709" w:gutter="0"/>
          <w:cols w:space="708"/>
          <w:docGrid w:linePitch="360"/>
        </w:sectPr>
      </w:pPr>
    </w:p>
    <w:p>
      <w:pPr>
        <w:pStyle w:val="HEADER2Part2"/>
        <w:rPr>
          <w:noProof/>
        </w:rPr>
      </w:pPr>
      <w:r>
        <w:rPr>
          <w:noProof/>
        </w:rPr>
        <w:t>MOKĖTINOS SUMOS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3"/>
        <w:gridCol w:w="1521"/>
        <w:gridCol w:w="851"/>
        <w:gridCol w:w="850"/>
        <w:gridCol w:w="851"/>
        <w:gridCol w:w="850"/>
        <w:gridCol w:w="1397"/>
        <w:gridCol w:w="1355"/>
      </w:tblGrid>
      <w:tr>
        <w:trPr>
          <w:trHeight w:val="255"/>
        </w:trPr>
        <w:tc>
          <w:tcPr>
            <w:tcW w:w="9758" w:type="dxa"/>
            <w:gridSpan w:val="8"/>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6"/>
              </w:rPr>
            </w:pPr>
            <w:bookmarkStart w:id="59" w:name="DOC_TBL00024_1_1"/>
            <w:bookmarkEnd w:id="59"/>
            <w:r>
              <w:rPr>
                <w:rFonts w:ascii="Verdana" w:hAnsi="Verdana"/>
                <w:i/>
                <w:noProof/>
                <w:color w:val="000000"/>
                <w:sz w:val="16"/>
              </w:rPr>
              <w:t>mln. EUR</w:t>
            </w:r>
          </w:p>
        </w:tc>
      </w:tr>
      <w:tr>
        <w:trPr>
          <w:trHeight w:val="255"/>
        </w:trPr>
        <w:tc>
          <w:tcPr>
            <w:tcW w:w="208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AY"/>
              <w:jc w:val="center"/>
              <w:rPr>
                <w:rFonts w:ascii="Verdana" w:eastAsia="Times New Roman" w:hAnsi="Verdana" w:cs="Verdana"/>
                <w:noProof/>
                <w:color w:val="FFFFFF"/>
              </w:rPr>
            </w:pPr>
          </w:p>
        </w:tc>
        <w:tc>
          <w:tcPr>
            <w:tcW w:w="152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AY"/>
              <w:jc w:val="center"/>
              <w:rPr>
                <w:rFonts w:ascii="Verdana" w:eastAsia="Times New Roman" w:hAnsi="Verdana" w:cs="Verdana"/>
                <w:noProof/>
                <w:color w:val="FFFFFF"/>
              </w:rPr>
            </w:pPr>
            <w:r>
              <w:rPr>
                <w:rFonts w:ascii="Verdana" w:hAnsi="Verdana"/>
                <w:noProof/>
                <w:color w:val="FFFFFF"/>
              </w:rPr>
              <w:t>Pastaba</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AY"/>
              <w:jc w:val="right"/>
              <w:rPr>
                <w:rFonts w:ascii="Verdana" w:eastAsia="Times New Roman" w:hAnsi="Verdana" w:cs="Verdana"/>
                <w:noProof/>
                <w:color w:val="FFFFFF"/>
              </w:rPr>
            </w:pPr>
            <w:r>
              <w:rPr>
                <w:rFonts w:ascii="Verdana" w:hAnsi="Verdana"/>
                <w:noProof/>
                <w:color w:val="FFFFFF"/>
              </w:rPr>
              <w:t>8-asis EPF</w:t>
            </w: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AY"/>
              <w:jc w:val="right"/>
              <w:rPr>
                <w:rFonts w:ascii="Verdana" w:eastAsia="Times New Roman" w:hAnsi="Verdana" w:cs="Verdana"/>
                <w:noProof/>
                <w:color w:val="FFFFFF"/>
              </w:rPr>
            </w:pPr>
            <w:r>
              <w:rPr>
                <w:rFonts w:ascii="Verdana" w:hAnsi="Verdana"/>
                <w:noProof/>
                <w:color w:val="FFFFFF"/>
              </w:rPr>
              <w:t>9-asis EPF</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AY"/>
              <w:jc w:val="right"/>
              <w:rPr>
                <w:rFonts w:ascii="Verdana" w:eastAsia="Times New Roman" w:hAnsi="Verdana" w:cs="Verdana"/>
                <w:noProof/>
                <w:color w:val="FFFFFF"/>
              </w:rPr>
            </w:pPr>
            <w:r>
              <w:rPr>
                <w:rFonts w:ascii="Verdana" w:hAnsi="Verdana"/>
                <w:noProof/>
                <w:color w:val="FFFFFF"/>
              </w:rPr>
              <w:t>10-asis EPF</w:t>
            </w: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AY"/>
              <w:jc w:val="right"/>
              <w:rPr>
                <w:rFonts w:ascii="Verdana" w:eastAsia="Times New Roman" w:hAnsi="Verdana" w:cs="Verdana"/>
                <w:noProof/>
                <w:color w:val="FFFFFF"/>
              </w:rPr>
            </w:pPr>
            <w:r>
              <w:rPr>
                <w:rFonts w:ascii="Verdana" w:hAnsi="Verdana"/>
                <w:noProof/>
                <w:color w:val="FFFFFF"/>
              </w:rPr>
              <w:t>11-asis EPF</w:t>
            </w:r>
          </w:p>
        </w:tc>
        <w:tc>
          <w:tcPr>
            <w:tcW w:w="139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AY"/>
              <w:jc w:val="right"/>
              <w:rPr>
                <w:rFonts w:ascii="Verdana" w:eastAsia="Times New Roman" w:hAnsi="Verdana" w:cs="Verdana"/>
                <w:noProof/>
                <w:color w:val="FFFFFF"/>
              </w:rPr>
            </w:pPr>
            <w:r>
              <w:rPr>
                <w:rFonts w:ascii="Verdana" w:hAnsi="Verdana"/>
                <w:noProof/>
                <w:color w:val="FFFFFF"/>
              </w:rPr>
              <w:t>2019 12 31</w:t>
            </w:r>
          </w:p>
        </w:tc>
        <w:tc>
          <w:tcPr>
            <w:tcW w:w="135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AY"/>
              <w:jc w:val="right"/>
              <w:rPr>
                <w:rFonts w:ascii="Verdana" w:eastAsia="Times New Roman" w:hAnsi="Verdana" w:cs="Verdana"/>
                <w:noProof/>
                <w:color w:val="FFFFFF"/>
              </w:rPr>
            </w:pPr>
            <w:r>
              <w:rPr>
                <w:rFonts w:ascii="Verdana" w:hAnsi="Verdana"/>
                <w:noProof/>
                <w:color w:val="FFFFFF"/>
              </w:rPr>
              <w:t>2018 12 31</w:t>
            </w:r>
          </w:p>
        </w:tc>
      </w:tr>
      <w:tr>
        <w:trPr>
          <w:trHeight w:val="255"/>
        </w:trPr>
        <w:tc>
          <w:tcPr>
            <w:tcW w:w="2083" w:type="dxa"/>
            <w:tcBorders>
              <w:top w:val="nil"/>
              <w:left w:val="nil"/>
              <w:bottom w:val="nil"/>
              <w:right w:val="nil"/>
            </w:tcBorders>
            <w:tcMar>
              <w:top w:w="0" w:type="dxa"/>
              <w:left w:w="60" w:type="dxa"/>
              <w:bottom w:w="0" w:type="dxa"/>
              <w:right w:w="60" w:type="dxa"/>
            </w:tcMar>
            <w:vAlign w:val="center"/>
          </w:tcPr>
          <w:p>
            <w:pPr>
              <w:pStyle w:val="DMETW18983BIPPAY"/>
              <w:rPr>
                <w:rFonts w:ascii="Verdana" w:eastAsia="Times New Roman" w:hAnsi="Verdana" w:cs="Verdana"/>
                <w:i/>
                <w:noProof/>
                <w:color w:val="000000"/>
                <w:sz w:val="18"/>
              </w:rPr>
            </w:pPr>
            <w:r>
              <w:rPr>
                <w:rFonts w:ascii="Verdana" w:hAnsi="Verdana"/>
                <w:i/>
                <w:noProof/>
                <w:color w:val="000000"/>
                <w:sz w:val="18"/>
              </w:rPr>
              <w:t>Trumpalaikės mokėtinos sumos</w:t>
            </w:r>
          </w:p>
        </w:tc>
        <w:tc>
          <w:tcPr>
            <w:tcW w:w="1521" w:type="dxa"/>
            <w:tcBorders>
              <w:top w:val="nil"/>
              <w:left w:val="nil"/>
              <w:bottom w:val="nil"/>
              <w:right w:val="nil"/>
            </w:tcBorders>
            <w:tcMar>
              <w:top w:w="0" w:type="dxa"/>
              <w:left w:w="60" w:type="dxa"/>
              <w:bottom w:w="0" w:type="dxa"/>
              <w:right w:w="60" w:type="dxa"/>
            </w:tcMar>
            <w:vAlign w:val="center"/>
          </w:tcPr>
          <w:p>
            <w:pPr>
              <w:pStyle w:val="DMETW18983BIPPAY"/>
              <w:jc w:val="center"/>
              <w:rPr>
                <w:rFonts w:ascii="Verdana" w:eastAsia="Times New Roman" w:hAnsi="Verdana" w:cs="Verdana"/>
                <w:noProof/>
                <w:color w:val="000000"/>
                <w:sz w:val="18"/>
              </w:rPr>
            </w:pPr>
            <w:r>
              <w:rPr>
                <w:rFonts w:ascii="Verdana" w:hAnsi="Verdana"/>
                <w:noProof/>
                <w:color w:val="000000"/>
                <w:sz w:val="18"/>
              </w:rPr>
              <w:t>2.7.1</w:t>
            </w:r>
          </w:p>
        </w:tc>
        <w:tc>
          <w:tcPr>
            <w:tcW w:w="851"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hAnsi="Verdana"/>
                <w:i/>
                <w:noProof/>
                <w:color w:val="000000"/>
                <w:sz w:val="18"/>
              </w:rPr>
              <w:t xml:space="preserve"> 5</w:t>
            </w:r>
          </w:p>
        </w:tc>
        <w:tc>
          <w:tcPr>
            <w:tcW w:w="851"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hAnsi="Verdana"/>
                <w:i/>
                <w:noProof/>
                <w:color w:val="000000"/>
                <w:sz w:val="18"/>
              </w:rPr>
              <w:t xml:space="preserve"> 72</w:t>
            </w:r>
          </w:p>
        </w:tc>
        <w:tc>
          <w:tcPr>
            <w:tcW w:w="850"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hAnsi="Verdana"/>
                <w:i/>
                <w:noProof/>
                <w:color w:val="000000"/>
                <w:sz w:val="18"/>
              </w:rPr>
              <w:t xml:space="preserve"> 106</w:t>
            </w:r>
          </w:p>
        </w:tc>
        <w:tc>
          <w:tcPr>
            <w:tcW w:w="1397"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hAnsi="Verdana"/>
                <w:i/>
                <w:noProof/>
                <w:color w:val="000000"/>
                <w:sz w:val="18"/>
              </w:rPr>
              <w:t xml:space="preserve"> 182</w:t>
            </w:r>
          </w:p>
        </w:tc>
        <w:tc>
          <w:tcPr>
            <w:tcW w:w="1355"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hAnsi="Verdana"/>
                <w:i/>
                <w:noProof/>
                <w:color w:val="000000"/>
                <w:sz w:val="18"/>
              </w:rPr>
              <w:t xml:space="preserve"> 173</w:t>
            </w:r>
          </w:p>
        </w:tc>
      </w:tr>
      <w:tr>
        <w:trPr>
          <w:trHeight w:val="255"/>
        </w:trPr>
        <w:tc>
          <w:tcPr>
            <w:tcW w:w="2083" w:type="dxa"/>
            <w:tcBorders>
              <w:top w:val="nil"/>
              <w:left w:val="nil"/>
              <w:bottom w:val="nil"/>
              <w:right w:val="nil"/>
            </w:tcBorders>
            <w:tcMar>
              <w:top w:w="0" w:type="dxa"/>
              <w:left w:w="60" w:type="dxa"/>
              <w:bottom w:w="0" w:type="dxa"/>
              <w:right w:w="60" w:type="dxa"/>
            </w:tcMar>
            <w:vAlign w:val="center"/>
          </w:tcPr>
          <w:p>
            <w:pPr>
              <w:pStyle w:val="DMETW18983BIPPAY"/>
              <w:rPr>
                <w:rFonts w:ascii="Verdana" w:eastAsia="Times New Roman" w:hAnsi="Verdana" w:cs="Verdana"/>
                <w:i/>
                <w:noProof/>
                <w:color w:val="000000"/>
                <w:sz w:val="18"/>
              </w:rPr>
            </w:pPr>
            <w:r>
              <w:rPr>
                <w:rFonts w:ascii="Verdana" w:hAnsi="Verdana"/>
                <w:i/>
                <w:noProof/>
                <w:color w:val="000000"/>
                <w:sz w:val="18"/>
              </w:rPr>
              <w:t>Įvairios mokėtinos sumos</w:t>
            </w:r>
          </w:p>
        </w:tc>
        <w:tc>
          <w:tcPr>
            <w:tcW w:w="1521" w:type="dxa"/>
            <w:tcBorders>
              <w:top w:val="nil"/>
              <w:left w:val="nil"/>
              <w:bottom w:val="nil"/>
              <w:right w:val="nil"/>
            </w:tcBorders>
            <w:tcMar>
              <w:top w:w="0" w:type="dxa"/>
              <w:left w:w="60" w:type="dxa"/>
              <w:bottom w:w="0" w:type="dxa"/>
              <w:right w:w="60" w:type="dxa"/>
            </w:tcMar>
            <w:vAlign w:val="center"/>
          </w:tcPr>
          <w:p>
            <w:pPr>
              <w:pStyle w:val="DMETW18983BIPPAY"/>
              <w:jc w:val="center"/>
              <w:rPr>
                <w:rFonts w:ascii="Verdana" w:eastAsia="Times New Roman" w:hAnsi="Verdana" w:cs="Verdana"/>
                <w:noProof/>
                <w:color w:val="000000"/>
                <w:sz w:val="18"/>
              </w:rPr>
            </w:pPr>
            <w:r>
              <w:rPr>
                <w:rFonts w:ascii="Verdana" w:hAnsi="Verdana"/>
                <w:noProof/>
                <w:color w:val="000000"/>
                <w:sz w:val="18"/>
              </w:rPr>
              <w:t>2.7.2</w:t>
            </w:r>
          </w:p>
        </w:tc>
        <w:tc>
          <w:tcPr>
            <w:tcW w:w="851"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hAnsi="Verdana"/>
                <w:i/>
                <w:noProof/>
                <w:color w:val="000000"/>
                <w:sz w:val="18"/>
              </w:rPr>
              <w:t xml:space="preserve"> 36</w:t>
            </w:r>
          </w:p>
        </w:tc>
        <w:tc>
          <w:tcPr>
            <w:tcW w:w="850"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hAnsi="Verdana"/>
                <w:i/>
                <w:noProof/>
                <w:color w:val="000000"/>
                <w:sz w:val="18"/>
              </w:rPr>
              <w:t xml:space="preserve"> 298</w:t>
            </w:r>
          </w:p>
        </w:tc>
        <w:tc>
          <w:tcPr>
            <w:tcW w:w="1397"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hAnsi="Verdana"/>
                <w:i/>
                <w:noProof/>
                <w:color w:val="000000"/>
                <w:sz w:val="18"/>
              </w:rPr>
              <w:t xml:space="preserve"> 334</w:t>
            </w:r>
          </w:p>
        </w:tc>
        <w:tc>
          <w:tcPr>
            <w:tcW w:w="1355"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hAnsi="Verdana"/>
                <w:i/>
                <w:noProof/>
                <w:color w:val="000000"/>
                <w:sz w:val="18"/>
              </w:rPr>
              <w:t xml:space="preserve"> 68</w:t>
            </w:r>
          </w:p>
        </w:tc>
      </w:tr>
      <w:tr>
        <w:trPr>
          <w:trHeight w:val="255"/>
        </w:trPr>
        <w:tc>
          <w:tcPr>
            <w:tcW w:w="208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PAY"/>
              <w:rPr>
                <w:rFonts w:ascii="Verdana" w:eastAsia="Times New Roman" w:hAnsi="Verdana" w:cs="Verdana"/>
                <w:b/>
                <w:noProof/>
                <w:color w:val="000000"/>
                <w:sz w:val="18"/>
              </w:rPr>
            </w:pPr>
            <w:r>
              <w:rPr>
                <w:rFonts w:ascii="Verdana" w:hAnsi="Verdana"/>
                <w:b/>
                <w:noProof/>
                <w:color w:val="000000"/>
                <w:sz w:val="18"/>
              </w:rPr>
              <w:t>Iš viso</w:t>
            </w:r>
          </w:p>
        </w:tc>
        <w:tc>
          <w:tcPr>
            <w:tcW w:w="152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PAY"/>
              <w:jc w:val="center"/>
              <w:rPr>
                <w:rFonts w:ascii="Verdana" w:eastAsia="Times New Roman" w:hAnsi="Verdana" w:cs="Verdana"/>
                <w:b/>
                <w:noProof/>
                <w:color w:val="000000"/>
                <w:sz w:val="18"/>
              </w:rPr>
            </w:pP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PAY"/>
              <w:jc w:val="right"/>
              <w:rPr>
                <w:rFonts w:ascii="Verdana" w:eastAsia="Times New Roman" w:hAnsi="Verdana" w:cs="Verdana"/>
                <w:b/>
                <w:noProof/>
                <w:color w:val="000000"/>
                <w:sz w:val="18"/>
              </w:rPr>
            </w:pPr>
            <w:r>
              <w:rPr>
                <w:rFonts w:ascii="Verdana" w:hAnsi="Verdana"/>
                <w:b/>
                <w:noProof/>
                <w:color w:val="000000"/>
                <w:sz w:val="18"/>
              </w:rPr>
              <w:t>–</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PAY"/>
              <w:jc w:val="right"/>
              <w:rPr>
                <w:rFonts w:ascii="Verdana" w:eastAsia="Times New Roman" w:hAnsi="Verdana" w:cs="Verdana"/>
                <w:b/>
                <w:noProof/>
                <w:color w:val="000000"/>
                <w:sz w:val="18"/>
              </w:rPr>
            </w:pPr>
            <w:r>
              <w:rPr>
                <w:rFonts w:ascii="Verdana" w:hAnsi="Verdana"/>
                <w:b/>
                <w:noProof/>
                <w:color w:val="000000"/>
                <w:sz w:val="18"/>
              </w:rPr>
              <w:t xml:space="preserve">  5</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PAY"/>
              <w:jc w:val="right"/>
              <w:rPr>
                <w:rFonts w:ascii="Verdana" w:eastAsia="Times New Roman" w:hAnsi="Verdana" w:cs="Verdana"/>
                <w:b/>
                <w:noProof/>
                <w:color w:val="000000"/>
                <w:sz w:val="18"/>
              </w:rPr>
            </w:pPr>
            <w:r>
              <w:rPr>
                <w:rFonts w:ascii="Verdana" w:hAnsi="Verdana"/>
                <w:b/>
                <w:noProof/>
                <w:color w:val="000000"/>
                <w:sz w:val="18"/>
              </w:rPr>
              <w:t xml:space="preserve">  108</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PAY"/>
              <w:jc w:val="right"/>
              <w:rPr>
                <w:rFonts w:ascii="Verdana" w:eastAsia="Times New Roman" w:hAnsi="Verdana" w:cs="Verdana"/>
                <w:b/>
                <w:noProof/>
                <w:color w:val="000000"/>
                <w:sz w:val="18"/>
              </w:rPr>
            </w:pPr>
            <w:r>
              <w:rPr>
                <w:rFonts w:ascii="Verdana" w:hAnsi="Verdana"/>
                <w:b/>
                <w:noProof/>
                <w:color w:val="000000"/>
                <w:sz w:val="18"/>
              </w:rPr>
              <w:t xml:space="preserve">  404</w:t>
            </w:r>
          </w:p>
        </w:tc>
        <w:tc>
          <w:tcPr>
            <w:tcW w:w="139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PAY"/>
              <w:jc w:val="right"/>
              <w:rPr>
                <w:rFonts w:ascii="Verdana" w:eastAsia="Times New Roman" w:hAnsi="Verdana" w:cs="Verdana"/>
                <w:b/>
                <w:noProof/>
                <w:color w:val="000000"/>
                <w:sz w:val="18"/>
              </w:rPr>
            </w:pPr>
            <w:r>
              <w:rPr>
                <w:rFonts w:ascii="Verdana" w:hAnsi="Verdana"/>
                <w:b/>
                <w:noProof/>
                <w:color w:val="000000"/>
                <w:sz w:val="18"/>
              </w:rPr>
              <w:t xml:space="preserve">  516</w:t>
            </w:r>
          </w:p>
        </w:tc>
        <w:tc>
          <w:tcPr>
            <w:tcW w:w="1355"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PAY"/>
              <w:jc w:val="right"/>
              <w:rPr>
                <w:rFonts w:ascii="Verdana" w:eastAsia="Times New Roman" w:hAnsi="Verdana" w:cs="Verdana"/>
                <w:b/>
                <w:noProof/>
                <w:color w:val="000000"/>
                <w:sz w:val="18"/>
              </w:rPr>
            </w:pPr>
            <w:r>
              <w:rPr>
                <w:rFonts w:ascii="Verdana" w:hAnsi="Verdana"/>
                <w:b/>
                <w:noProof/>
                <w:color w:val="000000"/>
                <w:sz w:val="18"/>
              </w:rPr>
              <w:t xml:space="preserve">  241</w:t>
            </w:r>
          </w:p>
        </w:tc>
      </w:tr>
    </w:tbl>
    <w:p>
      <w:pPr>
        <w:pStyle w:val="HEADER3Part2"/>
        <w:rPr>
          <w:noProof/>
        </w:rPr>
      </w:pPr>
      <w:r>
        <w:rPr>
          <w:noProof/>
        </w:rPr>
        <w:t xml:space="preserve"> </w:t>
      </w:r>
      <w:bookmarkStart w:id="60" w:name="_Ref35557546"/>
      <w:r>
        <w:rPr>
          <w:noProof/>
        </w:rPr>
        <w:t>Trumpalaikės mokėtinos sumos</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3"/>
        <w:gridCol w:w="864"/>
        <w:gridCol w:w="862"/>
        <w:gridCol w:w="863"/>
        <w:gridCol w:w="862"/>
        <w:gridCol w:w="1387"/>
        <w:gridCol w:w="1407"/>
      </w:tblGrid>
      <w:tr>
        <w:trPr>
          <w:trHeight w:val="255"/>
        </w:trPr>
        <w:tc>
          <w:tcPr>
            <w:tcW w:w="3513" w:type="dxa"/>
            <w:gridSpan w:val="7"/>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6"/>
              </w:rPr>
            </w:pPr>
            <w:bookmarkStart w:id="61" w:name="DOC_TBL00025_1_1"/>
            <w:bookmarkEnd w:id="61"/>
            <w:r>
              <w:rPr>
                <w:rFonts w:ascii="Verdana" w:hAnsi="Verdana"/>
                <w:i/>
                <w:noProof/>
                <w:color w:val="000000"/>
                <w:sz w:val="16"/>
              </w:rPr>
              <w:t>mln. EUR</w:t>
            </w:r>
          </w:p>
        </w:tc>
      </w:tr>
      <w:tr>
        <w:trPr>
          <w:trHeight w:val="255"/>
        </w:trPr>
        <w:tc>
          <w:tcPr>
            <w:tcW w:w="351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URPAY"/>
              <w:jc w:val="center"/>
              <w:rPr>
                <w:rFonts w:ascii="Verdana" w:eastAsia="Times New Roman" w:hAnsi="Verdana" w:cs="Verdana"/>
                <w:noProof/>
                <w:color w:val="FFFFFF"/>
              </w:rPr>
            </w:pPr>
          </w:p>
        </w:tc>
        <w:tc>
          <w:tcPr>
            <w:tcW w:w="86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URPAY"/>
              <w:jc w:val="right"/>
              <w:rPr>
                <w:rFonts w:ascii="Verdana" w:eastAsia="Times New Roman" w:hAnsi="Verdana" w:cs="Verdana"/>
                <w:noProof/>
                <w:color w:val="FFFFFF"/>
              </w:rPr>
            </w:pPr>
            <w:r>
              <w:rPr>
                <w:rFonts w:ascii="Verdana" w:hAnsi="Verdana"/>
                <w:noProof/>
                <w:color w:val="FFFFFF"/>
              </w:rPr>
              <w:t>8-asis EPF</w:t>
            </w:r>
          </w:p>
        </w:tc>
        <w:tc>
          <w:tcPr>
            <w:tcW w:w="86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URPAY"/>
              <w:jc w:val="right"/>
              <w:rPr>
                <w:rFonts w:ascii="Verdana" w:eastAsia="Times New Roman" w:hAnsi="Verdana" w:cs="Verdana"/>
                <w:noProof/>
                <w:color w:val="FFFFFF"/>
              </w:rPr>
            </w:pPr>
            <w:r>
              <w:rPr>
                <w:rFonts w:ascii="Verdana" w:hAnsi="Verdana"/>
                <w:noProof/>
                <w:color w:val="FFFFFF"/>
              </w:rPr>
              <w:t>9-asis EPF</w:t>
            </w:r>
          </w:p>
        </w:tc>
        <w:tc>
          <w:tcPr>
            <w:tcW w:w="86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URPAY"/>
              <w:jc w:val="right"/>
              <w:rPr>
                <w:rFonts w:ascii="Verdana" w:eastAsia="Times New Roman" w:hAnsi="Verdana" w:cs="Verdana"/>
                <w:noProof/>
                <w:color w:val="FFFFFF"/>
              </w:rPr>
            </w:pPr>
            <w:r>
              <w:rPr>
                <w:rFonts w:ascii="Verdana" w:hAnsi="Verdana"/>
                <w:noProof/>
                <w:color w:val="FFFFFF"/>
              </w:rPr>
              <w:t>10-asis EPF</w:t>
            </w:r>
          </w:p>
        </w:tc>
        <w:tc>
          <w:tcPr>
            <w:tcW w:w="86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URPAY"/>
              <w:jc w:val="right"/>
              <w:rPr>
                <w:rFonts w:ascii="Verdana" w:eastAsia="Times New Roman" w:hAnsi="Verdana" w:cs="Verdana"/>
                <w:noProof/>
                <w:color w:val="FFFFFF"/>
              </w:rPr>
            </w:pPr>
            <w:r>
              <w:rPr>
                <w:rFonts w:ascii="Verdana" w:hAnsi="Verdana"/>
                <w:noProof/>
                <w:color w:val="FFFFFF"/>
              </w:rPr>
              <w:t>11-asis EPF</w:t>
            </w:r>
          </w:p>
        </w:tc>
        <w:tc>
          <w:tcPr>
            <w:tcW w:w="138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URPAY"/>
              <w:jc w:val="right"/>
              <w:rPr>
                <w:rFonts w:ascii="Verdana" w:eastAsia="Times New Roman" w:hAnsi="Verdana" w:cs="Verdana"/>
                <w:noProof/>
                <w:color w:val="FFFFFF"/>
              </w:rPr>
            </w:pPr>
            <w:r>
              <w:rPr>
                <w:rFonts w:ascii="Verdana" w:hAnsi="Verdana"/>
                <w:noProof/>
                <w:color w:val="FFFFFF"/>
              </w:rPr>
              <w:t>2019 12 31</w:t>
            </w:r>
          </w:p>
        </w:tc>
        <w:tc>
          <w:tcPr>
            <w:tcW w:w="140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URPAY"/>
              <w:jc w:val="right"/>
              <w:rPr>
                <w:rFonts w:ascii="Verdana" w:eastAsia="Times New Roman" w:hAnsi="Verdana" w:cs="Verdana"/>
                <w:noProof/>
                <w:color w:val="FFFFFF"/>
              </w:rPr>
            </w:pPr>
            <w:r>
              <w:rPr>
                <w:rFonts w:ascii="Verdana" w:hAnsi="Verdana"/>
                <w:noProof/>
                <w:color w:val="FFFFFF"/>
              </w:rPr>
              <w:t>2018 12 31</w:t>
            </w:r>
          </w:p>
        </w:tc>
      </w:tr>
      <w:tr>
        <w:trPr>
          <w:trHeight w:val="255"/>
        </w:trPr>
        <w:tc>
          <w:tcPr>
            <w:tcW w:w="3513" w:type="dxa"/>
            <w:tcBorders>
              <w:top w:val="nil"/>
              <w:left w:val="nil"/>
              <w:bottom w:val="nil"/>
              <w:right w:val="nil"/>
            </w:tcBorders>
            <w:tcMar>
              <w:top w:w="0" w:type="dxa"/>
              <w:left w:w="60" w:type="dxa"/>
              <w:bottom w:w="0" w:type="dxa"/>
              <w:right w:w="60" w:type="dxa"/>
            </w:tcMar>
            <w:vAlign w:val="center"/>
          </w:tcPr>
          <w:p>
            <w:pPr>
              <w:pStyle w:val="DMETW18983BIPCURPAY"/>
              <w:rPr>
                <w:rFonts w:ascii="Verdana" w:eastAsia="Times New Roman" w:hAnsi="Verdana" w:cs="Verdana"/>
                <w:i/>
                <w:noProof/>
                <w:color w:val="000000"/>
                <w:sz w:val="18"/>
              </w:rPr>
            </w:pPr>
            <w:r>
              <w:rPr>
                <w:rFonts w:ascii="Verdana" w:hAnsi="Verdana"/>
                <w:i/>
                <w:noProof/>
                <w:color w:val="000000"/>
                <w:sz w:val="18"/>
              </w:rPr>
              <w:t>Tiekėjai</w:t>
            </w:r>
          </w:p>
        </w:tc>
        <w:tc>
          <w:tcPr>
            <w:tcW w:w="864"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863"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67</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27</w:t>
            </w:r>
          </w:p>
        </w:tc>
        <w:tc>
          <w:tcPr>
            <w:tcW w:w="138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97</w:t>
            </w:r>
          </w:p>
        </w:tc>
        <w:tc>
          <w:tcPr>
            <w:tcW w:w="140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102</w:t>
            </w:r>
          </w:p>
        </w:tc>
      </w:tr>
      <w:tr>
        <w:trPr>
          <w:trHeight w:val="255"/>
        </w:trPr>
        <w:tc>
          <w:tcPr>
            <w:tcW w:w="3513" w:type="dxa"/>
            <w:tcBorders>
              <w:top w:val="nil"/>
              <w:left w:val="nil"/>
              <w:bottom w:val="nil"/>
              <w:right w:val="nil"/>
            </w:tcBorders>
            <w:tcMar>
              <w:top w:w="0" w:type="dxa"/>
              <w:left w:w="60" w:type="dxa"/>
              <w:bottom w:w="0" w:type="dxa"/>
              <w:right w:w="60" w:type="dxa"/>
            </w:tcMar>
            <w:vAlign w:val="center"/>
          </w:tcPr>
          <w:p>
            <w:pPr>
              <w:pStyle w:val="DMETW18983BIPCURPAY"/>
              <w:rPr>
                <w:rFonts w:ascii="Verdana" w:eastAsia="Times New Roman" w:hAnsi="Verdana" w:cs="Verdana"/>
                <w:i/>
                <w:noProof/>
                <w:color w:val="000000"/>
                <w:sz w:val="18"/>
              </w:rPr>
            </w:pPr>
            <w:r>
              <w:rPr>
                <w:rFonts w:ascii="Verdana" w:hAnsi="Verdana"/>
                <w:i/>
                <w:noProof/>
                <w:color w:val="000000"/>
                <w:sz w:val="18"/>
              </w:rPr>
              <w:t>Valstybės narės</w:t>
            </w:r>
          </w:p>
        </w:tc>
        <w:tc>
          <w:tcPr>
            <w:tcW w:w="864"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863"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138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140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1</w:t>
            </w:r>
          </w:p>
        </w:tc>
      </w:tr>
      <w:tr>
        <w:trPr>
          <w:trHeight w:val="255"/>
        </w:trPr>
        <w:tc>
          <w:tcPr>
            <w:tcW w:w="3513" w:type="dxa"/>
            <w:tcBorders>
              <w:top w:val="nil"/>
              <w:left w:val="nil"/>
              <w:bottom w:val="nil"/>
              <w:right w:val="nil"/>
            </w:tcBorders>
            <w:tcMar>
              <w:top w:w="0" w:type="dxa"/>
              <w:left w:w="60" w:type="dxa"/>
              <w:bottom w:w="0" w:type="dxa"/>
              <w:right w:w="60" w:type="dxa"/>
            </w:tcMar>
            <w:vAlign w:val="center"/>
          </w:tcPr>
          <w:p>
            <w:pPr>
              <w:pStyle w:val="DMETW18983BIPCURPAY"/>
              <w:rPr>
                <w:rFonts w:ascii="Verdana" w:eastAsia="Times New Roman" w:hAnsi="Verdana" w:cs="Verdana"/>
                <w:i/>
                <w:noProof/>
                <w:color w:val="000000"/>
                <w:sz w:val="18"/>
              </w:rPr>
            </w:pPr>
            <w:r>
              <w:rPr>
                <w:rFonts w:ascii="Verdana" w:hAnsi="Verdana"/>
                <w:i/>
                <w:noProof/>
                <w:color w:val="000000"/>
                <w:sz w:val="18"/>
              </w:rPr>
              <w:t>Trečiosios valstybės</w:t>
            </w:r>
          </w:p>
        </w:tc>
        <w:tc>
          <w:tcPr>
            <w:tcW w:w="864"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w:t>
            </w:r>
          </w:p>
        </w:tc>
        <w:tc>
          <w:tcPr>
            <w:tcW w:w="863"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74</w:t>
            </w:r>
          </w:p>
        </w:tc>
        <w:tc>
          <w:tcPr>
            <w:tcW w:w="138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78</w:t>
            </w:r>
          </w:p>
        </w:tc>
        <w:tc>
          <w:tcPr>
            <w:tcW w:w="140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37</w:t>
            </w:r>
          </w:p>
        </w:tc>
      </w:tr>
      <w:tr>
        <w:trPr>
          <w:trHeight w:val="255"/>
        </w:trPr>
        <w:tc>
          <w:tcPr>
            <w:tcW w:w="3513" w:type="dxa"/>
            <w:tcBorders>
              <w:top w:val="nil"/>
              <w:left w:val="nil"/>
              <w:bottom w:val="nil"/>
              <w:right w:val="nil"/>
            </w:tcBorders>
            <w:tcMar>
              <w:top w:w="0" w:type="dxa"/>
              <w:left w:w="60" w:type="dxa"/>
              <w:bottom w:w="0" w:type="dxa"/>
              <w:right w:w="60" w:type="dxa"/>
            </w:tcMar>
            <w:vAlign w:val="center"/>
          </w:tcPr>
          <w:p>
            <w:pPr>
              <w:pStyle w:val="DMETW18983BIPCURPAY"/>
              <w:rPr>
                <w:rFonts w:ascii="Verdana" w:eastAsia="Times New Roman" w:hAnsi="Verdana" w:cs="Verdana"/>
                <w:i/>
                <w:noProof/>
                <w:color w:val="000000"/>
                <w:sz w:val="18"/>
              </w:rPr>
            </w:pPr>
            <w:r>
              <w:rPr>
                <w:rFonts w:ascii="Verdana" w:hAnsi="Verdana"/>
                <w:i/>
                <w:noProof/>
                <w:color w:val="000000"/>
                <w:sz w:val="18"/>
              </w:rPr>
              <w:t>Viešosios įstaigos</w:t>
            </w:r>
          </w:p>
        </w:tc>
        <w:tc>
          <w:tcPr>
            <w:tcW w:w="864"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863"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70</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20</w:t>
            </w:r>
          </w:p>
        </w:tc>
        <w:tc>
          <w:tcPr>
            <w:tcW w:w="138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92</w:t>
            </w:r>
          </w:p>
        </w:tc>
        <w:tc>
          <w:tcPr>
            <w:tcW w:w="140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43</w:t>
            </w:r>
          </w:p>
        </w:tc>
      </w:tr>
      <w:tr>
        <w:trPr>
          <w:trHeight w:val="255"/>
        </w:trPr>
        <w:tc>
          <w:tcPr>
            <w:tcW w:w="3513" w:type="dxa"/>
            <w:tcBorders>
              <w:top w:val="nil"/>
              <w:left w:val="nil"/>
              <w:bottom w:val="nil"/>
              <w:right w:val="nil"/>
            </w:tcBorders>
            <w:tcMar>
              <w:top w:w="0" w:type="dxa"/>
              <w:left w:w="60" w:type="dxa"/>
              <w:bottom w:w="0" w:type="dxa"/>
              <w:right w:w="60" w:type="dxa"/>
            </w:tcMar>
            <w:vAlign w:val="center"/>
          </w:tcPr>
          <w:p>
            <w:pPr>
              <w:pStyle w:val="DMETW18983BIPCURPAY"/>
              <w:rPr>
                <w:rFonts w:ascii="Verdana" w:eastAsia="Times New Roman" w:hAnsi="Verdana" w:cs="Verdana"/>
                <w:i/>
                <w:noProof/>
                <w:color w:val="000000"/>
                <w:sz w:val="18"/>
              </w:rPr>
            </w:pPr>
            <w:r>
              <w:rPr>
                <w:rFonts w:ascii="Verdana" w:hAnsi="Verdana"/>
                <w:i/>
                <w:noProof/>
                <w:color w:val="000000"/>
                <w:sz w:val="18"/>
              </w:rPr>
              <w:t>Kitos trumpalaikės mokėtinos sumos</w:t>
            </w:r>
          </w:p>
        </w:tc>
        <w:tc>
          <w:tcPr>
            <w:tcW w:w="864"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863"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(70)</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(17)</w:t>
            </w:r>
          </w:p>
        </w:tc>
        <w:tc>
          <w:tcPr>
            <w:tcW w:w="138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(88)</w:t>
            </w:r>
          </w:p>
        </w:tc>
        <w:tc>
          <w:tcPr>
            <w:tcW w:w="140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(10)</w:t>
            </w:r>
          </w:p>
        </w:tc>
      </w:tr>
      <w:tr>
        <w:trPr>
          <w:trHeight w:val="255"/>
        </w:trPr>
        <w:tc>
          <w:tcPr>
            <w:tcW w:w="351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URPAY"/>
              <w:rPr>
                <w:rFonts w:ascii="Verdana" w:eastAsia="Times New Roman" w:hAnsi="Verdana" w:cs="Verdana"/>
                <w:b/>
                <w:noProof/>
                <w:color w:val="000000"/>
                <w:sz w:val="18"/>
              </w:rPr>
            </w:pPr>
            <w:r>
              <w:rPr>
                <w:rFonts w:ascii="Verdana" w:hAnsi="Verdana"/>
                <w:b/>
                <w:noProof/>
                <w:color w:val="000000"/>
                <w:sz w:val="18"/>
              </w:rPr>
              <w:t>Iš viso</w:t>
            </w:r>
          </w:p>
        </w:tc>
        <w:tc>
          <w:tcPr>
            <w:tcW w:w="864"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URPAY"/>
              <w:jc w:val="right"/>
              <w:rPr>
                <w:rFonts w:ascii="Verdana" w:eastAsia="Times New Roman" w:hAnsi="Verdana" w:cs="Verdana"/>
                <w:b/>
                <w:noProof/>
                <w:color w:val="000000"/>
                <w:sz w:val="18"/>
              </w:rPr>
            </w:pPr>
            <w:r>
              <w:rPr>
                <w:rFonts w:ascii="Verdana" w:hAnsi="Verdana"/>
                <w:b/>
                <w:noProof/>
                <w:color w:val="000000"/>
                <w:sz w:val="18"/>
              </w:rPr>
              <w:t>–</w:t>
            </w:r>
          </w:p>
        </w:tc>
        <w:tc>
          <w:tcPr>
            <w:tcW w:w="86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URPAY"/>
              <w:jc w:val="right"/>
              <w:rPr>
                <w:rFonts w:ascii="Verdana" w:eastAsia="Times New Roman" w:hAnsi="Verdana" w:cs="Verdana"/>
                <w:b/>
                <w:noProof/>
                <w:color w:val="000000"/>
                <w:sz w:val="18"/>
              </w:rPr>
            </w:pPr>
            <w:r>
              <w:rPr>
                <w:rFonts w:ascii="Verdana" w:hAnsi="Verdana"/>
                <w:b/>
                <w:noProof/>
                <w:color w:val="000000"/>
                <w:sz w:val="18"/>
              </w:rPr>
              <w:t xml:space="preserve"> 5</w:t>
            </w:r>
          </w:p>
        </w:tc>
        <w:tc>
          <w:tcPr>
            <w:tcW w:w="86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URPAY"/>
              <w:jc w:val="right"/>
              <w:rPr>
                <w:rFonts w:ascii="Verdana" w:eastAsia="Times New Roman" w:hAnsi="Verdana" w:cs="Verdana"/>
                <w:b/>
                <w:noProof/>
                <w:color w:val="000000"/>
                <w:sz w:val="18"/>
              </w:rPr>
            </w:pPr>
            <w:r>
              <w:rPr>
                <w:rFonts w:ascii="Verdana" w:hAnsi="Verdana"/>
                <w:b/>
                <w:noProof/>
                <w:color w:val="000000"/>
                <w:sz w:val="18"/>
              </w:rPr>
              <w:t xml:space="preserve"> 72</w:t>
            </w:r>
          </w:p>
        </w:tc>
        <w:tc>
          <w:tcPr>
            <w:tcW w:w="86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URPAY"/>
              <w:jc w:val="right"/>
              <w:rPr>
                <w:rFonts w:ascii="Verdana" w:eastAsia="Times New Roman" w:hAnsi="Verdana" w:cs="Verdana"/>
                <w:b/>
                <w:noProof/>
                <w:color w:val="000000"/>
                <w:sz w:val="18"/>
              </w:rPr>
            </w:pPr>
            <w:r>
              <w:rPr>
                <w:rFonts w:ascii="Verdana" w:hAnsi="Verdana"/>
                <w:b/>
                <w:noProof/>
                <w:color w:val="000000"/>
                <w:sz w:val="18"/>
              </w:rPr>
              <w:t xml:space="preserve"> 106</w:t>
            </w:r>
          </w:p>
        </w:tc>
        <w:tc>
          <w:tcPr>
            <w:tcW w:w="138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URPAY"/>
              <w:jc w:val="right"/>
              <w:rPr>
                <w:rFonts w:ascii="Verdana" w:eastAsia="Times New Roman" w:hAnsi="Verdana" w:cs="Verdana"/>
                <w:b/>
                <w:noProof/>
                <w:color w:val="000000"/>
                <w:sz w:val="18"/>
              </w:rPr>
            </w:pPr>
            <w:r>
              <w:rPr>
                <w:rFonts w:ascii="Verdana" w:hAnsi="Verdana"/>
                <w:b/>
                <w:noProof/>
                <w:color w:val="000000"/>
                <w:sz w:val="18"/>
              </w:rPr>
              <w:t xml:space="preserve"> 182</w:t>
            </w:r>
          </w:p>
        </w:tc>
        <w:tc>
          <w:tcPr>
            <w:tcW w:w="140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URPAY"/>
              <w:jc w:val="right"/>
              <w:rPr>
                <w:rFonts w:ascii="Verdana" w:eastAsia="Times New Roman" w:hAnsi="Verdana" w:cs="Verdana"/>
                <w:b/>
                <w:noProof/>
                <w:color w:val="000000"/>
                <w:sz w:val="18"/>
              </w:rPr>
            </w:pPr>
            <w:r>
              <w:rPr>
                <w:rFonts w:ascii="Verdana" w:hAnsi="Verdana"/>
                <w:b/>
                <w:noProof/>
                <w:color w:val="000000"/>
                <w:sz w:val="18"/>
              </w:rPr>
              <w:t xml:space="preserve"> 173</w:t>
            </w:r>
          </w:p>
        </w:tc>
      </w:tr>
    </w:tbl>
    <w:p>
      <w:pPr>
        <w:pStyle w:val="Textstand-alone"/>
      </w:pPr>
      <w:r>
        <w:t>Mokėtinos sumos apima EPF gautas išlaidų deklaracijas, susijusias su dotacijų skyrimo veikla. Jos įrašomos padengti reikalaujama suma nuo mokėjimo prašymo gavimo momento. Tokia pati procedūra taikoma sąskaitoms faktūroms ir kreditiniams dokumentams, gautiems vykdant viešuosius pirkimus. Į atitinkamus prašymus padengti išlaidas buvo atsižvelgta per metų pabaigos ataskaitinių laikotarpių atskyrimo procedūras. Vadovaujantis tais atskyrimo įrašais, apskaičiuotosios reikalavimus atitinkančios sumos buvo pripažintos finansinės veiklos ataskaitoje. Reikalavimų neatitinkančios sumos buvo parodytos kaip kitos trumpalaikės mokėtinos sumos.</w:t>
      </w:r>
    </w:p>
    <w:p>
      <w:pPr>
        <w:pStyle w:val="HEADER3Part2"/>
        <w:rPr>
          <w:noProof/>
        </w:rPr>
      </w:pPr>
      <w:bookmarkStart w:id="62" w:name="_Ref35557557"/>
      <w:r>
        <w:rPr>
          <w:noProof/>
        </w:rPr>
        <w:t>Įvairios mokėtinos sumos</w:t>
      </w:r>
      <w:bookmarkEnd w:id="62"/>
    </w:p>
    <w:tbl>
      <w:tblPr>
        <w:tblW w:w="51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992"/>
        <w:gridCol w:w="850"/>
        <w:gridCol w:w="851"/>
        <w:gridCol w:w="850"/>
        <w:gridCol w:w="851"/>
        <w:gridCol w:w="1416"/>
        <w:gridCol w:w="1418"/>
      </w:tblGrid>
      <w:tr>
        <w:trPr>
          <w:trHeight w:val="255"/>
        </w:trPr>
        <w:tc>
          <w:tcPr>
            <w:tcW w:w="9983" w:type="dxa"/>
            <w:gridSpan w:val="8"/>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6"/>
              </w:rPr>
            </w:pPr>
            <w:bookmarkStart w:id="63" w:name="DOC_TBL00026_1_1"/>
            <w:bookmarkEnd w:id="63"/>
            <w:r>
              <w:rPr>
                <w:rFonts w:ascii="Verdana" w:hAnsi="Verdana"/>
                <w:i/>
                <w:noProof/>
                <w:color w:val="000000"/>
                <w:sz w:val="16"/>
              </w:rPr>
              <w:t>mln. EUR</w:t>
            </w:r>
          </w:p>
        </w:tc>
      </w:tr>
      <w:tr>
        <w:trPr>
          <w:trHeight w:val="255"/>
        </w:trPr>
        <w:tc>
          <w:tcPr>
            <w:tcW w:w="275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SUNPAY"/>
              <w:jc w:val="center"/>
              <w:rPr>
                <w:rFonts w:ascii="Verdana" w:eastAsia="Times New Roman" w:hAnsi="Verdana" w:cs="Verdana"/>
                <w:noProof/>
                <w:color w:val="FFFFFF"/>
              </w:rPr>
            </w:pP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SUNPAY"/>
              <w:jc w:val="center"/>
              <w:rPr>
                <w:rFonts w:ascii="Verdana" w:eastAsia="Times New Roman" w:hAnsi="Verdana" w:cs="Verdana"/>
                <w:noProof/>
                <w:color w:val="FFFFFF"/>
              </w:rPr>
            </w:pPr>
            <w:r>
              <w:rPr>
                <w:rFonts w:ascii="Verdana" w:hAnsi="Verdana"/>
                <w:noProof/>
                <w:color w:val="FFFFFF"/>
              </w:rPr>
              <w:t>Pastaba</w:t>
            </w: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SUNPAY"/>
              <w:jc w:val="right"/>
              <w:rPr>
                <w:rFonts w:ascii="Verdana" w:eastAsia="Times New Roman" w:hAnsi="Verdana" w:cs="Verdana"/>
                <w:noProof/>
                <w:color w:val="FFFFFF"/>
              </w:rPr>
            </w:pPr>
            <w:r>
              <w:rPr>
                <w:rFonts w:ascii="Verdana" w:hAnsi="Verdana"/>
                <w:noProof/>
                <w:color w:val="FFFFFF"/>
              </w:rPr>
              <w:t>8-asis EPF</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SUNPAY"/>
              <w:jc w:val="right"/>
              <w:rPr>
                <w:rFonts w:ascii="Verdana" w:eastAsia="Times New Roman" w:hAnsi="Verdana" w:cs="Verdana"/>
                <w:noProof/>
                <w:color w:val="FFFFFF"/>
              </w:rPr>
            </w:pPr>
            <w:r>
              <w:rPr>
                <w:rFonts w:ascii="Verdana" w:hAnsi="Verdana"/>
                <w:noProof/>
                <w:color w:val="FFFFFF"/>
              </w:rPr>
              <w:t>9-asis EPF</w:t>
            </w: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SUNPAY"/>
              <w:jc w:val="right"/>
              <w:rPr>
                <w:rFonts w:ascii="Verdana" w:eastAsia="Times New Roman" w:hAnsi="Verdana" w:cs="Verdana"/>
                <w:noProof/>
                <w:color w:val="FFFFFF"/>
              </w:rPr>
            </w:pPr>
            <w:r>
              <w:rPr>
                <w:rFonts w:ascii="Verdana" w:hAnsi="Verdana"/>
                <w:noProof/>
                <w:color w:val="FFFFFF"/>
              </w:rPr>
              <w:t>10-asis EPF</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SUNPAY"/>
              <w:jc w:val="right"/>
              <w:rPr>
                <w:rFonts w:ascii="Verdana" w:eastAsia="Times New Roman" w:hAnsi="Verdana" w:cs="Verdana"/>
                <w:noProof/>
                <w:color w:val="FFFFFF"/>
              </w:rPr>
            </w:pPr>
            <w:r>
              <w:rPr>
                <w:rFonts w:ascii="Verdana" w:hAnsi="Verdana"/>
                <w:noProof/>
                <w:color w:val="FFFFFF"/>
              </w:rPr>
              <w:t>11-asis EPF</w:t>
            </w:r>
          </w:p>
        </w:tc>
        <w:tc>
          <w:tcPr>
            <w:tcW w:w="141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SUNPAY"/>
              <w:jc w:val="right"/>
              <w:rPr>
                <w:rFonts w:ascii="Verdana" w:eastAsia="Times New Roman" w:hAnsi="Verdana" w:cs="Verdana"/>
                <w:noProof/>
                <w:color w:val="FFFFFF"/>
              </w:rPr>
            </w:pPr>
            <w:r>
              <w:rPr>
                <w:rFonts w:ascii="Verdana" w:hAnsi="Verdana"/>
                <w:noProof/>
                <w:color w:val="FFFFFF"/>
              </w:rPr>
              <w:t>2019 12 31</w:t>
            </w:r>
          </w:p>
        </w:tc>
        <w:tc>
          <w:tcPr>
            <w:tcW w:w="141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SUNPAY"/>
              <w:jc w:val="right"/>
              <w:rPr>
                <w:rFonts w:ascii="Verdana" w:eastAsia="Times New Roman" w:hAnsi="Verdana" w:cs="Verdana"/>
                <w:noProof/>
                <w:color w:val="FFFFFF"/>
              </w:rPr>
            </w:pPr>
            <w:r>
              <w:rPr>
                <w:rFonts w:ascii="Verdana" w:hAnsi="Verdana"/>
                <w:noProof/>
                <w:color w:val="FFFFFF"/>
              </w:rPr>
              <w:t>2018 12 31</w:t>
            </w:r>
          </w:p>
        </w:tc>
      </w:tr>
      <w:tr>
        <w:trPr>
          <w:trHeight w:val="255"/>
        </w:trPr>
        <w:tc>
          <w:tcPr>
            <w:tcW w:w="2755" w:type="dxa"/>
            <w:tcBorders>
              <w:top w:val="nil"/>
              <w:left w:val="nil"/>
              <w:bottom w:val="nil"/>
              <w:right w:val="nil"/>
            </w:tcBorders>
            <w:tcMar>
              <w:top w:w="0" w:type="dxa"/>
              <w:left w:w="60" w:type="dxa"/>
              <w:bottom w:w="0" w:type="dxa"/>
              <w:right w:w="60" w:type="dxa"/>
            </w:tcMar>
            <w:vAlign w:val="center"/>
          </w:tcPr>
          <w:p>
            <w:pPr>
              <w:pStyle w:val="DMETW18983BIPSUNPAY"/>
              <w:rPr>
                <w:rFonts w:ascii="Verdana" w:eastAsia="Times New Roman" w:hAnsi="Verdana" w:cs="Verdana"/>
                <w:i/>
                <w:noProof/>
                <w:color w:val="000000"/>
                <w:sz w:val="18"/>
              </w:rPr>
            </w:pPr>
            <w:r>
              <w:rPr>
                <w:rFonts w:ascii="Verdana" w:hAnsi="Verdana"/>
                <w:i/>
                <w:noProof/>
                <w:color w:val="000000"/>
                <w:sz w:val="18"/>
              </w:rPr>
              <w:t>Bendro finansavimo mokėtinos sumos</w:t>
            </w:r>
          </w:p>
        </w:tc>
        <w:tc>
          <w:tcPr>
            <w:tcW w:w="992" w:type="dxa"/>
            <w:tcBorders>
              <w:top w:val="nil"/>
              <w:left w:val="nil"/>
              <w:bottom w:val="nil"/>
              <w:right w:val="nil"/>
            </w:tcBorders>
            <w:tcMar>
              <w:top w:w="0" w:type="dxa"/>
              <w:left w:w="60" w:type="dxa"/>
              <w:bottom w:w="0" w:type="dxa"/>
              <w:right w:w="60" w:type="dxa"/>
            </w:tcMar>
            <w:vAlign w:val="center"/>
          </w:tcPr>
          <w:p>
            <w:pPr>
              <w:pStyle w:val="DMETW18983BIPSUNPAY"/>
              <w:rPr>
                <w:rFonts w:ascii="Verdana" w:eastAsia="Times New Roman" w:hAnsi="Verdana" w:cs="Verdana"/>
                <w:noProof/>
                <w:color w:val="000000"/>
                <w:sz w:val="18"/>
              </w:rPr>
            </w:pPr>
            <w:r>
              <w:rPr>
                <w:rFonts w:ascii="Verdana" w:hAnsi="Verdana"/>
                <w:noProof/>
                <w:color w:val="000000"/>
                <w:sz w:val="18"/>
              </w:rPr>
              <w:t>2.6.1</w:t>
            </w:r>
          </w:p>
        </w:tc>
        <w:tc>
          <w:tcPr>
            <w:tcW w:w="850"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 xml:space="preserve"> 38</w:t>
            </w:r>
          </w:p>
        </w:tc>
        <w:tc>
          <w:tcPr>
            <w:tcW w:w="851"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 xml:space="preserve"> 31</w:t>
            </w:r>
          </w:p>
        </w:tc>
        <w:tc>
          <w:tcPr>
            <w:tcW w:w="1416"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 xml:space="preserve"> 69</w:t>
            </w:r>
          </w:p>
        </w:tc>
        <w:tc>
          <w:tcPr>
            <w:tcW w:w="1418"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 xml:space="preserve"> 68</w:t>
            </w:r>
          </w:p>
        </w:tc>
      </w:tr>
      <w:tr>
        <w:trPr>
          <w:trHeight w:val="255"/>
        </w:trPr>
        <w:tc>
          <w:tcPr>
            <w:tcW w:w="2755" w:type="dxa"/>
            <w:tcBorders>
              <w:top w:val="nil"/>
              <w:left w:val="nil"/>
              <w:bottom w:val="nil"/>
              <w:right w:val="nil"/>
            </w:tcBorders>
            <w:tcMar>
              <w:top w:w="0" w:type="dxa"/>
              <w:left w:w="60" w:type="dxa"/>
              <w:bottom w:w="0" w:type="dxa"/>
              <w:right w:w="60" w:type="dxa"/>
            </w:tcMar>
            <w:vAlign w:val="center"/>
          </w:tcPr>
          <w:p>
            <w:pPr>
              <w:pStyle w:val="DMETW18983BIPSUNPAY"/>
              <w:rPr>
                <w:rFonts w:ascii="Verdana" w:eastAsia="Times New Roman" w:hAnsi="Verdana" w:cs="Verdana"/>
                <w:i/>
                <w:noProof/>
                <w:color w:val="000000"/>
                <w:sz w:val="18"/>
              </w:rPr>
            </w:pPr>
            <w:r>
              <w:rPr>
                <w:rFonts w:ascii="Verdana" w:hAnsi="Verdana"/>
                <w:i/>
                <w:noProof/>
                <w:color w:val="000000"/>
                <w:sz w:val="18"/>
              </w:rPr>
              <w:t>Būsimųjų laikotarpių kapitalo įnašai</w:t>
            </w:r>
          </w:p>
        </w:tc>
        <w:tc>
          <w:tcPr>
            <w:tcW w:w="992" w:type="dxa"/>
            <w:tcBorders>
              <w:top w:val="nil"/>
              <w:left w:val="nil"/>
              <w:bottom w:val="nil"/>
              <w:right w:val="nil"/>
            </w:tcBorders>
            <w:tcMar>
              <w:top w:w="0" w:type="dxa"/>
              <w:left w:w="60" w:type="dxa"/>
              <w:bottom w:w="0" w:type="dxa"/>
              <w:right w:w="60" w:type="dxa"/>
            </w:tcMar>
            <w:vAlign w:val="center"/>
          </w:tcPr>
          <w:p>
            <w:pPr>
              <w:pStyle w:val="DMETW18983BIPSUNPAY"/>
              <w:rPr>
                <w:rFonts w:ascii="Verdana" w:eastAsia="Times New Roman" w:hAnsi="Verdana" w:cs="Verdana"/>
                <w:noProof/>
                <w:color w:val="000000"/>
                <w:sz w:val="18"/>
              </w:rPr>
            </w:pPr>
            <w:r>
              <w:rPr>
                <w:rFonts w:ascii="Verdana" w:hAnsi="Verdana"/>
                <w:noProof/>
                <w:color w:val="000000"/>
                <w:sz w:val="18"/>
              </w:rPr>
              <w:t>2.7.2.1</w:t>
            </w:r>
          </w:p>
        </w:tc>
        <w:tc>
          <w:tcPr>
            <w:tcW w:w="850"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 xml:space="preserve"> 264</w:t>
            </w:r>
          </w:p>
        </w:tc>
        <w:tc>
          <w:tcPr>
            <w:tcW w:w="1416"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 xml:space="preserve"> 264</w:t>
            </w:r>
          </w:p>
        </w:tc>
        <w:tc>
          <w:tcPr>
            <w:tcW w:w="1418"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w:t>
            </w:r>
          </w:p>
        </w:tc>
      </w:tr>
      <w:tr>
        <w:trPr>
          <w:trHeight w:val="255"/>
        </w:trPr>
        <w:tc>
          <w:tcPr>
            <w:tcW w:w="2755" w:type="dxa"/>
            <w:tcBorders>
              <w:top w:val="nil"/>
              <w:left w:val="nil"/>
              <w:bottom w:val="nil"/>
              <w:right w:val="nil"/>
            </w:tcBorders>
            <w:tcMar>
              <w:top w:w="0" w:type="dxa"/>
              <w:left w:w="60" w:type="dxa"/>
              <w:bottom w:w="0" w:type="dxa"/>
              <w:right w:w="60" w:type="dxa"/>
            </w:tcMar>
            <w:vAlign w:val="center"/>
          </w:tcPr>
          <w:p>
            <w:pPr>
              <w:pStyle w:val="DMETW18983BIPSUNPAY"/>
              <w:rPr>
                <w:rFonts w:ascii="Verdana" w:eastAsia="Times New Roman" w:hAnsi="Verdana" w:cs="Verdana"/>
                <w:i/>
                <w:noProof/>
                <w:color w:val="000000"/>
                <w:sz w:val="18"/>
              </w:rPr>
            </w:pPr>
            <w:r>
              <w:rPr>
                <w:rFonts w:ascii="Verdana" w:hAnsi="Verdana"/>
                <w:i/>
                <w:noProof/>
                <w:color w:val="000000"/>
                <w:sz w:val="18"/>
              </w:rPr>
              <w:t>Kitos įvairios mokėtinos sumos</w:t>
            </w:r>
          </w:p>
        </w:tc>
        <w:tc>
          <w:tcPr>
            <w:tcW w:w="992" w:type="dxa"/>
            <w:tcBorders>
              <w:top w:val="nil"/>
              <w:left w:val="nil"/>
              <w:bottom w:val="nil"/>
              <w:right w:val="nil"/>
            </w:tcBorders>
            <w:tcMar>
              <w:top w:w="0" w:type="dxa"/>
              <w:left w:w="60" w:type="dxa"/>
              <w:bottom w:w="0" w:type="dxa"/>
              <w:right w:w="60" w:type="dxa"/>
            </w:tcMar>
            <w:vAlign w:val="center"/>
          </w:tcPr>
          <w:p>
            <w:pPr>
              <w:pStyle w:val="DMETW18983BIPSUNPAY"/>
              <w:jc w:val="center"/>
              <w:rPr>
                <w:rFonts w:ascii="Verdana" w:eastAsia="Times New Roman" w:hAnsi="Verdana" w:cs="Verdana"/>
                <w:noProof/>
                <w:color w:val="000000"/>
                <w:sz w:val="18"/>
              </w:rPr>
            </w:pPr>
          </w:p>
        </w:tc>
        <w:tc>
          <w:tcPr>
            <w:tcW w:w="850"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851"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 xml:space="preserve"> 3</w:t>
            </w:r>
          </w:p>
        </w:tc>
        <w:tc>
          <w:tcPr>
            <w:tcW w:w="1416"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1418"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 xml:space="preserve"> 0</w:t>
            </w:r>
          </w:p>
        </w:tc>
      </w:tr>
      <w:tr>
        <w:trPr>
          <w:trHeight w:val="255"/>
        </w:trPr>
        <w:tc>
          <w:tcPr>
            <w:tcW w:w="275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SUNPAY"/>
              <w:rPr>
                <w:rFonts w:ascii="Verdana" w:eastAsia="Times New Roman" w:hAnsi="Verdana" w:cs="Verdana"/>
                <w:b/>
                <w:noProof/>
                <w:color w:val="000000"/>
                <w:sz w:val="18"/>
              </w:rPr>
            </w:pPr>
            <w:r>
              <w:rPr>
                <w:rFonts w:ascii="Verdana" w:hAnsi="Verdana"/>
                <w:b/>
                <w:noProof/>
                <w:color w:val="000000"/>
                <w:sz w:val="18"/>
              </w:rPr>
              <w:t>Iš viso</w:t>
            </w:r>
          </w:p>
        </w:tc>
        <w:tc>
          <w:tcPr>
            <w:tcW w:w="99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SUNPAY"/>
              <w:jc w:val="right"/>
              <w:rPr>
                <w:rFonts w:ascii="Verdana" w:eastAsia="Times New Roman" w:hAnsi="Verdana" w:cs="Verdana"/>
                <w:b/>
                <w:noProof/>
                <w:color w:val="000000"/>
                <w:sz w:val="18"/>
              </w:rPr>
            </w:pPr>
          </w:p>
        </w:tc>
        <w:tc>
          <w:tcPr>
            <w:tcW w:w="850"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SUNPAY"/>
              <w:jc w:val="right"/>
              <w:rPr>
                <w:rFonts w:ascii="Verdana" w:eastAsia="Times New Roman" w:hAnsi="Verdana" w:cs="Verdana"/>
                <w:b/>
                <w:noProof/>
                <w:color w:val="000000"/>
                <w:sz w:val="18"/>
              </w:rPr>
            </w:pPr>
            <w:r>
              <w:rPr>
                <w:rFonts w:ascii="Verdana" w:hAnsi="Verdana"/>
                <w:b/>
                <w:noProof/>
                <w:color w:val="000000"/>
                <w:sz w:val="18"/>
              </w:rPr>
              <w:t>–</w:t>
            </w:r>
          </w:p>
        </w:tc>
        <w:tc>
          <w:tcPr>
            <w:tcW w:w="851"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SUNPAY"/>
              <w:jc w:val="right"/>
              <w:rPr>
                <w:rFonts w:ascii="Verdana" w:eastAsia="Times New Roman" w:hAnsi="Verdana" w:cs="Verdana"/>
                <w:b/>
                <w:noProof/>
                <w:color w:val="000000"/>
                <w:sz w:val="18"/>
              </w:rPr>
            </w:pPr>
            <w:r>
              <w:rPr>
                <w:rFonts w:ascii="Verdana" w:hAnsi="Verdana"/>
                <w:b/>
                <w:noProof/>
                <w:color w:val="000000"/>
                <w:sz w:val="18"/>
              </w:rPr>
              <w:t>–</w:t>
            </w:r>
          </w:p>
        </w:tc>
        <w:tc>
          <w:tcPr>
            <w:tcW w:w="850"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SUNPAY"/>
              <w:jc w:val="right"/>
              <w:rPr>
                <w:rFonts w:ascii="Verdana" w:eastAsia="Times New Roman" w:hAnsi="Verdana" w:cs="Verdana"/>
                <w:b/>
                <w:noProof/>
                <w:color w:val="000000"/>
                <w:sz w:val="18"/>
              </w:rPr>
            </w:pPr>
            <w:r>
              <w:rPr>
                <w:rFonts w:ascii="Verdana" w:hAnsi="Verdana"/>
                <w:b/>
                <w:noProof/>
                <w:color w:val="000000"/>
                <w:sz w:val="18"/>
              </w:rPr>
              <w:t xml:space="preserve"> 36</w:t>
            </w:r>
          </w:p>
        </w:tc>
        <w:tc>
          <w:tcPr>
            <w:tcW w:w="851"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SUNPAY"/>
              <w:jc w:val="right"/>
              <w:rPr>
                <w:rFonts w:ascii="Verdana" w:eastAsia="Times New Roman" w:hAnsi="Verdana" w:cs="Verdana"/>
                <w:b/>
                <w:noProof/>
                <w:color w:val="000000"/>
                <w:sz w:val="18"/>
              </w:rPr>
            </w:pPr>
            <w:r>
              <w:rPr>
                <w:rFonts w:ascii="Verdana" w:hAnsi="Verdana"/>
                <w:b/>
                <w:noProof/>
                <w:color w:val="000000"/>
                <w:sz w:val="18"/>
              </w:rPr>
              <w:t xml:space="preserve"> 298</w:t>
            </w:r>
          </w:p>
        </w:tc>
        <w:tc>
          <w:tcPr>
            <w:tcW w:w="141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SUNPAY"/>
              <w:jc w:val="right"/>
              <w:rPr>
                <w:rFonts w:ascii="Verdana" w:eastAsia="Times New Roman" w:hAnsi="Verdana" w:cs="Verdana"/>
                <w:b/>
                <w:noProof/>
                <w:color w:val="000000"/>
                <w:sz w:val="18"/>
              </w:rPr>
            </w:pPr>
            <w:r>
              <w:rPr>
                <w:rFonts w:ascii="Verdana" w:hAnsi="Verdana"/>
                <w:b/>
                <w:noProof/>
                <w:color w:val="000000"/>
                <w:sz w:val="18"/>
              </w:rPr>
              <w:t xml:space="preserve"> 334</w:t>
            </w:r>
          </w:p>
        </w:tc>
        <w:tc>
          <w:tcPr>
            <w:tcW w:w="141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SUNPAY"/>
              <w:jc w:val="right"/>
              <w:rPr>
                <w:rFonts w:ascii="Verdana" w:eastAsia="Times New Roman" w:hAnsi="Verdana" w:cs="Verdana"/>
                <w:b/>
                <w:noProof/>
                <w:color w:val="000000"/>
                <w:sz w:val="18"/>
              </w:rPr>
            </w:pPr>
            <w:r>
              <w:rPr>
                <w:rFonts w:ascii="Verdana" w:hAnsi="Verdana"/>
                <w:b/>
                <w:noProof/>
                <w:color w:val="000000"/>
                <w:sz w:val="18"/>
              </w:rPr>
              <w:t xml:space="preserve"> 68</w:t>
            </w:r>
          </w:p>
        </w:tc>
      </w:tr>
    </w:tbl>
    <w:p>
      <w:pPr>
        <w:pStyle w:val="HEADER4Part2"/>
        <w:rPr>
          <w:noProof/>
        </w:rPr>
      </w:pPr>
      <w:r>
        <w:rPr>
          <w:noProof/>
        </w:rPr>
        <w:t>Būsimųjų laikotarpių kapitalo įnašai</w:t>
      </w:r>
    </w:p>
    <w:p>
      <w:pPr>
        <w:pStyle w:val="Textstand-alone"/>
      </w:pPr>
      <w:r>
        <w:t xml:space="preserve">2019 m. gruodžio 31 d. visa 264 mln. EUR suma yra susijusi su gruodžio mėn. pabaigoje į EPF sumokėtu 2020 m. JK įnašu. 2018 m. gruodžio 31 d. iš anksto sumokėtų kapitalo įnašų nebuvo. </w:t>
      </w:r>
    </w:p>
    <w:p>
      <w:pPr>
        <w:pStyle w:val="HEADER2Part2"/>
        <w:rPr>
          <w:noProof/>
        </w:rPr>
      </w:pPr>
      <w:r>
        <w:rPr>
          <w:noProof/>
        </w:rPr>
        <w:t>SUKAUPTOS SĄNAUDOS IR BŪSIMOJO LAIKOTARPIO PAJAMOS</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4"/>
        <w:gridCol w:w="858"/>
        <w:gridCol w:w="858"/>
        <w:gridCol w:w="999"/>
        <w:gridCol w:w="999"/>
        <w:gridCol w:w="1591"/>
        <w:gridCol w:w="1347"/>
      </w:tblGrid>
      <w:tr>
        <w:trPr>
          <w:trHeight w:val="255"/>
        </w:trPr>
        <w:tc>
          <w:tcPr>
            <w:tcW w:w="3204" w:type="dxa"/>
            <w:gridSpan w:val="7"/>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6"/>
              </w:rPr>
            </w:pPr>
            <w:bookmarkStart w:id="64" w:name="DOC_TBL00029_1_1"/>
            <w:bookmarkEnd w:id="64"/>
            <w:r>
              <w:rPr>
                <w:rFonts w:ascii="Verdana" w:hAnsi="Verdana"/>
                <w:i/>
                <w:noProof/>
                <w:color w:val="000000"/>
                <w:sz w:val="16"/>
              </w:rPr>
              <w:t>mln. EUR</w:t>
            </w:r>
          </w:p>
        </w:tc>
      </w:tr>
      <w:tr>
        <w:trPr>
          <w:trHeight w:val="255"/>
        </w:trPr>
        <w:tc>
          <w:tcPr>
            <w:tcW w:w="320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ACCDEF"/>
              <w:jc w:val="center"/>
              <w:rPr>
                <w:rFonts w:ascii="Verdana" w:eastAsia="Times New Roman" w:hAnsi="Verdana" w:cs="Verdana"/>
                <w:noProof/>
                <w:color w:val="FFFFFF"/>
              </w:rPr>
            </w:pPr>
          </w:p>
        </w:tc>
        <w:tc>
          <w:tcPr>
            <w:tcW w:w="85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ACCDEF"/>
              <w:jc w:val="right"/>
              <w:rPr>
                <w:rFonts w:ascii="Verdana" w:eastAsia="Times New Roman" w:hAnsi="Verdana" w:cs="Verdana"/>
                <w:noProof/>
                <w:color w:val="FFFFFF"/>
              </w:rPr>
            </w:pPr>
            <w:r>
              <w:rPr>
                <w:rFonts w:ascii="Verdana" w:hAnsi="Verdana"/>
                <w:noProof/>
                <w:color w:val="FFFFFF"/>
              </w:rPr>
              <w:t>8-asis EPF</w:t>
            </w:r>
          </w:p>
        </w:tc>
        <w:tc>
          <w:tcPr>
            <w:tcW w:w="85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ACCDEF"/>
              <w:jc w:val="right"/>
              <w:rPr>
                <w:rFonts w:ascii="Verdana" w:eastAsia="Times New Roman" w:hAnsi="Verdana" w:cs="Verdana"/>
                <w:noProof/>
                <w:color w:val="FFFFFF"/>
              </w:rPr>
            </w:pPr>
            <w:r>
              <w:rPr>
                <w:rFonts w:ascii="Verdana" w:hAnsi="Verdana"/>
                <w:noProof/>
                <w:color w:val="FFFFFF"/>
              </w:rPr>
              <w:t>9-asis EPF</w:t>
            </w:r>
          </w:p>
        </w:tc>
        <w:tc>
          <w:tcPr>
            <w:tcW w:w="99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ACCDEF"/>
              <w:jc w:val="right"/>
              <w:rPr>
                <w:rFonts w:ascii="Verdana" w:eastAsia="Times New Roman" w:hAnsi="Verdana" w:cs="Verdana"/>
                <w:noProof/>
                <w:color w:val="FFFFFF"/>
              </w:rPr>
            </w:pPr>
            <w:r>
              <w:rPr>
                <w:rFonts w:ascii="Verdana" w:hAnsi="Verdana"/>
                <w:noProof/>
                <w:color w:val="FFFFFF"/>
              </w:rPr>
              <w:t>10-asis EPF</w:t>
            </w:r>
          </w:p>
        </w:tc>
        <w:tc>
          <w:tcPr>
            <w:tcW w:w="99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ACCDEF"/>
              <w:jc w:val="right"/>
              <w:rPr>
                <w:rFonts w:ascii="Verdana" w:eastAsia="Times New Roman" w:hAnsi="Verdana" w:cs="Verdana"/>
                <w:noProof/>
                <w:color w:val="FFFFFF"/>
              </w:rPr>
            </w:pPr>
            <w:r>
              <w:rPr>
                <w:rFonts w:ascii="Verdana" w:hAnsi="Verdana"/>
                <w:noProof/>
                <w:color w:val="FFFFFF"/>
              </w:rPr>
              <w:t>11-asis EPF</w:t>
            </w:r>
          </w:p>
        </w:tc>
        <w:tc>
          <w:tcPr>
            <w:tcW w:w="159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ACCDEF"/>
              <w:jc w:val="right"/>
              <w:rPr>
                <w:rFonts w:ascii="Verdana" w:eastAsia="Times New Roman" w:hAnsi="Verdana" w:cs="Verdana"/>
                <w:noProof/>
                <w:color w:val="FFFFFF"/>
              </w:rPr>
            </w:pPr>
            <w:r>
              <w:rPr>
                <w:rFonts w:ascii="Verdana" w:hAnsi="Verdana"/>
                <w:noProof/>
                <w:color w:val="FFFFFF"/>
              </w:rPr>
              <w:t>2019 12 31</w:t>
            </w:r>
          </w:p>
        </w:tc>
        <w:tc>
          <w:tcPr>
            <w:tcW w:w="134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ACCDEF"/>
              <w:jc w:val="right"/>
              <w:rPr>
                <w:rFonts w:ascii="Verdana" w:eastAsia="Times New Roman" w:hAnsi="Verdana" w:cs="Verdana"/>
                <w:noProof/>
                <w:color w:val="FFFFFF"/>
              </w:rPr>
            </w:pPr>
            <w:r>
              <w:rPr>
                <w:rFonts w:ascii="Verdana" w:hAnsi="Verdana"/>
                <w:noProof/>
                <w:color w:val="FFFFFF"/>
              </w:rPr>
              <w:t>2018 12 31</w:t>
            </w:r>
          </w:p>
        </w:tc>
      </w:tr>
      <w:tr>
        <w:trPr>
          <w:trHeight w:val="255"/>
        </w:trPr>
        <w:tc>
          <w:tcPr>
            <w:tcW w:w="3204" w:type="dxa"/>
            <w:tcBorders>
              <w:top w:val="nil"/>
              <w:left w:val="nil"/>
              <w:bottom w:val="nil"/>
              <w:right w:val="nil"/>
            </w:tcBorders>
            <w:tcMar>
              <w:top w:w="0" w:type="dxa"/>
              <w:left w:w="60" w:type="dxa"/>
              <w:bottom w:w="0" w:type="dxa"/>
              <w:right w:w="60" w:type="dxa"/>
            </w:tcMar>
            <w:vAlign w:val="center"/>
          </w:tcPr>
          <w:p>
            <w:pPr>
              <w:pStyle w:val="DMETW18983BIPACCDEF"/>
              <w:rPr>
                <w:rFonts w:ascii="Verdana" w:eastAsia="Times New Roman" w:hAnsi="Verdana" w:cs="Verdana"/>
                <w:i/>
                <w:noProof/>
                <w:color w:val="000000"/>
                <w:sz w:val="18"/>
              </w:rPr>
            </w:pPr>
            <w:r>
              <w:rPr>
                <w:rFonts w:ascii="Verdana" w:hAnsi="Verdana"/>
                <w:i/>
                <w:noProof/>
                <w:color w:val="000000"/>
                <w:sz w:val="18"/>
              </w:rPr>
              <w:t>Sukauptos sąnaudos</w:t>
            </w:r>
          </w:p>
        </w:tc>
        <w:tc>
          <w:tcPr>
            <w:tcW w:w="858"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hAnsi="Verdana"/>
                <w:i/>
                <w:noProof/>
                <w:color w:val="000000"/>
                <w:sz w:val="18"/>
              </w:rPr>
              <w:t>–</w:t>
            </w:r>
          </w:p>
        </w:tc>
        <w:tc>
          <w:tcPr>
            <w:tcW w:w="858"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hAnsi="Verdana"/>
                <w:i/>
                <w:noProof/>
                <w:color w:val="000000"/>
                <w:sz w:val="18"/>
              </w:rPr>
              <w:t xml:space="preserve"> 96</w:t>
            </w:r>
          </w:p>
        </w:tc>
        <w:tc>
          <w:tcPr>
            <w:tcW w:w="999"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hAnsi="Verdana"/>
                <w:i/>
                <w:noProof/>
                <w:color w:val="000000"/>
                <w:sz w:val="18"/>
              </w:rPr>
              <w:t xml:space="preserve"> 240</w:t>
            </w:r>
          </w:p>
        </w:tc>
        <w:tc>
          <w:tcPr>
            <w:tcW w:w="999"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hAnsi="Verdana"/>
                <w:i/>
                <w:noProof/>
                <w:color w:val="000000"/>
                <w:sz w:val="18"/>
              </w:rPr>
              <w:t xml:space="preserve"> 982</w:t>
            </w:r>
          </w:p>
        </w:tc>
        <w:tc>
          <w:tcPr>
            <w:tcW w:w="1591"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hAnsi="Verdana"/>
                <w:i/>
                <w:noProof/>
                <w:color w:val="000000"/>
                <w:sz w:val="18"/>
              </w:rPr>
              <w:t>1 318</w:t>
            </w:r>
          </w:p>
        </w:tc>
        <w:tc>
          <w:tcPr>
            <w:tcW w:w="1347"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hAnsi="Verdana"/>
                <w:i/>
                <w:noProof/>
                <w:color w:val="000000"/>
                <w:sz w:val="18"/>
              </w:rPr>
              <w:t>1 279</w:t>
            </w:r>
          </w:p>
        </w:tc>
      </w:tr>
      <w:tr>
        <w:trPr>
          <w:trHeight w:val="255"/>
        </w:trPr>
        <w:tc>
          <w:tcPr>
            <w:tcW w:w="3204" w:type="dxa"/>
            <w:tcBorders>
              <w:top w:val="nil"/>
              <w:left w:val="nil"/>
              <w:bottom w:val="nil"/>
              <w:right w:val="nil"/>
            </w:tcBorders>
            <w:tcMar>
              <w:top w:w="0" w:type="dxa"/>
              <w:left w:w="60" w:type="dxa"/>
              <w:bottom w:w="0" w:type="dxa"/>
              <w:right w:w="60" w:type="dxa"/>
            </w:tcMar>
            <w:vAlign w:val="center"/>
          </w:tcPr>
          <w:p>
            <w:pPr>
              <w:pStyle w:val="DMETW18983BIPACCDEF"/>
              <w:rPr>
                <w:rFonts w:ascii="Verdana" w:eastAsia="Times New Roman" w:hAnsi="Verdana" w:cs="Verdana"/>
                <w:i/>
                <w:noProof/>
                <w:color w:val="000000"/>
                <w:sz w:val="18"/>
              </w:rPr>
            </w:pPr>
            <w:r>
              <w:rPr>
                <w:rFonts w:ascii="Verdana" w:hAnsi="Verdana"/>
                <w:i/>
                <w:noProof/>
                <w:color w:val="000000"/>
                <w:sz w:val="18"/>
              </w:rPr>
              <w:t>Kitos sukauptos sąnaudos ir būsimojo laikotarpio pajamos</w:t>
            </w:r>
          </w:p>
        </w:tc>
        <w:tc>
          <w:tcPr>
            <w:tcW w:w="858"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hAnsi="Verdana"/>
                <w:i/>
                <w:noProof/>
                <w:color w:val="000000"/>
                <w:sz w:val="18"/>
              </w:rPr>
              <w:t>–</w:t>
            </w:r>
          </w:p>
        </w:tc>
        <w:tc>
          <w:tcPr>
            <w:tcW w:w="858"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hAnsi="Verdana"/>
                <w:i/>
                <w:noProof/>
                <w:color w:val="000000"/>
                <w:sz w:val="18"/>
              </w:rPr>
              <w:t>–</w:t>
            </w:r>
          </w:p>
        </w:tc>
        <w:tc>
          <w:tcPr>
            <w:tcW w:w="999"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999"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1591"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1347"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hAnsi="Verdana"/>
                <w:i/>
                <w:noProof/>
                <w:color w:val="000000"/>
                <w:sz w:val="18"/>
              </w:rPr>
              <w:t xml:space="preserve"> 3</w:t>
            </w:r>
          </w:p>
        </w:tc>
      </w:tr>
      <w:tr>
        <w:trPr>
          <w:trHeight w:val="255"/>
        </w:trPr>
        <w:tc>
          <w:tcPr>
            <w:tcW w:w="320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ACCDEF"/>
              <w:rPr>
                <w:rFonts w:ascii="Verdana" w:eastAsia="Times New Roman" w:hAnsi="Verdana" w:cs="Verdana"/>
                <w:b/>
                <w:noProof/>
                <w:color w:val="000000"/>
                <w:sz w:val="18"/>
              </w:rPr>
            </w:pPr>
            <w:r>
              <w:rPr>
                <w:rFonts w:ascii="Verdana" w:hAnsi="Verdana"/>
                <w:b/>
                <w:noProof/>
                <w:color w:val="000000"/>
                <w:sz w:val="18"/>
              </w:rPr>
              <w:t>Iš viso</w:t>
            </w:r>
          </w:p>
        </w:tc>
        <w:tc>
          <w:tcPr>
            <w:tcW w:w="85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ACCDEF"/>
              <w:jc w:val="right"/>
              <w:rPr>
                <w:rFonts w:ascii="Verdana" w:eastAsia="Times New Roman" w:hAnsi="Verdana" w:cs="Verdana"/>
                <w:b/>
                <w:noProof/>
                <w:color w:val="000000"/>
                <w:sz w:val="18"/>
              </w:rPr>
            </w:pPr>
            <w:r>
              <w:rPr>
                <w:rFonts w:ascii="Verdana" w:hAnsi="Verdana"/>
                <w:b/>
                <w:noProof/>
                <w:color w:val="000000"/>
                <w:sz w:val="18"/>
              </w:rPr>
              <w:t>–</w:t>
            </w:r>
          </w:p>
        </w:tc>
        <w:tc>
          <w:tcPr>
            <w:tcW w:w="85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ACCDEF"/>
              <w:jc w:val="right"/>
              <w:rPr>
                <w:rFonts w:ascii="Verdana" w:eastAsia="Times New Roman" w:hAnsi="Verdana" w:cs="Verdana"/>
                <w:b/>
                <w:noProof/>
                <w:color w:val="000000"/>
                <w:sz w:val="18"/>
              </w:rPr>
            </w:pPr>
            <w:r>
              <w:rPr>
                <w:rFonts w:ascii="Verdana" w:hAnsi="Verdana"/>
                <w:b/>
                <w:noProof/>
                <w:color w:val="000000"/>
                <w:sz w:val="18"/>
              </w:rPr>
              <w:t xml:space="preserve">  96</w:t>
            </w:r>
          </w:p>
        </w:tc>
        <w:tc>
          <w:tcPr>
            <w:tcW w:w="99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ACCDEF"/>
              <w:jc w:val="right"/>
              <w:rPr>
                <w:rFonts w:ascii="Verdana" w:eastAsia="Times New Roman" w:hAnsi="Verdana" w:cs="Verdana"/>
                <w:b/>
                <w:noProof/>
                <w:color w:val="000000"/>
                <w:sz w:val="18"/>
              </w:rPr>
            </w:pPr>
            <w:r>
              <w:rPr>
                <w:rFonts w:ascii="Verdana" w:hAnsi="Verdana"/>
                <w:b/>
                <w:noProof/>
                <w:color w:val="000000"/>
                <w:sz w:val="18"/>
              </w:rPr>
              <w:t xml:space="preserve">  240</w:t>
            </w:r>
          </w:p>
        </w:tc>
        <w:tc>
          <w:tcPr>
            <w:tcW w:w="99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ACCDEF"/>
              <w:jc w:val="right"/>
              <w:rPr>
                <w:rFonts w:ascii="Verdana" w:eastAsia="Times New Roman" w:hAnsi="Verdana" w:cs="Verdana"/>
                <w:b/>
                <w:noProof/>
                <w:color w:val="000000"/>
                <w:sz w:val="18"/>
              </w:rPr>
            </w:pPr>
            <w:r>
              <w:rPr>
                <w:rFonts w:ascii="Verdana" w:hAnsi="Verdana"/>
                <w:b/>
                <w:noProof/>
                <w:color w:val="000000"/>
                <w:sz w:val="18"/>
              </w:rPr>
              <w:t xml:space="preserve">  983</w:t>
            </w:r>
          </w:p>
        </w:tc>
        <w:tc>
          <w:tcPr>
            <w:tcW w:w="159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ACCDEF"/>
              <w:jc w:val="right"/>
              <w:rPr>
                <w:rFonts w:ascii="Verdana" w:eastAsia="Times New Roman" w:hAnsi="Verdana" w:cs="Verdana"/>
                <w:b/>
                <w:noProof/>
                <w:color w:val="000000"/>
                <w:sz w:val="18"/>
              </w:rPr>
            </w:pPr>
            <w:r>
              <w:rPr>
                <w:rFonts w:ascii="Verdana" w:hAnsi="Verdana"/>
                <w:b/>
                <w:noProof/>
                <w:color w:val="000000"/>
                <w:sz w:val="18"/>
              </w:rPr>
              <w:t xml:space="preserve"> 1 319</w:t>
            </w:r>
          </w:p>
        </w:tc>
        <w:tc>
          <w:tcPr>
            <w:tcW w:w="134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ACCDEF"/>
              <w:jc w:val="right"/>
              <w:rPr>
                <w:rFonts w:ascii="Verdana" w:eastAsia="Times New Roman" w:hAnsi="Verdana" w:cs="Verdana"/>
                <w:b/>
                <w:noProof/>
                <w:color w:val="000000"/>
                <w:sz w:val="18"/>
              </w:rPr>
            </w:pPr>
            <w:r>
              <w:rPr>
                <w:rFonts w:ascii="Verdana" w:hAnsi="Verdana"/>
                <w:b/>
                <w:noProof/>
                <w:color w:val="000000"/>
                <w:sz w:val="18"/>
              </w:rPr>
              <w:t xml:space="preserve"> 1 281</w:t>
            </w:r>
          </w:p>
        </w:tc>
      </w:tr>
    </w:tbl>
    <w:p>
      <w:pPr>
        <w:pStyle w:val="Textstand-alone"/>
      </w:pPr>
      <w:r>
        <w:t xml:space="preserve">Sukauptos sąnaudos apima numatomas įgyvendinamų arba pasibaigusių sutarčių veiklos sąnaudas be patvirtintų prašymų padengti išlaidas, kai finansuoti tinkamos lėšų gavėjų patirtos išlaidos buvo apskaičiuotos remiantis išsamiausia tuo metu turėta informacija. Numatomų sukauptų sąnaudų dalis, susijusi su išmokėtu išankstiniu finansavimu, įrašyta kaip išankstinio finansavimo sumų sumažinimas (žr. </w:t>
      </w:r>
      <w:r>
        <w:rPr>
          <w:b/>
        </w:rPr>
        <w:t>2.2</w:t>
      </w:r>
      <w:r>
        <w:t xml:space="preserve"> pastabą).</w:t>
      </w:r>
    </w:p>
    <w:p>
      <w:pPr>
        <w:pStyle w:val="Textstand-alone"/>
        <w:spacing w:after="480"/>
      </w:pPr>
      <w:r>
        <w:t xml:space="preserve">Padidėjimas pagal šią išlaidų kategoriją yra bendras sukauptų sąnaudų pagal 11-ąjį EPF padidėjimo (2018 m. – 838 mln. EUR) ir sukauptų sąnaudų pagal 10-ąjį EPF sumažėjimo (2018 m. – 358 mln. EUR) poveikis. Tai atitinka EPF gyvavimo ciklą ir taip pat yra susiję su pagal šiuos EPF vykdomų sutarčių skaičiaus raida. 11-asis EPF 2019 m. veikė visu pajėgumu, todėl 2019 m. gruodžio 31 d. buvo daug daugiau vykdomų sutarčių, kurių sąnaudas reikėjo apskaičiuoti ir sukaupti. Kita vertus, daugelis sutarčių pagal 10-ąjį EPF 2019 m. buvo įvykdytos ir užbaigtos, todėl sumažėjo pagal šį EPF vykdomų sutarčių skaičius ir sukauptų sąnaudų suma. </w:t>
      </w:r>
    </w:p>
    <w:p>
      <w:pPr>
        <w:pStyle w:val="HEADERTABLE"/>
        <w:spacing w:after="0"/>
        <w:rPr>
          <w:noProof/>
        </w:rPr>
      </w:pPr>
      <w:r>
        <w:rPr>
          <w:noProof/>
        </w:rPr>
        <w:t>GRYNASIS TURTAS</w:t>
      </w:r>
    </w:p>
    <w:p>
      <w:pPr>
        <w:pStyle w:val="HEADER2Part2"/>
        <w:rPr>
          <w:noProof/>
        </w:rPr>
      </w:pPr>
      <w:r>
        <w:rPr>
          <w:noProof/>
        </w:rPr>
        <w:t>TIKROSIOS VERTĖS REZERVAS</w:t>
      </w:r>
    </w:p>
    <w:p>
      <w:pPr>
        <w:pStyle w:val="Textstand-alone"/>
      </w:pPr>
      <w:r>
        <w:t>Remiantis apskaitos taisyklėmis, parduoti laikomo finansinio turto koregavimas, kad atitiktų tikrąją vertę, įtraukiamas į tikrosios vertės rezervą.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1"/>
        <w:gridCol w:w="2804"/>
        <w:gridCol w:w="1843"/>
      </w:tblGrid>
      <w:tr>
        <w:trPr>
          <w:trHeight w:hRule="exact" w:val="255"/>
        </w:trPr>
        <w:tc>
          <w:tcPr>
            <w:tcW w:w="5111" w:type="dxa"/>
            <w:tcBorders>
              <w:top w:val="nil"/>
              <w:left w:val="nil"/>
              <w:bottom w:val="nil"/>
              <w:right w:val="nil"/>
            </w:tcBorders>
            <w:tcMar>
              <w:top w:w="0" w:type="dxa"/>
              <w:left w:w="60" w:type="dxa"/>
              <w:bottom w:w="0" w:type="dxa"/>
              <w:right w:w="60" w:type="dxa"/>
            </w:tcMar>
            <w:vAlign w:val="center"/>
          </w:tcPr>
          <w:p>
            <w:pPr>
              <w:pStyle w:val="DMETW18983BIPFVMAFS"/>
              <w:rPr>
                <w:rFonts w:ascii="Arial" w:eastAsia="Times New Roman" w:hAnsi="Arial" w:cs="Arial"/>
                <w:noProof/>
                <w:color w:val="000000"/>
              </w:rPr>
            </w:pPr>
            <w:bookmarkStart w:id="65" w:name="DOC_TBL00019_1_1"/>
            <w:bookmarkEnd w:id="65"/>
          </w:p>
        </w:tc>
        <w:tc>
          <w:tcPr>
            <w:tcW w:w="2804" w:type="dxa"/>
            <w:tcBorders>
              <w:top w:val="nil"/>
              <w:left w:val="nil"/>
              <w:bottom w:val="nil"/>
              <w:right w:val="nil"/>
            </w:tcBorders>
            <w:tcMar>
              <w:top w:w="0" w:type="dxa"/>
              <w:left w:w="60" w:type="dxa"/>
              <w:bottom w:w="0" w:type="dxa"/>
              <w:right w:w="60" w:type="dxa"/>
            </w:tcMar>
            <w:vAlign w:val="center"/>
          </w:tcPr>
          <w:p>
            <w:pPr>
              <w:pStyle w:val="DMETW18983BIPFVMAFS"/>
              <w:rPr>
                <w:rFonts w:ascii="Arial" w:eastAsia="Times New Roman" w:hAnsi="Arial" w:cs="Arial"/>
                <w:noProof/>
                <w:color w:val="000000"/>
              </w:rPr>
            </w:pPr>
          </w:p>
        </w:tc>
        <w:tc>
          <w:tcPr>
            <w:tcW w:w="1843" w:type="dxa"/>
            <w:tcBorders>
              <w:top w:val="nil"/>
              <w:left w:val="nil"/>
              <w:bottom w:val="nil"/>
              <w:right w:val="nil"/>
            </w:tcBorders>
            <w:tcMar>
              <w:top w:w="0" w:type="dxa"/>
              <w:left w:w="60" w:type="dxa"/>
              <w:bottom w:w="0" w:type="dxa"/>
              <w:right w:w="60" w:type="dxa"/>
            </w:tcMar>
            <w:vAlign w:val="center"/>
          </w:tcPr>
          <w:p>
            <w:pPr>
              <w:pStyle w:val="DMETW18983BIPFVMAFS"/>
              <w:jc w:val="right"/>
              <w:rPr>
                <w:rFonts w:ascii="Verdana" w:eastAsia="Times New Roman" w:hAnsi="Verdana" w:cs="Verdana"/>
                <w:i/>
                <w:noProof/>
                <w:color w:val="000000"/>
                <w:sz w:val="16"/>
              </w:rPr>
            </w:pPr>
            <w:r>
              <w:rPr>
                <w:rFonts w:ascii="Verdana" w:hAnsi="Verdana"/>
                <w:i/>
                <w:noProof/>
                <w:color w:val="000000"/>
                <w:sz w:val="16"/>
              </w:rPr>
              <w:t>mln. EUR</w:t>
            </w:r>
          </w:p>
        </w:tc>
      </w:tr>
      <w:tr>
        <w:trPr>
          <w:trHeight w:hRule="exact" w:val="255"/>
        </w:trPr>
        <w:tc>
          <w:tcPr>
            <w:tcW w:w="511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VMAFS"/>
              <w:jc w:val="right"/>
              <w:rPr>
                <w:rFonts w:ascii="Verdana" w:eastAsia="Times New Roman" w:hAnsi="Verdana" w:cs="Verdana"/>
                <w:noProof/>
                <w:color w:val="FFFFFF"/>
              </w:rPr>
            </w:pPr>
          </w:p>
        </w:tc>
        <w:tc>
          <w:tcPr>
            <w:tcW w:w="280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VMAFS"/>
              <w:jc w:val="right"/>
              <w:rPr>
                <w:rFonts w:ascii="Verdana" w:eastAsia="Times New Roman" w:hAnsi="Verdana" w:cs="Verdana"/>
                <w:noProof/>
                <w:color w:val="FFFFFF"/>
              </w:rPr>
            </w:pPr>
            <w:r>
              <w:rPr>
                <w:rFonts w:ascii="Verdana" w:hAnsi="Verdana"/>
                <w:noProof/>
                <w:color w:val="FFFFFF"/>
              </w:rPr>
              <w:t>2019 12 31</w:t>
            </w:r>
          </w:p>
        </w:tc>
        <w:tc>
          <w:tcPr>
            <w:tcW w:w="184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VMAFS"/>
              <w:jc w:val="right"/>
              <w:rPr>
                <w:rFonts w:ascii="Verdana" w:eastAsia="Times New Roman" w:hAnsi="Verdana" w:cs="Verdana"/>
                <w:noProof/>
                <w:color w:val="FFFFFF"/>
              </w:rPr>
            </w:pPr>
            <w:r>
              <w:rPr>
                <w:rFonts w:ascii="Verdana" w:hAnsi="Verdana"/>
                <w:noProof/>
                <w:color w:val="FFFFFF"/>
              </w:rPr>
              <w:t>2018 12 31</w:t>
            </w:r>
          </w:p>
        </w:tc>
      </w:tr>
      <w:tr>
        <w:trPr>
          <w:trHeight w:hRule="exact" w:val="255"/>
        </w:trPr>
        <w:tc>
          <w:tcPr>
            <w:tcW w:w="5111" w:type="dxa"/>
            <w:tcBorders>
              <w:top w:val="nil"/>
              <w:left w:val="nil"/>
              <w:bottom w:val="nil"/>
              <w:right w:val="nil"/>
            </w:tcBorders>
            <w:tcMar>
              <w:top w:w="0" w:type="dxa"/>
              <w:left w:w="60" w:type="dxa"/>
              <w:bottom w:w="0" w:type="dxa"/>
              <w:right w:w="60" w:type="dxa"/>
            </w:tcMar>
            <w:vAlign w:val="center"/>
          </w:tcPr>
          <w:p>
            <w:pPr>
              <w:pStyle w:val="DMETW18983BIPFVMAFS"/>
              <w:rPr>
                <w:rFonts w:ascii="Verdana" w:eastAsia="Times New Roman" w:hAnsi="Verdana" w:cs="Verdana"/>
                <w:i/>
                <w:noProof/>
                <w:color w:val="000000"/>
                <w:sz w:val="18"/>
              </w:rPr>
            </w:pPr>
            <w:r>
              <w:rPr>
                <w:rFonts w:ascii="Verdana" w:hAnsi="Verdana"/>
                <w:i/>
                <w:noProof/>
                <w:color w:val="000000"/>
                <w:sz w:val="18"/>
              </w:rPr>
              <w:t>Įtraukta į tikrosios vertės rezervą</w:t>
            </w:r>
          </w:p>
        </w:tc>
        <w:tc>
          <w:tcPr>
            <w:tcW w:w="2804" w:type="dxa"/>
            <w:tcBorders>
              <w:top w:val="nil"/>
              <w:left w:val="nil"/>
              <w:bottom w:val="nil"/>
              <w:right w:val="nil"/>
            </w:tcBorders>
            <w:tcMar>
              <w:top w:w="0" w:type="dxa"/>
              <w:left w:w="60" w:type="dxa"/>
              <w:bottom w:w="0" w:type="dxa"/>
              <w:right w:w="60" w:type="dxa"/>
            </w:tcMar>
            <w:vAlign w:val="center"/>
          </w:tcPr>
          <w:p>
            <w:pPr>
              <w:pStyle w:val="DMETW18983BIPFVMAFS"/>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1843" w:type="dxa"/>
            <w:tcBorders>
              <w:top w:val="nil"/>
              <w:left w:val="nil"/>
              <w:bottom w:val="nil"/>
              <w:right w:val="nil"/>
            </w:tcBorders>
            <w:tcMar>
              <w:top w:w="0" w:type="dxa"/>
              <w:left w:w="60" w:type="dxa"/>
              <w:bottom w:w="0" w:type="dxa"/>
              <w:right w:w="60" w:type="dxa"/>
            </w:tcMar>
            <w:vAlign w:val="center"/>
          </w:tcPr>
          <w:p>
            <w:pPr>
              <w:pStyle w:val="DMETW18983BIPFVMAFS"/>
              <w:jc w:val="right"/>
              <w:rPr>
                <w:rFonts w:ascii="Verdana" w:eastAsia="Times New Roman" w:hAnsi="Verdana" w:cs="Verdana"/>
                <w:i/>
                <w:noProof/>
                <w:color w:val="000000"/>
                <w:sz w:val="18"/>
              </w:rPr>
            </w:pPr>
            <w:r>
              <w:rPr>
                <w:rFonts w:ascii="Verdana" w:hAnsi="Verdana"/>
                <w:i/>
                <w:noProof/>
                <w:color w:val="000000"/>
                <w:sz w:val="18"/>
              </w:rPr>
              <w:t>–</w:t>
            </w:r>
          </w:p>
        </w:tc>
      </w:tr>
      <w:tr>
        <w:trPr>
          <w:trHeight w:hRule="exact" w:val="255"/>
        </w:trPr>
        <w:tc>
          <w:tcPr>
            <w:tcW w:w="5111" w:type="dxa"/>
            <w:tcBorders>
              <w:top w:val="nil"/>
              <w:left w:val="nil"/>
              <w:bottom w:val="nil"/>
              <w:right w:val="nil"/>
            </w:tcBorders>
            <w:tcMar>
              <w:top w:w="0" w:type="dxa"/>
              <w:left w:w="60" w:type="dxa"/>
              <w:bottom w:w="0" w:type="dxa"/>
              <w:right w:w="60" w:type="dxa"/>
            </w:tcMar>
            <w:vAlign w:val="center"/>
          </w:tcPr>
          <w:p>
            <w:pPr>
              <w:pStyle w:val="DMETW18983BIPFVMAFS"/>
              <w:rPr>
                <w:rFonts w:ascii="Verdana" w:eastAsia="Times New Roman" w:hAnsi="Verdana" w:cs="Verdana"/>
                <w:i/>
                <w:noProof/>
                <w:color w:val="000000"/>
                <w:sz w:val="18"/>
              </w:rPr>
            </w:pPr>
            <w:r>
              <w:rPr>
                <w:rFonts w:ascii="Verdana" w:hAnsi="Verdana"/>
                <w:i/>
                <w:noProof/>
                <w:color w:val="000000"/>
                <w:sz w:val="18"/>
              </w:rPr>
              <w:t>Įtraukta į finansinės veiklos ataskaitą</w:t>
            </w:r>
          </w:p>
        </w:tc>
        <w:tc>
          <w:tcPr>
            <w:tcW w:w="2804" w:type="dxa"/>
            <w:tcBorders>
              <w:top w:val="nil"/>
              <w:left w:val="nil"/>
              <w:bottom w:val="nil"/>
              <w:right w:val="nil"/>
            </w:tcBorders>
            <w:tcMar>
              <w:top w:w="0" w:type="dxa"/>
              <w:left w:w="60" w:type="dxa"/>
              <w:bottom w:w="0" w:type="dxa"/>
              <w:right w:w="60" w:type="dxa"/>
            </w:tcMar>
            <w:vAlign w:val="center"/>
          </w:tcPr>
          <w:p>
            <w:pPr>
              <w:pStyle w:val="DMETW18983BIPFVMAFS"/>
              <w:jc w:val="right"/>
              <w:rPr>
                <w:rFonts w:ascii="Verdana" w:eastAsia="Times New Roman" w:hAnsi="Verdana" w:cs="Verdana"/>
                <w:i/>
                <w:noProof/>
                <w:color w:val="000000"/>
                <w:sz w:val="18"/>
              </w:rPr>
            </w:pPr>
            <w:r>
              <w:rPr>
                <w:rFonts w:ascii="Verdana" w:hAnsi="Verdana"/>
                <w:i/>
                <w:noProof/>
                <w:color w:val="000000"/>
                <w:sz w:val="18"/>
              </w:rPr>
              <w:t>–</w:t>
            </w:r>
          </w:p>
        </w:tc>
        <w:tc>
          <w:tcPr>
            <w:tcW w:w="1843" w:type="dxa"/>
            <w:tcBorders>
              <w:top w:val="nil"/>
              <w:left w:val="nil"/>
              <w:bottom w:val="nil"/>
              <w:right w:val="nil"/>
            </w:tcBorders>
            <w:tcMar>
              <w:top w:w="0" w:type="dxa"/>
              <w:left w:w="60" w:type="dxa"/>
              <w:bottom w:w="0" w:type="dxa"/>
              <w:right w:w="60" w:type="dxa"/>
            </w:tcMar>
            <w:vAlign w:val="center"/>
          </w:tcPr>
          <w:p>
            <w:pPr>
              <w:pStyle w:val="DMETW18983BIPFVMAFS"/>
              <w:jc w:val="right"/>
              <w:rPr>
                <w:rFonts w:ascii="Verdana" w:eastAsia="Times New Roman" w:hAnsi="Verdana" w:cs="Verdana"/>
                <w:i/>
                <w:noProof/>
                <w:color w:val="000000"/>
                <w:sz w:val="18"/>
              </w:rPr>
            </w:pPr>
            <w:r>
              <w:rPr>
                <w:rFonts w:ascii="Verdana" w:hAnsi="Verdana"/>
                <w:i/>
                <w:noProof/>
                <w:color w:val="000000"/>
                <w:sz w:val="18"/>
              </w:rPr>
              <w:t>–</w:t>
            </w:r>
          </w:p>
        </w:tc>
      </w:tr>
      <w:tr>
        <w:trPr>
          <w:trHeight w:hRule="exact" w:val="255"/>
        </w:trPr>
        <w:tc>
          <w:tcPr>
            <w:tcW w:w="5111"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FVMAFS"/>
              <w:rPr>
                <w:rFonts w:ascii="Verdana" w:eastAsia="Times New Roman" w:hAnsi="Verdana" w:cs="Verdana"/>
                <w:b/>
                <w:noProof/>
                <w:color w:val="000000"/>
                <w:sz w:val="18"/>
              </w:rPr>
            </w:pPr>
            <w:r>
              <w:rPr>
                <w:rFonts w:ascii="Verdana" w:hAnsi="Verdana"/>
                <w:b/>
                <w:noProof/>
                <w:color w:val="000000"/>
                <w:sz w:val="18"/>
              </w:rPr>
              <w:t>Iš viso</w:t>
            </w:r>
          </w:p>
        </w:tc>
        <w:tc>
          <w:tcPr>
            <w:tcW w:w="2804"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FVMAFS"/>
              <w:jc w:val="right"/>
              <w:rPr>
                <w:rFonts w:ascii="Verdana" w:eastAsia="Times New Roman" w:hAnsi="Verdana" w:cs="Verdana"/>
                <w:b/>
                <w:noProof/>
                <w:color w:val="000000"/>
                <w:sz w:val="18"/>
              </w:rPr>
            </w:pPr>
            <w:r>
              <w:rPr>
                <w:rFonts w:ascii="Verdana" w:hAnsi="Verdana"/>
                <w:b/>
                <w:noProof/>
                <w:color w:val="000000"/>
                <w:sz w:val="18"/>
              </w:rPr>
              <w:t xml:space="preserve"> (2)</w:t>
            </w:r>
          </w:p>
        </w:tc>
        <w:tc>
          <w:tcPr>
            <w:tcW w:w="184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FVMAFS"/>
              <w:jc w:val="right"/>
              <w:rPr>
                <w:rFonts w:ascii="Verdana" w:eastAsia="Times New Roman" w:hAnsi="Verdana" w:cs="Verdana"/>
                <w:b/>
                <w:noProof/>
                <w:color w:val="000000"/>
                <w:sz w:val="18"/>
              </w:rPr>
            </w:pPr>
            <w:r>
              <w:rPr>
                <w:rFonts w:ascii="Verdana" w:hAnsi="Verdana"/>
                <w:b/>
                <w:noProof/>
                <w:color w:val="000000"/>
                <w:sz w:val="18"/>
              </w:rPr>
              <w:t>–</w:t>
            </w:r>
          </w:p>
        </w:tc>
      </w:tr>
    </w:tbl>
    <w:p>
      <w:pPr>
        <w:pStyle w:val="HEADER2Part2"/>
        <w:spacing w:after="0"/>
        <w:rPr>
          <w:noProof/>
        </w:rPr>
      </w:pPr>
      <w:r>
        <w:rPr>
          <w:noProof/>
        </w:rPr>
        <w:t>FONDO KAPITALAS</w:t>
      </w:r>
    </w:p>
    <w:p>
      <w:pPr>
        <w:pStyle w:val="HEADER3Part2"/>
        <w:keepNext/>
        <w:keepLines/>
        <w:rPr>
          <w:noProof/>
        </w:rPr>
      </w:pPr>
      <w:r>
        <w:rPr>
          <w:noProof/>
        </w:rPr>
        <w:t>Pareikalautasis fondo kapitalas – aktyvūs EPF</w:t>
      </w: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8"/>
        <w:gridCol w:w="1223"/>
        <w:gridCol w:w="1276"/>
        <w:gridCol w:w="1353"/>
        <w:gridCol w:w="1340"/>
        <w:gridCol w:w="992"/>
      </w:tblGrid>
      <w:tr>
        <w:trPr>
          <w:trHeight w:val="255"/>
        </w:trPr>
        <w:tc>
          <w:tcPr>
            <w:tcW w:w="9841" w:type="dxa"/>
            <w:gridSpan w:val="6"/>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6"/>
              </w:rPr>
            </w:pPr>
            <w:bookmarkStart w:id="66" w:name="DOC_TBL00022_1_1"/>
            <w:bookmarkEnd w:id="66"/>
            <w:r>
              <w:rPr>
                <w:rFonts w:ascii="Verdana" w:hAnsi="Verdana"/>
                <w:i/>
                <w:noProof/>
                <w:color w:val="000000"/>
                <w:sz w:val="16"/>
              </w:rPr>
              <w:t>mln. EUR</w:t>
            </w:r>
          </w:p>
        </w:tc>
      </w:tr>
      <w:tr>
        <w:trPr>
          <w:trHeight w:val="255"/>
        </w:trPr>
        <w:tc>
          <w:tcPr>
            <w:tcW w:w="365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
              <w:jc w:val="center"/>
              <w:rPr>
                <w:rFonts w:ascii="Verdana" w:eastAsia="Times New Roman" w:hAnsi="Verdana" w:cs="Verdana"/>
                <w:noProof/>
                <w:color w:val="FFFFFF"/>
              </w:rPr>
            </w:pPr>
          </w:p>
        </w:tc>
        <w:tc>
          <w:tcPr>
            <w:tcW w:w="122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
              <w:jc w:val="right"/>
              <w:rPr>
                <w:rFonts w:ascii="Verdana" w:eastAsia="Times New Roman" w:hAnsi="Verdana" w:cs="Verdana"/>
                <w:noProof/>
                <w:color w:val="FFFFFF"/>
              </w:rPr>
            </w:pPr>
            <w:r>
              <w:rPr>
                <w:rFonts w:ascii="Verdana" w:hAnsi="Verdana"/>
                <w:noProof/>
                <w:color w:val="FFFFFF"/>
              </w:rPr>
              <w:t>8-asis EPF</w:t>
            </w:r>
          </w:p>
        </w:tc>
        <w:tc>
          <w:tcPr>
            <w:tcW w:w="127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
              <w:jc w:val="right"/>
              <w:rPr>
                <w:rFonts w:ascii="Verdana" w:eastAsia="Times New Roman" w:hAnsi="Verdana" w:cs="Verdana"/>
                <w:noProof/>
                <w:color w:val="FFFFFF"/>
              </w:rPr>
            </w:pPr>
            <w:r>
              <w:rPr>
                <w:rFonts w:ascii="Verdana" w:hAnsi="Verdana"/>
                <w:noProof/>
                <w:color w:val="FFFFFF"/>
              </w:rPr>
              <w:t>9-asis EPF</w:t>
            </w:r>
          </w:p>
        </w:tc>
        <w:tc>
          <w:tcPr>
            <w:tcW w:w="135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
              <w:jc w:val="right"/>
              <w:rPr>
                <w:rFonts w:ascii="Verdana" w:eastAsia="Times New Roman" w:hAnsi="Verdana" w:cs="Verdana"/>
                <w:noProof/>
                <w:color w:val="FFFFFF"/>
              </w:rPr>
            </w:pPr>
            <w:r>
              <w:rPr>
                <w:rFonts w:ascii="Verdana" w:hAnsi="Verdana"/>
                <w:noProof/>
                <w:color w:val="FFFFFF"/>
              </w:rPr>
              <w:t>10-asis EPF</w:t>
            </w:r>
          </w:p>
        </w:tc>
        <w:tc>
          <w:tcPr>
            <w:tcW w:w="134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
              <w:jc w:val="right"/>
              <w:rPr>
                <w:rFonts w:ascii="Verdana" w:eastAsia="Times New Roman" w:hAnsi="Verdana" w:cs="Verdana"/>
                <w:noProof/>
                <w:color w:val="FFFFFF"/>
              </w:rPr>
            </w:pPr>
            <w:r>
              <w:rPr>
                <w:rFonts w:ascii="Verdana" w:hAnsi="Verdana"/>
                <w:noProof/>
                <w:color w:val="FFFFFF"/>
              </w:rPr>
              <w:t>11-asis EPF</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
              <w:jc w:val="right"/>
              <w:rPr>
                <w:rFonts w:ascii="Verdana" w:eastAsia="Times New Roman" w:hAnsi="Verdana" w:cs="Verdana"/>
                <w:noProof/>
                <w:color w:val="FFFFFF"/>
              </w:rPr>
            </w:pPr>
            <w:r>
              <w:rPr>
                <w:rFonts w:ascii="Verdana" w:hAnsi="Verdana"/>
                <w:noProof/>
                <w:color w:val="FFFFFF"/>
              </w:rPr>
              <w:t>Iš viso</w:t>
            </w:r>
          </w:p>
        </w:tc>
      </w:tr>
      <w:tr>
        <w:trPr>
          <w:trHeight w:val="255"/>
        </w:trPr>
        <w:tc>
          <w:tcPr>
            <w:tcW w:w="3657" w:type="dxa"/>
            <w:tcBorders>
              <w:top w:val="nil"/>
              <w:left w:val="nil"/>
              <w:bottom w:val="nil"/>
              <w:right w:val="nil"/>
            </w:tcBorders>
            <w:tcMar>
              <w:top w:w="0" w:type="dxa"/>
              <w:left w:w="60" w:type="dxa"/>
              <w:bottom w:w="0" w:type="dxa"/>
              <w:right w:w="60" w:type="dxa"/>
            </w:tcMar>
            <w:vAlign w:val="center"/>
          </w:tcPr>
          <w:p>
            <w:pPr>
              <w:pStyle w:val="DMETW18983BIPCLDFCAP"/>
              <w:rPr>
                <w:rFonts w:ascii="Verdana" w:eastAsia="Times New Roman" w:hAnsi="Verdana" w:cs="Verdana"/>
                <w:i/>
                <w:noProof/>
                <w:color w:val="000000"/>
                <w:sz w:val="18"/>
              </w:rPr>
            </w:pPr>
            <w:r>
              <w:rPr>
                <w:rFonts w:ascii="Verdana" w:hAnsi="Verdana"/>
                <w:i/>
                <w:noProof/>
                <w:color w:val="000000"/>
                <w:sz w:val="18"/>
              </w:rPr>
              <w:t>Fondo kapitalas</w:t>
            </w:r>
          </w:p>
        </w:tc>
        <w:tc>
          <w:tcPr>
            <w:tcW w:w="1223"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12 164</w:t>
            </w:r>
          </w:p>
        </w:tc>
        <w:tc>
          <w:tcPr>
            <w:tcW w:w="1276"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10 773</w:t>
            </w:r>
          </w:p>
        </w:tc>
        <w:tc>
          <w:tcPr>
            <w:tcW w:w="1353"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20 960</w:t>
            </w:r>
          </w:p>
        </w:tc>
        <w:tc>
          <w:tcPr>
            <w:tcW w:w="1340"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29 367</w:t>
            </w:r>
          </w:p>
        </w:tc>
        <w:tc>
          <w:tcPr>
            <w:tcW w:w="992"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73 264</w:t>
            </w:r>
          </w:p>
        </w:tc>
      </w:tr>
      <w:tr>
        <w:trPr>
          <w:trHeight w:val="255"/>
        </w:trPr>
        <w:tc>
          <w:tcPr>
            <w:tcW w:w="3657" w:type="dxa"/>
            <w:tcBorders>
              <w:top w:val="nil"/>
              <w:left w:val="nil"/>
              <w:bottom w:val="nil"/>
              <w:right w:val="nil"/>
            </w:tcBorders>
            <w:tcMar>
              <w:top w:w="0" w:type="dxa"/>
              <w:left w:w="60" w:type="dxa"/>
              <w:bottom w:w="0" w:type="dxa"/>
              <w:right w:w="60" w:type="dxa"/>
            </w:tcMar>
            <w:vAlign w:val="center"/>
          </w:tcPr>
          <w:p>
            <w:pPr>
              <w:pStyle w:val="DMETW18983BIPCLDFCAP"/>
              <w:rPr>
                <w:rFonts w:ascii="Verdana" w:eastAsia="Times New Roman" w:hAnsi="Verdana" w:cs="Verdana"/>
                <w:i/>
                <w:noProof/>
                <w:color w:val="000000"/>
                <w:sz w:val="18"/>
              </w:rPr>
            </w:pPr>
            <w:r>
              <w:rPr>
                <w:rFonts w:ascii="Verdana" w:hAnsi="Verdana"/>
                <w:i/>
                <w:noProof/>
                <w:color w:val="000000"/>
                <w:sz w:val="18"/>
              </w:rPr>
              <w:t>Nepareikalautasis fondo kapitalas</w:t>
            </w:r>
          </w:p>
        </w:tc>
        <w:tc>
          <w:tcPr>
            <w:tcW w:w="1223"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w:t>
            </w:r>
          </w:p>
        </w:tc>
        <w:tc>
          <w:tcPr>
            <w:tcW w:w="1276"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353"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340"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(22 840)</w:t>
            </w:r>
          </w:p>
        </w:tc>
        <w:tc>
          <w:tcPr>
            <w:tcW w:w="992"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(22 840)</w:t>
            </w:r>
          </w:p>
        </w:tc>
      </w:tr>
      <w:tr>
        <w:trPr>
          <w:trHeight w:val="255"/>
        </w:trPr>
        <w:tc>
          <w:tcPr>
            <w:tcW w:w="365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rPr>
                <w:rFonts w:ascii="Verdana" w:eastAsia="Times New Roman" w:hAnsi="Verdana" w:cs="Verdana"/>
                <w:b/>
                <w:noProof/>
                <w:color w:val="000000"/>
                <w:sz w:val="18"/>
              </w:rPr>
            </w:pPr>
            <w:r>
              <w:rPr>
                <w:rFonts w:ascii="Verdana" w:hAnsi="Verdana"/>
                <w:b/>
                <w:noProof/>
                <w:color w:val="000000"/>
                <w:sz w:val="18"/>
              </w:rPr>
              <w:t>Pareikalautasis fondo kapitalas 2018 m. gruodžio 31 d.</w:t>
            </w:r>
          </w:p>
        </w:tc>
        <w:tc>
          <w:tcPr>
            <w:tcW w:w="122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hAnsi="Verdana"/>
                <w:b/>
                <w:noProof/>
                <w:color w:val="000000"/>
                <w:sz w:val="18"/>
              </w:rPr>
              <w:t xml:space="preserve"> 12 164</w:t>
            </w:r>
          </w:p>
        </w:tc>
        <w:tc>
          <w:tcPr>
            <w:tcW w:w="1276"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hAnsi="Verdana"/>
                <w:b/>
                <w:noProof/>
                <w:color w:val="000000"/>
                <w:sz w:val="18"/>
              </w:rPr>
              <w:t xml:space="preserve"> 10 773</w:t>
            </w:r>
          </w:p>
        </w:tc>
        <w:tc>
          <w:tcPr>
            <w:tcW w:w="135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hAnsi="Verdana"/>
                <w:b/>
                <w:noProof/>
                <w:color w:val="000000"/>
                <w:sz w:val="18"/>
              </w:rPr>
              <w:t xml:space="preserve"> 20 960</w:t>
            </w:r>
          </w:p>
        </w:tc>
        <w:tc>
          <w:tcPr>
            <w:tcW w:w="134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hAnsi="Verdana"/>
                <w:b/>
                <w:noProof/>
                <w:color w:val="000000"/>
                <w:sz w:val="18"/>
              </w:rPr>
              <w:t xml:space="preserve"> 6 527</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hAnsi="Verdana"/>
                <w:b/>
                <w:noProof/>
                <w:color w:val="000000"/>
                <w:sz w:val="18"/>
              </w:rPr>
              <w:t xml:space="preserve"> 50 423</w:t>
            </w:r>
          </w:p>
        </w:tc>
      </w:tr>
      <w:tr>
        <w:trPr>
          <w:trHeight w:val="255"/>
        </w:trPr>
        <w:tc>
          <w:tcPr>
            <w:tcW w:w="3657" w:type="dxa"/>
            <w:tcBorders>
              <w:top w:val="nil"/>
              <w:left w:val="nil"/>
              <w:bottom w:val="nil"/>
              <w:right w:val="nil"/>
            </w:tcBorders>
            <w:tcMar>
              <w:top w:w="0" w:type="dxa"/>
              <w:left w:w="60" w:type="dxa"/>
              <w:bottom w:w="0" w:type="dxa"/>
              <w:right w:w="60" w:type="dxa"/>
            </w:tcMar>
            <w:vAlign w:val="center"/>
          </w:tcPr>
          <w:p>
            <w:pPr>
              <w:pStyle w:val="DMETW18983BIPCLDFCAP"/>
              <w:rPr>
                <w:rFonts w:ascii="Verdana" w:eastAsia="Times New Roman" w:hAnsi="Verdana" w:cs="Verdana"/>
                <w:i/>
                <w:noProof/>
                <w:color w:val="000000"/>
                <w:sz w:val="18"/>
              </w:rPr>
            </w:pPr>
            <w:r>
              <w:rPr>
                <w:rFonts w:ascii="Verdana" w:hAnsi="Verdana"/>
                <w:i/>
                <w:noProof/>
                <w:color w:val="000000"/>
                <w:sz w:val="18"/>
              </w:rPr>
              <w:t>Fondo kapitalas</w:t>
            </w:r>
          </w:p>
        </w:tc>
        <w:tc>
          <w:tcPr>
            <w:tcW w:w="1223"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12 164</w:t>
            </w:r>
          </w:p>
        </w:tc>
        <w:tc>
          <w:tcPr>
            <w:tcW w:w="1276"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10 773</w:t>
            </w:r>
          </w:p>
        </w:tc>
        <w:tc>
          <w:tcPr>
            <w:tcW w:w="1353"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20 960</w:t>
            </w:r>
          </w:p>
        </w:tc>
        <w:tc>
          <w:tcPr>
            <w:tcW w:w="1340"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29 367</w:t>
            </w:r>
          </w:p>
        </w:tc>
        <w:tc>
          <w:tcPr>
            <w:tcW w:w="992"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73 264</w:t>
            </w:r>
          </w:p>
        </w:tc>
      </w:tr>
      <w:tr>
        <w:trPr>
          <w:trHeight w:val="255"/>
        </w:trPr>
        <w:tc>
          <w:tcPr>
            <w:tcW w:w="3657" w:type="dxa"/>
            <w:tcBorders>
              <w:top w:val="nil"/>
              <w:left w:val="nil"/>
              <w:bottom w:val="nil"/>
              <w:right w:val="nil"/>
            </w:tcBorders>
            <w:tcMar>
              <w:top w:w="0" w:type="dxa"/>
              <w:left w:w="60" w:type="dxa"/>
              <w:bottom w:w="0" w:type="dxa"/>
              <w:right w:w="60" w:type="dxa"/>
            </w:tcMar>
            <w:vAlign w:val="center"/>
          </w:tcPr>
          <w:p>
            <w:pPr>
              <w:pStyle w:val="DMETW18983BIPCLDFCAP"/>
              <w:rPr>
                <w:rFonts w:ascii="Verdana" w:eastAsia="Times New Roman" w:hAnsi="Verdana" w:cs="Verdana"/>
                <w:i/>
                <w:noProof/>
                <w:color w:val="000000"/>
                <w:sz w:val="18"/>
              </w:rPr>
            </w:pPr>
            <w:r>
              <w:rPr>
                <w:rFonts w:ascii="Verdana" w:hAnsi="Verdana"/>
                <w:i/>
                <w:noProof/>
                <w:color w:val="000000"/>
                <w:sz w:val="18"/>
              </w:rPr>
              <w:t>Nepareikalautasis fondo kapitalas</w:t>
            </w:r>
          </w:p>
        </w:tc>
        <w:tc>
          <w:tcPr>
            <w:tcW w:w="1223"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w:t>
            </w:r>
          </w:p>
        </w:tc>
        <w:tc>
          <w:tcPr>
            <w:tcW w:w="1276"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 xml:space="preserve"> (15)</w:t>
            </w:r>
          </w:p>
        </w:tc>
        <w:tc>
          <w:tcPr>
            <w:tcW w:w="1353"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340"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(18 440)</w:t>
            </w:r>
          </w:p>
        </w:tc>
        <w:tc>
          <w:tcPr>
            <w:tcW w:w="992"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(18 455)</w:t>
            </w:r>
          </w:p>
        </w:tc>
      </w:tr>
      <w:tr>
        <w:trPr>
          <w:trHeight w:val="255"/>
        </w:trPr>
        <w:tc>
          <w:tcPr>
            <w:tcW w:w="365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rPr>
                <w:rFonts w:ascii="Verdana" w:eastAsia="Times New Roman" w:hAnsi="Verdana" w:cs="Verdana"/>
                <w:b/>
                <w:noProof/>
                <w:color w:val="000000"/>
                <w:sz w:val="18"/>
              </w:rPr>
            </w:pPr>
            <w:r>
              <w:rPr>
                <w:rFonts w:ascii="Verdana" w:hAnsi="Verdana"/>
                <w:b/>
                <w:noProof/>
                <w:color w:val="000000"/>
                <w:sz w:val="18"/>
              </w:rPr>
              <w:t>Pareikalautasis fondo kapitalas 2019 m. gruodžio 31 d.</w:t>
            </w:r>
          </w:p>
        </w:tc>
        <w:tc>
          <w:tcPr>
            <w:tcW w:w="122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hAnsi="Verdana"/>
                <w:b/>
                <w:noProof/>
                <w:color w:val="000000"/>
                <w:sz w:val="18"/>
              </w:rPr>
              <w:t xml:space="preserve"> 12 164</w:t>
            </w:r>
          </w:p>
        </w:tc>
        <w:tc>
          <w:tcPr>
            <w:tcW w:w="1276"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hAnsi="Verdana"/>
                <w:b/>
                <w:noProof/>
                <w:color w:val="000000"/>
                <w:sz w:val="18"/>
              </w:rPr>
              <w:t xml:space="preserve"> 10 758</w:t>
            </w:r>
          </w:p>
        </w:tc>
        <w:tc>
          <w:tcPr>
            <w:tcW w:w="135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hAnsi="Verdana"/>
                <w:b/>
                <w:noProof/>
                <w:color w:val="000000"/>
                <w:sz w:val="18"/>
              </w:rPr>
              <w:t xml:space="preserve"> 20 960</w:t>
            </w:r>
          </w:p>
        </w:tc>
        <w:tc>
          <w:tcPr>
            <w:tcW w:w="134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hAnsi="Verdana"/>
                <w:b/>
                <w:noProof/>
                <w:color w:val="000000"/>
                <w:sz w:val="18"/>
              </w:rPr>
              <w:t xml:space="preserve"> 10 927</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hAnsi="Verdana"/>
                <w:b/>
                <w:noProof/>
                <w:color w:val="000000"/>
                <w:sz w:val="18"/>
              </w:rPr>
              <w:t xml:space="preserve"> 54 809</w:t>
            </w:r>
          </w:p>
        </w:tc>
      </w:tr>
    </w:tbl>
    <w:p>
      <w:pPr>
        <w:pStyle w:val="Textstand-alone"/>
      </w:pPr>
      <w:r>
        <w:t xml:space="preserve">Fondo kapitalas – visa atitinkamo EPF valstybių narių įnašų suma, kaip nustatyta kiekviename vidaus susitarime. Nepareikalautosios lėšos – sumos, kurių valstybių narių dar nepareikalauta sumokėti. Pareikalautasis fondo kapitalas – įnašai, kuriuos EPF pareikalavo sumokėti ir kuriuos valstybės narės pervedė į iždo sąskaitas (žr. </w:t>
      </w:r>
      <w:r>
        <w:rPr>
          <w:b/>
        </w:rPr>
        <w:t>2.10.2</w:t>
      </w:r>
      <w:r>
        <w:t xml:space="preserve"> toliau).</w:t>
      </w:r>
    </w:p>
    <w:p>
      <w:pPr>
        <w:pStyle w:val="HEADER3Part2"/>
        <w:keepNext/>
        <w:keepLines/>
        <w:rPr>
          <w:noProof/>
        </w:rPr>
      </w:pPr>
      <w:r>
        <w:rPr>
          <w:noProof/>
        </w:rPr>
        <w:br w:type="page"/>
      </w:r>
      <w:bookmarkStart w:id="67" w:name="_Ref35811248"/>
      <w:r>
        <w:rPr>
          <w:noProof/>
        </w:rPr>
        <w:t>Pareikalautasis ir nepareikalautasis fondo kapitalas pagal valstybes nares</w:t>
      </w:r>
      <w:bookmarkEnd w:id="67"/>
    </w:p>
    <w:tbl>
      <w:tblPr>
        <w:tblW w:w="51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2"/>
        <w:gridCol w:w="1416"/>
        <w:gridCol w:w="2127"/>
        <w:gridCol w:w="1815"/>
        <w:gridCol w:w="2012"/>
      </w:tblGrid>
      <w:tr>
        <w:trPr>
          <w:trHeight w:val="255"/>
        </w:trPr>
        <w:tc>
          <w:tcPr>
            <w:tcW w:w="9983" w:type="dxa"/>
            <w:gridSpan w:val="5"/>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6"/>
              </w:rPr>
            </w:pPr>
            <w:bookmarkStart w:id="68" w:name="DOC_TBL00027_1_1"/>
            <w:bookmarkEnd w:id="68"/>
            <w:r>
              <w:rPr>
                <w:rFonts w:ascii="Verdana" w:hAnsi="Verdana"/>
                <w:i/>
                <w:noProof/>
                <w:color w:val="000000"/>
                <w:sz w:val="16"/>
              </w:rPr>
              <w:t>mln. EUR</w:t>
            </w:r>
          </w:p>
        </w:tc>
      </w:tr>
      <w:tr>
        <w:trPr>
          <w:trHeight w:val="255"/>
        </w:trPr>
        <w:tc>
          <w:tcPr>
            <w:tcW w:w="261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MS11"/>
              <w:jc w:val="center"/>
              <w:rPr>
                <w:rFonts w:ascii="Verdana" w:eastAsia="Times New Roman" w:hAnsi="Verdana" w:cs="Verdana"/>
                <w:noProof/>
                <w:color w:val="FFFFFF"/>
              </w:rPr>
            </w:pPr>
            <w:r>
              <w:rPr>
                <w:rFonts w:ascii="Verdana" w:hAnsi="Verdana"/>
                <w:noProof/>
                <w:color w:val="FFFFFF"/>
              </w:rPr>
              <w:t>Įnašai į 11-ąjį EPF</w:t>
            </w:r>
          </w:p>
        </w:tc>
        <w:tc>
          <w:tcPr>
            <w:tcW w:w="141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MS11"/>
              <w:jc w:val="center"/>
              <w:rPr>
                <w:rFonts w:ascii="Verdana" w:eastAsia="Times New Roman" w:hAnsi="Verdana" w:cs="Verdana"/>
                <w:noProof/>
                <w:color w:val="FFFFFF"/>
              </w:rPr>
            </w:pPr>
            <w:r>
              <w:rPr>
                <w:rFonts w:ascii="Verdana" w:hAnsi="Verdana"/>
                <w:noProof/>
                <w:color w:val="FFFFFF"/>
              </w:rPr>
              <w:t>%</w:t>
            </w:r>
          </w:p>
        </w:tc>
        <w:tc>
          <w:tcPr>
            <w:tcW w:w="212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MS11"/>
              <w:jc w:val="center"/>
              <w:rPr>
                <w:rFonts w:ascii="Verdana" w:eastAsia="Times New Roman" w:hAnsi="Verdana" w:cs="Verdana"/>
                <w:noProof/>
                <w:color w:val="FFFFFF"/>
              </w:rPr>
            </w:pPr>
            <w:r>
              <w:rPr>
                <w:rFonts w:ascii="Verdana" w:hAnsi="Verdana"/>
                <w:noProof/>
                <w:color w:val="FFFFFF"/>
              </w:rPr>
              <w:t>Nepareikalautasis fondo kapitalas 2018 m. gruodžio 31 d.</w:t>
            </w:r>
          </w:p>
        </w:tc>
        <w:tc>
          <w:tcPr>
            <w:tcW w:w="181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MS11"/>
              <w:jc w:val="center"/>
              <w:rPr>
                <w:rFonts w:ascii="Verdana" w:eastAsia="Times New Roman" w:hAnsi="Verdana" w:cs="Verdana"/>
                <w:noProof/>
                <w:color w:val="FFFFFF"/>
              </w:rPr>
            </w:pPr>
            <w:r>
              <w:rPr>
                <w:rFonts w:ascii="Verdana" w:hAnsi="Verdana"/>
                <w:noProof/>
                <w:color w:val="FFFFFF"/>
              </w:rPr>
              <w:t>2019 m. pareikalautasis kapitalas</w:t>
            </w:r>
          </w:p>
        </w:tc>
        <w:tc>
          <w:tcPr>
            <w:tcW w:w="201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MS11"/>
              <w:jc w:val="center"/>
              <w:rPr>
                <w:rFonts w:ascii="Verdana" w:eastAsia="Times New Roman" w:hAnsi="Verdana" w:cs="Verdana"/>
                <w:noProof/>
                <w:color w:val="FFFFFF"/>
              </w:rPr>
            </w:pPr>
            <w:r>
              <w:rPr>
                <w:rFonts w:ascii="Verdana" w:hAnsi="Verdana"/>
                <w:noProof/>
                <w:color w:val="FFFFFF"/>
              </w:rPr>
              <w:t>Nepareikalautasis fondo kapitalas 2019 m. gruodžio 31 d.</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Austrija</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2,40</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548</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(105)</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442</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Belgija</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3,25</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742</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(143)</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599</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Bulgarija</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0,22</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50</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(10)</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40</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Kroatija</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0,23</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51</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(10)</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42</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Kipras</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0,11</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25</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(5)</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21</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Čekija</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0,80</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182</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(35)</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147</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Danija</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1,98</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452</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(87)</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365</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Estija</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0,09</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20</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16</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Suomija</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1,51</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345</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(66)</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278</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Prancūzija</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17,81</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4 068</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(784)</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3 285</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Vokietija</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20,58</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4 700</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(906)</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3 795</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Graikija</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1,51</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344</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(66)</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278</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Vengrija</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0,61</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140</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(27)</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113</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Airija</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0,94</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215</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(41)</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173</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Italija</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12,53</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2 862</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(551)</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2 311</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Latvija</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0,12</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27</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(5)</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21</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Lietuva</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0,18</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41</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(8)</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33</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Liuksemburgas</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0,26</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58</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(11)</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47</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Malta</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0,04</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9</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7</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Nyderlandai</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4,78</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1 091</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(210)</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881</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Lenkija</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2,01</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458</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(88)</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370</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Portugalija</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1,20</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273</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(53)</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221</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Rumunija</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0,72</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164</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(32)</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132</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Slovakija</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0,38</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86</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(17)</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69</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Slovėnija</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0,22</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51</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(10)</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41</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Ispanija</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7,93</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1 812</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(349)</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1 463</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Švedija</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2,94</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671</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(129)</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542</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Jungtinė Karalystė</w:t>
            </w:r>
          </w:p>
        </w:tc>
        <w:tc>
          <w:tcPr>
            <w:tcW w:w="1416"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14,68</w:t>
            </w:r>
          </w:p>
        </w:tc>
        <w:tc>
          <w:tcPr>
            <w:tcW w:w="212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3 353</w:t>
            </w:r>
          </w:p>
        </w:tc>
        <w:tc>
          <w:tcPr>
            <w:tcW w:w="1815"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(646)</w:t>
            </w:r>
          </w:p>
        </w:tc>
        <w:tc>
          <w:tcPr>
            <w:tcW w:w="2012"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2 707</w:t>
            </w:r>
          </w:p>
        </w:tc>
      </w:tr>
      <w:tr>
        <w:trPr>
          <w:trHeight w:val="255"/>
        </w:trPr>
        <w:tc>
          <w:tcPr>
            <w:tcW w:w="261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LDFCAPMS11"/>
              <w:rPr>
                <w:rFonts w:ascii="Verdana" w:eastAsia="Times New Roman" w:hAnsi="Verdana" w:cs="Verdana"/>
                <w:b/>
                <w:noProof/>
                <w:color w:val="000000"/>
                <w:sz w:val="18"/>
              </w:rPr>
            </w:pPr>
            <w:r>
              <w:rPr>
                <w:rFonts w:ascii="Verdana" w:hAnsi="Verdana"/>
                <w:b/>
                <w:noProof/>
                <w:color w:val="000000"/>
                <w:sz w:val="18"/>
              </w:rPr>
              <w:t>Iš viso</w:t>
            </w:r>
          </w:p>
        </w:tc>
        <w:tc>
          <w:tcPr>
            <w:tcW w:w="141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b/>
                <w:noProof/>
                <w:color w:val="000000"/>
                <w:sz w:val="18"/>
              </w:rPr>
            </w:pPr>
            <w:r>
              <w:rPr>
                <w:rFonts w:ascii="Verdana" w:hAnsi="Verdana"/>
                <w:b/>
                <w:noProof/>
                <w:color w:val="000000"/>
                <w:sz w:val="18"/>
              </w:rPr>
              <w:t>100,00</w:t>
            </w:r>
          </w:p>
        </w:tc>
        <w:tc>
          <w:tcPr>
            <w:tcW w:w="212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b/>
                <w:noProof/>
                <w:color w:val="000000"/>
                <w:sz w:val="18"/>
              </w:rPr>
            </w:pPr>
            <w:r>
              <w:rPr>
                <w:rFonts w:ascii="Verdana" w:hAnsi="Verdana"/>
                <w:b/>
                <w:noProof/>
                <w:color w:val="000000"/>
                <w:sz w:val="18"/>
              </w:rPr>
              <w:t>22 840</w:t>
            </w:r>
          </w:p>
        </w:tc>
        <w:tc>
          <w:tcPr>
            <w:tcW w:w="181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b/>
                <w:noProof/>
                <w:color w:val="000000"/>
                <w:sz w:val="18"/>
              </w:rPr>
            </w:pPr>
            <w:r>
              <w:rPr>
                <w:rFonts w:ascii="Verdana" w:hAnsi="Verdana"/>
                <w:b/>
                <w:noProof/>
                <w:color w:val="000000"/>
                <w:sz w:val="18"/>
              </w:rPr>
              <w:t>(4 400)</w:t>
            </w:r>
          </w:p>
        </w:tc>
        <w:tc>
          <w:tcPr>
            <w:tcW w:w="201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b/>
                <w:noProof/>
                <w:color w:val="000000"/>
                <w:sz w:val="18"/>
              </w:rPr>
            </w:pPr>
            <w:r>
              <w:rPr>
                <w:rFonts w:ascii="Verdana" w:hAnsi="Verdana"/>
                <w:b/>
                <w:noProof/>
                <w:color w:val="000000"/>
                <w:sz w:val="18"/>
              </w:rPr>
              <w:t>18 440</w:t>
            </w:r>
          </w:p>
        </w:tc>
      </w:tr>
    </w:tbl>
    <w:p>
      <w:pPr>
        <w:pStyle w:val="Textstand-alone"/>
      </w:pPr>
      <w:r>
        <w:t>Kadangi 8-ojo, 9-ojo ir 10-ojo EPF kapitalas buvo pareikalautas ir visas gautas ankstesniais metais, 2019 m. buvo pareikalauta 4 400 mln. EUR suma, susijusi tik su 11-uoju EPF.</w:t>
      </w:r>
    </w:p>
    <w:p>
      <w:pPr>
        <w:pStyle w:val="HEADER3Part2"/>
        <w:rPr>
          <w:noProof/>
        </w:rPr>
      </w:pPr>
      <w:r>
        <w:rPr>
          <w:noProof/>
        </w:rPr>
        <w:t>Iš veiklą užbaigusių EPF perkeltas pareikalautasis fondo kapitalas</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7"/>
        <w:gridCol w:w="849"/>
        <w:gridCol w:w="848"/>
        <w:gridCol w:w="861"/>
        <w:gridCol w:w="851"/>
        <w:gridCol w:w="1302"/>
        <w:gridCol w:w="1352"/>
      </w:tblGrid>
      <w:tr>
        <w:trPr>
          <w:trHeight w:val="255"/>
        </w:trPr>
        <w:tc>
          <w:tcPr>
            <w:tcW w:w="9660" w:type="dxa"/>
            <w:gridSpan w:val="7"/>
            <w:tcBorders>
              <w:top w:val="nil"/>
              <w:left w:val="nil"/>
              <w:bottom w:val="nil"/>
              <w:right w:val="nil"/>
            </w:tcBorders>
            <w:tcMar>
              <w:top w:w="0" w:type="dxa"/>
              <w:left w:w="60" w:type="dxa"/>
              <w:bottom w:w="0" w:type="dxa"/>
              <w:right w:w="60" w:type="dxa"/>
            </w:tcMar>
            <w:vAlign w:val="center"/>
          </w:tcPr>
          <w:p>
            <w:pPr>
              <w:pStyle w:val="DMETW18983BIPCLDFCAPTFTCLS"/>
              <w:jc w:val="right"/>
              <w:rPr>
                <w:rFonts w:ascii="Verdana" w:eastAsia="Times New Roman" w:hAnsi="Verdana" w:cs="Verdana"/>
                <w:i/>
                <w:noProof/>
                <w:color w:val="000000"/>
                <w:sz w:val="16"/>
              </w:rPr>
            </w:pPr>
            <w:bookmarkStart w:id="69" w:name="DOC_TBL00032_1_1"/>
            <w:bookmarkEnd w:id="69"/>
            <w:r>
              <w:rPr>
                <w:rFonts w:ascii="Verdana" w:hAnsi="Verdana"/>
                <w:i/>
                <w:noProof/>
                <w:color w:val="000000"/>
                <w:sz w:val="16"/>
              </w:rPr>
              <w:t>mln. EUR</w:t>
            </w:r>
          </w:p>
        </w:tc>
      </w:tr>
      <w:tr>
        <w:trPr>
          <w:trHeight w:val="255"/>
        </w:trPr>
        <w:tc>
          <w:tcPr>
            <w:tcW w:w="359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CLS"/>
              <w:jc w:val="center"/>
              <w:rPr>
                <w:rFonts w:ascii="Verdana" w:eastAsia="Times New Roman" w:hAnsi="Verdana" w:cs="Verdana"/>
                <w:noProof/>
                <w:color w:val="FFFFFF"/>
              </w:rPr>
            </w:pPr>
          </w:p>
        </w:tc>
        <w:tc>
          <w:tcPr>
            <w:tcW w:w="84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CLS"/>
              <w:jc w:val="right"/>
              <w:rPr>
                <w:rFonts w:ascii="Verdana" w:eastAsia="Times New Roman" w:hAnsi="Verdana" w:cs="Verdana"/>
                <w:noProof/>
                <w:color w:val="FFFFFF"/>
              </w:rPr>
            </w:pPr>
            <w:r>
              <w:rPr>
                <w:rFonts w:ascii="Verdana" w:hAnsi="Verdana"/>
                <w:noProof/>
                <w:color w:val="FFFFFF"/>
              </w:rPr>
              <w:t>8-asis EPF</w:t>
            </w:r>
          </w:p>
        </w:tc>
        <w:tc>
          <w:tcPr>
            <w:tcW w:w="84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CLS"/>
              <w:jc w:val="right"/>
              <w:rPr>
                <w:rFonts w:ascii="Verdana" w:eastAsia="Times New Roman" w:hAnsi="Verdana" w:cs="Verdana"/>
                <w:noProof/>
                <w:color w:val="FFFFFF"/>
              </w:rPr>
            </w:pPr>
            <w:r>
              <w:rPr>
                <w:rFonts w:ascii="Verdana" w:hAnsi="Verdana"/>
                <w:noProof/>
                <w:color w:val="FFFFFF"/>
              </w:rPr>
              <w:t>9-asis EPF</w:t>
            </w:r>
          </w:p>
        </w:tc>
        <w:tc>
          <w:tcPr>
            <w:tcW w:w="86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CLS"/>
              <w:jc w:val="right"/>
              <w:rPr>
                <w:rFonts w:ascii="Verdana" w:eastAsia="Times New Roman" w:hAnsi="Verdana" w:cs="Verdana"/>
                <w:noProof/>
                <w:color w:val="FFFFFF"/>
              </w:rPr>
            </w:pPr>
            <w:r>
              <w:rPr>
                <w:rFonts w:ascii="Verdana" w:hAnsi="Verdana"/>
                <w:noProof/>
                <w:color w:val="FFFFFF"/>
              </w:rPr>
              <w:t>10-asis EPF</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CLS"/>
              <w:jc w:val="right"/>
              <w:rPr>
                <w:rFonts w:ascii="Verdana" w:eastAsia="Times New Roman" w:hAnsi="Verdana" w:cs="Verdana"/>
                <w:noProof/>
                <w:color w:val="FFFFFF"/>
              </w:rPr>
            </w:pPr>
            <w:r>
              <w:rPr>
                <w:rFonts w:ascii="Verdana" w:hAnsi="Verdana"/>
                <w:noProof/>
                <w:color w:val="FFFFFF"/>
              </w:rPr>
              <w:t>11-asis EPF</w:t>
            </w:r>
          </w:p>
        </w:tc>
        <w:tc>
          <w:tcPr>
            <w:tcW w:w="130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CLS"/>
              <w:jc w:val="right"/>
              <w:rPr>
                <w:rFonts w:ascii="Verdana" w:eastAsia="Times New Roman" w:hAnsi="Verdana" w:cs="Verdana"/>
                <w:noProof/>
                <w:color w:val="FFFFFF"/>
              </w:rPr>
            </w:pPr>
            <w:r>
              <w:rPr>
                <w:rFonts w:ascii="Verdana" w:hAnsi="Verdana"/>
                <w:noProof/>
                <w:color w:val="FFFFFF"/>
              </w:rPr>
              <w:t>2019 12 31</w:t>
            </w:r>
          </w:p>
        </w:tc>
        <w:tc>
          <w:tcPr>
            <w:tcW w:w="135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CLS"/>
              <w:jc w:val="right"/>
              <w:rPr>
                <w:rFonts w:ascii="Verdana" w:eastAsia="Times New Roman" w:hAnsi="Verdana" w:cs="Verdana"/>
                <w:noProof/>
                <w:color w:val="FFFFFF"/>
              </w:rPr>
            </w:pPr>
            <w:r>
              <w:rPr>
                <w:rFonts w:ascii="Verdana" w:hAnsi="Verdana"/>
                <w:noProof/>
                <w:color w:val="FFFFFF"/>
              </w:rPr>
              <w:t>2018 12 31</w:t>
            </w:r>
          </w:p>
        </w:tc>
      </w:tr>
      <w:tr>
        <w:trPr>
          <w:trHeight w:val="255"/>
        </w:trPr>
        <w:tc>
          <w:tcPr>
            <w:tcW w:w="3597" w:type="dxa"/>
            <w:tcBorders>
              <w:top w:val="nil"/>
              <w:left w:val="nil"/>
              <w:bottom w:val="nil"/>
              <w:right w:val="nil"/>
            </w:tcBorders>
            <w:tcMar>
              <w:top w:w="0" w:type="dxa"/>
              <w:left w:w="60" w:type="dxa"/>
              <w:bottom w:w="0" w:type="dxa"/>
              <w:right w:w="60" w:type="dxa"/>
            </w:tcMar>
            <w:vAlign w:val="center"/>
          </w:tcPr>
          <w:p>
            <w:pPr>
              <w:pStyle w:val="DMETW18983BIPCLDFCAPTFTCLS"/>
              <w:rPr>
                <w:rFonts w:ascii="Verdana" w:eastAsia="Times New Roman" w:hAnsi="Verdana" w:cs="Verdana"/>
                <w:i/>
                <w:noProof/>
                <w:color w:val="000000"/>
                <w:sz w:val="18"/>
              </w:rPr>
            </w:pPr>
            <w:r>
              <w:rPr>
                <w:rFonts w:ascii="Verdana" w:hAnsi="Verdana"/>
                <w:i/>
                <w:noProof/>
                <w:color w:val="000000"/>
                <w:sz w:val="18"/>
              </w:rPr>
              <w:t>Iš veiklą užbaigusių EPF pervestos lėšos</w:t>
            </w:r>
          </w:p>
        </w:tc>
        <w:tc>
          <w:tcPr>
            <w:tcW w:w="849" w:type="dxa"/>
            <w:tcBorders>
              <w:top w:val="nil"/>
              <w:left w:val="nil"/>
              <w:bottom w:val="nil"/>
              <w:right w:val="nil"/>
            </w:tcBorders>
            <w:tcMar>
              <w:top w:w="0" w:type="dxa"/>
              <w:left w:w="60" w:type="dxa"/>
              <w:bottom w:w="0" w:type="dxa"/>
              <w:right w:w="60" w:type="dxa"/>
            </w:tcMar>
            <w:vAlign w:val="center"/>
          </w:tcPr>
          <w:p>
            <w:pPr>
              <w:pStyle w:val="DMETW18983BIPCLDFCAPTFTCLS"/>
              <w:jc w:val="right"/>
              <w:rPr>
                <w:rFonts w:ascii="Verdana" w:eastAsia="Times New Roman" w:hAnsi="Verdana" w:cs="Verdana"/>
                <w:i/>
                <w:noProof/>
                <w:color w:val="000000"/>
                <w:sz w:val="18"/>
              </w:rPr>
            </w:pPr>
            <w:r>
              <w:rPr>
                <w:rFonts w:ascii="Verdana" w:hAnsi="Verdana"/>
                <w:i/>
                <w:noProof/>
                <w:color w:val="000000"/>
                <w:sz w:val="18"/>
              </w:rPr>
              <w:t xml:space="preserve"> 627</w:t>
            </w:r>
          </w:p>
        </w:tc>
        <w:tc>
          <w:tcPr>
            <w:tcW w:w="848" w:type="dxa"/>
            <w:tcBorders>
              <w:top w:val="nil"/>
              <w:left w:val="nil"/>
              <w:bottom w:val="nil"/>
              <w:right w:val="nil"/>
            </w:tcBorders>
            <w:tcMar>
              <w:top w:w="0" w:type="dxa"/>
              <w:left w:w="60" w:type="dxa"/>
              <w:bottom w:w="0" w:type="dxa"/>
              <w:right w:w="60" w:type="dxa"/>
            </w:tcMar>
            <w:vAlign w:val="center"/>
          </w:tcPr>
          <w:p>
            <w:pPr>
              <w:pStyle w:val="DMETW18983BIPCLDFCAPTFTCLS"/>
              <w:jc w:val="right"/>
              <w:rPr>
                <w:rFonts w:ascii="Verdana" w:eastAsia="Times New Roman" w:hAnsi="Verdana" w:cs="Verdana"/>
                <w:i/>
                <w:noProof/>
                <w:color w:val="000000"/>
                <w:sz w:val="18"/>
              </w:rPr>
            </w:pPr>
            <w:r>
              <w:rPr>
                <w:rFonts w:ascii="Verdana" w:hAnsi="Verdana"/>
                <w:i/>
                <w:noProof/>
                <w:color w:val="000000"/>
                <w:sz w:val="18"/>
              </w:rPr>
              <w:t>1 625</w:t>
            </w:r>
          </w:p>
        </w:tc>
        <w:tc>
          <w:tcPr>
            <w:tcW w:w="861" w:type="dxa"/>
            <w:tcBorders>
              <w:top w:val="nil"/>
              <w:left w:val="nil"/>
              <w:bottom w:val="nil"/>
              <w:right w:val="nil"/>
            </w:tcBorders>
            <w:tcMar>
              <w:top w:w="0" w:type="dxa"/>
              <w:left w:w="60" w:type="dxa"/>
              <w:bottom w:w="0" w:type="dxa"/>
              <w:right w:w="60" w:type="dxa"/>
            </w:tcMar>
            <w:vAlign w:val="center"/>
          </w:tcPr>
          <w:p>
            <w:pPr>
              <w:pStyle w:val="DMETW18983BIPCLDFCAPTFTCLS"/>
              <w:jc w:val="right"/>
              <w:rPr>
                <w:rFonts w:ascii="Verdana" w:eastAsia="Times New Roman"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cBorders>
            <w:tcMar>
              <w:top w:w="0" w:type="dxa"/>
              <w:left w:w="60" w:type="dxa"/>
              <w:bottom w:w="0" w:type="dxa"/>
              <w:right w:w="60" w:type="dxa"/>
            </w:tcMar>
            <w:vAlign w:val="center"/>
          </w:tcPr>
          <w:p>
            <w:pPr>
              <w:pStyle w:val="DMETW18983BIPCLDFCAPTFTCLS"/>
              <w:jc w:val="right"/>
              <w:rPr>
                <w:rFonts w:ascii="Verdana" w:eastAsia="Times New Roman" w:hAnsi="Verdana" w:cs="Verdana"/>
                <w:i/>
                <w:noProof/>
                <w:color w:val="000000"/>
                <w:sz w:val="18"/>
              </w:rPr>
            </w:pPr>
            <w:r>
              <w:rPr>
                <w:rFonts w:ascii="Verdana" w:hAnsi="Verdana"/>
                <w:i/>
                <w:noProof/>
                <w:color w:val="000000"/>
                <w:sz w:val="18"/>
              </w:rPr>
              <w:t>–</w:t>
            </w:r>
          </w:p>
        </w:tc>
        <w:tc>
          <w:tcPr>
            <w:tcW w:w="1302" w:type="dxa"/>
            <w:tcBorders>
              <w:top w:val="nil"/>
              <w:left w:val="nil"/>
              <w:bottom w:val="nil"/>
              <w:right w:val="nil"/>
            </w:tcBorders>
            <w:tcMar>
              <w:top w:w="0" w:type="dxa"/>
              <w:left w:w="60" w:type="dxa"/>
              <w:bottom w:w="0" w:type="dxa"/>
              <w:right w:w="60" w:type="dxa"/>
            </w:tcMar>
            <w:vAlign w:val="center"/>
          </w:tcPr>
          <w:p>
            <w:pPr>
              <w:pStyle w:val="DMETW18983BIPCLDFCAPTFTCLS"/>
              <w:jc w:val="right"/>
              <w:rPr>
                <w:rFonts w:ascii="Verdana" w:eastAsia="Times New Roman" w:hAnsi="Verdana" w:cs="Verdana"/>
                <w:i/>
                <w:noProof/>
                <w:color w:val="000000"/>
                <w:sz w:val="18"/>
              </w:rPr>
            </w:pPr>
            <w:r>
              <w:rPr>
                <w:rFonts w:ascii="Verdana" w:hAnsi="Verdana"/>
                <w:i/>
                <w:noProof/>
                <w:color w:val="000000"/>
                <w:sz w:val="18"/>
              </w:rPr>
              <w:t>2 252</w:t>
            </w:r>
          </w:p>
        </w:tc>
        <w:tc>
          <w:tcPr>
            <w:tcW w:w="1352" w:type="dxa"/>
            <w:tcBorders>
              <w:top w:val="nil"/>
              <w:left w:val="nil"/>
              <w:bottom w:val="nil"/>
              <w:right w:val="nil"/>
            </w:tcBorders>
            <w:tcMar>
              <w:top w:w="0" w:type="dxa"/>
              <w:left w:w="60" w:type="dxa"/>
              <w:bottom w:w="0" w:type="dxa"/>
              <w:right w:w="60" w:type="dxa"/>
            </w:tcMar>
            <w:vAlign w:val="center"/>
          </w:tcPr>
          <w:p>
            <w:pPr>
              <w:pStyle w:val="DMETW18983BIPCLDFCAPTFTCLS"/>
              <w:jc w:val="right"/>
              <w:rPr>
                <w:rFonts w:ascii="Verdana" w:eastAsia="Times New Roman" w:hAnsi="Verdana" w:cs="Verdana"/>
                <w:i/>
                <w:noProof/>
                <w:color w:val="000000"/>
                <w:sz w:val="18"/>
              </w:rPr>
            </w:pPr>
            <w:r>
              <w:rPr>
                <w:rFonts w:ascii="Verdana" w:hAnsi="Verdana"/>
                <w:i/>
                <w:noProof/>
                <w:color w:val="000000"/>
                <w:sz w:val="18"/>
              </w:rPr>
              <w:t>2 252</w:t>
            </w:r>
          </w:p>
        </w:tc>
      </w:tr>
    </w:tbl>
    <w:p>
      <w:pPr>
        <w:pStyle w:val="Textstand-alone"/>
      </w:pPr>
      <w:r>
        <w:t>Į šią kategoriją įtraukti iš veiklą užbaigusių EPF į 8-ąjį ir 9-ąjį EPF pervesti ištekliai.</w:t>
      </w:r>
    </w:p>
    <w:p>
      <w:pPr>
        <w:pStyle w:val="HEADER3Part2"/>
        <w:keepNext/>
        <w:spacing w:before="0" w:after="240"/>
        <w:rPr>
          <w:noProof/>
        </w:rPr>
      </w:pPr>
      <w:r>
        <w:rPr>
          <w:noProof/>
        </w:rPr>
        <w:t>Pareikalautojo fondo kapitalo pervedimai tarp aktyvių EPF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0"/>
        <w:gridCol w:w="1134"/>
        <w:gridCol w:w="992"/>
        <w:gridCol w:w="851"/>
        <w:gridCol w:w="850"/>
        <w:gridCol w:w="1051"/>
      </w:tblGrid>
      <w:tr>
        <w:trPr>
          <w:trHeight w:val="255"/>
        </w:trPr>
        <w:tc>
          <w:tcPr>
            <w:tcW w:w="9758" w:type="dxa"/>
            <w:gridSpan w:val="6"/>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6"/>
              </w:rPr>
            </w:pPr>
            <w:bookmarkStart w:id="70" w:name="DOC_TBL00033_1_1"/>
            <w:bookmarkEnd w:id="70"/>
            <w:r>
              <w:rPr>
                <w:rFonts w:ascii="Verdana" w:hAnsi="Verdana"/>
                <w:i/>
                <w:noProof/>
                <w:color w:val="000000"/>
                <w:sz w:val="16"/>
              </w:rPr>
              <w:t>mln. EUR</w:t>
            </w:r>
          </w:p>
        </w:tc>
      </w:tr>
      <w:tr>
        <w:trPr>
          <w:trHeight w:val="255"/>
        </w:trPr>
        <w:tc>
          <w:tcPr>
            <w:tcW w:w="488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noProof/>
                <w:color w:val="FFFFFF"/>
              </w:rPr>
            </w:pP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noProof/>
                <w:color w:val="FFFFFF"/>
              </w:rPr>
            </w:pPr>
            <w:r>
              <w:rPr>
                <w:rFonts w:ascii="Verdana" w:hAnsi="Verdana"/>
                <w:noProof/>
                <w:color w:val="FFFFFF"/>
              </w:rPr>
              <w:t>8-asis EPF</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noProof/>
                <w:color w:val="FFFFFF"/>
              </w:rPr>
            </w:pPr>
            <w:r>
              <w:rPr>
                <w:rFonts w:ascii="Verdana" w:hAnsi="Verdana"/>
                <w:noProof/>
                <w:color w:val="FFFFFF"/>
              </w:rPr>
              <w:t>9-asis EPF</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noProof/>
                <w:color w:val="FFFFFF"/>
              </w:rPr>
            </w:pPr>
            <w:r>
              <w:rPr>
                <w:rFonts w:ascii="Verdana" w:hAnsi="Verdana"/>
                <w:noProof/>
                <w:color w:val="FFFFFF"/>
              </w:rPr>
              <w:t>10-asis EPF</w:t>
            </w: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noProof/>
                <w:color w:val="FFFFFF"/>
              </w:rPr>
            </w:pPr>
            <w:r>
              <w:rPr>
                <w:rFonts w:ascii="Verdana" w:hAnsi="Verdana"/>
                <w:noProof/>
                <w:color w:val="FFFFFF"/>
              </w:rPr>
              <w:t>11-asis EPF</w:t>
            </w:r>
          </w:p>
        </w:tc>
        <w:tc>
          <w:tcPr>
            <w:tcW w:w="105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noProof/>
                <w:color w:val="FFFFFF"/>
              </w:rPr>
            </w:pPr>
            <w:r>
              <w:rPr>
                <w:rFonts w:ascii="Verdana" w:hAnsi="Verdana"/>
                <w:noProof/>
                <w:color w:val="FFFFFF"/>
              </w:rPr>
              <w:t>Iš viso</w:t>
            </w:r>
          </w:p>
        </w:tc>
      </w:tr>
      <w:tr>
        <w:trPr>
          <w:trHeight w:val="255"/>
        </w:trPr>
        <w:tc>
          <w:tcPr>
            <w:tcW w:w="488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rPr>
                <w:rFonts w:ascii="Verdana" w:eastAsia="Times New Roman" w:hAnsi="Verdana" w:cs="Verdana"/>
                <w:b/>
                <w:noProof/>
                <w:color w:val="000000"/>
                <w:sz w:val="18"/>
              </w:rPr>
            </w:pPr>
            <w:r>
              <w:rPr>
                <w:rFonts w:ascii="Verdana" w:hAnsi="Verdana"/>
                <w:b/>
                <w:noProof/>
                <w:color w:val="000000"/>
                <w:sz w:val="18"/>
              </w:rPr>
              <w:t>Likutis 2017 m. gruodžio 31 d.</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 xml:space="preserve"> (2 503)</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 xml:space="preserve"> 2 177</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 xml:space="preserve">  120</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 xml:space="preserve">  206</w:t>
            </w:r>
          </w:p>
        </w:tc>
        <w:tc>
          <w:tcPr>
            <w:tcW w:w="10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w:t>
            </w:r>
          </w:p>
        </w:tc>
      </w:tr>
      <w:tr>
        <w:trPr>
          <w:trHeight w:val="255"/>
        </w:trPr>
        <w:tc>
          <w:tcPr>
            <w:tcW w:w="4880" w:type="dxa"/>
            <w:tcBorders>
              <w:top w:val="nil"/>
              <w:left w:val="nil"/>
              <w:bottom w:val="nil"/>
              <w:right w:val="nil"/>
            </w:tcBorders>
            <w:tcMar>
              <w:top w:w="0" w:type="dxa"/>
              <w:left w:w="60" w:type="dxa"/>
              <w:bottom w:w="0" w:type="dxa"/>
              <w:right w:w="60" w:type="dxa"/>
            </w:tcMar>
            <w:vAlign w:val="center"/>
          </w:tcPr>
          <w:p>
            <w:pPr>
              <w:pStyle w:val="DMETW18983BIPCLDFCAPTFTACT"/>
              <w:keepNext/>
              <w:rPr>
                <w:rFonts w:ascii="Verdana" w:eastAsia="Times New Roman" w:hAnsi="Verdana" w:cs="Verdana"/>
                <w:i/>
                <w:noProof/>
                <w:color w:val="000000"/>
                <w:sz w:val="18"/>
              </w:rPr>
            </w:pPr>
            <w:r>
              <w:rPr>
                <w:rFonts w:ascii="Verdana" w:hAnsi="Verdana"/>
                <w:i/>
                <w:noProof/>
                <w:color w:val="000000"/>
                <w:sz w:val="18"/>
              </w:rPr>
              <w:t>Nepanaudotų sumų pervedimas iš ankstesnių EPF į 10-ojo EPF veiklos lėšų rezervą</w:t>
            </w:r>
          </w:p>
        </w:tc>
        <w:tc>
          <w:tcPr>
            <w:tcW w:w="1134"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 xml:space="preserve"> (7)</w:t>
            </w:r>
          </w:p>
        </w:tc>
        <w:tc>
          <w:tcPr>
            <w:tcW w:w="992"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 xml:space="preserve"> (40)</w:t>
            </w:r>
          </w:p>
        </w:tc>
        <w:tc>
          <w:tcPr>
            <w:tcW w:w="851"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 xml:space="preserve"> 47</w:t>
            </w:r>
          </w:p>
        </w:tc>
        <w:tc>
          <w:tcPr>
            <w:tcW w:w="850"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w:t>
            </w:r>
          </w:p>
        </w:tc>
        <w:tc>
          <w:tcPr>
            <w:tcW w:w="1051"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 xml:space="preserve"> 0</w:t>
            </w:r>
          </w:p>
        </w:tc>
      </w:tr>
      <w:tr>
        <w:trPr>
          <w:trHeight w:val="255"/>
        </w:trPr>
        <w:tc>
          <w:tcPr>
            <w:tcW w:w="4880" w:type="dxa"/>
            <w:tcBorders>
              <w:top w:val="nil"/>
              <w:left w:val="nil"/>
              <w:bottom w:val="nil"/>
              <w:right w:val="nil"/>
            </w:tcBorders>
            <w:tcMar>
              <w:top w:w="0" w:type="dxa"/>
              <w:left w:w="60" w:type="dxa"/>
              <w:bottom w:w="0" w:type="dxa"/>
              <w:right w:w="60" w:type="dxa"/>
            </w:tcMar>
            <w:vAlign w:val="center"/>
          </w:tcPr>
          <w:p>
            <w:pPr>
              <w:pStyle w:val="DMETW18983BIPCLDFCAPTFTACT"/>
              <w:keepNext/>
              <w:rPr>
                <w:rFonts w:ascii="Verdana" w:eastAsia="Times New Roman" w:hAnsi="Verdana" w:cs="Verdana"/>
                <w:i/>
                <w:noProof/>
                <w:color w:val="000000"/>
                <w:sz w:val="18"/>
              </w:rPr>
            </w:pPr>
            <w:r>
              <w:rPr>
                <w:rFonts w:ascii="Verdana" w:hAnsi="Verdana"/>
                <w:i/>
                <w:noProof/>
                <w:color w:val="000000"/>
                <w:sz w:val="18"/>
              </w:rPr>
              <w:t>Nepanaudotų sumų pervedimas iš ankstesnių EPF į 11-ojo EPF veiklos lėšų rezervą</w:t>
            </w:r>
          </w:p>
        </w:tc>
        <w:tc>
          <w:tcPr>
            <w:tcW w:w="1134"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 xml:space="preserve"> (112)</w:t>
            </w:r>
          </w:p>
        </w:tc>
        <w:tc>
          <w:tcPr>
            <w:tcW w:w="850"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 xml:space="preserve"> 112</w:t>
            </w:r>
          </w:p>
        </w:tc>
        <w:tc>
          <w:tcPr>
            <w:tcW w:w="1051"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w:t>
            </w:r>
          </w:p>
        </w:tc>
      </w:tr>
      <w:tr>
        <w:trPr>
          <w:trHeight w:val="255"/>
        </w:trPr>
        <w:tc>
          <w:tcPr>
            <w:tcW w:w="488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rPr>
                <w:rFonts w:ascii="Verdana" w:eastAsia="Times New Roman" w:hAnsi="Verdana" w:cs="Verdana"/>
                <w:b/>
                <w:noProof/>
                <w:color w:val="000000"/>
                <w:sz w:val="18"/>
              </w:rPr>
            </w:pPr>
            <w:r>
              <w:rPr>
                <w:rFonts w:ascii="Verdana" w:hAnsi="Verdana"/>
                <w:b/>
                <w:noProof/>
                <w:color w:val="000000"/>
                <w:sz w:val="18"/>
              </w:rPr>
              <w:t>Likutis 2018 m. gruodžio 31 d.</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 xml:space="preserve"> (2 509)</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 xml:space="preserve"> 2 137</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 xml:space="preserve">  55</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 xml:space="preserve">  317</w:t>
            </w:r>
          </w:p>
        </w:tc>
        <w:tc>
          <w:tcPr>
            <w:tcW w:w="10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w:t>
            </w:r>
          </w:p>
        </w:tc>
      </w:tr>
      <w:tr>
        <w:trPr>
          <w:trHeight w:val="255"/>
        </w:trPr>
        <w:tc>
          <w:tcPr>
            <w:tcW w:w="4880" w:type="dxa"/>
            <w:tcBorders>
              <w:top w:val="nil"/>
              <w:left w:val="nil"/>
              <w:bottom w:val="nil"/>
              <w:right w:val="nil"/>
            </w:tcBorders>
            <w:tcMar>
              <w:top w:w="0" w:type="dxa"/>
              <w:left w:w="60" w:type="dxa"/>
              <w:bottom w:w="0" w:type="dxa"/>
              <w:right w:w="60" w:type="dxa"/>
            </w:tcMar>
            <w:vAlign w:val="center"/>
          </w:tcPr>
          <w:p>
            <w:pPr>
              <w:pStyle w:val="DMETW18983BIPCLDFCAPTFTACT"/>
              <w:keepNext/>
              <w:rPr>
                <w:rFonts w:ascii="Verdana" w:eastAsia="Times New Roman" w:hAnsi="Verdana" w:cs="Verdana"/>
                <w:i/>
                <w:noProof/>
                <w:color w:val="000000"/>
                <w:sz w:val="18"/>
              </w:rPr>
            </w:pPr>
            <w:r>
              <w:rPr>
                <w:rFonts w:ascii="Verdana" w:hAnsi="Verdana"/>
                <w:i/>
                <w:noProof/>
                <w:color w:val="000000"/>
                <w:sz w:val="18"/>
              </w:rPr>
              <w:t>Nepanaudotų sumų pervedimas iš ankstesnių EPF į 10-ojo EPF veiklos lėšų rezervą</w:t>
            </w:r>
          </w:p>
        </w:tc>
        <w:tc>
          <w:tcPr>
            <w:tcW w:w="1134"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 xml:space="preserve"> (27)</w:t>
            </w:r>
          </w:p>
        </w:tc>
        <w:tc>
          <w:tcPr>
            <w:tcW w:w="851"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 xml:space="preserve"> 28</w:t>
            </w:r>
          </w:p>
        </w:tc>
        <w:tc>
          <w:tcPr>
            <w:tcW w:w="850"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w:t>
            </w:r>
          </w:p>
        </w:tc>
        <w:tc>
          <w:tcPr>
            <w:tcW w:w="1051"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 xml:space="preserve"> (0)</w:t>
            </w:r>
          </w:p>
        </w:tc>
      </w:tr>
      <w:tr>
        <w:trPr>
          <w:trHeight w:val="255"/>
        </w:trPr>
        <w:tc>
          <w:tcPr>
            <w:tcW w:w="4880" w:type="dxa"/>
            <w:tcBorders>
              <w:top w:val="nil"/>
              <w:left w:val="nil"/>
              <w:bottom w:val="nil"/>
              <w:right w:val="nil"/>
            </w:tcBorders>
            <w:tcMar>
              <w:top w:w="0" w:type="dxa"/>
              <w:left w:w="60" w:type="dxa"/>
              <w:bottom w:w="0" w:type="dxa"/>
              <w:right w:w="60" w:type="dxa"/>
            </w:tcMar>
            <w:vAlign w:val="center"/>
          </w:tcPr>
          <w:p>
            <w:pPr>
              <w:pStyle w:val="DMETW18983BIPCLDFCAPTFTACT"/>
              <w:keepNext/>
              <w:rPr>
                <w:rFonts w:ascii="Verdana" w:eastAsia="Times New Roman" w:hAnsi="Verdana" w:cs="Verdana"/>
                <w:i/>
                <w:noProof/>
                <w:color w:val="000000"/>
                <w:sz w:val="18"/>
              </w:rPr>
            </w:pPr>
            <w:r>
              <w:rPr>
                <w:rFonts w:ascii="Verdana" w:hAnsi="Verdana"/>
                <w:i/>
                <w:noProof/>
                <w:color w:val="000000"/>
                <w:sz w:val="18"/>
              </w:rPr>
              <w:t>Nepanaudotų sumų pervedimas iš ankstesnių EPF į 11-ojo EPF veiklos lėšų rezervą</w:t>
            </w:r>
          </w:p>
        </w:tc>
        <w:tc>
          <w:tcPr>
            <w:tcW w:w="1134"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 xml:space="preserve"> 181</w:t>
            </w:r>
          </w:p>
        </w:tc>
        <w:tc>
          <w:tcPr>
            <w:tcW w:w="850"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 xml:space="preserve"> (181)</w:t>
            </w:r>
          </w:p>
        </w:tc>
        <w:tc>
          <w:tcPr>
            <w:tcW w:w="1051"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w:t>
            </w:r>
          </w:p>
        </w:tc>
      </w:tr>
      <w:tr>
        <w:trPr>
          <w:trHeight w:val="255"/>
        </w:trPr>
        <w:tc>
          <w:tcPr>
            <w:tcW w:w="488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rPr>
                <w:rFonts w:ascii="Verdana" w:eastAsia="Times New Roman" w:hAnsi="Verdana" w:cs="Verdana"/>
                <w:b/>
                <w:noProof/>
                <w:color w:val="000000"/>
                <w:sz w:val="18"/>
              </w:rPr>
            </w:pPr>
            <w:r>
              <w:rPr>
                <w:rFonts w:ascii="Verdana" w:hAnsi="Verdana"/>
                <w:b/>
                <w:noProof/>
                <w:color w:val="000000"/>
                <w:sz w:val="18"/>
              </w:rPr>
              <w:t>Likutis 2019 m. gruodžio 31 d.</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 xml:space="preserve"> (2 510)</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 xml:space="preserve"> 2 109</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 xml:space="preserve">  265</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 xml:space="preserve">  136</w:t>
            </w:r>
          </w:p>
        </w:tc>
        <w:tc>
          <w:tcPr>
            <w:tcW w:w="10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w:t>
            </w:r>
          </w:p>
        </w:tc>
      </w:tr>
    </w:tbl>
    <w:p>
      <w:pPr>
        <w:pStyle w:val="Textstand-alone"/>
        <w:keepNext/>
      </w:pPr>
      <w:r>
        <w:t>Į šią kategoriją įtraukti tarp aktyvių EPF pervesti ištekliai.</w:t>
      </w:r>
    </w:p>
    <w:p>
      <w:pPr>
        <w:pStyle w:val="Textstand-alone"/>
      </w:pPr>
      <w:r>
        <w:t>Įsigaliojus Kotonu susitarimui, visos ankstesniuose aktyviuose EPF nepanaudotos lėšos pervedamos į naujausią įsigaliojusį EPF po įsipareigojimų panaikinimo. Iš kitų EPF pervestais ištekliais padidinami gaunančiojo fondo asignavimai ir sumažinami fondo, kuriam lėšos buvo skirtos iš pradžių, asignavimai. Į 10-ojo ir 11-ojo EPF veiklos lėšų rezervą pervestos lėšos gali būti naudojamas tik laikantis vidaus susitarimuose nustatytų specialių sąlygų.</w:t>
      </w:r>
    </w:p>
    <w:p>
      <w:pPr>
        <w:pStyle w:val="HEADER1Part2"/>
        <w:spacing w:after="0"/>
        <w:rPr>
          <w:noProof/>
        </w:rPr>
        <w:sectPr>
          <w:headerReference w:type="even" r:id="rId161"/>
          <w:headerReference w:type="default" r:id="rId162"/>
          <w:footerReference w:type="even" r:id="rId163"/>
          <w:footerReference w:type="default" r:id="rId164"/>
          <w:headerReference w:type="first" r:id="rId165"/>
          <w:footerReference w:type="first" r:id="rId166"/>
          <w:pgSz w:w="11906" w:h="16838"/>
          <w:pgMar w:top="1134" w:right="1134" w:bottom="1134" w:left="1134" w:header="709" w:footer="709" w:gutter="0"/>
          <w:cols w:space="708"/>
          <w:docGrid w:linePitch="360"/>
        </w:sectPr>
      </w:pPr>
    </w:p>
    <w:p>
      <w:pPr>
        <w:pStyle w:val="HEADER1Part2"/>
        <w:rPr>
          <w:noProof/>
        </w:rPr>
      </w:pPr>
      <w:r>
        <w:rPr>
          <w:noProof/>
        </w:rPr>
        <w:t>FINANSINĖS VEIKLOS ATASKAITOS PASTABOS</w:t>
      </w:r>
    </w:p>
    <w:p>
      <w:pPr>
        <w:pStyle w:val="HEADERTABLE"/>
        <w:rPr>
          <w:noProof/>
        </w:rPr>
      </w:pPr>
      <w:r>
        <w:rPr>
          <w:noProof/>
        </w:rPr>
        <w:t>PAJAMOS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5"/>
        <w:gridCol w:w="1539"/>
        <w:gridCol w:w="1916"/>
        <w:gridCol w:w="1048"/>
      </w:tblGrid>
      <w:tr>
        <w:trPr>
          <w:trHeight w:hRule="exact" w:val="300"/>
        </w:trPr>
        <w:tc>
          <w:tcPr>
            <w:tcW w:w="5255" w:type="dxa"/>
            <w:gridSpan w:val="4"/>
            <w:tcBorders>
              <w:top w:val="nil"/>
              <w:left w:val="nil"/>
              <w:bottom w:val="nil"/>
              <w:right w:val="nil"/>
            </w:tcBorders>
            <w:tcMar>
              <w:top w:w="0" w:type="dxa"/>
              <w:left w:w="60" w:type="dxa"/>
              <w:bottom w:w="0" w:type="dxa"/>
              <w:right w:w="60" w:type="dxa"/>
            </w:tcMar>
            <w:vAlign w:val="center"/>
          </w:tcPr>
          <w:p>
            <w:pPr>
              <w:pStyle w:val="DMETW18983BIPREV"/>
              <w:jc w:val="right"/>
              <w:rPr>
                <w:rFonts w:ascii="Verdana" w:eastAsia="Times New Roman" w:hAnsi="Verdana" w:cs="Verdana"/>
                <w:i/>
                <w:noProof/>
                <w:color w:val="000000"/>
                <w:sz w:val="16"/>
              </w:rPr>
            </w:pPr>
            <w:bookmarkStart w:id="71" w:name="DOC_TBL00028_1_1"/>
            <w:bookmarkEnd w:id="71"/>
            <w:r>
              <w:rPr>
                <w:rFonts w:ascii="Verdana" w:hAnsi="Verdana"/>
                <w:i/>
                <w:noProof/>
                <w:color w:val="000000"/>
                <w:sz w:val="16"/>
              </w:rPr>
              <w:t>mln. EUR</w:t>
            </w:r>
          </w:p>
        </w:tc>
      </w:tr>
      <w:tr>
        <w:trPr>
          <w:trHeight w:hRule="exact" w:val="252"/>
        </w:trPr>
        <w:tc>
          <w:tcPr>
            <w:tcW w:w="525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V"/>
              <w:jc w:val="center"/>
              <w:rPr>
                <w:rFonts w:ascii="Verdana" w:eastAsia="Times New Roman" w:hAnsi="Verdana" w:cs="Verdana"/>
                <w:noProof/>
                <w:color w:val="FFFFFF"/>
              </w:rPr>
            </w:pPr>
          </w:p>
        </w:tc>
        <w:tc>
          <w:tcPr>
            <w:tcW w:w="153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V"/>
              <w:jc w:val="center"/>
              <w:rPr>
                <w:rFonts w:ascii="Verdana" w:eastAsia="Times New Roman" w:hAnsi="Verdana" w:cs="Verdana"/>
                <w:noProof/>
                <w:color w:val="FFFFFF"/>
              </w:rPr>
            </w:pPr>
            <w:r>
              <w:rPr>
                <w:rFonts w:ascii="Verdana" w:hAnsi="Verdana"/>
                <w:noProof/>
                <w:color w:val="FFFFFF"/>
              </w:rPr>
              <w:t>Pastaba</w:t>
            </w:r>
          </w:p>
        </w:tc>
        <w:tc>
          <w:tcPr>
            <w:tcW w:w="191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V"/>
              <w:jc w:val="right"/>
              <w:rPr>
                <w:rFonts w:ascii="Verdana" w:eastAsia="Times New Roman" w:hAnsi="Verdana" w:cs="Verdana"/>
                <w:noProof/>
                <w:color w:val="FFFFFF"/>
              </w:rPr>
            </w:pPr>
            <w:r>
              <w:rPr>
                <w:rFonts w:ascii="Verdana" w:hAnsi="Verdana"/>
                <w:noProof/>
                <w:color w:val="FFFFFF"/>
              </w:rPr>
              <w:t>2019</w:t>
            </w:r>
          </w:p>
        </w:tc>
        <w:tc>
          <w:tcPr>
            <w:tcW w:w="104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V"/>
              <w:jc w:val="right"/>
              <w:rPr>
                <w:rFonts w:ascii="Verdana" w:eastAsia="Times New Roman" w:hAnsi="Verdana" w:cs="Verdana"/>
                <w:noProof/>
                <w:color w:val="FFFFFF"/>
              </w:rPr>
            </w:pPr>
            <w:r>
              <w:rPr>
                <w:rFonts w:ascii="Verdana" w:hAnsi="Verdana"/>
                <w:noProof/>
                <w:color w:val="FFFFFF"/>
              </w:rPr>
              <w:t>2018</w:t>
            </w:r>
          </w:p>
        </w:tc>
      </w:tr>
      <w:tr>
        <w:trPr>
          <w:trHeight w:hRule="exact" w:val="228"/>
        </w:trPr>
        <w:tc>
          <w:tcPr>
            <w:tcW w:w="5255" w:type="dxa"/>
            <w:tcBorders>
              <w:top w:val="nil"/>
              <w:left w:val="nil"/>
              <w:bottom w:val="nil"/>
              <w:right w:val="nil"/>
            </w:tcBorders>
            <w:tcMar>
              <w:top w:w="0" w:type="dxa"/>
              <w:left w:w="60" w:type="dxa"/>
              <w:bottom w:w="0" w:type="dxa"/>
              <w:right w:w="60" w:type="dxa"/>
            </w:tcMar>
            <w:vAlign w:val="center"/>
          </w:tcPr>
          <w:p>
            <w:pPr>
              <w:pStyle w:val="DMETW18983BIPREV"/>
              <w:rPr>
                <w:rFonts w:ascii="Verdana" w:eastAsia="Times New Roman" w:hAnsi="Verdana" w:cs="Verdana"/>
                <w:i/>
                <w:noProof/>
                <w:color w:val="000000"/>
                <w:sz w:val="18"/>
              </w:rPr>
            </w:pPr>
            <w:r>
              <w:rPr>
                <w:rFonts w:ascii="Verdana" w:hAnsi="Verdana"/>
                <w:i/>
                <w:noProof/>
                <w:color w:val="000000"/>
                <w:sz w:val="18"/>
              </w:rPr>
              <w:t>Pajamos iš neprekybinių operacijų</w:t>
            </w:r>
          </w:p>
        </w:tc>
        <w:tc>
          <w:tcPr>
            <w:tcW w:w="1539" w:type="dxa"/>
            <w:tcBorders>
              <w:top w:val="nil"/>
              <w:left w:val="nil"/>
              <w:bottom w:val="nil"/>
              <w:right w:val="nil"/>
            </w:tcBorders>
            <w:tcMar>
              <w:top w:w="0" w:type="dxa"/>
              <w:left w:w="60" w:type="dxa"/>
              <w:bottom w:w="0" w:type="dxa"/>
              <w:right w:w="60" w:type="dxa"/>
            </w:tcMar>
            <w:vAlign w:val="center"/>
          </w:tcPr>
          <w:p>
            <w:pPr>
              <w:pStyle w:val="DMETW18983BIPREV"/>
              <w:jc w:val="center"/>
              <w:rPr>
                <w:rFonts w:ascii="Verdana" w:eastAsia="Times New Roman" w:hAnsi="Verdana" w:cs="Verdana"/>
                <w:noProof/>
                <w:color w:val="000000"/>
                <w:sz w:val="18"/>
              </w:rPr>
            </w:pPr>
            <w:r>
              <w:rPr>
                <w:rFonts w:ascii="Verdana" w:hAnsi="Verdana"/>
                <w:noProof/>
                <w:color w:val="000000"/>
                <w:sz w:val="18"/>
              </w:rPr>
              <w:t>3.1</w:t>
            </w:r>
          </w:p>
        </w:tc>
        <w:tc>
          <w:tcPr>
            <w:tcW w:w="1916" w:type="dxa"/>
            <w:tcBorders>
              <w:top w:val="nil"/>
              <w:left w:val="nil"/>
              <w:bottom w:val="nil"/>
              <w:right w:val="nil"/>
            </w:tcBorders>
            <w:tcMar>
              <w:top w:w="0" w:type="dxa"/>
              <w:left w:w="60" w:type="dxa"/>
              <w:bottom w:w="0" w:type="dxa"/>
              <w:right w:w="60" w:type="dxa"/>
            </w:tcMar>
            <w:vAlign w:val="center"/>
          </w:tcPr>
          <w:p>
            <w:pPr>
              <w:pStyle w:val="DMETW18983BIPREV"/>
              <w:jc w:val="right"/>
              <w:rPr>
                <w:rFonts w:ascii="Verdana" w:eastAsia="Times New Roman" w:hAnsi="Verdana" w:cs="Verdana"/>
                <w:i/>
                <w:noProof/>
                <w:color w:val="000000"/>
                <w:sz w:val="18"/>
              </w:rPr>
            </w:pPr>
            <w:r>
              <w:rPr>
                <w:rFonts w:ascii="Verdana" w:hAnsi="Verdana"/>
                <w:i/>
                <w:noProof/>
                <w:color w:val="000000"/>
                <w:sz w:val="18"/>
              </w:rPr>
              <w:t xml:space="preserve"> 28</w:t>
            </w:r>
          </w:p>
        </w:tc>
        <w:tc>
          <w:tcPr>
            <w:tcW w:w="1048" w:type="dxa"/>
            <w:tcBorders>
              <w:top w:val="nil"/>
              <w:left w:val="nil"/>
              <w:bottom w:val="nil"/>
              <w:right w:val="nil"/>
            </w:tcBorders>
            <w:tcMar>
              <w:top w:w="0" w:type="dxa"/>
              <w:left w:w="60" w:type="dxa"/>
              <w:bottom w:w="0" w:type="dxa"/>
              <w:right w:w="60" w:type="dxa"/>
            </w:tcMar>
            <w:vAlign w:val="center"/>
          </w:tcPr>
          <w:p>
            <w:pPr>
              <w:pStyle w:val="DMETW18983BIPREV"/>
              <w:jc w:val="right"/>
              <w:rPr>
                <w:rFonts w:ascii="Verdana" w:eastAsia="Times New Roman" w:hAnsi="Verdana" w:cs="Verdana"/>
                <w:i/>
                <w:noProof/>
                <w:color w:val="000000"/>
                <w:sz w:val="18"/>
              </w:rPr>
            </w:pPr>
            <w:r>
              <w:rPr>
                <w:rFonts w:ascii="Verdana" w:hAnsi="Verdana"/>
                <w:i/>
                <w:noProof/>
                <w:color w:val="000000"/>
                <w:sz w:val="18"/>
              </w:rPr>
              <w:t xml:space="preserve"> 4</w:t>
            </w:r>
          </w:p>
        </w:tc>
      </w:tr>
      <w:tr>
        <w:trPr>
          <w:trHeight w:hRule="exact" w:val="228"/>
        </w:trPr>
        <w:tc>
          <w:tcPr>
            <w:tcW w:w="5255" w:type="dxa"/>
            <w:tcBorders>
              <w:top w:val="nil"/>
              <w:left w:val="nil"/>
              <w:bottom w:val="nil"/>
              <w:right w:val="nil"/>
            </w:tcBorders>
            <w:tcMar>
              <w:top w:w="0" w:type="dxa"/>
              <w:left w:w="60" w:type="dxa"/>
              <w:bottom w:w="0" w:type="dxa"/>
              <w:right w:w="60" w:type="dxa"/>
            </w:tcMar>
            <w:vAlign w:val="center"/>
          </w:tcPr>
          <w:p>
            <w:pPr>
              <w:pStyle w:val="DMETW18983BIPREV"/>
              <w:rPr>
                <w:rFonts w:ascii="Verdana" w:eastAsia="Times New Roman" w:hAnsi="Verdana" w:cs="Verdana"/>
                <w:i/>
                <w:noProof/>
                <w:color w:val="000000"/>
                <w:sz w:val="18"/>
              </w:rPr>
            </w:pPr>
            <w:r>
              <w:rPr>
                <w:rFonts w:ascii="Verdana" w:hAnsi="Verdana"/>
                <w:i/>
                <w:noProof/>
                <w:color w:val="000000"/>
                <w:sz w:val="18"/>
              </w:rPr>
              <w:t>Pajamos iš prekybos operacijų</w:t>
            </w:r>
          </w:p>
        </w:tc>
        <w:tc>
          <w:tcPr>
            <w:tcW w:w="1539" w:type="dxa"/>
            <w:tcBorders>
              <w:top w:val="nil"/>
              <w:left w:val="nil"/>
              <w:bottom w:val="nil"/>
              <w:right w:val="nil"/>
            </w:tcBorders>
            <w:tcMar>
              <w:top w:w="0" w:type="dxa"/>
              <w:left w:w="60" w:type="dxa"/>
              <w:bottom w:w="0" w:type="dxa"/>
              <w:right w:w="60" w:type="dxa"/>
            </w:tcMar>
            <w:vAlign w:val="center"/>
          </w:tcPr>
          <w:p>
            <w:pPr>
              <w:pStyle w:val="DMETW18983BIPREV"/>
              <w:jc w:val="center"/>
              <w:rPr>
                <w:rFonts w:ascii="Verdana" w:eastAsia="Times New Roman" w:hAnsi="Verdana" w:cs="Verdana"/>
                <w:noProof/>
                <w:color w:val="000000"/>
                <w:sz w:val="18"/>
              </w:rPr>
            </w:pPr>
            <w:r>
              <w:rPr>
                <w:rFonts w:ascii="Verdana" w:hAnsi="Verdana"/>
                <w:noProof/>
                <w:color w:val="000000"/>
                <w:sz w:val="18"/>
              </w:rPr>
              <w:t>3.2</w:t>
            </w:r>
          </w:p>
        </w:tc>
        <w:tc>
          <w:tcPr>
            <w:tcW w:w="1916" w:type="dxa"/>
            <w:tcBorders>
              <w:top w:val="nil"/>
              <w:left w:val="nil"/>
              <w:bottom w:val="nil"/>
              <w:right w:val="nil"/>
            </w:tcBorders>
            <w:tcMar>
              <w:top w:w="0" w:type="dxa"/>
              <w:left w:w="60" w:type="dxa"/>
              <w:bottom w:w="0" w:type="dxa"/>
              <w:right w:w="60" w:type="dxa"/>
            </w:tcMar>
            <w:vAlign w:val="center"/>
          </w:tcPr>
          <w:p>
            <w:pPr>
              <w:pStyle w:val="DMETW18983BIPREV"/>
              <w:jc w:val="right"/>
              <w:rPr>
                <w:rFonts w:ascii="Verdana" w:eastAsia="Times New Roman" w:hAnsi="Verdana" w:cs="Verdana"/>
                <w:i/>
                <w:noProof/>
                <w:color w:val="000000"/>
                <w:sz w:val="18"/>
              </w:rPr>
            </w:pPr>
            <w:r>
              <w:rPr>
                <w:rFonts w:ascii="Verdana" w:hAnsi="Verdana"/>
                <w:i/>
                <w:noProof/>
                <w:color w:val="000000"/>
                <w:sz w:val="18"/>
              </w:rPr>
              <w:t xml:space="preserve"> 46</w:t>
            </w:r>
          </w:p>
        </w:tc>
        <w:tc>
          <w:tcPr>
            <w:tcW w:w="1048" w:type="dxa"/>
            <w:tcBorders>
              <w:top w:val="nil"/>
              <w:left w:val="nil"/>
              <w:bottom w:val="nil"/>
              <w:right w:val="nil"/>
            </w:tcBorders>
            <w:tcMar>
              <w:top w:w="0" w:type="dxa"/>
              <w:left w:w="60" w:type="dxa"/>
              <w:bottom w:w="0" w:type="dxa"/>
              <w:right w:w="60" w:type="dxa"/>
            </w:tcMar>
            <w:vAlign w:val="center"/>
          </w:tcPr>
          <w:p>
            <w:pPr>
              <w:pStyle w:val="DMETW18983BIPREV"/>
              <w:jc w:val="right"/>
              <w:rPr>
                <w:rFonts w:ascii="Verdana" w:eastAsia="Times New Roman" w:hAnsi="Verdana" w:cs="Verdana"/>
                <w:i/>
                <w:noProof/>
                <w:color w:val="000000"/>
                <w:sz w:val="18"/>
              </w:rPr>
            </w:pPr>
            <w:r>
              <w:rPr>
                <w:rFonts w:ascii="Verdana" w:hAnsi="Verdana"/>
                <w:i/>
                <w:noProof/>
                <w:color w:val="000000"/>
                <w:sz w:val="18"/>
              </w:rPr>
              <w:t xml:space="preserve"> 57</w:t>
            </w:r>
          </w:p>
        </w:tc>
      </w:tr>
      <w:tr>
        <w:trPr>
          <w:trHeight w:hRule="exact" w:val="228"/>
        </w:trPr>
        <w:tc>
          <w:tcPr>
            <w:tcW w:w="525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V"/>
              <w:rPr>
                <w:rFonts w:ascii="Verdana" w:eastAsia="Times New Roman" w:hAnsi="Verdana" w:cs="Verdana"/>
                <w:b/>
                <w:noProof/>
                <w:color w:val="000000"/>
                <w:sz w:val="18"/>
              </w:rPr>
            </w:pPr>
            <w:r>
              <w:rPr>
                <w:rFonts w:ascii="Verdana" w:hAnsi="Verdana"/>
                <w:b/>
                <w:noProof/>
                <w:color w:val="000000"/>
                <w:sz w:val="18"/>
              </w:rPr>
              <w:t>Iš viso</w:t>
            </w:r>
          </w:p>
        </w:tc>
        <w:tc>
          <w:tcPr>
            <w:tcW w:w="153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V"/>
              <w:jc w:val="right"/>
              <w:rPr>
                <w:rFonts w:ascii="Verdana" w:eastAsia="Times New Roman" w:hAnsi="Verdana" w:cs="Verdana"/>
                <w:b/>
                <w:noProof/>
                <w:color w:val="000000"/>
                <w:sz w:val="18"/>
              </w:rPr>
            </w:pPr>
          </w:p>
        </w:tc>
        <w:tc>
          <w:tcPr>
            <w:tcW w:w="191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V"/>
              <w:jc w:val="right"/>
              <w:rPr>
                <w:rFonts w:ascii="Verdana" w:eastAsia="Times New Roman" w:hAnsi="Verdana" w:cs="Verdana"/>
                <w:b/>
                <w:noProof/>
                <w:color w:val="000000"/>
                <w:sz w:val="18"/>
              </w:rPr>
            </w:pPr>
            <w:r>
              <w:rPr>
                <w:rFonts w:ascii="Verdana" w:hAnsi="Verdana"/>
                <w:b/>
                <w:noProof/>
                <w:color w:val="000000"/>
                <w:sz w:val="18"/>
              </w:rPr>
              <w:t xml:space="preserve"> 74</w:t>
            </w:r>
          </w:p>
        </w:tc>
        <w:tc>
          <w:tcPr>
            <w:tcW w:w="104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V"/>
              <w:jc w:val="right"/>
              <w:rPr>
                <w:rFonts w:ascii="Verdana" w:eastAsia="Times New Roman" w:hAnsi="Verdana" w:cs="Verdana"/>
                <w:b/>
                <w:noProof/>
                <w:color w:val="000000"/>
                <w:sz w:val="18"/>
              </w:rPr>
            </w:pPr>
            <w:r>
              <w:rPr>
                <w:rFonts w:ascii="Verdana" w:hAnsi="Verdana"/>
                <w:b/>
                <w:noProof/>
                <w:color w:val="000000"/>
                <w:sz w:val="18"/>
              </w:rPr>
              <w:t xml:space="preserve"> 60</w:t>
            </w:r>
          </w:p>
        </w:tc>
      </w:tr>
    </w:tbl>
    <w:p>
      <w:pPr>
        <w:pStyle w:val="HEADER2Part2"/>
        <w:rPr>
          <w:noProof/>
        </w:rPr>
      </w:pPr>
      <w:r>
        <w:rPr>
          <w:noProof/>
        </w:rPr>
        <w:t>PAJAMOS IŠ NEPREKYBINIŲ OPERACIJŲ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2"/>
        <w:gridCol w:w="1417"/>
        <w:gridCol w:w="993"/>
        <w:gridCol w:w="992"/>
        <w:gridCol w:w="850"/>
        <w:gridCol w:w="993"/>
        <w:gridCol w:w="880"/>
        <w:gridCol w:w="1021"/>
      </w:tblGrid>
      <w:tr>
        <w:trPr>
          <w:trHeight w:val="255"/>
        </w:trPr>
        <w:tc>
          <w:tcPr>
            <w:tcW w:w="2612" w:type="dxa"/>
            <w:gridSpan w:val="8"/>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6"/>
              </w:rPr>
            </w:pPr>
            <w:bookmarkStart w:id="72" w:name="DOC_TBL00035_1_1"/>
            <w:bookmarkEnd w:id="72"/>
            <w:r>
              <w:rPr>
                <w:rFonts w:ascii="Verdana" w:hAnsi="Verdana"/>
                <w:i/>
                <w:noProof/>
                <w:color w:val="000000"/>
                <w:sz w:val="16"/>
              </w:rPr>
              <w:t>mln. EUR</w:t>
            </w:r>
          </w:p>
        </w:tc>
      </w:tr>
      <w:tr>
        <w:trPr>
          <w:trHeight w:val="255"/>
        </w:trPr>
        <w:tc>
          <w:tcPr>
            <w:tcW w:w="261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
              <w:jc w:val="center"/>
              <w:rPr>
                <w:rFonts w:ascii="Verdana" w:eastAsia="Times New Roman" w:hAnsi="Verdana" w:cs="Verdana"/>
                <w:noProof/>
                <w:color w:val="FFFFFF"/>
              </w:rPr>
            </w:pPr>
          </w:p>
        </w:tc>
        <w:tc>
          <w:tcPr>
            <w:tcW w:w="141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
              <w:jc w:val="center"/>
              <w:rPr>
                <w:rFonts w:ascii="Verdana" w:eastAsia="Times New Roman" w:hAnsi="Verdana" w:cs="Verdana"/>
                <w:noProof/>
                <w:color w:val="FFFFFF"/>
              </w:rPr>
            </w:pPr>
            <w:r>
              <w:rPr>
                <w:rFonts w:ascii="Verdana" w:hAnsi="Verdana"/>
                <w:noProof/>
                <w:color w:val="FFFFFF"/>
              </w:rPr>
              <w:t>Pastaba</w:t>
            </w:r>
          </w:p>
        </w:tc>
        <w:tc>
          <w:tcPr>
            <w:tcW w:w="99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
              <w:jc w:val="right"/>
              <w:rPr>
                <w:rFonts w:ascii="Verdana" w:eastAsia="Times New Roman" w:hAnsi="Verdana" w:cs="Verdana"/>
                <w:noProof/>
                <w:color w:val="FFFFFF"/>
              </w:rPr>
            </w:pPr>
            <w:r>
              <w:rPr>
                <w:rFonts w:ascii="Verdana" w:hAnsi="Verdana"/>
                <w:noProof/>
                <w:color w:val="FFFFFF"/>
              </w:rPr>
              <w:t>8-asis EPF</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
              <w:jc w:val="right"/>
              <w:rPr>
                <w:rFonts w:ascii="Verdana" w:eastAsia="Times New Roman" w:hAnsi="Verdana" w:cs="Verdana"/>
                <w:noProof/>
                <w:color w:val="FFFFFF"/>
              </w:rPr>
            </w:pPr>
            <w:r>
              <w:rPr>
                <w:rFonts w:ascii="Verdana" w:hAnsi="Verdana"/>
                <w:noProof/>
                <w:color w:val="FFFFFF"/>
              </w:rPr>
              <w:t>9-asis EPF</w:t>
            </w: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
              <w:jc w:val="right"/>
              <w:rPr>
                <w:rFonts w:ascii="Verdana" w:eastAsia="Times New Roman" w:hAnsi="Verdana" w:cs="Verdana"/>
                <w:noProof/>
                <w:color w:val="FFFFFF"/>
              </w:rPr>
            </w:pPr>
            <w:r>
              <w:rPr>
                <w:rFonts w:ascii="Verdana" w:hAnsi="Verdana"/>
                <w:noProof/>
                <w:color w:val="FFFFFF"/>
              </w:rPr>
              <w:t>10-asis EPF</w:t>
            </w:r>
          </w:p>
        </w:tc>
        <w:tc>
          <w:tcPr>
            <w:tcW w:w="99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
              <w:jc w:val="right"/>
              <w:rPr>
                <w:rFonts w:ascii="Verdana" w:eastAsia="Times New Roman" w:hAnsi="Verdana" w:cs="Verdana"/>
                <w:noProof/>
                <w:color w:val="FFFFFF"/>
              </w:rPr>
            </w:pPr>
            <w:r>
              <w:rPr>
                <w:rFonts w:ascii="Verdana" w:hAnsi="Verdana"/>
                <w:noProof/>
                <w:color w:val="FFFFFF"/>
              </w:rPr>
              <w:t>11-asis EPF</w:t>
            </w:r>
          </w:p>
        </w:tc>
        <w:tc>
          <w:tcPr>
            <w:tcW w:w="88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
              <w:jc w:val="right"/>
              <w:rPr>
                <w:rFonts w:ascii="Verdana" w:eastAsia="Times New Roman" w:hAnsi="Verdana" w:cs="Verdana"/>
                <w:noProof/>
                <w:color w:val="FFFFFF"/>
              </w:rPr>
            </w:pPr>
            <w:r>
              <w:rPr>
                <w:rFonts w:ascii="Verdana" w:hAnsi="Verdana"/>
                <w:noProof/>
                <w:color w:val="FFFFFF"/>
              </w:rPr>
              <w:t>2019</w:t>
            </w:r>
          </w:p>
        </w:tc>
        <w:tc>
          <w:tcPr>
            <w:tcW w:w="102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
              <w:jc w:val="right"/>
              <w:rPr>
                <w:rFonts w:ascii="Verdana" w:eastAsia="Times New Roman" w:hAnsi="Verdana" w:cs="Verdana"/>
                <w:noProof/>
                <w:color w:val="FFFFFF"/>
              </w:rPr>
            </w:pPr>
            <w:r>
              <w:rPr>
                <w:rFonts w:ascii="Verdana" w:hAnsi="Verdana"/>
                <w:noProof/>
                <w:color w:val="FFFFFF"/>
              </w:rPr>
              <w:t>2018</w:t>
            </w:r>
          </w:p>
        </w:tc>
      </w:tr>
      <w:tr>
        <w:trPr>
          <w:trHeight w:val="255"/>
        </w:trPr>
        <w:tc>
          <w:tcPr>
            <w:tcW w:w="2612" w:type="dxa"/>
            <w:tcBorders>
              <w:top w:val="nil"/>
              <w:left w:val="nil"/>
              <w:bottom w:val="nil"/>
              <w:right w:val="nil"/>
            </w:tcBorders>
            <w:tcMar>
              <w:top w:w="0" w:type="dxa"/>
              <w:left w:w="60" w:type="dxa"/>
              <w:bottom w:w="0" w:type="dxa"/>
              <w:right w:w="60" w:type="dxa"/>
            </w:tcMar>
            <w:vAlign w:val="center"/>
          </w:tcPr>
          <w:p>
            <w:pPr>
              <w:pStyle w:val="DMETW18983BIPNEXREV"/>
              <w:rPr>
                <w:rFonts w:ascii="Verdana" w:eastAsia="Times New Roman" w:hAnsi="Verdana" w:cs="Verdana"/>
                <w:i/>
                <w:noProof/>
                <w:color w:val="000000"/>
                <w:sz w:val="18"/>
              </w:rPr>
            </w:pPr>
            <w:r>
              <w:rPr>
                <w:rFonts w:ascii="Verdana" w:hAnsi="Verdana"/>
                <w:i/>
                <w:noProof/>
                <w:color w:val="000000"/>
                <w:sz w:val="18"/>
              </w:rPr>
              <w:t>Išlaidų susigrąžinimas</w:t>
            </w:r>
          </w:p>
        </w:tc>
        <w:tc>
          <w:tcPr>
            <w:tcW w:w="1417" w:type="dxa"/>
            <w:tcBorders>
              <w:top w:val="nil"/>
              <w:left w:val="nil"/>
              <w:bottom w:val="nil"/>
              <w:right w:val="nil"/>
            </w:tcBorders>
            <w:tcMar>
              <w:top w:w="0" w:type="dxa"/>
              <w:left w:w="60" w:type="dxa"/>
              <w:bottom w:w="0" w:type="dxa"/>
              <w:right w:w="60" w:type="dxa"/>
            </w:tcMar>
            <w:vAlign w:val="center"/>
          </w:tcPr>
          <w:p>
            <w:pPr>
              <w:pStyle w:val="DMETW18983BIPNEXREV"/>
              <w:jc w:val="center"/>
              <w:rPr>
                <w:rFonts w:ascii="Verdana" w:eastAsia="Times New Roman" w:hAnsi="Verdana" w:cs="Verdana"/>
                <w:noProof/>
                <w:color w:val="000000"/>
                <w:sz w:val="18"/>
              </w:rPr>
            </w:pPr>
          </w:p>
        </w:tc>
        <w:tc>
          <w:tcPr>
            <w:tcW w:w="993"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9</w:t>
            </w:r>
          </w:p>
        </w:tc>
        <w:tc>
          <w:tcPr>
            <w:tcW w:w="993"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880"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13</w:t>
            </w:r>
          </w:p>
        </w:tc>
        <w:tc>
          <w:tcPr>
            <w:tcW w:w="1021"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21</w:t>
            </w:r>
          </w:p>
        </w:tc>
      </w:tr>
      <w:tr>
        <w:trPr>
          <w:trHeight w:val="255"/>
        </w:trPr>
        <w:tc>
          <w:tcPr>
            <w:tcW w:w="2612" w:type="dxa"/>
            <w:tcBorders>
              <w:top w:val="nil"/>
              <w:left w:val="nil"/>
              <w:bottom w:val="nil"/>
              <w:right w:val="nil"/>
            </w:tcBorders>
            <w:tcMar>
              <w:top w:w="0" w:type="dxa"/>
              <w:left w:w="60" w:type="dxa"/>
              <w:bottom w:w="0" w:type="dxa"/>
              <w:right w:w="60" w:type="dxa"/>
            </w:tcMar>
            <w:vAlign w:val="center"/>
          </w:tcPr>
          <w:p>
            <w:pPr>
              <w:pStyle w:val="DMETW18983BIPNEXREV"/>
              <w:rPr>
                <w:rFonts w:ascii="Verdana" w:eastAsia="Times New Roman" w:hAnsi="Verdana" w:cs="Verdana"/>
                <w:i/>
                <w:noProof/>
                <w:color w:val="000000"/>
                <w:sz w:val="18"/>
              </w:rPr>
            </w:pPr>
            <w:r>
              <w:rPr>
                <w:rFonts w:ascii="Verdana" w:hAnsi="Verdana"/>
                <w:i/>
                <w:noProof/>
                <w:color w:val="000000"/>
                <w:sz w:val="18"/>
              </w:rPr>
              <w:t>STABEX lėšų susigrąžinimas</w:t>
            </w:r>
          </w:p>
        </w:tc>
        <w:tc>
          <w:tcPr>
            <w:tcW w:w="1417" w:type="dxa"/>
            <w:tcBorders>
              <w:top w:val="nil"/>
              <w:left w:val="nil"/>
              <w:bottom w:val="nil"/>
              <w:right w:val="nil"/>
            </w:tcBorders>
            <w:tcMar>
              <w:top w:w="0" w:type="dxa"/>
              <w:left w:w="60" w:type="dxa"/>
              <w:bottom w:w="0" w:type="dxa"/>
              <w:right w:w="60" w:type="dxa"/>
            </w:tcMar>
            <w:vAlign w:val="center"/>
          </w:tcPr>
          <w:p>
            <w:pPr>
              <w:pStyle w:val="DMETW18983BIPNEXREV"/>
              <w:jc w:val="center"/>
              <w:rPr>
                <w:rFonts w:ascii="Verdana" w:eastAsia="Times New Roman" w:hAnsi="Verdana" w:cs="Verdana"/>
                <w:noProof/>
                <w:color w:val="000000"/>
                <w:sz w:val="18"/>
              </w:rPr>
            </w:pPr>
          </w:p>
        </w:tc>
        <w:tc>
          <w:tcPr>
            <w:tcW w:w="993"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021"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0</w:t>
            </w:r>
          </w:p>
        </w:tc>
      </w:tr>
      <w:tr>
        <w:trPr>
          <w:trHeight w:val="255"/>
        </w:trPr>
        <w:tc>
          <w:tcPr>
            <w:tcW w:w="2612" w:type="dxa"/>
            <w:tcBorders>
              <w:top w:val="nil"/>
              <w:left w:val="nil"/>
              <w:bottom w:val="nil"/>
              <w:right w:val="nil"/>
            </w:tcBorders>
            <w:tcMar>
              <w:top w:w="0" w:type="dxa"/>
              <w:left w:w="60" w:type="dxa"/>
              <w:bottom w:w="0" w:type="dxa"/>
              <w:right w:w="60" w:type="dxa"/>
            </w:tcMar>
            <w:vAlign w:val="center"/>
          </w:tcPr>
          <w:p>
            <w:pPr>
              <w:pStyle w:val="DMETW18983BIPNEXREV"/>
              <w:rPr>
                <w:rFonts w:ascii="Verdana" w:eastAsia="Times New Roman" w:hAnsi="Verdana" w:cs="Verdana"/>
                <w:i/>
                <w:noProof/>
                <w:color w:val="000000"/>
                <w:sz w:val="18"/>
              </w:rPr>
            </w:pPr>
            <w:r>
              <w:rPr>
                <w:rFonts w:ascii="Verdana" w:hAnsi="Verdana"/>
                <w:i/>
                <w:noProof/>
                <w:color w:val="000000"/>
                <w:sz w:val="18"/>
              </w:rPr>
              <w:t>Bendro finansavimo pajamos</w:t>
            </w:r>
          </w:p>
        </w:tc>
        <w:tc>
          <w:tcPr>
            <w:tcW w:w="1417" w:type="dxa"/>
            <w:tcBorders>
              <w:top w:val="nil"/>
              <w:left w:val="nil"/>
              <w:bottom w:val="nil"/>
              <w:right w:val="nil"/>
            </w:tcBorders>
            <w:tcMar>
              <w:top w:w="0" w:type="dxa"/>
              <w:left w:w="60" w:type="dxa"/>
              <w:bottom w:w="0" w:type="dxa"/>
              <w:right w:w="60" w:type="dxa"/>
            </w:tcMar>
            <w:vAlign w:val="center"/>
          </w:tcPr>
          <w:p>
            <w:pPr>
              <w:pStyle w:val="DMETW18983BIPNEXREV"/>
              <w:jc w:val="center"/>
              <w:rPr>
                <w:rFonts w:ascii="Verdana" w:eastAsia="Times New Roman" w:hAnsi="Verdana" w:cs="Verdana"/>
                <w:noProof/>
                <w:color w:val="000000"/>
                <w:sz w:val="18"/>
              </w:rPr>
            </w:pPr>
            <w:r>
              <w:rPr>
                <w:rFonts w:ascii="Verdana" w:hAnsi="Verdana"/>
                <w:noProof/>
                <w:color w:val="000000"/>
                <w:sz w:val="18"/>
              </w:rPr>
              <w:t>3.1.1</w:t>
            </w:r>
          </w:p>
        </w:tc>
        <w:tc>
          <w:tcPr>
            <w:tcW w:w="993"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9</w:t>
            </w:r>
          </w:p>
        </w:tc>
        <w:tc>
          <w:tcPr>
            <w:tcW w:w="993"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5</w:t>
            </w:r>
          </w:p>
        </w:tc>
        <w:tc>
          <w:tcPr>
            <w:tcW w:w="880"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14</w:t>
            </w:r>
          </w:p>
        </w:tc>
        <w:tc>
          <w:tcPr>
            <w:tcW w:w="1021"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(17)</w:t>
            </w:r>
          </w:p>
        </w:tc>
      </w:tr>
      <w:tr>
        <w:trPr>
          <w:trHeight w:val="255"/>
        </w:trPr>
        <w:tc>
          <w:tcPr>
            <w:tcW w:w="261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
              <w:rPr>
                <w:rFonts w:ascii="Verdana" w:eastAsia="Times New Roman" w:hAnsi="Verdana" w:cs="Verdana"/>
                <w:b/>
                <w:noProof/>
                <w:color w:val="000000"/>
                <w:sz w:val="18"/>
              </w:rPr>
            </w:pPr>
            <w:r>
              <w:rPr>
                <w:rFonts w:ascii="Verdana" w:hAnsi="Verdana"/>
                <w:b/>
                <w:noProof/>
                <w:color w:val="000000"/>
                <w:sz w:val="18"/>
              </w:rPr>
              <w:t>Iš viso</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
              <w:jc w:val="right"/>
              <w:rPr>
                <w:rFonts w:ascii="Verdana" w:eastAsia="Times New Roman" w:hAnsi="Verdana" w:cs="Verdana"/>
                <w:b/>
                <w:noProof/>
                <w:color w:val="000000"/>
                <w:sz w:val="18"/>
              </w:rPr>
            </w:pP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
              <w:jc w:val="right"/>
              <w:rPr>
                <w:rFonts w:ascii="Verdana" w:eastAsia="Times New Roman" w:hAnsi="Verdana" w:cs="Verdana"/>
                <w:b/>
                <w:noProof/>
                <w:color w:val="000000"/>
                <w:sz w:val="18"/>
              </w:rPr>
            </w:pPr>
            <w:r>
              <w:rPr>
                <w:rFonts w:ascii="Verdana" w:hAnsi="Verdana"/>
                <w:b/>
                <w:noProof/>
                <w:color w:val="000000"/>
                <w:sz w:val="18"/>
              </w:rPr>
              <w:t xml:space="preserve">  0</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
              <w:jc w:val="right"/>
              <w:rPr>
                <w:rFonts w:ascii="Verdana" w:eastAsia="Times New Roman" w:hAnsi="Verdana" w:cs="Verdana"/>
                <w:b/>
                <w:noProof/>
                <w:color w:val="000000"/>
                <w:sz w:val="18"/>
              </w:rPr>
            </w:pPr>
            <w:r>
              <w:rPr>
                <w:rFonts w:ascii="Verdana" w:hAnsi="Verdana"/>
                <w:b/>
                <w:noProof/>
                <w:color w:val="000000"/>
                <w:sz w:val="18"/>
              </w:rPr>
              <w:t xml:space="preserve">  0</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
              <w:jc w:val="right"/>
              <w:rPr>
                <w:rFonts w:ascii="Verdana" w:eastAsia="Times New Roman" w:hAnsi="Verdana" w:cs="Verdana"/>
                <w:b/>
                <w:noProof/>
                <w:color w:val="000000"/>
                <w:sz w:val="18"/>
              </w:rPr>
            </w:pPr>
            <w:r>
              <w:rPr>
                <w:rFonts w:ascii="Verdana" w:hAnsi="Verdana"/>
                <w:b/>
                <w:noProof/>
                <w:color w:val="000000"/>
                <w:sz w:val="18"/>
              </w:rPr>
              <w:t xml:space="preserve">  18</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
              <w:jc w:val="right"/>
              <w:rPr>
                <w:rFonts w:ascii="Verdana" w:eastAsia="Times New Roman" w:hAnsi="Verdana" w:cs="Verdana"/>
                <w:b/>
                <w:noProof/>
                <w:color w:val="000000"/>
                <w:sz w:val="18"/>
              </w:rPr>
            </w:pPr>
            <w:r>
              <w:rPr>
                <w:rFonts w:ascii="Verdana" w:hAnsi="Verdana"/>
                <w:b/>
                <w:noProof/>
                <w:color w:val="000000"/>
                <w:sz w:val="18"/>
              </w:rPr>
              <w:t xml:space="preserve">  10</w:t>
            </w:r>
          </w:p>
        </w:tc>
        <w:tc>
          <w:tcPr>
            <w:tcW w:w="88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
              <w:jc w:val="right"/>
              <w:rPr>
                <w:rFonts w:ascii="Verdana" w:eastAsia="Times New Roman" w:hAnsi="Verdana" w:cs="Verdana"/>
                <w:b/>
                <w:noProof/>
                <w:color w:val="000000"/>
                <w:sz w:val="18"/>
              </w:rPr>
            </w:pPr>
            <w:r>
              <w:rPr>
                <w:rFonts w:ascii="Verdana" w:hAnsi="Verdana"/>
                <w:b/>
                <w:noProof/>
                <w:color w:val="000000"/>
                <w:sz w:val="18"/>
              </w:rPr>
              <w:t xml:space="preserve">  28</w:t>
            </w:r>
          </w:p>
        </w:tc>
        <w:tc>
          <w:tcPr>
            <w:tcW w:w="102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
              <w:jc w:val="right"/>
              <w:rPr>
                <w:rFonts w:ascii="Verdana" w:eastAsia="Times New Roman" w:hAnsi="Verdana" w:cs="Verdana"/>
                <w:b/>
                <w:noProof/>
                <w:color w:val="000000"/>
                <w:sz w:val="18"/>
              </w:rPr>
            </w:pPr>
            <w:r>
              <w:rPr>
                <w:rFonts w:ascii="Verdana" w:hAnsi="Verdana"/>
                <w:b/>
                <w:noProof/>
                <w:color w:val="000000"/>
                <w:sz w:val="18"/>
              </w:rPr>
              <w:t xml:space="preserve">  4</w:t>
            </w:r>
          </w:p>
        </w:tc>
      </w:tr>
    </w:tbl>
    <w:p>
      <w:pPr>
        <w:pStyle w:val="Textstand-alone"/>
        <w:spacing w:before="0" w:after="0"/>
      </w:pPr>
    </w:p>
    <w:p>
      <w:pPr>
        <w:pStyle w:val="Textstand-alone"/>
        <w:spacing w:before="0" w:after="0"/>
      </w:pPr>
      <w:r>
        <w:t>Pajamas iš neprekybinių operacijų galima suskirstyti pagal valdymo metodą:</w:t>
      </w:r>
    </w:p>
    <w:p>
      <w:pPr>
        <w:pStyle w:val="Textstand-alone"/>
        <w:spacing w:before="0"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4"/>
        <w:gridCol w:w="2075"/>
        <w:gridCol w:w="1789"/>
      </w:tblGrid>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noProof/>
                <w:color w:val="000000"/>
                <w:sz w:val="18"/>
              </w:rPr>
            </w:pPr>
            <w:bookmarkStart w:id="73" w:name="DOC_TBL00030_1_1"/>
            <w:bookmarkEnd w:id="73"/>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6"/>
              </w:rPr>
            </w:pPr>
            <w:r>
              <w:rPr>
                <w:rFonts w:ascii="Verdana" w:hAnsi="Verdana"/>
                <w:i/>
                <w:noProof/>
                <w:color w:val="000000"/>
                <w:sz w:val="16"/>
              </w:rPr>
              <w:t>mln. EUR</w:t>
            </w:r>
          </w:p>
        </w:tc>
      </w:tr>
      <w:tr>
        <w:trPr>
          <w:trHeight w:val="255"/>
        </w:trPr>
        <w:tc>
          <w:tcPr>
            <w:tcW w:w="589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BMM"/>
              <w:rPr>
                <w:rFonts w:ascii="Verdana" w:eastAsia="Times New Roman" w:hAnsi="Verdana" w:cs="Verdana"/>
                <w:noProof/>
                <w:color w:val="FFFFFF"/>
                <w:sz w:val="18"/>
              </w:rPr>
            </w:pPr>
          </w:p>
        </w:tc>
        <w:tc>
          <w:tcPr>
            <w:tcW w:w="207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BMM"/>
              <w:jc w:val="right"/>
              <w:rPr>
                <w:rFonts w:ascii="Verdana" w:eastAsia="Times New Roman" w:hAnsi="Verdana" w:cs="Verdana"/>
                <w:noProof/>
                <w:color w:val="FFFFFF"/>
                <w:sz w:val="18"/>
              </w:rPr>
            </w:pPr>
            <w:r>
              <w:rPr>
                <w:rFonts w:ascii="Verdana" w:hAnsi="Verdana"/>
                <w:noProof/>
                <w:color w:val="FFFFFF"/>
                <w:sz w:val="18"/>
              </w:rPr>
              <w:t>2019</w:t>
            </w:r>
          </w:p>
        </w:tc>
        <w:tc>
          <w:tcPr>
            <w:tcW w:w="178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BMM"/>
              <w:jc w:val="right"/>
              <w:rPr>
                <w:rFonts w:ascii="Verdana" w:eastAsia="Times New Roman" w:hAnsi="Verdana" w:cs="Verdana"/>
                <w:noProof/>
                <w:color w:val="FFFFFF"/>
                <w:sz w:val="18"/>
              </w:rPr>
            </w:pPr>
            <w:r>
              <w:rPr>
                <w:rFonts w:ascii="Verdana" w:hAnsi="Verdana"/>
                <w:noProof/>
                <w:color w:val="FFFFFF"/>
                <w:sz w:val="18"/>
              </w:rPr>
              <w:t>2018</w:t>
            </w: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b/>
                <w:noProof/>
                <w:color w:val="000000"/>
                <w:sz w:val="18"/>
              </w:rPr>
            </w:pPr>
            <w:r>
              <w:rPr>
                <w:rFonts w:ascii="Verdana" w:hAnsi="Verdana"/>
                <w:b/>
                <w:noProof/>
                <w:color w:val="000000"/>
                <w:sz w:val="18"/>
              </w:rPr>
              <w:t>Tiesioginis valdymas</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b/>
                <w:i/>
                <w:noProof/>
                <w:color w:val="000000"/>
                <w:sz w:val="18"/>
              </w:rPr>
            </w:pP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b/>
                <w:i/>
                <w:noProof/>
                <w:color w:val="000000"/>
                <w:sz w:val="18"/>
              </w:rPr>
            </w:pP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i/>
                <w:noProof/>
                <w:color w:val="000000"/>
                <w:sz w:val="18"/>
              </w:rPr>
            </w:pPr>
            <w:r>
              <w:rPr>
                <w:rFonts w:ascii="Verdana" w:hAnsi="Verdana"/>
                <w:i/>
                <w:noProof/>
                <w:color w:val="000000"/>
                <w:sz w:val="18"/>
              </w:rPr>
              <w:t>Vykdo:</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i/>
                <w:noProof/>
                <w:color w:val="000000"/>
                <w:sz w:val="18"/>
              </w:rPr>
            </w:pPr>
            <w:r>
              <w:rPr>
                <w:rFonts w:ascii="Verdana" w:hAnsi="Verdana"/>
                <w:i/>
                <w:noProof/>
                <w:color w:val="000000"/>
                <w:sz w:val="18"/>
              </w:rPr>
              <w:t>Komisija</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hAnsi="Verdana"/>
                <w:i/>
                <w:noProof/>
                <w:color w:val="000000"/>
                <w:sz w:val="18"/>
              </w:rPr>
              <w:t xml:space="preserve"> 1</w:t>
            </w: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i/>
                <w:noProof/>
                <w:color w:val="000000"/>
                <w:sz w:val="18"/>
              </w:rPr>
            </w:pPr>
            <w:r>
              <w:rPr>
                <w:rFonts w:ascii="Verdana" w:hAnsi="Verdana"/>
                <w:i/>
                <w:noProof/>
                <w:color w:val="000000"/>
                <w:sz w:val="18"/>
              </w:rPr>
              <w:t>ES delegacijos</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hAnsi="Verdana"/>
                <w:i/>
                <w:noProof/>
                <w:color w:val="000000"/>
                <w:sz w:val="18"/>
              </w:rPr>
              <w:t xml:space="preserve"> 6</w:t>
            </w: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hAnsi="Verdana"/>
                <w:i/>
                <w:noProof/>
                <w:color w:val="000000"/>
                <w:sz w:val="18"/>
              </w:rPr>
              <w:t xml:space="preserve"> 3</w:t>
            </w:r>
          </w:p>
        </w:tc>
      </w:tr>
      <w:tr>
        <w:trPr>
          <w:trHeight w:val="255"/>
        </w:trPr>
        <w:tc>
          <w:tcPr>
            <w:tcW w:w="5894"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NEXREVBMM"/>
              <w:rPr>
                <w:rFonts w:ascii="Verdana" w:eastAsia="Times New Roman" w:hAnsi="Verdana" w:cs="Verdana"/>
                <w:i/>
                <w:noProof/>
                <w:color w:val="000000"/>
                <w:sz w:val="18"/>
              </w:rPr>
            </w:pPr>
          </w:p>
        </w:tc>
        <w:tc>
          <w:tcPr>
            <w:tcW w:w="207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b/>
                <w:noProof/>
                <w:color w:val="000000"/>
                <w:sz w:val="18"/>
              </w:rPr>
            </w:pPr>
            <w:r>
              <w:rPr>
                <w:rFonts w:ascii="Verdana" w:hAnsi="Verdana"/>
                <w:b/>
                <w:noProof/>
                <w:color w:val="000000"/>
                <w:sz w:val="18"/>
              </w:rPr>
              <w:t xml:space="preserve"> 6</w:t>
            </w:r>
          </w:p>
        </w:tc>
        <w:tc>
          <w:tcPr>
            <w:tcW w:w="178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b/>
                <w:noProof/>
                <w:color w:val="000000"/>
                <w:sz w:val="18"/>
              </w:rPr>
            </w:pPr>
            <w:r>
              <w:rPr>
                <w:rFonts w:ascii="Verdana" w:hAnsi="Verdana"/>
                <w:b/>
                <w:noProof/>
                <w:color w:val="000000"/>
                <w:sz w:val="18"/>
              </w:rPr>
              <w:t xml:space="preserve"> 4</w:t>
            </w: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b/>
                <w:noProof/>
                <w:color w:val="000000"/>
                <w:sz w:val="18"/>
              </w:rPr>
            </w:pPr>
            <w:r>
              <w:rPr>
                <w:rFonts w:ascii="Verdana" w:hAnsi="Verdana"/>
                <w:b/>
                <w:noProof/>
                <w:color w:val="000000"/>
                <w:sz w:val="18"/>
              </w:rPr>
              <w:t>Netiesioginis valdymas</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b/>
                <w:noProof/>
                <w:color w:val="000000"/>
                <w:sz w:val="18"/>
              </w:rPr>
            </w:pP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b/>
                <w:noProof/>
                <w:color w:val="000000"/>
                <w:sz w:val="18"/>
              </w:rPr>
            </w:pP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i/>
                <w:noProof/>
                <w:color w:val="000000"/>
                <w:sz w:val="18"/>
              </w:rPr>
            </w:pPr>
            <w:r>
              <w:rPr>
                <w:rFonts w:ascii="Verdana" w:hAnsi="Verdana"/>
                <w:i/>
                <w:noProof/>
                <w:color w:val="000000"/>
                <w:sz w:val="18"/>
              </w:rPr>
              <w:t>Vykdo:</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i/>
                <w:noProof/>
                <w:color w:val="000000"/>
                <w:sz w:val="18"/>
              </w:rPr>
            </w:pPr>
            <w:r>
              <w:rPr>
                <w:rFonts w:ascii="Verdana" w:hAnsi="Verdana"/>
                <w:i/>
                <w:noProof/>
                <w:color w:val="000000"/>
                <w:sz w:val="18"/>
              </w:rPr>
              <w:t>Trečiosios šalys</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hAnsi="Verdana"/>
                <w:i/>
                <w:noProof/>
                <w:color w:val="000000"/>
                <w:sz w:val="18"/>
              </w:rPr>
              <w:t xml:space="preserve"> 15</w:t>
            </w: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hAnsi="Verdana"/>
                <w:i/>
                <w:noProof/>
                <w:color w:val="000000"/>
                <w:sz w:val="18"/>
              </w:rPr>
              <w:t xml:space="preserve"> (13)</w:t>
            </w: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i/>
                <w:noProof/>
                <w:color w:val="000000"/>
                <w:sz w:val="18"/>
              </w:rPr>
            </w:pPr>
            <w:r>
              <w:rPr>
                <w:rFonts w:ascii="Verdana" w:hAnsi="Verdana"/>
                <w:i/>
                <w:noProof/>
                <w:color w:val="000000"/>
                <w:sz w:val="18"/>
              </w:rPr>
              <w:t>Tarptautinės organizacijos</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hAnsi="Verdana"/>
                <w:i/>
                <w:noProof/>
                <w:color w:val="000000"/>
                <w:sz w:val="18"/>
              </w:rPr>
              <w:t xml:space="preserve"> 5</w:t>
            </w: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hAnsi="Verdana"/>
                <w:i/>
                <w:noProof/>
                <w:color w:val="000000"/>
                <w:sz w:val="18"/>
              </w:rPr>
              <w:t xml:space="preserve"> 12</w:t>
            </w: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i/>
                <w:noProof/>
                <w:color w:val="000000"/>
                <w:sz w:val="18"/>
              </w:rPr>
            </w:pPr>
            <w:r>
              <w:rPr>
                <w:rFonts w:ascii="Verdana" w:hAnsi="Verdana"/>
                <w:i/>
                <w:noProof/>
                <w:color w:val="000000"/>
                <w:sz w:val="18"/>
              </w:rPr>
              <w:t>Privatinės teisės įstaigos, teikiančios viešąsias paslaugas</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hAnsi="Verdana"/>
                <w:i/>
                <w:noProof/>
                <w:color w:val="000000"/>
                <w:sz w:val="18"/>
              </w:rPr>
              <w:t xml:space="preserve"> 1</w:t>
            </w:r>
          </w:p>
        </w:tc>
      </w:tr>
      <w:tr>
        <w:trPr>
          <w:trHeight w:val="255"/>
        </w:trPr>
        <w:tc>
          <w:tcPr>
            <w:tcW w:w="5894" w:type="dxa"/>
            <w:tcBorders>
              <w:top w:val="single" w:sz="4" w:space="0" w:color="016794"/>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b/>
                <w:noProof/>
                <w:color w:val="000000"/>
                <w:sz w:val="18"/>
              </w:rPr>
            </w:pPr>
          </w:p>
        </w:tc>
        <w:tc>
          <w:tcPr>
            <w:tcW w:w="2075" w:type="dxa"/>
            <w:tcBorders>
              <w:top w:val="single" w:sz="4" w:space="0" w:color="016794"/>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b/>
                <w:noProof/>
                <w:color w:val="000000"/>
                <w:sz w:val="18"/>
              </w:rPr>
            </w:pPr>
            <w:r>
              <w:rPr>
                <w:rFonts w:ascii="Verdana" w:hAnsi="Verdana"/>
                <w:b/>
                <w:noProof/>
                <w:color w:val="000000"/>
                <w:sz w:val="18"/>
              </w:rPr>
              <w:t xml:space="preserve"> 22</w:t>
            </w:r>
          </w:p>
        </w:tc>
        <w:tc>
          <w:tcPr>
            <w:tcW w:w="1789" w:type="dxa"/>
            <w:tcBorders>
              <w:top w:val="single" w:sz="4" w:space="0" w:color="016794"/>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b/>
                <w:noProof/>
                <w:color w:val="000000"/>
                <w:sz w:val="18"/>
              </w:rPr>
            </w:pPr>
            <w:r>
              <w:rPr>
                <w:rFonts w:ascii="Verdana" w:hAnsi="Verdana"/>
                <w:b/>
                <w:noProof/>
                <w:color w:val="000000"/>
                <w:sz w:val="18"/>
              </w:rPr>
              <w:t>–</w:t>
            </w:r>
          </w:p>
        </w:tc>
      </w:tr>
      <w:tr>
        <w:trPr>
          <w:trHeight w:val="255"/>
        </w:trPr>
        <w:tc>
          <w:tcPr>
            <w:tcW w:w="589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BMM"/>
              <w:rPr>
                <w:rFonts w:ascii="Verdana" w:eastAsia="Times New Roman" w:hAnsi="Verdana" w:cs="Verdana"/>
                <w:b/>
                <w:noProof/>
                <w:color w:val="000000"/>
                <w:sz w:val="18"/>
              </w:rPr>
            </w:pPr>
            <w:r>
              <w:rPr>
                <w:rFonts w:ascii="Verdana" w:hAnsi="Verdana"/>
                <w:b/>
                <w:noProof/>
                <w:color w:val="000000"/>
                <w:sz w:val="18"/>
              </w:rPr>
              <w:t>Iš viso</w:t>
            </w:r>
          </w:p>
        </w:tc>
        <w:tc>
          <w:tcPr>
            <w:tcW w:w="2075"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BMM"/>
              <w:jc w:val="right"/>
              <w:rPr>
                <w:rFonts w:ascii="Verdana" w:eastAsia="Times New Roman" w:hAnsi="Verdana" w:cs="Verdana"/>
                <w:b/>
                <w:noProof/>
                <w:color w:val="000000"/>
                <w:sz w:val="18"/>
              </w:rPr>
            </w:pPr>
            <w:r>
              <w:rPr>
                <w:rFonts w:ascii="Verdana" w:hAnsi="Verdana"/>
                <w:b/>
                <w:noProof/>
                <w:color w:val="000000"/>
                <w:sz w:val="18"/>
              </w:rPr>
              <w:t xml:space="preserve">  28</w:t>
            </w:r>
          </w:p>
        </w:tc>
        <w:tc>
          <w:tcPr>
            <w:tcW w:w="178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BMM"/>
              <w:jc w:val="right"/>
              <w:rPr>
                <w:rFonts w:ascii="Verdana" w:eastAsia="Times New Roman" w:hAnsi="Verdana" w:cs="Verdana"/>
                <w:b/>
                <w:noProof/>
                <w:color w:val="000000"/>
                <w:sz w:val="18"/>
              </w:rPr>
            </w:pPr>
            <w:r>
              <w:rPr>
                <w:rFonts w:ascii="Verdana" w:hAnsi="Verdana"/>
                <w:b/>
                <w:noProof/>
                <w:color w:val="000000"/>
                <w:sz w:val="18"/>
              </w:rPr>
              <w:t xml:space="preserve">  4</w:t>
            </w:r>
          </w:p>
        </w:tc>
      </w:tr>
    </w:tbl>
    <w:p>
      <w:pPr>
        <w:pStyle w:val="HEADER3Part2"/>
        <w:rPr>
          <w:noProof/>
        </w:rPr>
      </w:pPr>
      <w:r>
        <w:rPr>
          <w:noProof/>
        </w:rPr>
        <w:t>Bendro finansavimo pajamos</w:t>
      </w:r>
    </w:p>
    <w:p>
      <w:pPr>
        <w:pStyle w:val="Textstand-alone"/>
      </w:pPr>
      <w:r>
        <w:t xml:space="preserve">Gauti bendro finansavimo įnašai atitinka sąlyginių pajamų iš neprekybinių operacijų kriterijus ir neturėtų turėti poveikio finansinės veiklos ataskaitai. Įnašai nurodomi prie įsipareigojimų (žr. </w:t>
      </w:r>
      <w:r>
        <w:rPr>
          <w:b/>
        </w:rPr>
        <w:t>2.6.1</w:t>
      </w:r>
      <w:r>
        <w:t xml:space="preserve"> pastabą), kol neįvykdomos su skirtomis lėšomis susijusios sąlygos, t. y. nepatiriama finansuoti tinkamų išlaidų (žr. </w:t>
      </w:r>
      <w:r>
        <w:rPr>
          <w:b/>
        </w:rPr>
        <w:t>3.4</w:t>
      </w:r>
      <w:r>
        <w:t xml:space="preserve"> pastabą). Tuomet atitinkama suma finansinės veiklos ataskaitoje pripažįstama bendro finansavimo pajamomis iš neprekybinių operacijų. Todėl ekonominiam tų metų rezultatui tai nedaro jokio poveikio.</w:t>
      </w:r>
    </w:p>
    <w:p>
      <w:pPr>
        <w:pStyle w:val="Textstand-alone"/>
        <w:sectPr>
          <w:headerReference w:type="even" r:id="rId167"/>
          <w:headerReference w:type="default" r:id="rId168"/>
          <w:footerReference w:type="even" r:id="rId169"/>
          <w:footerReference w:type="default" r:id="rId170"/>
          <w:headerReference w:type="first" r:id="rId171"/>
          <w:footerReference w:type="first" r:id="rId172"/>
          <w:pgSz w:w="11906" w:h="16838"/>
          <w:pgMar w:top="1134" w:right="1134" w:bottom="1134" w:left="1134" w:header="709" w:footer="709" w:gutter="0"/>
          <w:cols w:space="708"/>
          <w:docGrid w:linePitch="360"/>
        </w:sectPr>
      </w:pPr>
    </w:p>
    <w:p>
      <w:pPr>
        <w:pStyle w:val="HEADER2Part2"/>
        <w:rPr>
          <w:noProof/>
        </w:rPr>
      </w:pPr>
      <w:r>
        <w:rPr>
          <w:noProof/>
        </w:rPr>
        <w:t>PAJAMOS IŠ PREKYBOS OPERACIJŲ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1417"/>
        <w:gridCol w:w="1276"/>
        <w:gridCol w:w="1417"/>
        <w:gridCol w:w="1418"/>
        <w:gridCol w:w="709"/>
        <w:gridCol w:w="767"/>
      </w:tblGrid>
      <w:tr>
        <w:trPr>
          <w:trHeight w:val="255"/>
        </w:trPr>
        <w:tc>
          <w:tcPr>
            <w:tcW w:w="9758" w:type="dxa"/>
            <w:gridSpan w:val="7"/>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6"/>
              </w:rPr>
            </w:pPr>
            <w:bookmarkStart w:id="74" w:name="DOC_TBL00037_1_1"/>
            <w:bookmarkEnd w:id="74"/>
            <w:r>
              <w:rPr>
                <w:rFonts w:ascii="Verdana" w:hAnsi="Verdana"/>
                <w:i/>
                <w:noProof/>
                <w:color w:val="000000"/>
                <w:sz w:val="16"/>
              </w:rPr>
              <w:t>mln. EUR</w:t>
            </w:r>
          </w:p>
        </w:tc>
      </w:tr>
      <w:tr>
        <w:trPr>
          <w:trHeight w:val="255"/>
        </w:trPr>
        <w:tc>
          <w:tcPr>
            <w:tcW w:w="275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XREV"/>
              <w:jc w:val="right"/>
              <w:rPr>
                <w:rFonts w:ascii="Verdana" w:eastAsia="Times New Roman" w:hAnsi="Verdana" w:cs="Verdana"/>
                <w:noProof/>
                <w:color w:val="FFFFFF"/>
              </w:rPr>
            </w:pPr>
          </w:p>
        </w:tc>
        <w:tc>
          <w:tcPr>
            <w:tcW w:w="141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XREV"/>
              <w:jc w:val="right"/>
              <w:rPr>
                <w:rFonts w:ascii="Verdana" w:eastAsia="Times New Roman" w:hAnsi="Verdana" w:cs="Verdana"/>
                <w:noProof/>
                <w:color w:val="FFFFFF"/>
              </w:rPr>
            </w:pPr>
            <w:r>
              <w:rPr>
                <w:rFonts w:ascii="Verdana" w:hAnsi="Verdana"/>
                <w:noProof/>
                <w:color w:val="FFFFFF"/>
              </w:rPr>
              <w:t>8-asis EPF</w:t>
            </w:r>
          </w:p>
        </w:tc>
        <w:tc>
          <w:tcPr>
            <w:tcW w:w="127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XREV"/>
              <w:jc w:val="right"/>
              <w:rPr>
                <w:rFonts w:ascii="Verdana" w:eastAsia="Times New Roman" w:hAnsi="Verdana" w:cs="Verdana"/>
                <w:noProof/>
                <w:color w:val="FFFFFF"/>
              </w:rPr>
            </w:pPr>
            <w:r>
              <w:rPr>
                <w:rFonts w:ascii="Verdana" w:hAnsi="Verdana"/>
                <w:noProof/>
                <w:color w:val="FFFFFF"/>
              </w:rPr>
              <w:t>9-asis EPF</w:t>
            </w:r>
          </w:p>
        </w:tc>
        <w:tc>
          <w:tcPr>
            <w:tcW w:w="141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XREV"/>
              <w:jc w:val="right"/>
              <w:rPr>
                <w:rFonts w:ascii="Verdana" w:eastAsia="Times New Roman" w:hAnsi="Verdana" w:cs="Verdana"/>
                <w:noProof/>
                <w:color w:val="FFFFFF"/>
              </w:rPr>
            </w:pPr>
            <w:r>
              <w:rPr>
                <w:rFonts w:ascii="Verdana" w:hAnsi="Verdana"/>
                <w:noProof/>
                <w:color w:val="FFFFFF"/>
              </w:rPr>
              <w:t>10-asis EPF</w:t>
            </w:r>
          </w:p>
        </w:tc>
        <w:tc>
          <w:tcPr>
            <w:tcW w:w="141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XREV"/>
              <w:jc w:val="right"/>
              <w:rPr>
                <w:rFonts w:ascii="Verdana" w:eastAsia="Times New Roman" w:hAnsi="Verdana" w:cs="Verdana"/>
                <w:noProof/>
                <w:color w:val="FFFFFF"/>
              </w:rPr>
            </w:pPr>
            <w:r>
              <w:rPr>
                <w:rFonts w:ascii="Verdana" w:hAnsi="Verdana"/>
                <w:noProof/>
                <w:color w:val="FFFFFF"/>
              </w:rPr>
              <w:t>11-asis EPF</w:t>
            </w:r>
          </w:p>
        </w:tc>
        <w:tc>
          <w:tcPr>
            <w:tcW w:w="70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XREV"/>
              <w:jc w:val="right"/>
              <w:rPr>
                <w:rFonts w:ascii="Verdana" w:eastAsia="Times New Roman" w:hAnsi="Verdana" w:cs="Verdana"/>
                <w:noProof/>
                <w:color w:val="FFFFFF"/>
              </w:rPr>
            </w:pPr>
            <w:r>
              <w:rPr>
                <w:rFonts w:ascii="Verdana" w:hAnsi="Verdana"/>
                <w:noProof/>
                <w:color w:val="FFFFFF"/>
              </w:rPr>
              <w:t>2019</w:t>
            </w:r>
          </w:p>
        </w:tc>
        <w:tc>
          <w:tcPr>
            <w:tcW w:w="76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XREV"/>
              <w:jc w:val="right"/>
              <w:rPr>
                <w:rFonts w:ascii="Verdana" w:eastAsia="Times New Roman" w:hAnsi="Verdana" w:cs="Verdana"/>
                <w:noProof/>
                <w:color w:val="FFFFFF"/>
              </w:rPr>
            </w:pPr>
            <w:r>
              <w:rPr>
                <w:rFonts w:ascii="Verdana" w:hAnsi="Verdana"/>
                <w:noProof/>
                <w:color w:val="FFFFFF"/>
              </w:rPr>
              <w:t>2018</w:t>
            </w:r>
          </w:p>
        </w:tc>
      </w:tr>
      <w:tr>
        <w:trPr>
          <w:trHeight w:val="255"/>
        </w:trPr>
        <w:tc>
          <w:tcPr>
            <w:tcW w:w="2754" w:type="dxa"/>
            <w:tcBorders>
              <w:top w:val="nil"/>
              <w:left w:val="nil"/>
              <w:bottom w:val="nil"/>
              <w:right w:val="nil"/>
            </w:tcBorders>
            <w:tcMar>
              <w:top w:w="0" w:type="dxa"/>
              <w:left w:w="60" w:type="dxa"/>
              <w:bottom w:w="0" w:type="dxa"/>
              <w:right w:w="60" w:type="dxa"/>
            </w:tcMar>
            <w:vAlign w:val="center"/>
          </w:tcPr>
          <w:p>
            <w:pPr>
              <w:pStyle w:val="DMETW18983BIPEXREV"/>
              <w:rPr>
                <w:rFonts w:ascii="Verdana" w:eastAsia="Times New Roman" w:hAnsi="Verdana" w:cs="Verdana"/>
                <w:i/>
                <w:noProof/>
                <w:color w:val="000000"/>
                <w:sz w:val="18"/>
              </w:rPr>
            </w:pPr>
            <w:r>
              <w:rPr>
                <w:rFonts w:ascii="Verdana" w:hAnsi="Verdana"/>
                <w:i/>
                <w:noProof/>
                <w:color w:val="000000"/>
                <w:sz w:val="18"/>
              </w:rPr>
              <w:t>Finansinės pajamos</w:t>
            </w:r>
          </w:p>
        </w:tc>
        <w:tc>
          <w:tcPr>
            <w:tcW w:w="1417"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276"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417"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hAnsi="Verdana"/>
                <w:i/>
                <w:noProof/>
                <w:color w:val="000000"/>
                <w:sz w:val="18"/>
              </w:rPr>
              <w:t xml:space="preserve"> 3</w:t>
            </w:r>
          </w:p>
        </w:tc>
        <w:tc>
          <w:tcPr>
            <w:tcW w:w="1418"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709"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hAnsi="Verdana"/>
                <w:i/>
                <w:noProof/>
                <w:color w:val="000000"/>
                <w:sz w:val="18"/>
              </w:rPr>
              <w:t xml:space="preserve"> 7</w:t>
            </w:r>
          </w:p>
        </w:tc>
        <w:tc>
          <w:tcPr>
            <w:tcW w:w="767"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hAnsi="Verdana"/>
                <w:i/>
                <w:noProof/>
                <w:color w:val="000000"/>
                <w:sz w:val="18"/>
              </w:rPr>
              <w:t xml:space="preserve"> 10</w:t>
            </w:r>
          </w:p>
        </w:tc>
      </w:tr>
      <w:tr>
        <w:trPr>
          <w:trHeight w:val="255"/>
        </w:trPr>
        <w:tc>
          <w:tcPr>
            <w:tcW w:w="2754" w:type="dxa"/>
            <w:tcBorders>
              <w:top w:val="nil"/>
              <w:left w:val="nil"/>
              <w:bottom w:val="nil"/>
              <w:right w:val="nil"/>
            </w:tcBorders>
            <w:tcMar>
              <w:top w:w="0" w:type="dxa"/>
              <w:left w:w="60" w:type="dxa"/>
              <w:bottom w:w="0" w:type="dxa"/>
              <w:right w:w="60" w:type="dxa"/>
            </w:tcMar>
            <w:vAlign w:val="center"/>
          </w:tcPr>
          <w:p>
            <w:pPr>
              <w:pStyle w:val="DMETW18983BIPEXREV"/>
              <w:rPr>
                <w:rFonts w:ascii="Verdana" w:eastAsia="Times New Roman" w:hAnsi="Verdana" w:cs="Verdana"/>
                <w:i/>
                <w:noProof/>
                <w:color w:val="000000"/>
                <w:sz w:val="18"/>
              </w:rPr>
            </w:pPr>
            <w:r>
              <w:rPr>
                <w:rFonts w:ascii="Verdana" w:hAnsi="Verdana"/>
                <w:i/>
                <w:noProof/>
                <w:color w:val="000000"/>
                <w:sz w:val="18"/>
              </w:rPr>
              <w:t>Kitos pajamos</w:t>
            </w:r>
          </w:p>
        </w:tc>
        <w:tc>
          <w:tcPr>
            <w:tcW w:w="1417"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1276"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hAnsi="Verdana"/>
                <w:i/>
                <w:noProof/>
                <w:color w:val="000000"/>
                <w:sz w:val="18"/>
              </w:rPr>
              <w:t xml:space="preserve"> 6</w:t>
            </w:r>
          </w:p>
        </w:tc>
        <w:tc>
          <w:tcPr>
            <w:tcW w:w="1417"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hAnsi="Verdana"/>
                <w:i/>
                <w:noProof/>
                <w:color w:val="000000"/>
                <w:sz w:val="18"/>
              </w:rPr>
              <w:t xml:space="preserve"> 21</w:t>
            </w:r>
          </w:p>
        </w:tc>
        <w:tc>
          <w:tcPr>
            <w:tcW w:w="1418"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hAnsi="Verdana"/>
                <w:i/>
                <w:noProof/>
                <w:color w:val="000000"/>
                <w:sz w:val="18"/>
              </w:rPr>
              <w:t xml:space="preserve"> 12</w:t>
            </w:r>
          </w:p>
        </w:tc>
        <w:tc>
          <w:tcPr>
            <w:tcW w:w="709"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hAnsi="Verdana"/>
                <w:i/>
                <w:noProof/>
                <w:color w:val="000000"/>
                <w:sz w:val="18"/>
              </w:rPr>
              <w:t xml:space="preserve"> 39</w:t>
            </w:r>
          </w:p>
        </w:tc>
        <w:tc>
          <w:tcPr>
            <w:tcW w:w="767"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hAnsi="Verdana"/>
                <w:i/>
                <w:noProof/>
                <w:color w:val="000000"/>
                <w:sz w:val="18"/>
              </w:rPr>
              <w:t xml:space="preserve"> 46</w:t>
            </w:r>
          </w:p>
        </w:tc>
      </w:tr>
      <w:tr>
        <w:trPr>
          <w:trHeight w:val="255"/>
        </w:trPr>
        <w:tc>
          <w:tcPr>
            <w:tcW w:w="275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XREV"/>
              <w:rPr>
                <w:rFonts w:ascii="Verdana" w:eastAsia="Times New Roman" w:hAnsi="Verdana" w:cs="Verdana"/>
                <w:b/>
                <w:noProof/>
                <w:color w:val="000000"/>
                <w:sz w:val="18"/>
              </w:rPr>
            </w:pPr>
            <w:r>
              <w:rPr>
                <w:rFonts w:ascii="Verdana" w:hAnsi="Verdana"/>
                <w:b/>
                <w:noProof/>
                <w:color w:val="000000"/>
                <w:sz w:val="18"/>
              </w:rPr>
              <w:t>Iš viso</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XREV"/>
              <w:jc w:val="right"/>
              <w:rPr>
                <w:rFonts w:ascii="Verdana" w:eastAsia="Times New Roman" w:hAnsi="Verdana" w:cs="Verdana"/>
                <w:b/>
                <w:noProof/>
                <w:color w:val="000000"/>
                <w:sz w:val="18"/>
              </w:rPr>
            </w:pPr>
            <w:r>
              <w:rPr>
                <w:rFonts w:ascii="Verdana" w:hAnsi="Verdana"/>
                <w:b/>
                <w:noProof/>
                <w:color w:val="000000"/>
                <w:sz w:val="18"/>
              </w:rPr>
              <w:t xml:space="preserve">  1</w:t>
            </w:r>
          </w:p>
        </w:tc>
        <w:tc>
          <w:tcPr>
            <w:tcW w:w="1276"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XREV"/>
              <w:jc w:val="right"/>
              <w:rPr>
                <w:rFonts w:ascii="Verdana" w:eastAsia="Times New Roman" w:hAnsi="Verdana" w:cs="Verdana"/>
                <w:b/>
                <w:noProof/>
                <w:color w:val="000000"/>
                <w:sz w:val="18"/>
              </w:rPr>
            </w:pPr>
            <w:r>
              <w:rPr>
                <w:rFonts w:ascii="Verdana" w:hAnsi="Verdana"/>
                <w:b/>
                <w:noProof/>
                <w:color w:val="000000"/>
                <w:sz w:val="18"/>
              </w:rPr>
              <w:t xml:space="preserve">  6</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XREV"/>
              <w:jc w:val="right"/>
              <w:rPr>
                <w:rFonts w:ascii="Verdana" w:eastAsia="Times New Roman" w:hAnsi="Verdana" w:cs="Verdana"/>
                <w:b/>
                <w:noProof/>
                <w:color w:val="000000"/>
                <w:sz w:val="18"/>
              </w:rPr>
            </w:pPr>
            <w:r>
              <w:rPr>
                <w:rFonts w:ascii="Verdana" w:hAnsi="Verdana"/>
                <w:b/>
                <w:noProof/>
                <w:color w:val="000000"/>
                <w:sz w:val="18"/>
              </w:rPr>
              <w:t xml:space="preserve">  24</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XREV"/>
              <w:jc w:val="right"/>
              <w:rPr>
                <w:rFonts w:ascii="Verdana" w:eastAsia="Times New Roman" w:hAnsi="Verdana" w:cs="Verdana"/>
                <w:b/>
                <w:noProof/>
                <w:color w:val="000000"/>
                <w:sz w:val="18"/>
              </w:rPr>
            </w:pPr>
            <w:r>
              <w:rPr>
                <w:rFonts w:ascii="Verdana" w:hAnsi="Verdana"/>
                <w:b/>
                <w:noProof/>
                <w:color w:val="000000"/>
                <w:sz w:val="18"/>
              </w:rPr>
              <w:t xml:space="preserve">  16</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XREV"/>
              <w:jc w:val="right"/>
              <w:rPr>
                <w:rFonts w:ascii="Verdana" w:eastAsia="Times New Roman" w:hAnsi="Verdana" w:cs="Verdana"/>
                <w:b/>
                <w:noProof/>
                <w:color w:val="000000"/>
                <w:sz w:val="18"/>
              </w:rPr>
            </w:pPr>
            <w:r>
              <w:rPr>
                <w:rFonts w:ascii="Verdana" w:hAnsi="Verdana"/>
                <w:b/>
                <w:noProof/>
                <w:color w:val="000000"/>
                <w:sz w:val="18"/>
              </w:rPr>
              <w:t xml:space="preserve">  46</w:t>
            </w:r>
          </w:p>
        </w:tc>
        <w:tc>
          <w:tcPr>
            <w:tcW w:w="76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XREV"/>
              <w:jc w:val="right"/>
              <w:rPr>
                <w:rFonts w:ascii="Verdana" w:eastAsia="Times New Roman" w:hAnsi="Verdana" w:cs="Verdana"/>
                <w:b/>
                <w:noProof/>
                <w:color w:val="000000"/>
                <w:sz w:val="18"/>
              </w:rPr>
            </w:pPr>
            <w:r>
              <w:rPr>
                <w:rFonts w:ascii="Verdana" w:hAnsi="Verdana"/>
                <w:b/>
                <w:noProof/>
                <w:color w:val="000000"/>
                <w:sz w:val="18"/>
              </w:rPr>
              <w:t xml:space="preserve">  57</w:t>
            </w:r>
          </w:p>
        </w:tc>
      </w:tr>
    </w:tbl>
    <w:p>
      <w:pPr>
        <w:pStyle w:val="Textstand-alone"/>
      </w:pPr>
      <w:r>
        <w:t xml:space="preserve">Finansines pajamas iš esmės sudaro palūkanos už neįvykdytus vykdomuosius raštus sumoms susigrąžinti (6,6 mln. EUR) ir palūkanos už išankstinį finansavimą. Kitos pajamos yra susijusios su užsienio valiutos keitimo pelnu. Atitinkami užsienio valiutos keitimo nuostoliai įrašomi kaip kitos sąnaudos (žr. </w:t>
      </w:r>
      <w:r>
        <w:rPr>
          <w:b/>
        </w:rPr>
        <w:t>3.6</w:t>
      </w:r>
      <w:r>
        <w:t xml:space="preserve"> pastabą). </w:t>
      </w:r>
    </w:p>
    <w:p>
      <w:pPr>
        <w:pStyle w:val="HEADERTABLE"/>
        <w:rPr>
          <w:noProof/>
        </w:rPr>
      </w:pPr>
      <w:r>
        <w:rPr>
          <w:noProof/>
        </w:rPr>
        <w:t>IŠLAIDOS</w:t>
      </w:r>
    </w:p>
    <w:p>
      <w:pPr>
        <w:pStyle w:val="HEADER2Part2"/>
        <w:rPr>
          <w:noProof/>
        </w:rPr>
      </w:pPr>
      <w:r>
        <w:rPr>
          <w:noProof/>
        </w:rPr>
        <w:t>PAGALBOS PRIEMONĖS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1385"/>
        <w:gridCol w:w="1248"/>
        <w:gridCol w:w="1386"/>
        <w:gridCol w:w="1385"/>
        <w:gridCol w:w="896"/>
        <w:gridCol w:w="909"/>
      </w:tblGrid>
      <w:tr>
        <w:trPr>
          <w:cantSplit/>
          <w:trHeight w:val="255"/>
        </w:trPr>
        <w:tc>
          <w:tcPr>
            <w:tcW w:w="9758" w:type="dxa"/>
            <w:gridSpan w:val="7"/>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6"/>
              </w:rPr>
            </w:pPr>
            <w:bookmarkStart w:id="75" w:name="DOC_TBL00038_1_1"/>
            <w:bookmarkEnd w:id="75"/>
            <w:r>
              <w:rPr>
                <w:rFonts w:ascii="Verdana" w:hAnsi="Verdana"/>
                <w:i/>
                <w:noProof/>
                <w:color w:val="000000"/>
                <w:sz w:val="16"/>
              </w:rPr>
              <w:t>mln. EUR</w:t>
            </w:r>
          </w:p>
        </w:tc>
      </w:tr>
      <w:tr>
        <w:trPr>
          <w:cantSplit/>
          <w:trHeight w:val="255"/>
        </w:trPr>
        <w:tc>
          <w:tcPr>
            <w:tcW w:w="254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AID"/>
              <w:jc w:val="right"/>
              <w:rPr>
                <w:rFonts w:ascii="Verdana" w:eastAsia="Times New Roman" w:hAnsi="Verdana" w:cs="Verdana"/>
                <w:noProof/>
                <w:color w:val="FFFFFF"/>
              </w:rPr>
            </w:pPr>
          </w:p>
        </w:tc>
        <w:tc>
          <w:tcPr>
            <w:tcW w:w="138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AID"/>
              <w:jc w:val="right"/>
              <w:rPr>
                <w:rFonts w:ascii="Verdana" w:eastAsia="Times New Roman" w:hAnsi="Verdana" w:cs="Verdana"/>
                <w:noProof/>
                <w:color w:val="FFFFFF"/>
              </w:rPr>
            </w:pPr>
            <w:r>
              <w:rPr>
                <w:rFonts w:ascii="Verdana" w:hAnsi="Verdana"/>
                <w:noProof/>
                <w:color w:val="FFFFFF"/>
              </w:rPr>
              <w:t>8-asis EPF</w:t>
            </w:r>
          </w:p>
        </w:tc>
        <w:tc>
          <w:tcPr>
            <w:tcW w:w="124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AID"/>
              <w:jc w:val="right"/>
              <w:rPr>
                <w:rFonts w:ascii="Verdana" w:eastAsia="Times New Roman" w:hAnsi="Verdana" w:cs="Verdana"/>
                <w:noProof/>
                <w:color w:val="FFFFFF"/>
              </w:rPr>
            </w:pPr>
            <w:r>
              <w:rPr>
                <w:rFonts w:ascii="Verdana" w:hAnsi="Verdana"/>
                <w:noProof/>
                <w:color w:val="FFFFFF"/>
              </w:rPr>
              <w:t>9-asis EPF</w:t>
            </w:r>
          </w:p>
        </w:tc>
        <w:tc>
          <w:tcPr>
            <w:tcW w:w="138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AID"/>
              <w:jc w:val="right"/>
              <w:rPr>
                <w:rFonts w:ascii="Verdana" w:eastAsia="Times New Roman" w:hAnsi="Verdana" w:cs="Verdana"/>
                <w:noProof/>
                <w:color w:val="FFFFFF"/>
              </w:rPr>
            </w:pPr>
            <w:r>
              <w:rPr>
                <w:rFonts w:ascii="Verdana" w:hAnsi="Verdana"/>
                <w:noProof/>
                <w:color w:val="FFFFFF"/>
              </w:rPr>
              <w:t>10-asis EPF</w:t>
            </w:r>
          </w:p>
        </w:tc>
        <w:tc>
          <w:tcPr>
            <w:tcW w:w="138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AID"/>
              <w:jc w:val="right"/>
              <w:rPr>
                <w:rFonts w:ascii="Verdana" w:eastAsia="Times New Roman" w:hAnsi="Verdana" w:cs="Verdana"/>
                <w:noProof/>
                <w:color w:val="FFFFFF"/>
              </w:rPr>
            </w:pPr>
            <w:r>
              <w:rPr>
                <w:rFonts w:ascii="Verdana" w:hAnsi="Verdana"/>
                <w:noProof/>
                <w:color w:val="FFFFFF"/>
              </w:rPr>
              <w:t>11-asis EPF</w:t>
            </w:r>
          </w:p>
        </w:tc>
        <w:tc>
          <w:tcPr>
            <w:tcW w:w="89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AID"/>
              <w:jc w:val="right"/>
              <w:rPr>
                <w:rFonts w:ascii="Verdana" w:eastAsia="Times New Roman" w:hAnsi="Verdana" w:cs="Verdana"/>
                <w:noProof/>
                <w:color w:val="FFFFFF"/>
              </w:rPr>
            </w:pPr>
            <w:r>
              <w:rPr>
                <w:rFonts w:ascii="Verdana" w:hAnsi="Verdana"/>
                <w:noProof/>
                <w:color w:val="FFFFFF"/>
              </w:rPr>
              <w:t>2019</w:t>
            </w:r>
          </w:p>
        </w:tc>
        <w:tc>
          <w:tcPr>
            <w:tcW w:w="90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AID"/>
              <w:jc w:val="right"/>
              <w:rPr>
                <w:rFonts w:ascii="Verdana" w:eastAsia="Times New Roman" w:hAnsi="Verdana" w:cs="Verdana"/>
                <w:noProof/>
                <w:color w:val="FFFFFF"/>
              </w:rPr>
            </w:pPr>
            <w:r>
              <w:rPr>
                <w:rFonts w:ascii="Verdana" w:hAnsi="Verdana"/>
                <w:noProof/>
                <w:color w:val="FFFFFF"/>
              </w:rPr>
              <w:t>2018</w:t>
            </w:r>
          </w:p>
        </w:tc>
      </w:tr>
      <w:tr>
        <w:trPr>
          <w:cantSplit/>
          <w:trHeight w:val="255"/>
        </w:trPr>
        <w:tc>
          <w:tcPr>
            <w:tcW w:w="2549" w:type="dxa"/>
            <w:tcBorders>
              <w:top w:val="nil"/>
              <w:left w:val="nil"/>
              <w:bottom w:val="nil"/>
              <w:right w:val="nil"/>
            </w:tcBorders>
            <w:tcMar>
              <w:top w:w="0" w:type="dxa"/>
              <w:left w:w="60" w:type="dxa"/>
              <w:bottom w:w="0" w:type="dxa"/>
              <w:right w:w="60" w:type="dxa"/>
            </w:tcMar>
            <w:vAlign w:val="center"/>
          </w:tcPr>
          <w:p>
            <w:pPr>
              <w:pStyle w:val="DMETW18983BIPOPEAID"/>
              <w:rPr>
                <w:rFonts w:ascii="Verdana" w:eastAsia="Times New Roman" w:hAnsi="Verdana" w:cs="Verdana"/>
                <w:i/>
                <w:noProof/>
                <w:color w:val="000000"/>
                <w:sz w:val="18"/>
              </w:rPr>
            </w:pPr>
            <w:r>
              <w:rPr>
                <w:rFonts w:ascii="Verdana" w:hAnsi="Verdana"/>
                <w:i/>
                <w:noProof/>
                <w:color w:val="000000"/>
                <w:sz w:val="18"/>
              </w:rPr>
              <w:t>Programuojama pagalba</w:t>
            </w:r>
          </w:p>
        </w:tc>
        <w:tc>
          <w:tcPr>
            <w:tcW w:w="1385"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248"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386"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295</w:t>
            </w:r>
          </w:p>
        </w:tc>
        <w:tc>
          <w:tcPr>
            <w:tcW w:w="1385"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1 824</w:t>
            </w:r>
          </w:p>
        </w:tc>
        <w:tc>
          <w:tcPr>
            <w:tcW w:w="896"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2 119</w:t>
            </w:r>
          </w:p>
        </w:tc>
        <w:tc>
          <w:tcPr>
            <w:tcW w:w="909"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2 001</w:t>
            </w:r>
          </w:p>
        </w:tc>
      </w:tr>
      <w:tr>
        <w:trPr>
          <w:cantSplit/>
          <w:trHeight w:val="255"/>
        </w:trPr>
        <w:tc>
          <w:tcPr>
            <w:tcW w:w="2549" w:type="dxa"/>
            <w:tcBorders>
              <w:top w:val="nil"/>
              <w:left w:val="nil"/>
              <w:bottom w:val="nil"/>
              <w:right w:val="nil"/>
            </w:tcBorders>
            <w:tcMar>
              <w:top w:w="0" w:type="dxa"/>
              <w:left w:w="60" w:type="dxa"/>
              <w:bottom w:w="0" w:type="dxa"/>
              <w:right w:w="60" w:type="dxa"/>
            </w:tcMar>
            <w:vAlign w:val="center"/>
          </w:tcPr>
          <w:p>
            <w:pPr>
              <w:pStyle w:val="DMETW18983BIPOPEAID"/>
              <w:rPr>
                <w:rFonts w:ascii="Verdana" w:eastAsia="Times New Roman" w:hAnsi="Verdana" w:cs="Verdana"/>
                <w:i/>
                <w:noProof/>
                <w:color w:val="000000"/>
                <w:sz w:val="18"/>
              </w:rPr>
            </w:pPr>
            <w:r>
              <w:rPr>
                <w:rFonts w:ascii="Verdana" w:hAnsi="Verdana"/>
                <w:i/>
                <w:noProof/>
                <w:color w:val="000000"/>
                <w:sz w:val="18"/>
              </w:rPr>
              <w:t>Makroekonominė parama</w:t>
            </w:r>
          </w:p>
        </w:tc>
        <w:tc>
          <w:tcPr>
            <w:tcW w:w="1385"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1248"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29</w:t>
            </w:r>
          </w:p>
        </w:tc>
        <w:tc>
          <w:tcPr>
            <w:tcW w:w="1386"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1385"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896"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29</w:t>
            </w:r>
          </w:p>
        </w:tc>
        <w:tc>
          <w:tcPr>
            <w:tcW w:w="909"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26</w:t>
            </w:r>
          </w:p>
        </w:tc>
      </w:tr>
      <w:tr>
        <w:trPr>
          <w:cantSplit/>
          <w:trHeight w:val="255"/>
        </w:trPr>
        <w:tc>
          <w:tcPr>
            <w:tcW w:w="2549" w:type="dxa"/>
            <w:tcBorders>
              <w:top w:val="nil"/>
              <w:left w:val="nil"/>
              <w:bottom w:val="nil"/>
              <w:right w:val="nil"/>
            </w:tcBorders>
            <w:tcMar>
              <w:top w:w="0" w:type="dxa"/>
              <w:left w:w="60" w:type="dxa"/>
              <w:bottom w:w="0" w:type="dxa"/>
              <w:right w:w="60" w:type="dxa"/>
            </w:tcMar>
            <w:vAlign w:val="center"/>
          </w:tcPr>
          <w:p>
            <w:pPr>
              <w:pStyle w:val="DMETW18983BIPOPEAID"/>
              <w:rPr>
                <w:rFonts w:ascii="Verdana" w:eastAsia="Times New Roman" w:hAnsi="Verdana" w:cs="Verdana"/>
                <w:i/>
                <w:noProof/>
                <w:color w:val="000000"/>
                <w:sz w:val="18"/>
              </w:rPr>
            </w:pPr>
            <w:r>
              <w:rPr>
                <w:rFonts w:ascii="Verdana" w:hAnsi="Verdana"/>
                <w:i/>
                <w:noProof/>
                <w:color w:val="000000"/>
                <w:sz w:val="18"/>
              </w:rPr>
              <w:t>Sektorių politika</w:t>
            </w:r>
          </w:p>
        </w:tc>
        <w:tc>
          <w:tcPr>
            <w:tcW w:w="1385"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1248"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386"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1385"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896"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909"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2</w:t>
            </w:r>
          </w:p>
        </w:tc>
      </w:tr>
      <w:tr>
        <w:trPr>
          <w:cantSplit/>
          <w:trHeight w:val="255"/>
        </w:trPr>
        <w:tc>
          <w:tcPr>
            <w:tcW w:w="2549" w:type="dxa"/>
            <w:tcBorders>
              <w:top w:val="nil"/>
              <w:left w:val="nil"/>
              <w:bottom w:val="nil"/>
              <w:right w:val="nil"/>
            </w:tcBorders>
            <w:tcMar>
              <w:top w:w="0" w:type="dxa"/>
              <w:left w:w="60" w:type="dxa"/>
              <w:bottom w:w="0" w:type="dxa"/>
              <w:right w:w="60" w:type="dxa"/>
            </w:tcMar>
            <w:vAlign w:val="center"/>
          </w:tcPr>
          <w:p>
            <w:pPr>
              <w:pStyle w:val="DMETW18983BIPOPEAID"/>
              <w:rPr>
                <w:rFonts w:ascii="Verdana" w:eastAsia="Times New Roman" w:hAnsi="Verdana" w:cs="Verdana"/>
                <w:i/>
                <w:noProof/>
                <w:color w:val="000000"/>
                <w:sz w:val="18"/>
              </w:rPr>
            </w:pPr>
            <w:r>
              <w:rPr>
                <w:rFonts w:ascii="Verdana" w:hAnsi="Verdana"/>
                <w:i/>
                <w:noProof/>
                <w:color w:val="000000"/>
                <w:sz w:val="18"/>
              </w:rPr>
              <w:t>AKR vidaus projektai</w:t>
            </w:r>
          </w:p>
        </w:tc>
        <w:tc>
          <w:tcPr>
            <w:tcW w:w="1385"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1248"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1386"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272</w:t>
            </w:r>
          </w:p>
        </w:tc>
        <w:tc>
          <w:tcPr>
            <w:tcW w:w="1385"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678</w:t>
            </w:r>
          </w:p>
        </w:tc>
        <w:tc>
          <w:tcPr>
            <w:tcW w:w="896"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951</w:t>
            </w:r>
          </w:p>
        </w:tc>
        <w:tc>
          <w:tcPr>
            <w:tcW w:w="909"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827</w:t>
            </w:r>
          </w:p>
        </w:tc>
      </w:tr>
      <w:tr>
        <w:trPr>
          <w:cantSplit/>
          <w:trHeight w:val="255"/>
        </w:trPr>
        <w:tc>
          <w:tcPr>
            <w:tcW w:w="2549" w:type="dxa"/>
            <w:tcBorders>
              <w:top w:val="nil"/>
              <w:left w:val="nil"/>
              <w:bottom w:val="nil"/>
              <w:right w:val="nil"/>
            </w:tcBorders>
            <w:tcMar>
              <w:top w:w="0" w:type="dxa"/>
              <w:left w:w="60" w:type="dxa"/>
              <w:bottom w:w="0" w:type="dxa"/>
              <w:right w:w="60" w:type="dxa"/>
            </w:tcMar>
            <w:vAlign w:val="center"/>
          </w:tcPr>
          <w:p>
            <w:pPr>
              <w:pStyle w:val="DMETW18983BIPOPEAID"/>
              <w:rPr>
                <w:rFonts w:ascii="Verdana" w:eastAsia="Times New Roman" w:hAnsi="Verdana" w:cs="Verdana"/>
                <w:i/>
                <w:noProof/>
                <w:color w:val="000000"/>
                <w:sz w:val="18"/>
              </w:rPr>
            </w:pPr>
            <w:r>
              <w:rPr>
                <w:rFonts w:ascii="Verdana" w:hAnsi="Verdana"/>
                <w:i/>
                <w:noProof/>
                <w:color w:val="000000"/>
                <w:sz w:val="18"/>
              </w:rPr>
              <w:t>Neatidėliotina pagalba</w:t>
            </w:r>
          </w:p>
        </w:tc>
        <w:tc>
          <w:tcPr>
            <w:tcW w:w="1385"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1248"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1386"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12</w:t>
            </w:r>
          </w:p>
        </w:tc>
        <w:tc>
          <w:tcPr>
            <w:tcW w:w="1385"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97</w:t>
            </w:r>
          </w:p>
        </w:tc>
        <w:tc>
          <w:tcPr>
            <w:tcW w:w="896"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112</w:t>
            </w:r>
          </w:p>
        </w:tc>
        <w:tc>
          <w:tcPr>
            <w:tcW w:w="909"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873</w:t>
            </w:r>
          </w:p>
        </w:tc>
      </w:tr>
      <w:tr>
        <w:trPr>
          <w:cantSplit/>
          <w:trHeight w:val="255"/>
        </w:trPr>
        <w:tc>
          <w:tcPr>
            <w:tcW w:w="2549" w:type="dxa"/>
            <w:tcBorders>
              <w:top w:val="nil"/>
              <w:left w:val="nil"/>
              <w:bottom w:val="nil"/>
              <w:right w:val="nil"/>
            </w:tcBorders>
            <w:tcMar>
              <w:top w:w="0" w:type="dxa"/>
              <w:left w:w="60" w:type="dxa"/>
              <w:bottom w:w="0" w:type="dxa"/>
              <w:right w:w="60" w:type="dxa"/>
            </w:tcMar>
            <w:vAlign w:val="center"/>
          </w:tcPr>
          <w:p>
            <w:pPr>
              <w:pStyle w:val="DMETW18983BIPOPEAID"/>
              <w:rPr>
                <w:rFonts w:ascii="Verdana" w:eastAsia="Times New Roman" w:hAnsi="Verdana" w:cs="Verdana"/>
                <w:i/>
                <w:noProof/>
                <w:color w:val="000000"/>
                <w:sz w:val="18"/>
              </w:rPr>
            </w:pPr>
            <w:r>
              <w:rPr>
                <w:rFonts w:ascii="Verdana" w:hAnsi="Verdana"/>
                <w:i/>
                <w:noProof/>
                <w:color w:val="000000"/>
                <w:sz w:val="18"/>
              </w:rPr>
              <w:t>Institucinė parama</w:t>
            </w:r>
          </w:p>
        </w:tc>
        <w:tc>
          <w:tcPr>
            <w:tcW w:w="1385"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1248"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1386"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385"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7</w:t>
            </w:r>
          </w:p>
        </w:tc>
        <w:tc>
          <w:tcPr>
            <w:tcW w:w="896"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7</w:t>
            </w:r>
          </w:p>
        </w:tc>
        <w:tc>
          <w:tcPr>
            <w:tcW w:w="909"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18</w:t>
            </w:r>
          </w:p>
        </w:tc>
      </w:tr>
      <w:tr>
        <w:trPr>
          <w:cantSplit/>
          <w:trHeight w:val="255"/>
        </w:trPr>
        <w:tc>
          <w:tcPr>
            <w:tcW w:w="2549" w:type="dxa"/>
            <w:tcBorders>
              <w:top w:val="nil"/>
              <w:left w:val="nil"/>
              <w:bottom w:val="nil"/>
              <w:right w:val="nil"/>
            </w:tcBorders>
            <w:tcMar>
              <w:top w:w="0" w:type="dxa"/>
              <w:left w:w="60" w:type="dxa"/>
              <w:bottom w:w="0" w:type="dxa"/>
              <w:right w:w="60" w:type="dxa"/>
            </w:tcMar>
            <w:vAlign w:val="center"/>
          </w:tcPr>
          <w:p>
            <w:pPr>
              <w:pStyle w:val="DMETW18983BIPOPEAID"/>
              <w:rPr>
                <w:rFonts w:ascii="Verdana" w:eastAsia="Times New Roman" w:hAnsi="Verdana" w:cs="Verdana"/>
                <w:i/>
                <w:noProof/>
                <w:color w:val="000000"/>
                <w:sz w:val="18"/>
              </w:rPr>
            </w:pPr>
            <w:r>
              <w:rPr>
                <w:rFonts w:ascii="Verdana" w:hAnsi="Verdana"/>
                <w:i/>
                <w:noProof/>
                <w:color w:val="000000"/>
                <w:sz w:val="18"/>
              </w:rPr>
              <w:t>Įnašai į patikos fondus</w:t>
            </w:r>
          </w:p>
        </w:tc>
        <w:tc>
          <w:tcPr>
            <w:tcW w:w="1385"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1248"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1386"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1385"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535</w:t>
            </w:r>
          </w:p>
        </w:tc>
        <w:tc>
          <w:tcPr>
            <w:tcW w:w="896"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535</w:t>
            </w:r>
          </w:p>
        </w:tc>
        <w:tc>
          <w:tcPr>
            <w:tcW w:w="909"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307</w:t>
            </w:r>
          </w:p>
        </w:tc>
      </w:tr>
      <w:tr>
        <w:trPr>
          <w:trHeight w:val="255"/>
        </w:trPr>
        <w:tc>
          <w:tcPr>
            <w:tcW w:w="254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PEAID"/>
              <w:rPr>
                <w:rFonts w:ascii="Verdana" w:eastAsia="Times New Roman" w:hAnsi="Verdana" w:cs="Verdana"/>
                <w:b/>
                <w:noProof/>
                <w:color w:val="000000"/>
                <w:sz w:val="18"/>
              </w:rPr>
            </w:pPr>
            <w:r>
              <w:rPr>
                <w:rFonts w:ascii="Verdana" w:hAnsi="Verdana"/>
                <w:b/>
                <w:noProof/>
                <w:color w:val="000000"/>
                <w:sz w:val="18"/>
              </w:rPr>
              <w:t>Iš viso</w:t>
            </w:r>
          </w:p>
        </w:tc>
        <w:tc>
          <w:tcPr>
            <w:tcW w:w="1385"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PEAID"/>
              <w:jc w:val="right"/>
              <w:rPr>
                <w:rFonts w:ascii="Verdana" w:eastAsia="Times New Roman" w:hAnsi="Verdana" w:cs="Verdana"/>
                <w:b/>
                <w:noProof/>
                <w:color w:val="000000"/>
                <w:sz w:val="18"/>
              </w:rPr>
            </w:pPr>
            <w:r>
              <w:rPr>
                <w:rFonts w:ascii="Verdana" w:hAnsi="Verdana"/>
                <w:b/>
                <w:noProof/>
                <w:color w:val="000000"/>
                <w:sz w:val="18"/>
              </w:rPr>
              <w:t xml:space="preserve">  0</w:t>
            </w:r>
          </w:p>
        </w:tc>
        <w:tc>
          <w:tcPr>
            <w:tcW w:w="124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PEAID"/>
              <w:jc w:val="right"/>
              <w:rPr>
                <w:rFonts w:ascii="Verdana" w:eastAsia="Times New Roman" w:hAnsi="Verdana" w:cs="Verdana"/>
                <w:b/>
                <w:noProof/>
                <w:color w:val="000000"/>
                <w:sz w:val="18"/>
              </w:rPr>
            </w:pPr>
            <w:r>
              <w:rPr>
                <w:rFonts w:ascii="Verdana" w:hAnsi="Verdana"/>
                <w:b/>
                <w:noProof/>
                <w:color w:val="000000"/>
                <w:sz w:val="18"/>
              </w:rPr>
              <w:t xml:space="preserve">  35</w:t>
            </w:r>
          </w:p>
        </w:tc>
        <w:tc>
          <w:tcPr>
            <w:tcW w:w="1386"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PEAID"/>
              <w:jc w:val="right"/>
              <w:rPr>
                <w:rFonts w:ascii="Verdana" w:eastAsia="Times New Roman" w:hAnsi="Verdana" w:cs="Verdana"/>
                <w:b/>
                <w:noProof/>
                <w:color w:val="000000"/>
                <w:sz w:val="18"/>
              </w:rPr>
            </w:pPr>
            <w:r>
              <w:rPr>
                <w:rFonts w:ascii="Verdana" w:hAnsi="Verdana"/>
                <w:b/>
                <w:noProof/>
                <w:color w:val="000000"/>
                <w:sz w:val="18"/>
              </w:rPr>
              <w:t xml:space="preserve">  579</w:t>
            </w:r>
          </w:p>
        </w:tc>
        <w:tc>
          <w:tcPr>
            <w:tcW w:w="1385"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PEAID"/>
              <w:jc w:val="right"/>
              <w:rPr>
                <w:rFonts w:ascii="Verdana" w:eastAsia="Times New Roman" w:hAnsi="Verdana" w:cs="Verdana"/>
                <w:b/>
                <w:noProof/>
                <w:color w:val="000000"/>
                <w:sz w:val="18"/>
              </w:rPr>
            </w:pPr>
            <w:r>
              <w:rPr>
                <w:rFonts w:ascii="Verdana" w:hAnsi="Verdana"/>
                <w:b/>
                <w:noProof/>
                <w:color w:val="000000"/>
                <w:sz w:val="18"/>
              </w:rPr>
              <w:t xml:space="preserve"> 3 141</w:t>
            </w:r>
          </w:p>
        </w:tc>
        <w:tc>
          <w:tcPr>
            <w:tcW w:w="896"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PEAID"/>
              <w:jc w:val="right"/>
              <w:rPr>
                <w:rFonts w:ascii="Verdana" w:eastAsia="Times New Roman" w:hAnsi="Verdana" w:cs="Verdana"/>
                <w:b/>
                <w:noProof/>
                <w:color w:val="000000"/>
                <w:sz w:val="18"/>
              </w:rPr>
            </w:pPr>
            <w:r>
              <w:rPr>
                <w:rFonts w:ascii="Verdana" w:hAnsi="Verdana"/>
                <w:b/>
                <w:noProof/>
                <w:color w:val="000000"/>
                <w:sz w:val="18"/>
              </w:rPr>
              <w:t xml:space="preserve"> 3 755</w:t>
            </w:r>
          </w:p>
        </w:tc>
        <w:tc>
          <w:tcPr>
            <w:tcW w:w="90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PEAID"/>
              <w:jc w:val="right"/>
              <w:rPr>
                <w:rFonts w:ascii="Verdana" w:eastAsia="Times New Roman" w:hAnsi="Verdana" w:cs="Verdana"/>
                <w:b/>
                <w:noProof/>
                <w:color w:val="000000"/>
                <w:sz w:val="18"/>
              </w:rPr>
            </w:pPr>
            <w:r>
              <w:rPr>
                <w:rFonts w:ascii="Verdana" w:hAnsi="Verdana"/>
                <w:b/>
                <w:noProof/>
                <w:color w:val="000000"/>
                <w:sz w:val="18"/>
              </w:rPr>
              <w:t xml:space="preserve"> 4 054</w:t>
            </w:r>
          </w:p>
        </w:tc>
      </w:tr>
    </w:tbl>
    <w:p>
      <w:pPr>
        <w:pStyle w:val="Textstand-alone"/>
        <w:spacing w:after="0"/>
      </w:pPr>
      <w:r>
        <w:t>EPF veiklos išlaidos apima įvairias pagalbos priemones ir gali būti įvairių rūšių, atsižvelgiant į tai, kaip pinigai išmokami ir valdomi.</w:t>
      </w:r>
    </w:p>
    <w:p>
      <w:pPr>
        <w:pStyle w:val="Textstand-alone"/>
        <w:spacing w:after="0"/>
      </w:pPr>
      <w:r>
        <w:t>Sumažėjimas pagal šią išlaidų kategoriją yra bendras išlaidų pagal 11-ąjį EPF padidėjimo (2018 m. – 3 012 mln. EUR) ir išlaidų pagal 10-ąjį EPF sumažėjimo (2018 m. – 984 mln. EUR) poveikis. Tai atitinka EPF gyvavimo ciklą ir taip pat yra susiję su pagal šiuos EPF vykdomų sutarčių skaičiaus raida. 11-asis EPF 2019 m. veikė visu pajėgumu, todėl 2019 m. gruodžio 31 d. buvo daug daugiau vykdomų sutarčių, kurias vykdant patirta išlaidų. Kita vertus, daugelis sutarčių pagal 10-ąjį EPF 2019 m. buvo įvykdytos ir užbaigtos, todėl pagal šį EPF patirta mažiau išlaidų.</w:t>
      </w:r>
    </w:p>
    <w:p>
      <w:pPr>
        <w:pStyle w:val="Textstand-alone"/>
      </w:pPr>
      <w:r>
        <w:t>Kaip pažymėta, kalbant apie 11-ąjį EPF, pagalbos priemonių išlaidų struktūra, palyginti su 2018 m., pasikeitė. Pagal šį EPF labai sumažėjo neatidėliotinos pagalbos išlaidos (2018 m. – 811 mln. EUR), o su programuojama pagalba, AKR vidaus projektu ir įnašais į patikos fondus susijusios išlaidos gerokai padidėjo (2018 m. – 1 468 mln. EUR, atitinkamai 410 mln. EUR ir 307 mln. EUR).</w:t>
      </w:r>
    </w:p>
    <w:p>
      <w:pPr>
        <w:pStyle w:val="HEADER2Part2"/>
        <w:rPr>
          <w:noProof/>
        </w:rPr>
      </w:pPr>
      <w:bookmarkStart w:id="76" w:name="_Ref35550660"/>
      <w:r>
        <w:rPr>
          <w:noProof/>
        </w:rPr>
        <w:t>BENDRO FINANSAVIMO IŠLAIDOS</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1332"/>
        <w:gridCol w:w="1333"/>
        <w:gridCol w:w="1333"/>
        <w:gridCol w:w="1333"/>
        <w:gridCol w:w="1333"/>
        <w:gridCol w:w="1333"/>
      </w:tblGrid>
      <w:tr>
        <w:trPr>
          <w:trHeight w:val="255"/>
        </w:trPr>
        <w:tc>
          <w:tcPr>
            <w:tcW w:w="1761" w:type="dxa"/>
            <w:gridSpan w:val="7"/>
            <w:tcBorders>
              <w:top w:val="nil"/>
              <w:left w:val="nil"/>
              <w:bottom w:val="nil"/>
              <w:right w:val="nil"/>
            </w:tcBorders>
            <w:tcMar>
              <w:top w:w="0" w:type="dxa"/>
              <w:left w:w="60" w:type="dxa"/>
              <w:bottom w:w="0" w:type="dxa"/>
              <w:right w:w="60" w:type="dxa"/>
            </w:tcMar>
            <w:vAlign w:val="center"/>
          </w:tcPr>
          <w:p>
            <w:pPr>
              <w:pStyle w:val="DMETW18983BIPOPECOFI"/>
              <w:jc w:val="right"/>
              <w:rPr>
                <w:rFonts w:ascii="Verdana" w:eastAsia="Times New Roman" w:hAnsi="Verdana" w:cs="Verdana"/>
                <w:i/>
                <w:noProof/>
                <w:color w:val="000000"/>
                <w:sz w:val="16"/>
              </w:rPr>
            </w:pPr>
            <w:bookmarkStart w:id="77" w:name="DOC_TBL00039_1_1"/>
            <w:bookmarkEnd w:id="77"/>
            <w:r>
              <w:rPr>
                <w:rFonts w:ascii="Verdana" w:hAnsi="Verdana"/>
                <w:i/>
                <w:noProof/>
                <w:color w:val="000000"/>
                <w:sz w:val="16"/>
              </w:rPr>
              <w:t>mln. EUR</w:t>
            </w:r>
          </w:p>
        </w:tc>
      </w:tr>
      <w:tr>
        <w:trPr>
          <w:trHeight w:val="255"/>
        </w:trPr>
        <w:tc>
          <w:tcPr>
            <w:tcW w:w="176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COFI"/>
              <w:jc w:val="right"/>
              <w:rPr>
                <w:rFonts w:ascii="Verdana" w:eastAsia="Times New Roman" w:hAnsi="Verdana" w:cs="Verdana"/>
                <w:noProof/>
                <w:color w:val="FFFFFF"/>
              </w:rPr>
            </w:pPr>
          </w:p>
        </w:tc>
        <w:tc>
          <w:tcPr>
            <w:tcW w:w="133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COFI"/>
              <w:jc w:val="right"/>
              <w:rPr>
                <w:rFonts w:ascii="Verdana" w:eastAsia="Times New Roman" w:hAnsi="Verdana" w:cs="Verdana"/>
                <w:noProof/>
                <w:color w:val="FFFFFF"/>
              </w:rPr>
            </w:pPr>
            <w:r>
              <w:rPr>
                <w:rFonts w:ascii="Verdana" w:hAnsi="Verdana"/>
                <w:noProof/>
                <w:color w:val="FFFFFF"/>
              </w:rPr>
              <w:t>8-asis EPF</w:t>
            </w:r>
          </w:p>
        </w:tc>
        <w:tc>
          <w:tcPr>
            <w:tcW w:w="133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COFI"/>
              <w:jc w:val="right"/>
              <w:rPr>
                <w:rFonts w:ascii="Verdana" w:eastAsia="Times New Roman" w:hAnsi="Verdana" w:cs="Verdana"/>
                <w:noProof/>
                <w:color w:val="FFFFFF"/>
              </w:rPr>
            </w:pPr>
            <w:r>
              <w:rPr>
                <w:rFonts w:ascii="Verdana" w:hAnsi="Verdana"/>
                <w:noProof/>
                <w:color w:val="FFFFFF"/>
              </w:rPr>
              <w:t>9-asis EPF</w:t>
            </w:r>
          </w:p>
        </w:tc>
        <w:tc>
          <w:tcPr>
            <w:tcW w:w="133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COFI"/>
              <w:jc w:val="right"/>
              <w:rPr>
                <w:rFonts w:ascii="Verdana" w:eastAsia="Times New Roman" w:hAnsi="Verdana" w:cs="Verdana"/>
                <w:noProof/>
                <w:color w:val="FFFFFF"/>
              </w:rPr>
            </w:pPr>
            <w:r>
              <w:rPr>
                <w:rFonts w:ascii="Verdana" w:hAnsi="Verdana"/>
                <w:noProof/>
                <w:color w:val="FFFFFF"/>
              </w:rPr>
              <w:t>10-asis EPF</w:t>
            </w:r>
          </w:p>
        </w:tc>
        <w:tc>
          <w:tcPr>
            <w:tcW w:w="133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COFI"/>
              <w:jc w:val="right"/>
              <w:rPr>
                <w:rFonts w:ascii="Verdana" w:eastAsia="Times New Roman" w:hAnsi="Verdana" w:cs="Verdana"/>
                <w:noProof/>
                <w:color w:val="FFFFFF"/>
              </w:rPr>
            </w:pPr>
            <w:r>
              <w:rPr>
                <w:rFonts w:ascii="Verdana" w:hAnsi="Verdana"/>
                <w:noProof/>
                <w:color w:val="FFFFFF"/>
              </w:rPr>
              <w:t>11-asis EPF</w:t>
            </w:r>
          </w:p>
        </w:tc>
        <w:tc>
          <w:tcPr>
            <w:tcW w:w="133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COFI"/>
              <w:jc w:val="right"/>
              <w:rPr>
                <w:rFonts w:ascii="Verdana" w:eastAsia="Times New Roman" w:hAnsi="Verdana" w:cs="Verdana"/>
                <w:noProof/>
                <w:color w:val="FFFFFF"/>
              </w:rPr>
            </w:pPr>
            <w:r>
              <w:rPr>
                <w:rFonts w:ascii="Verdana" w:hAnsi="Verdana"/>
                <w:noProof/>
                <w:color w:val="FFFFFF"/>
              </w:rPr>
              <w:t>2019</w:t>
            </w:r>
          </w:p>
        </w:tc>
        <w:tc>
          <w:tcPr>
            <w:tcW w:w="133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COFI"/>
              <w:jc w:val="right"/>
              <w:rPr>
                <w:rFonts w:ascii="Verdana" w:eastAsia="Times New Roman" w:hAnsi="Verdana" w:cs="Verdana"/>
                <w:noProof/>
                <w:color w:val="FFFFFF"/>
              </w:rPr>
            </w:pPr>
            <w:r>
              <w:rPr>
                <w:rFonts w:ascii="Verdana" w:hAnsi="Verdana"/>
                <w:noProof/>
                <w:color w:val="FFFFFF"/>
              </w:rPr>
              <w:t>2018</w:t>
            </w:r>
          </w:p>
        </w:tc>
      </w:tr>
      <w:tr>
        <w:trPr>
          <w:trHeight w:val="255"/>
        </w:trPr>
        <w:tc>
          <w:tcPr>
            <w:tcW w:w="1761" w:type="dxa"/>
            <w:tcBorders>
              <w:top w:val="nil"/>
              <w:left w:val="nil"/>
              <w:bottom w:val="nil"/>
              <w:right w:val="nil"/>
            </w:tcBorders>
            <w:tcMar>
              <w:top w:w="0" w:type="dxa"/>
              <w:left w:w="60" w:type="dxa"/>
              <w:bottom w:w="0" w:type="dxa"/>
              <w:right w:w="60" w:type="dxa"/>
            </w:tcMar>
            <w:vAlign w:val="center"/>
          </w:tcPr>
          <w:p>
            <w:pPr>
              <w:pStyle w:val="DMETW18983BIPOPECOFI"/>
              <w:rPr>
                <w:rFonts w:ascii="Verdana" w:eastAsia="Times New Roman" w:hAnsi="Verdana" w:cs="Verdana"/>
                <w:i/>
                <w:noProof/>
                <w:color w:val="000000"/>
                <w:sz w:val="18"/>
              </w:rPr>
            </w:pPr>
            <w:r>
              <w:rPr>
                <w:rFonts w:ascii="Verdana" w:hAnsi="Verdana"/>
                <w:i/>
                <w:noProof/>
                <w:color w:val="000000"/>
                <w:sz w:val="18"/>
              </w:rPr>
              <w:t>Bendras finansavimas</w:t>
            </w:r>
          </w:p>
        </w:tc>
        <w:tc>
          <w:tcPr>
            <w:tcW w:w="1332" w:type="dxa"/>
            <w:tcBorders>
              <w:top w:val="nil"/>
              <w:left w:val="nil"/>
              <w:bottom w:val="nil"/>
              <w:right w:val="nil"/>
            </w:tcBorders>
            <w:tcMar>
              <w:top w:w="0" w:type="dxa"/>
              <w:left w:w="60" w:type="dxa"/>
              <w:bottom w:w="0" w:type="dxa"/>
              <w:right w:w="60" w:type="dxa"/>
            </w:tcMar>
            <w:vAlign w:val="center"/>
          </w:tcPr>
          <w:p>
            <w:pPr>
              <w:pStyle w:val="DMETW18983BIPOPECOFI"/>
              <w:jc w:val="right"/>
              <w:rPr>
                <w:rFonts w:ascii="Verdana" w:eastAsia="Times New Roman" w:hAnsi="Verdana" w:cs="Verdana"/>
                <w:i/>
                <w:noProof/>
                <w:color w:val="000000"/>
                <w:sz w:val="18"/>
              </w:rPr>
            </w:pPr>
            <w:r>
              <w:rPr>
                <w:rFonts w:ascii="Verdana" w:hAnsi="Verdana"/>
                <w:i/>
                <w:noProof/>
                <w:color w:val="000000"/>
                <w:sz w:val="18"/>
              </w:rPr>
              <w:t>–</w:t>
            </w:r>
          </w:p>
        </w:tc>
        <w:tc>
          <w:tcPr>
            <w:tcW w:w="1333" w:type="dxa"/>
            <w:tcBorders>
              <w:top w:val="nil"/>
              <w:left w:val="nil"/>
              <w:bottom w:val="nil"/>
              <w:right w:val="nil"/>
            </w:tcBorders>
            <w:tcMar>
              <w:top w:w="0" w:type="dxa"/>
              <w:left w:w="60" w:type="dxa"/>
              <w:bottom w:w="0" w:type="dxa"/>
              <w:right w:w="60" w:type="dxa"/>
            </w:tcMar>
            <w:vAlign w:val="center"/>
          </w:tcPr>
          <w:p>
            <w:pPr>
              <w:pStyle w:val="DMETW18983BIPOPECOFI"/>
              <w:jc w:val="right"/>
              <w:rPr>
                <w:rFonts w:ascii="Verdana" w:eastAsia="Times New Roman" w:hAnsi="Verdana" w:cs="Verdana"/>
                <w:i/>
                <w:noProof/>
                <w:color w:val="000000"/>
                <w:sz w:val="18"/>
              </w:rPr>
            </w:pPr>
            <w:r>
              <w:rPr>
                <w:rFonts w:ascii="Verdana" w:hAnsi="Verdana"/>
                <w:i/>
                <w:noProof/>
                <w:color w:val="000000"/>
                <w:sz w:val="18"/>
              </w:rPr>
              <w:t>–</w:t>
            </w:r>
          </w:p>
        </w:tc>
        <w:tc>
          <w:tcPr>
            <w:tcW w:w="1333" w:type="dxa"/>
            <w:tcBorders>
              <w:top w:val="nil"/>
              <w:left w:val="nil"/>
              <w:bottom w:val="nil"/>
              <w:right w:val="nil"/>
            </w:tcBorders>
            <w:tcMar>
              <w:top w:w="0" w:type="dxa"/>
              <w:left w:w="60" w:type="dxa"/>
              <w:bottom w:w="0" w:type="dxa"/>
              <w:right w:w="60" w:type="dxa"/>
            </w:tcMar>
            <w:vAlign w:val="center"/>
          </w:tcPr>
          <w:p>
            <w:pPr>
              <w:pStyle w:val="DMETW18983BIPOPECOFI"/>
              <w:jc w:val="right"/>
              <w:rPr>
                <w:rFonts w:ascii="Verdana" w:eastAsia="Times New Roman" w:hAnsi="Verdana" w:cs="Verdana"/>
                <w:i/>
                <w:noProof/>
                <w:color w:val="000000"/>
                <w:sz w:val="18"/>
              </w:rPr>
            </w:pPr>
            <w:r>
              <w:rPr>
                <w:rFonts w:ascii="Verdana" w:hAnsi="Verdana"/>
                <w:i/>
                <w:noProof/>
                <w:color w:val="000000"/>
                <w:sz w:val="18"/>
              </w:rPr>
              <w:t xml:space="preserve"> 9</w:t>
            </w:r>
          </w:p>
        </w:tc>
        <w:tc>
          <w:tcPr>
            <w:tcW w:w="1333" w:type="dxa"/>
            <w:tcBorders>
              <w:top w:val="nil"/>
              <w:left w:val="nil"/>
              <w:bottom w:val="nil"/>
              <w:right w:val="nil"/>
            </w:tcBorders>
            <w:tcMar>
              <w:top w:w="0" w:type="dxa"/>
              <w:left w:w="60" w:type="dxa"/>
              <w:bottom w:w="0" w:type="dxa"/>
              <w:right w:w="60" w:type="dxa"/>
            </w:tcMar>
            <w:vAlign w:val="center"/>
          </w:tcPr>
          <w:p>
            <w:pPr>
              <w:pStyle w:val="DMETW18983BIPOPECOFI"/>
              <w:jc w:val="right"/>
              <w:rPr>
                <w:rFonts w:ascii="Verdana" w:eastAsia="Times New Roman" w:hAnsi="Verdana" w:cs="Verdana"/>
                <w:i/>
                <w:noProof/>
                <w:color w:val="000000"/>
                <w:sz w:val="18"/>
              </w:rPr>
            </w:pPr>
            <w:r>
              <w:rPr>
                <w:rFonts w:ascii="Verdana" w:hAnsi="Verdana"/>
                <w:i/>
                <w:noProof/>
                <w:color w:val="000000"/>
                <w:sz w:val="18"/>
              </w:rPr>
              <w:t xml:space="preserve"> 5</w:t>
            </w:r>
          </w:p>
        </w:tc>
        <w:tc>
          <w:tcPr>
            <w:tcW w:w="1333" w:type="dxa"/>
            <w:tcBorders>
              <w:top w:val="nil"/>
              <w:left w:val="nil"/>
              <w:bottom w:val="nil"/>
              <w:right w:val="nil"/>
            </w:tcBorders>
            <w:tcMar>
              <w:top w:w="0" w:type="dxa"/>
              <w:left w:w="60" w:type="dxa"/>
              <w:bottom w:w="0" w:type="dxa"/>
              <w:right w:w="60" w:type="dxa"/>
            </w:tcMar>
            <w:vAlign w:val="center"/>
          </w:tcPr>
          <w:p>
            <w:pPr>
              <w:pStyle w:val="DMETW18983BIPOPECOFI"/>
              <w:jc w:val="right"/>
              <w:rPr>
                <w:rFonts w:ascii="Verdana" w:eastAsia="Times New Roman" w:hAnsi="Verdana" w:cs="Verdana"/>
                <w:i/>
                <w:noProof/>
                <w:color w:val="000000"/>
                <w:sz w:val="18"/>
              </w:rPr>
            </w:pPr>
            <w:r>
              <w:rPr>
                <w:rFonts w:ascii="Verdana" w:hAnsi="Verdana"/>
                <w:i/>
                <w:noProof/>
                <w:color w:val="000000"/>
                <w:sz w:val="18"/>
              </w:rPr>
              <w:t xml:space="preserve"> 14</w:t>
            </w:r>
          </w:p>
        </w:tc>
        <w:tc>
          <w:tcPr>
            <w:tcW w:w="1333" w:type="dxa"/>
            <w:tcBorders>
              <w:top w:val="nil"/>
              <w:left w:val="nil"/>
              <w:bottom w:val="nil"/>
              <w:right w:val="nil"/>
            </w:tcBorders>
            <w:tcMar>
              <w:top w:w="0" w:type="dxa"/>
              <w:left w:w="60" w:type="dxa"/>
              <w:bottom w:w="0" w:type="dxa"/>
              <w:right w:w="60" w:type="dxa"/>
            </w:tcMar>
            <w:vAlign w:val="center"/>
          </w:tcPr>
          <w:p>
            <w:pPr>
              <w:pStyle w:val="DMETW18983BIPOPECOFI"/>
              <w:jc w:val="right"/>
              <w:rPr>
                <w:rFonts w:ascii="Verdana" w:eastAsia="Times New Roman" w:hAnsi="Verdana" w:cs="Verdana"/>
                <w:i/>
                <w:noProof/>
                <w:color w:val="000000"/>
                <w:sz w:val="18"/>
              </w:rPr>
            </w:pPr>
            <w:r>
              <w:rPr>
                <w:rFonts w:ascii="Verdana" w:hAnsi="Verdana"/>
                <w:i/>
                <w:noProof/>
                <w:color w:val="000000"/>
                <w:sz w:val="18"/>
              </w:rPr>
              <w:t xml:space="preserve"> (17)</w:t>
            </w:r>
          </w:p>
        </w:tc>
      </w:tr>
    </w:tbl>
    <w:p>
      <w:pPr>
        <w:pStyle w:val="Textstand-alone"/>
        <w:spacing w:after="0"/>
      </w:pPr>
      <w:r>
        <w:t xml:space="preserve">Šioje išlaidų kategorijoje nurodytos su bendro finansavimo projektais susijusios 2019 m. patirtos išlaidos. Reikėtų atkreipti dėmesį, kad patirtos išlaidos apima apskaičiuotąsias sumas, susijusias su ataskaitinių laikotarpių atskyrimu (ir atitinkamai su praėjusiais metais susijusių apskaičiuotųjų sumų atkūrimu).  </w:t>
      </w:r>
    </w:p>
    <w:p>
      <w:pPr>
        <w:pStyle w:val="Textstand-alone"/>
        <w:spacing w:after="0"/>
      </w:pPr>
      <w:r>
        <w:t xml:space="preserve">Atitinkamos pajamos pripažintos finansinės veiklos ataskaitoje (žr. </w:t>
      </w:r>
      <w:r>
        <w:rPr>
          <w:b/>
        </w:rPr>
        <w:t>3.1.1</w:t>
      </w:r>
      <w:r>
        <w:t xml:space="preserve"> pastabą).</w:t>
      </w:r>
    </w:p>
    <w:p>
      <w:pPr>
        <w:pStyle w:val="HEADER5"/>
        <w:rPr>
          <w:noProof/>
        </w:rPr>
      </w:pPr>
      <w:r>
        <w:rPr>
          <w:noProof/>
        </w:rPr>
        <w:br w:type="page"/>
        <w:t>PAGALBOS PRIEMONĖS IR BENDRO FINANSAVIMO IŠLAIDOS PAGAL VALDYMO METODĄ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4"/>
        <w:gridCol w:w="1497"/>
        <w:gridCol w:w="2247"/>
      </w:tblGrid>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noProof/>
                <w:color w:val="000000"/>
                <w:sz w:val="18"/>
              </w:rPr>
            </w:pPr>
            <w:bookmarkStart w:id="78" w:name="DOC_TBL00040_1_1"/>
            <w:bookmarkEnd w:id="78"/>
          </w:p>
        </w:tc>
        <w:tc>
          <w:tcPr>
            <w:tcW w:w="1497" w:type="dxa"/>
            <w:gridSpan w:val="2"/>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6"/>
              </w:rPr>
            </w:pPr>
            <w:r>
              <w:rPr>
                <w:rFonts w:ascii="Verdana" w:hAnsi="Verdana"/>
                <w:i/>
                <w:noProof/>
                <w:color w:val="000000"/>
                <w:sz w:val="16"/>
              </w:rPr>
              <w:t>mln. EUR</w:t>
            </w:r>
          </w:p>
        </w:tc>
      </w:tr>
      <w:tr>
        <w:trPr>
          <w:trHeight w:val="255"/>
        </w:trPr>
        <w:tc>
          <w:tcPr>
            <w:tcW w:w="601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BMM"/>
              <w:rPr>
                <w:rFonts w:ascii="Verdana" w:eastAsia="Times New Roman" w:hAnsi="Verdana" w:cs="Verdana"/>
                <w:noProof/>
                <w:color w:val="FFFFFF"/>
                <w:sz w:val="18"/>
              </w:rPr>
            </w:pPr>
          </w:p>
        </w:tc>
        <w:tc>
          <w:tcPr>
            <w:tcW w:w="149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BMM"/>
              <w:jc w:val="right"/>
              <w:rPr>
                <w:rFonts w:ascii="Verdana" w:eastAsia="Times New Roman" w:hAnsi="Verdana" w:cs="Verdana"/>
                <w:noProof/>
                <w:color w:val="FFFFFF"/>
              </w:rPr>
            </w:pPr>
            <w:r>
              <w:rPr>
                <w:rFonts w:ascii="Verdana" w:hAnsi="Verdana"/>
                <w:noProof/>
                <w:color w:val="FFFFFF"/>
              </w:rPr>
              <w:t>2019</w:t>
            </w:r>
          </w:p>
        </w:tc>
        <w:tc>
          <w:tcPr>
            <w:tcW w:w="224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BMM"/>
              <w:jc w:val="right"/>
              <w:rPr>
                <w:rFonts w:ascii="Verdana" w:eastAsia="Times New Roman" w:hAnsi="Verdana" w:cs="Verdana"/>
                <w:noProof/>
                <w:color w:val="FFFFFF"/>
              </w:rPr>
            </w:pPr>
            <w:r>
              <w:rPr>
                <w:rFonts w:ascii="Verdana" w:hAnsi="Verdana"/>
                <w:noProof/>
                <w:color w:val="FFFFFF"/>
              </w:rPr>
              <w:t>2018</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b/>
                <w:noProof/>
                <w:color w:val="000000"/>
                <w:sz w:val="18"/>
              </w:rPr>
            </w:pPr>
            <w:r>
              <w:rPr>
                <w:rFonts w:ascii="Verdana" w:hAnsi="Verdana"/>
                <w:b/>
                <w:noProof/>
                <w:color w:val="000000"/>
                <w:sz w:val="18"/>
              </w:rPr>
              <w:t>Tiesioginis valdymas</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i/>
                <w:noProof/>
                <w:color w:val="000000"/>
                <w:sz w:val="18"/>
              </w:rPr>
            </w:pP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i/>
                <w:noProof/>
                <w:color w:val="000000"/>
                <w:sz w:val="18"/>
              </w:rPr>
            </w:pP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hAnsi="Verdana"/>
                <w:i/>
                <w:noProof/>
                <w:color w:val="000000"/>
                <w:sz w:val="18"/>
              </w:rPr>
              <w:t>Vykdo:</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hAnsi="Verdana"/>
                <w:i/>
                <w:noProof/>
                <w:color w:val="000000"/>
                <w:sz w:val="18"/>
              </w:rPr>
              <w:t>Komisija</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86</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122</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hAnsi="Verdana"/>
                <w:i/>
                <w:noProof/>
                <w:color w:val="000000"/>
                <w:sz w:val="18"/>
              </w:rPr>
              <w:t>ES vykdomosios įstaigos</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(13)</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31</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hAnsi="Verdana"/>
                <w:i/>
                <w:noProof/>
                <w:color w:val="000000"/>
                <w:sz w:val="18"/>
              </w:rPr>
              <w:t>Patikos fondai</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483</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594</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hAnsi="Verdana"/>
                <w:i/>
                <w:noProof/>
                <w:color w:val="000000"/>
                <w:sz w:val="18"/>
              </w:rPr>
              <w:t>ES delegacijos</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1 141</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1 003</w:t>
            </w:r>
          </w:p>
        </w:tc>
      </w:tr>
      <w:tr>
        <w:trPr>
          <w:trHeight w:val="255"/>
        </w:trPr>
        <w:tc>
          <w:tcPr>
            <w:tcW w:w="6014"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noProof/>
                <w:color w:val="000000"/>
                <w:sz w:val="18"/>
              </w:rPr>
            </w:pPr>
          </w:p>
        </w:tc>
        <w:tc>
          <w:tcPr>
            <w:tcW w:w="149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noProof/>
                <w:color w:val="000000"/>
                <w:sz w:val="18"/>
              </w:rPr>
            </w:pPr>
            <w:r>
              <w:rPr>
                <w:rFonts w:ascii="Verdana" w:hAnsi="Verdana"/>
                <w:b/>
                <w:noProof/>
                <w:color w:val="000000"/>
                <w:sz w:val="18"/>
              </w:rPr>
              <w:t>1 697</w:t>
            </w:r>
          </w:p>
        </w:tc>
        <w:tc>
          <w:tcPr>
            <w:tcW w:w="224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noProof/>
                <w:color w:val="000000"/>
                <w:sz w:val="18"/>
              </w:rPr>
            </w:pPr>
            <w:r>
              <w:rPr>
                <w:rFonts w:ascii="Verdana" w:hAnsi="Verdana"/>
                <w:b/>
                <w:noProof/>
                <w:color w:val="000000"/>
                <w:sz w:val="18"/>
              </w:rPr>
              <w:t>1 750</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b/>
                <w:noProof/>
                <w:color w:val="000000"/>
                <w:sz w:val="18"/>
              </w:rPr>
            </w:pPr>
            <w:r>
              <w:rPr>
                <w:rFonts w:ascii="Verdana" w:hAnsi="Verdana"/>
                <w:b/>
                <w:noProof/>
                <w:color w:val="000000"/>
                <w:sz w:val="18"/>
              </w:rPr>
              <w:t>Netiesioginis valdymas</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b/>
                <w:noProof/>
                <w:color w:val="000000"/>
                <w:sz w:val="18"/>
              </w:rPr>
            </w:pP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b/>
                <w:noProof/>
                <w:color w:val="000000"/>
                <w:sz w:val="18"/>
              </w:rPr>
            </w:pP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hAnsi="Verdana"/>
                <w:i/>
                <w:noProof/>
                <w:color w:val="000000"/>
                <w:sz w:val="18"/>
              </w:rPr>
              <w:t>Vykdo:</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noProof/>
                <w:color w:val="000000"/>
                <w:sz w:val="18"/>
              </w:rPr>
            </w:pP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noProof/>
                <w:color w:val="000000"/>
                <w:sz w:val="18"/>
              </w:rPr>
            </w:pP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hAnsi="Verdana"/>
                <w:i/>
                <w:noProof/>
                <w:color w:val="000000"/>
                <w:sz w:val="18"/>
              </w:rPr>
              <w:t>EIB ir EIF</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145</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44</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hAnsi="Verdana"/>
                <w:i/>
                <w:noProof/>
                <w:color w:val="000000"/>
                <w:sz w:val="18"/>
              </w:rPr>
              <w:t>Tarptautinės organizacijos</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1 003</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920</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hAnsi="Verdana"/>
                <w:i/>
                <w:noProof/>
                <w:color w:val="000000"/>
                <w:sz w:val="18"/>
              </w:rPr>
              <w:t>Privatinės teisės įstaigos, teikiančios viešąsias paslaugas</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126</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114</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hAnsi="Verdana"/>
                <w:i/>
                <w:noProof/>
                <w:color w:val="000000"/>
                <w:sz w:val="18"/>
              </w:rPr>
              <w:t>Viešosios teisės įstaigos</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184</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231</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hAnsi="Verdana"/>
                <w:i/>
                <w:noProof/>
                <w:color w:val="000000"/>
                <w:sz w:val="18"/>
              </w:rPr>
              <w:t>Trečiosios šalys</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613</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977</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hAnsi="Verdana"/>
                <w:i/>
                <w:noProof/>
                <w:color w:val="000000"/>
                <w:sz w:val="18"/>
              </w:rPr>
              <w:t>ES įstaigos su viešojo ir privačiojo sektorių partnerystės įstaigomis</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1</w:t>
            </w:r>
          </w:p>
        </w:tc>
      </w:tr>
      <w:tr>
        <w:trPr>
          <w:trHeight w:val="255"/>
        </w:trPr>
        <w:tc>
          <w:tcPr>
            <w:tcW w:w="6014" w:type="dxa"/>
            <w:tcBorders>
              <w:top w:val="single" w:sz="4" w:space="0" w:color="016794"/>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b/>
                <w:noProof/>
                <w:color w:val="000000"/>
                <w:sz w:val="18"/>
              </w:rPr>
            </w:pPr>
          </w:p>
        </w:tc>
        <w:tc>
          <w:tcPr>
            <w:tcW w:w="1497" w:type="dxa"/>
            <w:tcBorders>
              <w:top w:val="single" w:sz="4" w:space="0" w:color="016794"/>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noProof/>
                <w:color w:val="000000"/>
                <w:sz w:val="18"/>
              </w:rPr>
            </w:pPr>
            <w:r>
              <w:rPr>
                <w:rFonts w:ascii="Verdana" w:hAnsi="Verdana"/>
                <w:b/>
                <w:noProof/>
                <w:color w:val="000000"/>
                <w:sz w:val="18"/>
              </w:rPr>
              <w:t>2 073</w:t>
            </w:r>
          </w:p>
        </w:tc>
        <w:tc>
          <w:tcPr>
            <w:tcW w:w="2247" w:type="dxa"/>
            <w:tcBorders>
              <w:top w:val="single" w:sz="4" w:space="0" w:color="016794"/>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noProof/>
                <w:color w:val="000000"/>
                <w:sz w:val="18"/>
              </w:rPr>
            </w:pPr>
            <w:r>
              <w:rPr>
                <w:rFonts w:ascii="Verdana" w:hAnsi="Verdana"/>
                <w:b/>
                <w:noProof/>
                <w:color w:val="000000"/>
                <w:sz w:val="18"/>
              </w:rPr>
              <w:t>2 287</w:t>
            </w:r>
          </w:p>
        </w:tc>
      </w:tr>
      <w:tr>
        <w:trPr>
          <w:trHeight w:val="255"/>
        </w:trPr>
        <w:tc>
          <w:tcPr>
            <w:tcW w:w="6014"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OPEBMM"/>
              <w:rPr>
                <w:rFonts w:ascii="Verdana" w:eastAsia="Times New Roman" w:hAnsi="Verdana" w:cs="Verdana"/>
                <w:b/>
                <w:noProof/>
                <w:color w:val="000000"/>
                <w:sz w:val="18"/>
              </w:rPr>
            </w:pPr>
            <w:r>
              <w:rPr>
                <w:rFonts w:ascii="Verdana" w:hAnsi="Verdana"/>
                <w:b/>
                <w:noProof/>
                <w:color w:val="000000"/>
                <w:sz w:val="18"/>
              </w:rPr>
              <w:t>Iš viso</w:t>
            </w:r>
          </w:p>
        </w:tc>
        <w:tc>
          <w:tcPr>
            <w:tcW w:w="149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noProof/>
                <w:color w:val="000000"/>
                <w:sz w:val="18"/>
              </w:rPr>
            </w:pPr>
            <w:r>
              <w:rPr>
                <w:rFonts w:ascii="Verdana" w:hAnsi="Verdana"/>
                <w:b/>
                <w:noProof/>
                <w:color w:val="000000"/>
                <w:sz w:val="18"/>
              </w:rPr>
              <w:t>3 770</w:t>
            </w:r>
          </w:p>
        </w:tc>
        <w:tc>
          <w:tcPr>
            <w:tcW w:w="224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noProof/>
                <w:color w:val="000000"/>
                <w:sz w:val="18"/>
              </w:rPr>
            </w:pPr>
            <w:r>
              <w:rPr>
                <w:rFonts w:ascii="Verdana" w:hAnsi="Verdana"/>
                <w:b/>
                <w:noProof/>
                <w:color w:val="000000"/>
                <w:sz w:val="18"/>
              </w:rPr>
              <w:t>4 037</w:t>
            </w:r>
          </w:p>
        </w:tc>
      </w:tr>
    </w:tbl>
    <w:p>
      <w:pPr>
        <w:pStyle w:val="HEADER2Part2"/>
        <w:rPr>
          <w:noProof/>
        </w:rPr>
      </w:pPr>
      <w:r>
        <w:rPr>
          <w:noProof/>
        </w:rPr>
        <w:t>FINANSINĖS IŠLAIDOS</w:t>
      </w: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5"/>
        <w:gridCol w:w="1559"/>
        <w:gridCol w:w="1276"/>
        <w:gridCol w:w="1417"/>
        <w:gridCol w:w="1418"/>
        <w:gridCol w:w="707"/>
        <w:gridCol w:w="710"/>
      </w:tblGrid>
      <w:tr>
        <w:trPr>
          <w:trHeight w:val="255"/>
        </w:trPr>
        <w:tc>
          <w:tcPr>
            <w:tcW w:w="2755" w:type="dxa"/>
            <w:tcBorders>
              <w:top w:val="nil"/>
              <w:left w:val="nil"/>
              <w:bottom w:val="nil"/>
              <w:right w:val="nil"/>
            </w:tcBorders>
            <w:tcMar>
              <w:top w:w="0" w:type="dxa"/>
              <w:left w:w="60" w:type="dxa"/>
              <w:bottom w:w="0" w:type="dxa"/>
              <w:right w:w="60" w:type="dxa"/>
            </w:tcMar>
            <w:vAlign w:val="center"/>
          </w:tcPr>
          <w:p>
            <w:pPr>
              <w:pStyle w:val="DMETW18983BIPFINCOST"/>
              <w:rPr>
                <w:rFonts w:ascii="Verdana" w:eastAsia="Times New Roman" w:hAnsi="Verdana" w:cs="Verdana"/>
                <w:noProof/>
                <w:color w:val="000000"/>
                <w:sz w:val="18"/>
              </w:rPr>
            </w:pPr>
            <w:bookmarkStart w:id="79" w:name="DOC_TBL00041_1_1"/>
            <w:bookmarkEnd w:id="79"/>
          </w:p>
        </w:tc>
        <w:tc>
          <w:tcPr>
            <w:tcW w:w="7087" w:type="dxa"/>
            <w:gridSpan w:val="6"/>
            <w:tcBorders>
              <w:top w:val="nil"/>
              <w:left w:val="nil"/>
              <w:bottom w:val="nil"/>
              <w:right w:val="nil"/>
            </w:tcBorders>
            <w:tcMar>
              <w:top w:w="0" w:type="dxa"/>
              <w:left w:w="60" w:type="dxa"/>
              <w:bottom w:w="0" w:type="dxa"/>
              <w:right w:w="60" w:type="dxa"/>
            </w:tcMar>
            <w:vAlign w:val="center"/>
          </w:tcPr>
          <w:p>
            <w:pPr>
              <w:pStyle w:val="DMETW18983BIPFINCOST"/>
              <w:jc w:val="right"/>
              <w:rPr>
                <w:rFonts w:ascii="Verdana" w:eastAsia="Times New Roman" w:hAnsi="Verdana" w:cs="Verdana"/>
                <w:i/>
                <w:noProof/>
                <w:color w:val="000000"/>
                <w:sz w:val="16"/>
              </w:rPr>
            </w:pPr>
            <w:r>
              <w:rPr>
                <w:rFonts w:ascii="Verdana" w:hAnsi="Verdana"/>
                <w:i/>
                <w:noProof/>
                <w:color w:val="000000"/>
                <w:sz w:val="16"/>
              </w:rPr>
              <w:t>mln. EUR</w:t>
            </w:r>
          </w:p>
        </w:tc>
      </w:tr>
      <w:tr>
        <w:trPr>
          <w:trHeight w:val="255"/>
        </w:trPr>
        <w:tc>
          <w:tcPr>
            <w:tcW w:w="275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INCOST"/>
              <w:jc w:val="right"/>
              <w:rPr>
                <w:rFonts w:ascii="Verdana" w:eastAsia="Times New Roman" w:hAnsi="Verdana" w:cs="Verdana"/>
                <w:noProof/>
                <w:color w:val="FFFFFF"/>
              </w:rPr>
            </w:pPr>
          </w:p>
        </w:tc>
        <w:tc>
          <w:tcPr>
            <w:tcW w:w="155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INCOST"/>
              <w:jc w:val="right"/>
              <w:rPr>
                <w:rFonts w:ascii="Verdana" w:eastAsia="Times New Roman" w:hAnsi="Verdana" w:cs="Verdana"/>
                <w:noProof/>
                <w:color w:val="FFFFFF"/>
              </w:rPr>
            </w:pPr>
            <w:r>
              <w:rPr>
                <w:rFonts w:ascii="Verdana" w:hAnsi="Verdana"/>
                <w:noProof/>
                <w:color w:val="FFFFFF"/>
              </w:rPr>
              <w:t>8-asis EPF</w:t>
            </w:r>
          </w:p>
        </w:tc>
        <w:tc>
          <w:tcPr>
            <w:tcW w:w="127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INCOST"/>
              <w:jc w:val="right"/>
              <w:rPr>
                <w:rFonts w:ascii="Verdana" w:eastAsia="Times New Roman" w:hAnsi="Verdana" w:cs="Verdana"/>
                <w:noProof/>
                <w:color w:val="FFFFFF"/>
              </w:rPr>
            </w:pPr>
            <w:r>
              <w:rPr>
                <w:rFonts w:ascii="Verdana" w:hAnsi="Verdana"/>
                <w:noProof/>
                <w:color w:val="FFFFFF"/>
              </w:rPr>
              <w:t>9-asis EPF</w:t>
            </w:r>
          </w:p>
        </w:tc>
        <w:tc>
          <w:tcPr>
            <w:tcW w:w="141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INCOST"/>
              <w:jc w:val="right"/>
              <w:rPr>
                <w:rFonts w:ascii="Verdana" w:eastAsia="Times New Roman" w:hAnsi="Verdana" w:cs="Verdana"/>
                <w:noProof/>
                <w:color w:val="FFFFFF"/>
              </w:rPr>
            </w:pPr>
            <w:r>
              <w:rPr>
                <w:rFonts w:ascii="Verdana" w:hAnsi="Verdana"/>
                <w:noProof/>
                <w:color w:val="FFFFFF"/>
              </w:rPr>
              <w:t>10-asis EPF</w:t>
            </w:r>
          </w:p>
        </w:tc>
        <w:tc>
          <w:tcPr>
            <w:tcW w:w="141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INCOST"/>
              <w:jc w:val="right"/>
              <w:rPr>
                <w:rFonts w:ascii="Verdana" w:eastAsia="Times New Roman" w:hAnsi="Verdana" w:cs="Verdana"/>
                <w:noProof/>
                <w:color w:val="FFFFFF"/>
              </w:rPr>
            </w:pPr>
            <w:r>
              <w:rPr>
                <w:rFonts w:ascii="Verdana" w:hAnsi="Verdana"/>
                <w:noProof/>
                <w:color w:val="FFFFFF"/>
              </w:rPr>
              <w:t>11-asis EPF</w:t>
            </w:r>
          </w:p>
        </w:tc>
        <w:tc>
          <w:tcPr>
            <w:tcW w:w="70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INCOST"/>
              <w:jc w:val="right"/>
              <w:rPr>
                <w:rFonts w:ascii="Verdana" w:eastAsia="Times New Roman" w:hAnsi="Verdana" w:cs="Verdana"/>
                <w:noProof/>
                <w:color w:val="FFFFFF"/>
              </w:rPr>
            </w:pPr>
            <w:r>
              <w:rPr>
                <w:rFonts w:ascii="Verdana" w:hAnsi="Verdana"/>
                <w:noProof/>
                <w:color w:val="FFFFFF"/>
              </w:rPr>
              <w:t>2019</w:t>
            </w:r>
          </w:p>
        </w:tc>
        <w:tc>
          <w:tcPr>
            <w:tcW w:w="71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INCOST"/>
              <w:jc w:val="right"/>
              <w:rPr>
                <w:rFonts w:ascii="Verdana" w:eastAsia="Times New Roman" w:hAnsi="Verdana" w:cs="Verdana"/>
                <w:noProof/>
                <w:color w:val="FFFFFF"/>
              </w:rPr>
            </w:pPr>
            <w:r>
              <w:rPr>
                <w:rFonts w:ascii="Verdana" w:hAnsi="Verdana"/>
                <w:noProof/>
                <w:color w:val="FFFFFF"/>
              </w:rPr>
              <w:t>2018</w:t>
            </w:r>
          </w:p>
        </w:tc>
      </w:tr>
      <w:tr>
        <w:trPr>
          <w:trHeight w:val="255"/>
        </w:trPr>
        <w:tc>
          <w:tcPr>
            <w:tcW w:w="2755" w:type="dxa"/>
            <w:tcBorders>
              <w:top w:val="nil"/>
              <w:left w:val="nil"/>
              <w:bottom w:val="nil"/>
              <w:right w:val="nil"/>
            </w:tcBorders>
            <w:tcMar>
              <w:top w:w="0" w:type="dxa"/>
              <w:left w:w="60" w:type="dxa"/>
              <w:bottom w:w="0" w:type="dxa"/>
              <w:right w:w="60" w:type="dxa"/>
            </w:tcMar>
            <w:vAlign w:val="center"/>
          </w:tcPr>
          <w:p>
            <w:pPr>
              <w:pStyle w:val="DMETW18983BIPFINCOST"/>
              <w:rPr>
                <w:rFonts w:ascii="Verdana" w:eastAsia="Times New Roman" w:hAnsi="Verdana" w:cs="Verdana"/>
                <w:i/>
                <w:noProof/>
                <w:color w:val="000000"/>
                <w:sz w:val="18"/>
              </w:rPr>
            </w:pPr>
            <w:r>
              <w:rPr>
                <w:rFonts w:ascii="Verdana" w:hAnsi="Verdana"/>
                <w:i/>
                <w:noProof/>
                <w:color w:val="000000"/>
                <w:sz w:val="18"/>
              </w:rPr>
              <w:t>Gautinų sumų vertės sumažinimas</w:t>
            </w:r>
          </w:p>
        </w:tc>
        <w:tc>
          <w:tcPr>
            <w:tcW w:w="1559" w:type="dxa"/>
            <w:tcBorders>
              <w:top w:val="nil"/>
              <w:left w:val="nil"/>
              <w:bottom w:val="nil"/>
              <w:right w:val="nil"/>
            </w:tcBorders>
            <w:tcMar>
              <w:top w:w="0" w:type="dxa"/>
              <w:left w:w="60" w:type="dxa"/>
              <w:bottom w:w="0" w:type="dxa"/>
              <w:right w:w="60" w:type="dxa"/>
            </w:tcMar>
            <w:vAlign w:val="center"/>
          </w:tcPr>
          <w:p>
            <w:pPr>
              <w:pStyle w:val="DMETW18983BIPFINCOST"/>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276" w:type="dxa"/>
            <w:tcBorders>
              <w:top w:val="nil"/>
              <w:left w:val="nil"/>
              <w:bottom w:val="nil"/>
              <w:right w:val="nil"/>
            </w:tcBorders>
            <w:tcMar>
              <w:top w:w="0" w:type="dxa"/>
              <w:left w:w="60" w:type="dxa"/>
              <w:bottom w:w="0" w:type="dxa"/>
              <w:right w:w="60" w:type="dxa"/>
            </w:tcMar>
            <w:vAlign w:val="center"/>
          </w:tcPr>
          <w:p>
            <w:pPr>
              <w:pStyle w:val="DMETW18983BIPFINCOST"/>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1417" w:type="dxa"/>
            <w:tcBorders>
              <w:top w:val="nil"/>
              <w:left w:val="nil"/>
              <w:bottom w:val="nil"/>
              <w:right w:val="nil"/>
            </w:tcBorders>
            <w:tcMar>
              <w:top w:w="0" w:type="dxa"/>
              <w:left w:w="60" w:type="dxa"/>
              <w:bottom w:w="0" w:type="dxa"/>
              <w:right w:w="60" w:type="dxa"/>
            </w:tcMar>
            <w:vAlign w:val="center"/>
          </w:tcPr>
          <w:p>
            <w:pPr>
              <w:pStyle w:val="DMETW18983BIPFINCOST"/>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1418" w:type="dxa"/>
            <w:tcBorders>
              <w:top w:val="nil"/>
              <w:left w:val="nil"/>
              <w:bottom w:val="nil"/>
              <w:right w:val="nil"/>
            </w:tcBorders>
            <w:tcMar>
              <w:top w:w="0" w:type="dxa"/>
              <w:left w:w="60" w:type="dxa"/>
              <w:bottom w:w="0" w:type="dxa"/>
              <w:right w:w="60" w:type="dxa"/>
            </w:tcMar>
            <w:vAlign w:val="center"/>
          </w:tcPr>
          <w:p>
            <w:pPr>
              <w:pStyle w:val="DMETW18983BIPFINCOST"/>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707" w:type="dxa"/>
            <w:tcBorders>
              <w:top w:val="nil"/>
              <w:left w:val="nil"/>
              <w:bottom w:val="nil"/>
              <w:right w:val="nil"/>
            </w:tcBorders>
            <w:tcMar>
              <w:top w:w="0" w:type="dxa"/>
              <w:left w:w="60" w:type="dxa"/>
              <w:bottom w:w="0" w:type="dxa"/>
              <w:right w:w="60" w:type="dxa"/>
            </w:tcMar>
            <w:vAlign w:val="center"/>
          </w:tcPr>
          <w:p>
            <w:pPr>
              <w:pStyle w:val="DMETW18983BIPFINCOST"/>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710" w:type="dxa"/>
            <w:tcBorders>
              <w:top w:val="nil"/>
              <w:left w:val="nil"/>
              <w:bottom w:val="nil"/>
              <w:right w:val="nil"/>
            </w:tcBorders>
            <w:tcMar>
              <w:top w:w="0" w:type="dxa"/>
              <w:left w:w="60" w:type="dxa"/>
              <w:bottom w:w="0" w:type="dxa"/>
              <w:right w:w="60" w:type="dxa"/>
            </w:tcMar>
            <w:vAlign w:val="center"/>
          </w:tcPr>
          <w:p>
            <w:pPr>
              <w:pStyle w:val="DMETW18983BIPFINCOST"/>
              <w:jc w:val="right"/>
              <w:rPr>
                <w:rFonts w:ascii="Verdana" w:eastAsia="Times New Roman" w:hAnsi="Verdana" w:cs="Verdana"/>
                <w:i/>
                <w:noProof/>
                <w:color w:val="000000"/>
                <w:sz w:val="18"/>
              </w:rPr>
            </w:pPr>
            <w:r>
              <w:rPr>
                <w:rFonts w:ascii="Verdana" w:hAnsi="Verdana"/>
                <w:i/>
                <w:noProof/>
                <w:color w:val="000000"/>
                <w:sz w:val="18"/>
              </w:rPr>
              <w:t xml:space="preserve"> (7)</w:t>
            </w:r>
          </w:p>
        </w:tc>
      </w:tr>
    </w:tbl>
    <w:p>
      <w:pPr>
        <w:pStyle w:val="Textstand-alone"/>
      </w:pPr>
      <w:r>
        <w:t>Į šią išlaidų kategoriją įtraukiamos apskaičiuotos nesusigrąžinamų sumų išlaidos.</w:t>
      </w:r>
    </w:p>
    <w:p>
      <w:pPr>
        <w:pStyle w:val="HEADER2Part2"/>
        <w:rPr>
          <w:noProof/>
        </w:rPr>
      </w:pPr>
      <w:bookmarkStart w:id="80" w:name="_Ref35812877"/>
      <w:r>
        <w:rPr>
          <w:noProof/>
        </w:rPr>
        <w:t>KITOS IŠLAIDOS</w:t>
      </w:r>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4"/>
        <w:gridCol w:w="1134"/>
        <w:gridCol w:w="1134"/>
        <w:gridCol w:w="1134"/>
        <w:gridCol w:w="1134"/>
        <w:gridCol w:w="851"/>
        <w:gridCol w:w="767"/>
      </w:tblGrid>
      <w:tr>
        <w:trPr>
          <w:trHeight w:val="255"/>
        </w:trPr>
        <w:tc>
          <w:tcPr>
            <w:tcW w:w="9758" w:type="dxa"/>
            <w:gridSpan w:val="7"/>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6"/>
              </w:rPr>
            </w:pPr>
            <w:bookmarkStart w:id="81" w:name="DOC_TBL00042_1_1"/>
            <w:bookmarkEnd w:id="81"/>
            <w:r>
              <w:rPr>
                <w:rFonts w:ascii="Verdana" w:hAnsi="Verdana"/>
                <w:i/>
                <w:noProof/>
                <w:color w:val="000000"/>
                <w:sz w:val="16"/>
              </w:rPr>
              <w:t>mln. EUR</w:t>
            </w:r>
          </w:p>
        </w:tc>
      </w:tr>
      <w:tr>
        <w:trPr>
          <w:trHeight w:val="255"/>
        </w:trPr>
        <w:tc>
          <w:tcPr>
            <w:tcW w:w="360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THEXP"/>
              <w:jc w:val="right"/>
              <w:rPr>
                <w:rFonts w:ascii="Verdana" w:eastAsia="Times New Roman" w:hAnsi="Verdana" w:cs="Verdana"/>
                <w:noProof/>
                <w:color w:val="FFFFFF"/>
              </w:rPr>
            </w:pP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THEXP"/>
              <w:jc w:val="right"/>
              <w:rPr>
                <w:rFonts w:ascii="Verdana" w:eastAsia="Times New Roman" w:hAnsi="Verdana" w:cs="Verdana"/>
                <w:noProof/>
                <w:color w:val="FFFFFF"/>
              </w:rPr>
            </w:pPr>
            <w:r>
              <w:rPr>
                <w:rFonts w:ascii="Verdana" w:hAnsi="Verdana"/>
                <w:noProof/>
                <w:color w:val="FFFFFF"/>
              </w:rPr>
              <w:t>8-asis EPF</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THEXP"/>
              <w:jc w:val="right"/>
              <w:rPr>
                <w:rFonts w:ascii="Verdana" w:eastAsia="Times New Roman" w:hAnsi="Verdana" w:cs="Verdana"/>
                <w:noProof/>
                <w:color w:val="FFFFFF"/>
              </w:rPr>
            </w:pPr>
            <w:r>
              <w:rPr>
                <w:rFonts w:ascii="Verdana" w:hAnsi="Verdana"/>
                <w:noProof/>
                <w:color w:val="FFFFFF"/>
              </w:rPr>
              <w:t>9-asis EPF</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THEXP"/>
              <w:jc w:val="right"/>
              <w:rPr>
                <w:rFonts w:ascii="Verdana" w:eastAsia="Times New Roman" w:hAnsi="Verdana" w:cs="Verdana"/>
                <w:noProof/>
                <w:color w:val="FFFFFF"/>
              </w:rPr>
            </w:pPr>
            <w:r>
              <w:rPr>
                <w:rFonts w:ascii="Verdana" w:hAnsi="Verdana"/>
                <w:noProof/>
                <w:color w:val="FFFFFF"/>
              </w:rPr>
              <w:t>10-asis EPF</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THEXP"/>
              <w:jc w:val="right"/>
              <w:rPr>
                <w:rFonts w:ascii="Verdana" w:eastAsia="Times New Roman" w:hAnsi="Verdana" w:cs="Verdana"/>
                <w:noProof/>
                <w:color w:val="FFFFFF"/>
              </w:rPr>
            </w:pPr>
            <w:r>
              <w:rPr>
                <w:rFonts w:ascii="Verdana" w:hAnsi="Verdana"/>
                <w:noProof/>
                <w:color w:val="FFFFFF"/>
              </w:rPr>
              <w:t>11-asis EPF</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THEXP"/>
              <w:jc w:val="right"/>
              <w:rPr>
                <w:rFonts w:ascii="Verdana" w:eastAsia="Times New Roman" w:hAnsi="Verdana" w:cs="Verdana"/>
                <w:noProof/>
                <w:color w:val="FFFFFF"/>
              </w:rPr>
            </w:pPr>
            <w:r>
              <w:rPr>
                <w:rFonts w:ascii="Verdana" w:hAnsi="Verdana"/>
                <w:noProof/>
                <w:color w:val="FFFFFF"/>
              </w:rPr>
              <w:t>2019</w:t>
            </w:r>
          </w:p>
        </w:tc>
        <w:tc>
          <w:tcPr>
            <w:tcW w:w="76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THEXP"/>
              <w:jc w:val="right"/>
              <w:rPr>
                <w:rFonts w:ascii="Verdana" w:eastAsia="Times New Roman" w:hAnsi="Verdana" w:cs="Verdana"/>
                <w:noProof/>
                <w:color w:val="FFFFFF"/>
              </w:rPr>
            </w:pPr>
            <w:r>
              <w:rPr>
                <w:rFonts w:ascii="Verdana" w:hAnsi="Verdana"/>
                <w:noProof/>
                <w:color w:val="FFFFFF"/>
              </w:rPr>
              <w:t>2018</w:t>
            </w:r>
          </w:p>
        </w:tc>
      </w:tr>
      <w:tr>
        <w:trPr>
          <w:trHeight w:val="255"/>
        </w:trPr>
        <w:tc>
          <w:tcPr>
            <w:tcW w:w="3604" w:type="dxa"/>
            <w:tcBorders>
              <w:top w:val="nil"/>
              <w:left w:val="nil"/>
              <w:bottom w:val="nil"/>
              <w:right w:val="nil"/>
            </w:tcBorders>
            <w:tcMar>
              <w:top w:w="0" w:type="dxa"/>
              <w:left w:w="60" w:type="dxa"/>
              <w:bottom w:w="0" w:type="dxa"/>
              <w:right w:w="60" w:type="dxa"/>
            </w:tcMar>
            <w:vAlign w:val="center"/>
          </w:tcPr>
          <w:p>
            <w:pPr>
              <w:pStyle w:val="DMETW18983BIPOTHEXP"/>
              <w:rPr>
                <w:rFonts w:ascii="Verdana" w:eastAsia="Times New Roman" w:hAnsi="Verdana" w:cs="Verdana"/>
                <w:i/>
                <w:noProof/>
                <w:color w:val="000000"/>
                <w:sz w:val="18"/>
              </w:rPr>
            </w:pPr>
            <w:r>
              <w:rPr>
                <w:rFonts w:ascii="Verdana" w:hAnsi="Verdana"/>
                <w:i/>
                <w:noProof/>
                <w:color w:val="000000"/>
                <w:sz w:val="18"/>
              </w:rPr>
              <w:t>Administracinės ir IT išlaidos</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(41)</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262</w:t>
            </w:r>
          </w:p>
        </w:tc>
        <w:tc>
          <w:tcPr>
            <w:tcW w:w="851"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220</w:t>
            </w:r>
          </w:p>
        </w:tc>
        <w:tc>
          <w:tcPr>
            <w:tcW w:w="767"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112</w:t>
            </w:r>
          </w:p>
        </w:tc>
      </w:tr>
      <w:tr>
        <w:trPr>
          <w:trHeight w:val="255"/>
        </w:trPr>
        <w:tc>
          <w:tcPr>
            <w:tcW w:w="3604" w:type="dxa"/>
            <w:tcBorders>
              <w:top w:val="nil"/>
              <w:left w:val="nil"/>
              <w:bottom w:val="nil"/>
              <w:right w:val="nil"/>
            </w:tcBorders>
            <w:tcMar>
              <w:top w:w="0" w:type="dxa"/>
              <w:left w:w="60" w:type="dxa"/>
              <w:bottom w:w="0" w:type="dxa"/>
              <w:right w:w="60" w:type="dxa"/>
            </w:tcMar>
            <w:vAlign w:val="center"/>
          </w:tcPr>
          <w:p>
            <w:pPr>
              <w:pStyle w:val="DMETW18983BIPOTHEXP"/>
              <w:rPr>
                <w:rFonts w:ascii="Verdana" w:eastAsia="Times New Roman" w:hAnsi="Verdana" w:cs="Verdana"/>
                <w:i/>
                <w:noProof/>
                <w:color w:val="000000"/>
                <w:sz w:val="18"/>
              </w:rPr>
            </w:pPr>
            <w:r>
              <w:rPr>
                <w:rFonts w:ascii="Verdana" w:hAnsi="Verdana"/>
                <w:i/>
                <w:noProof/>
                <w:color w:val="000000"/>
                <w:sz w:val="18"/>
              </w:rPr>
              <w:t>Rizikos ir sąnaudų atidėjiniai</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w:t>
            </w:r>
          </w:p>
        </w:tc>
        <w:tc>
          <w:tcPr>
            <w:tcW w:w="767"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(4)</w:t>
            </w:r>
          </w:p>
        </w:tc>
      </w:tr>
      <w:tr>
        <w:trPr>
          <w:trHeight w:val="255"/>
        </w:trPr>
        <w:tc>
          <w:tcPr>
            <w:tcW w:w="3604" w:type="dxa"/>
            <w:tcBorders>
              <w:top w:val="nil"/>
              <w:left w:val="nil"/>
              <w:bottom w:val="nil"/>
              <w:right w:val="nil"/>
            </w:tcBorders>
            <w:tcMar>
              <w:top w:w="0" w:type="dxa"/>
              <w:left w:w="60" w:type="dxa"/>
              <w:bottom w:w="0" w:type="dxa"/>
              <w:right w:w="60" w:type="dxa"/>
            </w:tcMar>
            <w:vAlign w:val="center"/>
          </w:tcPr>
          <w:p>
            <w:pPr>
              <w:pStyle w:val="DMETW18983BIPOTHEXP"/>
              <w:rPr>
                <w:rFonts w:ascii="Verdana" w:eastAsia="Times New Roman" w:hAnsi="Verdana" w:cs="Verdana"/>
                <w:i/>
                <w:noProof/>
                <w:color w:val="000000"/>
                <w:sz w:val="18"/>
              </w:rPr>
            </w:pPr>
            <w:r>
              <w:rPr>
                <w:rFonts w:ascii="Verdana" w:hAnsi="Verdana"/>
                <w:i/>
                <w:noProof/>
                <w:color w:val="000000"/>
                <w:sz w:val="18"/>
              </w:rPr>
              <w:t>Realizuoti nuostoliai, susiję su pirkėjų įsiskolinimu</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3</w:t>
            </w:r>
          </w:p>
        </w:tc>
        <w:tc>
          <w:tcPr>
            <w:tcW w:w="767"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1</w:t>
            </w:r>
          </w:p>
        </w:tc>
      </w:tr>
      <w:tr>
        <w:trPr>
          <w:trHeight w:val="255"/>
        </w:trPr>
        <w:tc>
          <w:tcPr>
            <w:tcW w:w="3604" w:type="dxa"/>
            <w:tcBorders>
              <w:top w:val="nil"/>
              <w:left w:val="nil"/>
              <w:bottom w:val="nil"/>
              <w:right w:val="nil"/>
            </w:tcBorders>
            <w:tcMar>
              <w:top w:w="0" w:type="dxa"/>
              <w:left w:w="60" w:type="dxa"/>
              <w:bottom w:w="0" w:type="dxa"/>
              <w:right w:w="60" w:type="dxa"/>
            </w:tcMar>
            <w:vAlign w:val="center"/>
          </w:tcPr>
          <w:p>
            <w:pPr>
              <w:pStyle w:val="DMETW18983BIPOTHEXP"/>
              <w:rPr>
                <w:rFonts w:ascii="Verdana" w:eastAsia="Times New Roman" w:hAnsi="Verdana" w:cs="Verdana"/>
                <w:i/>
                <w:noProof/>
                <w:color w:val="000000"/>
                <w:sz w:val="18"/>
              </w:rPr>
            </w:pPr>
            <w:r>
              <w:rPr>
                <w:rFonts w:ascii="Verdana" w:hAnsi="Verdana"/>
                <w:i/>
                <w:noProof/>
                <w:color w:val="000000"/>
                <w:sz w:val="18"/>
              </w:rPr>
              <w:t>Valiutos keitimo nuostoliai</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6</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21</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9</w:t>
            </w:r>
          </w:p>
        </w:tc>
        <w:tc>
          <w:tcPr>
            <w:tcW w:w="851"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37</w:t>
            </w:r>
          </w:p>
        </w:tc>
        <w:tc>
          <w:tcPr>
            <w:tcW w:w="767"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39</w:t>
            </w:r>
          </w:p>
        </w:tc>
      </w:tr>
      <w:tr>
        <w:trPr>
          <w:trHeight w:val="255"/>
        </w:trPr>
        <w:tc>
          <w:tcPr>
            <w:tcW w:w="360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THEXP"/>
              <w:rPr>
                <w:rFonts w:ascii="Verdana" w:eastAsia="Times New Roman" w:hAnsi="Verdana" w:cs="Verdana"/>
                <w:b/>
                <w:noProof/>
                <w:color w:val="000000"/>
                <w:sz w:val="18"/>
              </w:rPr>
            </w:pPr>
            <w:r>
              <w:rPr>
                <w:rFonts w:ascii="Verdana" w:hAnsi="Verdana"/>
                <w:b/>
                <w:noProof/>
                <w:color w:val="000000"/>
                <w:sz w:val="18"/>
              </w:rPr>
              <w:t>Iš viso</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THEXP"/>
              <w:jc w:val="right"/>
              <w:rPr>
                <w:rFonts w:ascii="Verdana" w:eastAsia="Times New Roman" w:hAnsi="Verdana" w:cs="Verdana"/>
                <w:b/>
                <w:noProof/>
                <w:color w:val="000000"/>
                <w:sz w:val="18"/>
              </w:rPr>
            </w:pPr>
            <w:r>
              <w:rPr>
                <w:rFonts w:ascii="Verdana" w:hAnsi="Verdana"/>
                <w:b/>
                <w:noProof/>
                <w:color w:val="000000"/>
                <w:sz w:val="18"/>
              </w:rPr>
              <w:t xml:space="preserve">  1</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THEXP"/>
              <w:jc w:val="right"/>
              <w:rPr>
                <w:rFonts w:ascii="Verdana" w:eastAsia="Times New Roman" w:hAnsi="Verdana" w:cs="Verdana"/>
                <w:b/>
                <w:noProof/>
                <w:color w:val="000000"/>
                <w:sz w:val="18"/>
              </w:rPr>
            </w:pPr>
            <w:r>
              <w:rPr>
                <w:rFonts w:ascii="Verdana" w:hAnsi="Verdana"/>
                <w:b/>
                <w:noProof/>
                <w:color w:val="000000"/>
                <w:sz w:val="18"/>
              </w:rPr>
              <w:t xml:space="preserve">  8</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THEXP"/>
              <w:jc w:val="right"/>
              <w:rPr>
                <w:rFonts w:ascii="Verdana" w:eastAsia="Times New Roman" w:hAnsi="Verdana" w:cs="Verdana"/>
                <w:b/>
                <w:noProof/>
                <w:color w:val="000000"/>
                <w:sz w:val="18"/>
              </w:rPr>
            </w:pPr>
            <w:r>
              <w:rPr>
                <w:rFonts w:ascii="Verdana" w:hAnsi="Verdana"/>
                <w:b/>
                <w:noProof/>
                <w:color w:val="000000"/>
                <w:sz w:val="18"/>
              </w:rPr>
              <w:t xml:space="preserve">  (20)</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THEXP"/>
              <w:jc w:val="right"/>
              <w:rPr>
                <w:rFonts w:ascii="Verdana" w:eastAsia="Times New Roman" w:hAnsi="Verdana" w:cs="Verdana"/>
                <w:b/>
                <w:noProof/>
                <w:color w:val="000000"/>
                <w:sz w:val="18"/>
              </w:rPr>
            </w:pPr>
            <w:r>
              <w:rPr>
                <w:rFonts w:ascii="Verdana" w:hAnsi="Verdana"/>
                <w:b/>
                <w:noProof/>
                <w:color w:val="000000"/>
                <w:sz w:val="18"/>
              </w:rPr>
              <w:t xml:space="preserve">  272</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THEXP"/>
              <w:jc w:val="right"/>
              <w:rPr>
                <w:rFonts w:ascii="Verdana" w:eastAsia="Times New Roman" w:hAnsi="Verdana" w:cs="Verdana"/>
                <w:b/>
                <w:noProof/>
                <w:color w:val="000000"/>
                <w:sz w:val="18"/>
              </w:rPr>
            </w:pPr>
            <w:r>
              <w:rPr>
                <w:rFonts w:ascii="Verdana" w:hAnsi="Verdana"/>
                <w:b/>
                <w:noProof/>
                <w:color w:val="000000"/>
                <w:sz w:val="18"/>
              </w:rPr>
              <w:t xml:space="preserve">  260</w:t>
            </w:r>
          </w:p>
        </w:tc>
        <w:tc>
          <w:tcPr>
            <w:tcW w:w="76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THEXP"/>
              <w:jc w:val="right"/>
              <w:rPr>
                <w:rFonts w:ascii="Verdana" w:eastAsia="Times New Roman" w:hAnsi="Verdana" w:cs="Verdana"/>
                <w:b/>
                <w:noProof/>
                <w:color w:val="000000"/>
                <w:sz w:val="18"/>
              </w:rPr>
            </w:pPr>
            <w:r>
              <w:rPr>
                <w:rFonts w:ascii="Verdana" w:hAnsi="Verdana"/>
                <w:b/>
                <w:noProof/>
                <w:color w:val="000000"/>
                <w:sz w:val="18"/>
              </w:rPr>
              <w:t xml:space="preserve">  148</w:t>
            </w:r>
          </w:p>
        </w:tc>
      </w:tr>
    </w:tbl>
    <w:p>
      <w:pPr>
        <w:pStyle w:val="Textstand-alone"/>
        <w:spacing w:after="0"/>
      </w:pPr>
      <w:r>
        <w:t>Į šią išlaidų kategoriją daugiausia įtrauktos paramos išlaidos, t. y. administracinės išlaidos, susijusios su EPF programavimu ir įgyvendinimu. Jos apima projektų rengimo, tolesnių veiksmų, stebėjimo ir vertinimo išlaidas, taip pat kompiuterinių tinklų, techninės pagalbos ir kt. išlaidas.</w:t>
      </w:r>
    </w:p>
    <w:p>
      <w:pPr>
        <w:pStyle w:val="HEADER1Part2"/>
        <w:numPr>
          <w:ilvl w:val="0"/>
          <w:numId w:val="0"/>
        </w:numPr>
        <w:ind w:left="907" w:hanging="907"/>
        <w:rPr>
          <w:noProof/>
        </w:rPr>
      </w:pPr>
    </w:p>
    <w:p>
      <w:pPr>
        <w:pStyle w:val="HEADER1Part2"/>
        <w:numPr>
          <w:ilvl w:val="0"/>
          <w:numId w:val="0"/>
        </w:numPr>
        <w:ind w:left="907" w:hanging="907"/>
        <w:rPr>
          <w:noProof/>
        </w:rPr>
        <w:sectPr>
          <w:headerReference w:type="even" r:id="rId173"/>
          <w:headerReference w:type="default" r:id="rId174"/>
          <w:footerReference w:type="even" r:id="rId175"/>
          <w:footerReference w:type="default" r:id="rId176"/>
          <w:headerReference w:type="first" r:id="rId177"/>
          <w:footerReference w:type="first" r:id="rId178"/>
          <w:pgSz w:w="11906" w:h="16838"/>
          <w:pgMar w:top="1134" w:right="1134" w:bottom="1134" w:left="1134" w:header="709" w:footer="709" w:gutter="0"/>
          <w:cols w:space="708"/>
          <w:docGrid w:linePitch="360"/>
        </w:sectPr>
      </w:pPr>
    </w:p>
    <w:p>
      <w:pPr>
        <w:pStyle w:val="HEADER1Part2"/>
        <w:rPr>
          <w:noProof/>
        </w:rPr>
      </w:pPr>
      <w:r>
        <w:rPr>
          <w:noProof/>
        </w:rPr>
        <w:t>NEAPIBRĖŽTASIS TURTAS BEI ĮSIPAREIGOJIMAI IR KITA SVARBI INFORMACIJA</w:t>
      </w:r>
    </w:p>
    <w:p>
      <w:pPr>
        <w:pStyle w:val="HEADER2Part2"/>
        <w:rPr>
          <w:noProof/>
        </w:rPr>
      </w:pPr>
      <w:r>
        <w:rPr>
          <w:noProof/>
        </w:rPr>
        <w:t>NEAPIBRĖŽTASIS TURTAS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850"/>
        <w:gridCol w:w="851"/>
        <w:gridCol w:w="992"/>
        <w:gridCol w:w="871"/>
        <w:gridCol w:w="1831"/>
        <w:gridCol w:w="1609"/>
      </w:tblGrid>
      <w:tr>
        <w:trPr>
          <w:trHeight w:val="255"/>
        </w:trPr>
        <w:tc>
          <w:tcPr>
            <w:tcW w:w="2754" w:type="dxa"/>
            <w:tcBorders>
              <w:top w:val="nil"/>
              <w:left w:val="nil"/>
              <w:bottom w:val="nil"/>
              <w:right w:val="nil"/>
            </w:tcBorders>
            <w:tcMar>
              <w:top w:w="0" w:type="dxa"/>
              <w:left w:w="60" w:type="dxa"/>
              <w:bottom w:w="0" w:type="dxa"/>
              <w:right w:w="60" w:type="dxa"/>
            </w:tcMar>
            <w:vAlign w:val="center"/>
          </w:tcPr>
          <w:p>
            <w:pPr>
              <w:pStyle w:val="DMETW18983BIPCONTGASSTS"/>
              <w:rPr>
                <w:rFonts w:ascii="Verdana" w:eastAsia="Times New Roman" w:hAnsi="Verdana" w:cs="Verdana"/>
                <w:noProof/>
                <w:color w:val="000000"/>
                <w:sz w:val="18"/>
              </w:rPr>
            </w:pPr>
            <w:bookmarkStart w:id="82" w:name="DOC_TBL00043_1_1"/>
            <w:bookmarkEnd w:id="82"/>
          </w:p>
        </w:tc>
        <w:tc>
          <w:tcPr>
            <w:tcW w:w="850"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6"/>
              </w:rPr>
            </w:pPr>
          </w:p>
        </w:tc>
        <w:tc>
          <w:tcPr>
            <w:tcW w:w="851"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6"/>
              </w:rPr>
            </w:pPr>
          </w:p>
        </w:tc>
        <w:tc>
          <w:tcPr>
            <w:tcW w:w="992"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6"/>
              </w:rPr>
            </w:pPr>
          </w:p>
        </w:tc>
        <w:tc>
          <w:tcPr>
            <w:tcW w:w="871"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6"/>
              </w:rPr>
            </w:pPr>
          </w:p>
        </w:tc>
        <w:tc>
          <w:tcPr>
            <w:tcW w:w="1831"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6"/>
              </w:rPr>
            </w:pPr>
          </w:p>
        </w:tc>
        <w:tc>
          <w:tcPr>
            <w:tcW w:w="1609"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6"/>
              </w:rPr>
            </w:pPr>
            <w:r>
              <w:rPr>
                <w:rFonts w:ascii="Verdana" w:hAnsi="Verdana"/>
                <w:i/>
                <w:noProof/>
                <w:color w:val="000000"/>
                <w:sz w:val="16"/>
              </w:rPr>
              <w:t>mln. EUR</w:t>
            </w:r>
          </w:p>
        </w:tc>
      </w:tr>
      <w:tr>
        <w:trPr>
          <w:trHeight w:val="255"/>
        </w:trPr>
        <w:tc>
          <w:tcPr>
            <w:tcW w:w="275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NTGASSTS"/>
              <w:jc w:val="right"/>
              <w:rPr>
                <w:rFonts w:ascii="Verdana" w:eastAsia="Times New Roman" w:hAnsi="Verdana" w:cs="Verdana"/>
                <w:noProof/>
                <w:color w:val="FFFFFF"/>
              </w:rPr>
            </w:pP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NTGASSTS"/>
              <w:jc w:val="right"/>
              <w:rPr>
                <w:rFonts w:ascii="Verdana" w:eastAsia="Times New Roman" w:hAnsi="Verdana" w:cs="Verdana"/>
                <w:noProof/>
                <w:color w:val="FFFFFF"/>
              </w:rPr>
            </w:pPr>
            <w:r>
              <w:rPr>
                <w:rFonts w:ascii="Verdana" w:hAnsi="Verdana"/>
                <w:noProof/>
                <w:color w:val="FFFFFF"/>
              </w:rPr>
              <w:t>8-asis EPF</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NTGASSTS"/>
              <w:jc w:val="right"/>
              <w:rPr>
                <w:rFonts w:ascii="Verdana" w:eastAsia="Times New Roman" w:hAnsi="Verdana" w:cs="Verdana"/>
                <w:noProof/>
                <w:color w:val="FFFFFF"/>
              </w:rPr>
            </w:pPr>
            <w:r>
              <w:rPr>
                <w:rFonts w:ascii="Verdana" w:hAnsi="Verdana"/>
                <w:noProof/>
                <w:color w:val="FFFFFF"/>
              </w:rPr>
              <w:t>9-asis EPF</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NTGASSTS"/>
              <w:jc w:val="right"/>
              <w:rPr>
                <w:rFonts w:ascii="Verdana" w:eastAsia="Times New Roman" w:hAnsi="Verdana" w:cs="Verdana"/>
                <w:noProof/>
                <w:color w:val="FFFFFF"/>
              </w:rPr>
            </w:pPr>
            <w:r>
              <w:rPr>
                <w:rFonts w:ascii="Verdana" w:hAnsi="Verdana"/>
                <w:noProof/>
                <w:color w:val="FFFFFF"/>
              </w:rPr>
              <w:t>10-asis EPF</w:t>
            </w:r>
          </w:p>
        </w:tc>
        <w:tc>
          <w:tcPr>
            <w:tcW w:w="87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NTGASSTS"/>
              <w:jc w:val="right"/>
              <w:rPr>
                <w:rFonts w:ascii="Verdana" w:eastAsia="Times New Roman" w:hAnsi="Verdana" w:cs="Verdana"/>
                <w:noProof/>
                <w:color w:val="FFFFFF"/>
              </w:rPr>
            </w:pPr>
            <w:r>
              <w:rPr>
                <w:rFonts w:ascii="Verdana" w:hAnsi="Verdana"/>
                <w:noProof/>
                <w:color w:val="FFFFFF"/>
              </w:rPr>
              <w:t>11-asis EPF</w:t>
            </w:r>
          </w:p>
        </w:tc>
        <w:tc>
          <w:tcPr>
            <w:tcW w:w="183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NTGASSTS"/>
              <w:jc w:val="right"/>
              <w:rPr>
                <w:rFonts w:ascii="Verdana" w:eastAsia="Times New Roman" w:hAnsi="Verdana" w:cs="Verdana"/>
                <w:noProof/>
                <w:color w:val="FFFFFF"/>
              </w:rPr>
            </w:pPr>
            <w:r>
              <w:rPr>
                <w:rFonts w:ascii="Verdana" w:hAnsi="Verdana"/>
                <w:noProof/>
                <w:color w:val="FFFFFF"/>
              </w:rPr>
              <w:t>2019 12 31</w:t>
            </w:r>
          </w:p>
        </w:tc>
        <w:tc>
          <w:tcPr>
            <w:tcW w:w="160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NTGASSTS"/>
              <w:jc w:val="right"/>
              <w:rPr>
                <w:rFonts w:ascii="Verdana" w:eastAsia="Times New Roman" w:hAnsi="Verdana" w:cs="Verdana"/>
                <w:noProof/>
                <w:color w:val="FFFFFF"/>
              </w:rPr>
            </w:pPr>
            <w:r>
              <w:rPr>
                <w:rFonts w:ascii="Verdana" w:hAnsi="Verdana"/>
                <w:noProof/>
                <w:color w:val="FFFFFF"/>
              </w:rPr>
              <w:t>2018 12 31</w:t>
            </w:r>
          </w:p>
        </w:tc>
      </w:tr>
      <w:tr>
        <w:trPr>
          <w:trHeight w:val="255"/>
        </w:trPr>
        <w:tc>
          <w:tcPr>
            <w:tcW w:w="2754" w:type="dxa"/>
            <w:tcBorders>
              <w:top w:val="nil"/>
              <w:left w:val="nil"/>
              <w:bottom w:val="nil"/>
              <w:right w:val="nil"/>
            </w:tcBorders>
            <w:tcMar>
              <w:top w:w="0" w:type="dxa"/>
              <w:left w:w="60" w:type="dxa"/>
              <w:bottom w:w="0" w:type="dxa"/>
              <w:right w:w="60" w:type="dxa"/>
            </w:tcMar>
            <w:vAlign w:val="center"/>
          </w:tcPr>
          <w:p>
            <w:pPr>
              <w:pStyle w:val="DMETW18983BIPCONTGASSTS"/>
              <w:rPr>
                <w:rFonts w:ascii="Verdana" w:eastAsia="Times New Roman" w:hAnsi="Verdana" w:cs="Verdana"/>
                <w:i/>
                <w:noProof/>
                <w:color w:val="000000"/>
                <w:sz w:val="18"/>
              </w:rPr>
            </w:pPr>
            <w:r>
              <w:rPr>
                <w:rFonts w:ascii="Verdana" w:hAnsi="Verdana"/>
                <w:i/>
                <w:noProof/>
                <w:color w:val="000000"/>
                <w:sz w:val="18"/>
              </w:rPr>
              <w:t>Įvykdymo garantijos</w:t>
            </w:r>
          </w:p>
        </w:tc>
        <w:tc>
          <w:tcPr>
            <w:tcW w:w="850"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hAnsi="Verdana"/>
                <w:i/>
                <w:noProof/>
                <w:color w:val="000000"/>
                <w:sz w:val="18"/>
              </w:rPr>
              <w:t xml:space="preserve"> 10</w:t>
            </w:r>
          </w:p>
        </w:tc>
        <w:tc>
          <w:tcPr>
            <w:tcW w:w="992"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hAnsi="Verdana"/>
                <w:i/>
                <w:noProof/>
                <w:color w:val="000000"/>
                <w:sz w:val="18"/>
              </w:rPr>
              <w:t xml:space="preserve"> 5</w:t>
            </w:r>
          </w:p>
        </w:tc>
        <w:tc>
          <w:tcPr>
            <w:tcW w:w="871"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831"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hAnsi="Verdana"/>
                <w:i/>
                <w:noProof/>
                <w:color w:val="000000"/>
                <w:sz w:val="18"/>
              </w:rPr>
              <w:t xml:space="preserve"> 15</w:t>
            </w:r>
          </w:p>
        </w:tc>
        <w:tc>
          <w:tcPr>
            <w:tcW w:w="1609"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hAnsi="Verdana"/>
                <w:i/>
                <w:noProof/>
                <w:color w:val="000000"/>
                <w:sz w:val="18"/>
              </w:rPr>
              <w:t xml:space="preserve"> 11</w:t>
            </w:r>
          </w:p>
        </w:tc>
      </w:tr>
      <w:tr>
        <w:trPr>
          <w:trHeight w:val="255"/>
        </w:trPr>
        <w:tc>
          <w:tcPr>
            <w:tcW w:w="2754" w:type="dxa"/>
            <w:tcBorders>
              <w:top w:val="nil"/>
              <w:left w:val="nil"/>
              <w:bottom w:val="nil"/>
              <w:right w:val="nil"/>
            </w:tcBorders>
            <w:tcMar>
              <w:top w:w="0" w:type="dxa"/>
              <w:left w:w="60" w:type="dxa"/>
              <w:bottom w:w="0" w:type="dxa"/>
              <w:right w:w="60" w:type="dxa"/>
            </w:tcMar>
            <w:vAlign w:val="center"/>
          </w:tcPr>
          <w:p>
            <w:pPr>
              <w:pStyle w:val="DMETW18983BIPCONTGASSTS"/>
              <w:rPr>
                <w:rFonts w:ascii="Verdana" w:eastAsia="Times New Roman" w:hAnsi="Verdana" w:cs="Verdana"/>
                <w:i/>
                <w:noProof/>
                <w:color w:val="000000"/>
                <w:sz w:val="18"/>
              </w:rPr>
            </w:pPr>
            <w:r>
              <w:rPr>
                <w:rFonts w:ascii="Verdana" w:hAnsi="Verdana"/>
                <w:i/>
                <w:noProof/>
                <w:color w:val="000000"/>
                <w:sz w:val="18"/>
              </w:rPr>
              <w:t>Sulaikytų sumų garantijos</w:t>
            </w:r>
          </w:p>
        </w:tc>
        <w:tc>
          <w:tcPr>
            <w:tcW w:w="850"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hAnsi="Verdana"/>
                <w:i/>
                <w:noProof/>
                <w:color w:val="000000"/>
                <w:sz w:val="18"/>
              </w:rPr>
              <w:t xml:space="preserve"> 5</w:t>
            </w:r>
          </w:p>
        </w:tc>
        <w:tc>
          <w:tcPr>
            <w:tcW w:w="992"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871"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hAnsi="Verdana"/>
                <w:i/>
                <w:noProof/>
                <w:color w:val="000000"/>
                <w:sz w:val="18"/>
              </w:rPr>
              <w:t>–</w:t>
            </w:r>
          </w:p>
        </w:tc>
        <w:tc>
          <w:tcPr>
            <w:tcW w:w="1831"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hAnsi="Verdana"/>
                <w:i/>
                <w:noProof/>
                <w:color w:val="000000"/>
                <w:sz w:val="18"/>
              </w:rPr>
              <w:t xml:space="preserve"> 9</w:t>
            </w:r>
          </w:p>
        </w:tc>
        <w:tc>
          <w:tcPr>
            <w:tcW w:w="1609"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hAnsi="Verdana"/>
                <w:i/>
                <w:noProof/>
                <w:color w:val="000000"/>
                <w:sz w:val="18"/>
              </w:rPr>
              <w:t xml:space="preserve"> 7</w:t>
            </w:r>
          </w:p>
        </w:tc>
      </w:tr>
      <w:tr>
        <w:trPr>
          <w:trHeight w:val="255"/>
        </w:trPr>
        <w:tc>
          <w:tcPr>
            <w:tcW w:w="275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ONTGASSTS"/>
              <w:rPr>
                <w:rFonts w:ascii="Verdana" w:eastAsia="Times New Roman" w:hAnsi="Verdana" w:cs="Verdana"/>
                <w:b/>
                <w:noProof/>
                <w:color w:val="000000"/>
                <w:sz w:val="18"/>
              </w:rPr>
            </w:pPr>
            <w:r>
              <w:rPr>
                <w:rFonts w:ascii="Verdana" w:hAnsi="Verdana"/>
                <w:b/>
                <w:noProof/>
                <w:color w:val="000000"/>
                <w:sz w:val="18"/>
              </w:rPr>
              <w:t>Iš viso</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ONTGASSTS"/>
              <w:jc w:val="right"/>
              <w:rPr>
                <w:rFonts w:ascii="Verdana" w:eastAsia="Times New Roman" w:hAnsi="Verdana" w:cs="Verdana"/>
                <w:b/>
                <w:noProof/>
                <w:color w:val="000000"/>
                <w:sz w:val="18"/>
              </w:rPr>
            </w:pPr>
            <w:r>
              <w:rPr>
                <w:rFonts w:ascii="Verdana" w:hAnsi="Verdana"/>
                <w:b/>
                <w:noProof/>
                <w:color w:val="000000"/>
                <w:sz w:val="18"/>
              </w:rPr>
              <w:t>–</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ONTGASSTS"/>
              <w:jc w:val="right"/>
              <w:rPr>
                <w:rFonts w:ascii="Verdana" w:eastAsia="Times New Roman" w:hAnsi="Verdana" w:cs="Verdana"/>
                <w:b/>
                <w:noProof/>
                <w:color w:val="000000"/>
                <w:sz w:val="18"/>
              </w:rPr>
            </w:pPr>
            <w:r>
              <w:rPr>
                <w:rFonts w:ascii="Verdana" w:hAnsi="Verdana"/>
                <w:b/>
                <w:noProof/>
                <w:color w:val="000000"/>
                <w:sz w:val="18"/>
              </w:rPr>
              <w:t xml:space="preserve">  15</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ONTGASSTS"/>
              <w:jc w:val="right"/>
              <w:rPr>
                <w:rFonts w:ascii="Verdana" w:eastAsia="Times New Roman" w:hAnsi="Verdana" w:cs="Verdana"/>
                <w:b/>
                <w:noProof/>
                <w:color w:val="000000"/>
                <w:sz w:val="18"/>
              </w:rPr>
            </w:pPr>
            <w:r>
              <w:rPr>
                <w:rFonts w:ascii="Verdana" w:hAnsi="Verdana"/>
                <w:b/>
                <w:noProof/>
                <w:color w:val="000000"/>
                <w:sz w:val="18"/>
              </w:rPr>
              <w:t xml:space="preserve">  8</w:t>
            </w:r>
          </w:p>
        </w:tc>
        <w:tc>
          <w:tcPr>
            <w:tcW w:w="87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ONTGASSTS"/>
              <w:jc w:val="right"/>
              <w:rPr>
                <w:rFonts w:ascii="Verdana" w:eastAsia="Times New Roman" w:hAnsi="Verdana" w:cs="Verdana"/>
                <w:b/>
                <w:noProof/>
                <w:color w:val="000000"/>
                <w:sz w:val="18"/>
              </w:rPr>
            </w:pPr>
            <w:r>
              <w:rPr>
                <w:rFonts w:ascii="Verdana" w:hAnsi="Verdana"/>
                <w:b/>
                <w:noProof/>
                <w:color w:val="000000"/>
                <w:sz w:val="18"/>
              </w:rPr>
              <w:t xml:space="preserve">  0</w:t>
            </w:r>
          </w:p>
        </w:tc>
        <w:tc>
          <w:tcPr>
            <w:tcW w:w="183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ONTGASSTS"/>
              <w:jc w:val="right"/>
              <w:rPr>
                <w:rFonts w:ascii="Verdana" w:eastAsia="Times New Roman" w:hAnsi="Verdana" w:cs="Verdana"/>
                <w:b/>
                <w:noProof/>
                <w:color w:val="000000"/>
                <w:sz w:val="18"/>
              </w:rPr>
            </w:pPr>
            <w:r>
              <w:rPr>
                <w:rFonts w:ascii="Verdana" w:hAnsi="Verdana"/>
                <w:b/>
                <w:noProof/>
                <w:color w:val="000000"/>
                <w:sz w:val="18"/>
              </w:rPr>
              <w:t xml:space="preserve">  24</w:t>
            </w:r>
          </w:p>
        </w:tc>
        <w:tc>
          <w:tcPr>
            <w:tcW w:w="160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ONTGASSTS"/>
              <w:jc w:val="right"/>
              <w:rPr>
                <w:rFonts w:ascii="Verdana" w:eastAsia="Times New Roman" w:hAnsi="Verdana" w:cs="Verdana"/>
                <w:b/>
                <w:noProof/>
                <w:color w:val="000000"/>
                <w:sz w:val="18"/>
              </w:rPr>
            </w:pPr>
            <w:r>
              <w:rPr>
                <w:rFonts w:ascii="Verdana" w:hAnsi="Verdana"/>
                <w:b/>
                <w:noProof/>
                <w:color w:val="000000"/>
                <w:sz w:val="18"/>
              </w:rPr>
              <w:t xml:space="preserve">  17</w:t>
            </w:r>
          </w:p>
        </w:tc>
      </w:tr>
    </w:tbl>
    <w:p>
      <w:pPr>
        <w:pStyle w:val="Textstand-alone"/>
      </w:pPr>
      <w:r>
        <w:t>Įvykdymo garantijų reikalaujama siekiant užtikrinti, kad EPF finansavimo gavėjai įvykdytų savo sutartyse su EPF numatytus įsipareigojimus.</w:t>
      </w:r>
    </w:p>
    <w:p>
      <w:pPr>
        <w:pStyle w:val="Textstand-alone"/>
      </w:pPr>
      <w:r>
        <w:t>Sulaikytų sumų garantijos susijusios tik su darbų sutartimis. Paprastai 10 % tarpinių mokėjimų gavėjams sulaikoma siekiant užtikrinti, kad rangovas įvykdytų savo įsipareigojimus. Šios sulaikytos sumos parodomos kaip mokėtinos sumos. Perkančiajai organizacijai sutikus rangovas vietoj to gali pateikti sulaikytų sumų garantiją, kuri pakeičia sulaikytas tarpinių mokėjimų sumas. Šios gautos garantijos parodomos kaip neapibrėžtasis turtas.</w:t>
      </w:r>
    </w:p>
    <w:p>
      <w:pPr>
        <w:pStyle w:val="Textstand-alone"/>
      </w:pPr>
      <w:r>
        <w:t xml:space="preserve">Netiesioginiu būdu valdomų sutarčių atveju garantijos priklauso kitai nei EPF perkančiajai organizacijai, todėl EPF jų neatskleidžia. </w:t>
      </w:r>
    </w:p>
    <w:p>
      <w:pPr>
        <w:pStyle w:val="HEADER2Part2"/>
        <w:rPr>
          <w:noProof/>
        </w:rPr>
      </w:pPr>
      <w:r>
        <w:rPr>
          <w:noProof/>
        </w:rPr>
        <w:t>KITA SVARBI INFORMACIJA</w:t>
      </w:r>
    </w:p>
    <w:p>
      <w:pPr>
        <w:pStyle w:val="HEADER3Part2"/>
        <w:rPr>
          <w:noProof/>
        </w:rPr>
      </w:pPr>
      <w:r>
        <w:rPr>
          <w:noProof/>
        </w:rPr>
        <w:t>Į apskaitą dar neįtraukti neįvykdyti įsipareigojimai</w:t>
      </w:r>
    </w:p>
    <w:p>
      <w:pPr>
        <w:pStyle w:val="Textstand-alone"/>
      </w:pPr>
      <w:r>
        <w:t xml:space="preserve">Toliau nurodyta suma yra neįvykdytas biudžetinis įsipareigojimas (pranc. </w:t>
      </w:r>
      <w:r>
        <w:rPr>
          <w:i/>
        </w:rPr>
        <w:t>Reste à Liquider</w:t>
      </w:r>
      <w:r>
        <w:t>), atėmus susijusias sumas, kurios finansinės veiklos ataskaitoje buvo įtrauktos į išlaidas. Neįvykdytas biudžetinis įsipareigojimas yra suma, kurią sudaro nepanaudotų įsipareigojimų, pagal kuriuos dar neatlikti mokėjimai ir (arba) dar nepanaikinti įsipareigojimai. Tai įprasta daugiamečių programų pasekmė.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8"/>
        <w:gridCol w:w="939"/>
        <w:gridCol w:w="871"/>
        <w:gridCol w:w="978"/>
        <w:gridCol w:w="850"/>
        <w:gridCol w:w="1350"/>
        <w:gridCol w:w="1402"/>
      </w:tblGrid>
      <w:tr>
        <w:trPr>
          <w:trHeight w:val="255"/>
        </w:trPr>
        <w:tc>
          <w:tcPr>
            <w:tcW w:w="9758" w:type="dxa"/>
            <w:gridSpan w:val="7"/>
            <w:tcBorders>
              <w:top w:val="nil"/>
              <w:left w:val="nil"/>
              <w:bottom w:val="nil"/>
              <w:right w:val="nil"/>
            </w:tcBorders>
            <w:tcMar>
              <w:top w:w="0" w:type="dxa"/>
              <w:left w:w="60" w:type="dxa"/>
              <w:bottom w:w="0" w:type="dxa"/>
              <w:right w:w="60" w:type="dxa"/>
            </w:tcMar>
            <w:vAlign w:val="center"/>
          </w:tcPr>
          <w:p>
            <w:pPr>
              <w:pStyle w:val="DMETW18983BIPOCNYE"/>
              <w:jc w:val="right"/>
              <w:rPr>
                <w:rFonts w:ascii="Verdana" w:eastAsia="Times New Roman" w:hAnsi="Verdana" w:cs="Verdana"/>
                <w:i/>
                <w:noProof/>
                <w:color w:val="000000"/>
                <w:sz w:val="16"/>
              </w:rPr>
            </w:pPr>
            <w:bookmarkStart w:id="83" w:name="DOC_TBL00031_1_1"/>
            <w:bookmarkEnd w:id="83"/>
            <w:r>
              <w:rPr>
                <w:rFonts w:ascii="Verdana" w:hAnsi="Verdana"/>
                <w:i/>
                <w:noProof/>
                <w:color w:val="000000"/>
                <w:sz w:val="16"/>
              </w:rPr>
              <w:t>mln. EUR</w:t>
            </w:r>
          </w:p>
        </w:tc>
      </w:tr>
      <w:tr>
        <w:trPr>
          <w:trHeight w:val="255"/>
        </w:trPr>
        <w:tc>
          <w:tcPr>
            <w:tcW w:w="336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CNYE"/>
              <w:jc w:val="right"/>
              <w:rPr>
                <w:rFonts w:ascii="Verdana" w:eastAsia="Times New Roman" w:hAnsi="Verdana" w:cs="Verdana"/>
                <w:noProof/>
                <w:color w:val="FFFFFF"/>
              </w:rPr>
            </w:pPr>
          </w:p>
        </w:tc>
        <w:tc>
          <w:tcPr>
            <w:tcW w:w="93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CNYE"/>
              <w:jc w:val="right"/>
              <w:rPr>
                <w:rFonts w:ascii="Verdana" w:eastAsia="Times New Roman" w:hAnsi="Verdana" w:cs="Verdana"/>
                <w:noProof/>
                <w:color w:val="FFFFFF"/>
              </w:rPr>
            </w:pPr>
            <w:r>
              <w:rPr>
                <w:rFonts w:ascii="Verdana" w:hAnsi="Verdana"/>
                <w:noProof/>
                <w:color w:val="FFFFFF"/>
              </w:rPr>
              <w:t>8-asis EPF</w:t>
            </w:r>
          </w:p>
        </w:tc>
        <w:tc>
          <w:tcPr>
            <w:tcW w:w="87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CNYE"/>
              <w:jc w:val="right"/>
              <w:rPr>
                <w:rFonts w:ascii="Verdana" w:eastAsia="Times New Roman" w:hAnsi="Verdana" w:cs="Verdana"/>
                <w:noProof/>
                <w:color w:val="FFFFFF"/>
              </w:rPr>
            </w:pPr>
            <w:r>
              <w:rPr>
                <w:rFonts w:ascii="Verdana" w:hAnsi="Verdana"/>
                <w:noProof/>
                <w:color w:val="FFFFFF"/>
              </w:rPr>
              <w:t>9-asis EPF</w:t>
            </w:r>
          </w:p>
        </w:tc>
        <w:tc>
          <w:tcPr>
            <w:tcW w:w="97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CNYE"/>
              <w:jc w:val="right"/>
              <w:rPr>
                <w:rFonts w:ascii="Verdana" w:eastAsia="Times New Roman" w:hAnsi="Verdana" w:cs="Verdana"/>
                <w:noProof/>
                <w:color w:val="FFFFFF"/>
              </w:rPr>
            </w:pPr>
            <w:r>
              <w:rPr>
                <w:rFonts w:ascii="Verdana" w:hAnsi="Verdana"/>
                <w:noProof/>
                <w:color w:val="FFFFFF"/>
              </w:rPr>
              <w:t>10-asis EPF</w:t>
            </w: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CNYE"/>
              <w:jc w:val="right"/>
              <w:rPr>
                <w:rFonts w:ascii="Verdana" w:eastAsia="Times New Roman" w:hAnsi="Verdana" w:cs="Verdana"/>
                <w:noProof/>
                <w:color w:val="FFFFFF"/>
              </w:rPr>
            </w:pPr>
            <w:r>
              <w:rPr>
                <w:rFonts w:ascii="Verdana" w:hAnsi="Verdana"/>
                <w:noProof/>
                <w:color w:val="FFFFFF"/>
              </w:rPr>
              <w:t>11-asis EPF</w:t>
            </w:r>
          </w:p>
        </w:tc>
        <w:tc>
          <w:tcPr>
            <w:tcW w:w="13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CNYE"/>
              <w:jc w:val="right"/>
              <w:rPr>
                <w:rFonts w:ascii="Verdana" w:eastAsia="Times New Roman" w:hAnsi="Verdana" w:cs="Verdana"/>
                <w:noProof/>
                <w:color w:val="FFFFFF"/>
              </w:rPr>
            </w:pPr>
            <w:r>
              <w:rPr>
                <w:rFonts w:ascii="Verdana" w:hAnsi="Verdana"/>
                <w:noProof/>
                <w:color w:val="FFFFFF"/>
              </w:rPr>
              <w:t>2019 12 31</w:t>
            </w:r>
          </w:p>
        </w:tc>
        <w:tc>
          <w:tcPr>
            <w:tcW w:w="140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CNYE"/>
              <w:jc w:val="right"/>
              <w:rPr>
                <w:rFonts w:ascii="Verdana" w:eastAsia="Times New Roman" w:hAnsi="Verdana" w:cs="Verdana"/>
                <w:noProof/>
                <w:color w:val="FFFFFF"/>
              </w:rPr>
            </w:pPr>
            <w:r>
              <w:rPr>
                <w:rFonts w:ascii="Verdana" w:hAnsi="Verdana"/>
                <w:noProof/>
                <w:color w:val="FFFFFF"/>
              </w:rPr>
              <w:t>2018 12 31</w:t>
            </w:r>
          </w:p>
        </w:tc>
      </w:tr>
      <w:tr>
        <w:trPr>
          <w:trHeight w:val="255"/>
        </w:trPr>
        <w:tc>
          <w:tcPr>
            <w:tcW w:w="3368" w:type="dxa"/>
            <w:tcBorders>
              <w:top w:val="nil"/>
              <w:left w:val="nil"/>
              <w:bottom w:val="nil"/>
              <w:right w:val="nil"/>
            </w:tcBorders>
            <w:tcMar>
              <w:top w:w="0" w:type="dxa"/>
              <w:left w:w="60" w:type="dxa"/>
              <w:bottom w:w="0" w:type="dxa"/>
              <w:right w:w="60" w:type="dxa"/>
            </w:tcMar>
            <w:vAlign w:val="center"/>
          </w:tcPr>
          <w:p>
            <w:pPr>
              <w:pStyle w:val="DMETW18983BIPOCNYE"/>
              <w:rPr>
                <w:rFonts w:ascii="Verdana" w:eastAsia="Times New Roman" w:hAnsi="Verdana" w:cs="Verdana"/>
                <w:i/>
                <w:noProof/>
                <w:color w:val="000000"/>
                <w:sz w:val="18"/>
              </w:rPr>
            </w:pPr>
            <w:r>
              <w:rPr>
                <w:rFonts w:ascii="Verdana" w:hAnsi="Verdana"/>
                <w:i/>
                <w:noProof/>
                <w:color w:val="000000"/>
                <w:sz w:val="18"/>
              </w:rPr>
              <w:t>Į apskaitą dar neįtraukti neįvykdyti įsipareigojimai</w:t>
            </w:r>
          </w:p>
        </w:tc>
        <w:tc>
          <w:tcPr>
            <w:tcW w:w="939" w:type="dxa"/>
            <w:tcBorders>
              <w:top w:val="nil"/>
              <w:left w:val="nil"/>
              <w:bottom w:val="nil"/>
              <w:right w:val="nil"/>
            </w:tcBorders>
            <w:tcMar>
              <w:top w:w="0" w:type="dxa"/>
              <w:left w:w="60" w:type="dxa"/>
              <w:bottom w:w="0" w:type="dxa"/>
              <w:right w:w="60" w:type="dxa"/>
            </w:tcMar>
            <w:vAlign w:val="center"/>
          </w:tcPr>
          <w:p>
            <w:pPr>
              <w:pStyle w:val="DMETW18983BIPOCNYE"/>
              <w:jc w:val="right"/>
              <w:rPr>
                <w:rFonts w:ascii="Verdana" w:eastAsia="Times New Roman" w:hAnsi="Verdana" w:cs="Verdana"/>
                <w:i/>
                <w:noProof/>
                <w:color w:val="000000"/>
                <w:sz w:val="18"/>
              </w:rPr>
            </w:pPr>
            <w:r>
              <w:rPr>
                <w:rFonts w:ascii="Verdana" w:hAnsi="Verdana"/>
                <w:i/>
                <w:noProof/>
                <w:color w:val="000000"/>
                <w:sz w:val="18"/>
              </w:rPr>
              <w:t>(0)</w:t>
            </w:r>
          </w:p>
        </w:tc>
        <w:tc>
          <w:tcPr>
            <w:tcW w:w="871" w:type="dxa"/>
            <w:tcBorders>
              <w:top w:val="nil"/>
              <w:left w:val="nil"/>
              <w:bottom w:val="nil"/>
              <w:right w:val="nil"/>
            </w:tcBorders>
            <w:tcMar>
              <w:top w:w="0" w:type="dxa"/>
              <w:left w:w="60" w:type="dxa"/>
              <w:bottom w:w="0" w:type="dxa"/>
              <w:right w:w="60" w:type="dxa"/>
            </w:tcMar>
            <w:vAlign w:val="center"/>
          </w:tcPr>
          <w:p>
            <w:pPr>
              <w:pStyle w:val="DMETW18983BIPOCNYE"/>
              <w:jc w:val="right"/>
              <w:rPr>
                <w:rFonts w:ascii="Verdana" w:eastAsia="Times New Roman" w:hAnsi="Verdana" w:cs="Verdana"/>
                <w:i/>
                <w:noProof/>
                <w:color w:val="000000"/>
                <w:sz w:val="18"/>
              </w:rPr>
            </w:pPr>
            <w:r>
              <w:rPr>
                <w:rFonts w:ascii="Verdana" w:hAnsi="Verdana"/>
                <w:i/>
                <w:noProof/>
                <w:color w:val="000000"/>
                <w:sz w:val="18"/>
              </w:rPr>
              <w:t xml:space="preserve"> 42</w:t>
            </w:r>
          </w:p>
        </w:tc>
        <w:tc>
          <w:tcPr>
            <w:tcW w:w="978" w:type="dxa"/>
            <w:tcBorders>
              <w:top w:val="nil"/>
              <w:left w:val="nil"/>
              <w:bottom w:val="nil"/>
              <w:right w:val="nil"/>
            </w:tcBorders>
            <w:tcMar>
              <w:top w:w="0" w:type="dxa"/>
              <w:left w:w="60" w:type="dxa"/>
              <w:bottom w:w="0" w:type="dxa"/>
              <w:right w:w="60" w:type="dxa"/>
            </w:tcMar>
            <w:vAlign w:val="center"/>
          </w:tcPr>
          <w:p>
            <w:pPr>
              <w:pStyle w:val="DMETW18983BIPOCNYE"/>
              <w:jc w:val="right"/>
              <w:rPr>
                <w:rFonts w:ascii="Verdana" w:eastAsia="Times New Roman" w:hAnsi="Verdana" w:cs="Verdana"/>
                <w:i/>
                <w:noProof/>
                <w:color w:val="000000"/>
                <w:sz w:val="18"/>
              </w:rPr>
            </w:pPr>
            <w:r>
              <w:rPr>
                <w:rFonts w:ascii="Verdana" w:hAnsi="Verdana"/>
                <w:i/>
                <w:noProof/>
                <w:color w:val="000000"/>
                <w:sz w:val="18"/>
              </w:rPr>
              <w:t xml:space="preserve"> 576</w:t>
            </w:r>
          </w:p>
        </w:tc>
        <w:tc>
          <w:tcPr>
            <w:tcW w:w="850" w:type="dxa"/>
            <w:tcBorders>
              <w:top w:val="nil"/>
              <w:left w:val="nil"/>
              <w:bottom w:val="nil"/>
              <w:right w:val="nil"/>
            </w:tcBorders>
            <w:tcMar>
              <w:top w:w="0" w:type="dxa"/>
              <w:left w:w="60" w:type="dxa"/>
              <w:bottom w:w="0" w:type="dxa"/>
              <w:right w:w="60" w:type="dxa"/>
            </w:tcMar>
            <w:vAlign w:val="center"/>
          </w:tcPr>
          <w:p>
            <w:pPr>
              <w:pStyle w:val="DMETW18983BIPOCNYE"/>
              <w:jc w:val="right"/>
              <w:rPr>
                <w:rFonts w:ascii="Verdana" w:eastAsia="Times New Roman" w:hAnsi="Verdana" w:cs="Verdana"/>
                <w:i/>
                <w:noProof/>
                <w:color w:val="000000"/>
                <w:sz w:val="18"/>
              </w:rPr>
            </w:pPr>
            <w:r>
              <w:rPr>
                <w:rFonts w:ascii="Verdana" w:hAnsi="Verdana"/>
                <w:i/>
                <w:noProof/>
                <w:color w:val="000000"/>
                <w:sz w:val="18"/>
              </w:rPr>
              <w:t>7 946</w:t>
            </w:r>
          </w:p>
        </w:tc>
        <w:tc>
          <w:tcPr>
            <w:tcW w:w="1350" w:type="dxa"/>
            <w:tcBorders>
              <w:top w:val="nil"/>
              <w:left w:val="nil"/>
              <w:bottom w:val="nil"/>
              <w:right w:val="nil"/>
            </w:tcBorders>
            <w:tcMar>
              <w:top w:w="0" w:type="dxa"/>
              <w:left w:w="60" w:type="dxa"/>
              <w:bottom w:w="0" w:type="dxa"/>
              <w:right w:w="60" w:type="dxa"/>
            </w:tcMar>
            <w:vAlign w:val="center"/>
          </w:tcPr>
          <w:p>
            <w:pPr>
              <w:pStyle w:val="DMETW18983BIPOCNYE"/>
              <w:jc w:val="right"/>
              <w:rPr>
                <w:rFonts w:ascii="Verdana" w:eastAsia="Times New Roman" w:hAnsi="Verdana" w:cs="Verdana"/>
                <w:i/>
                <w:noProof/>
                <w:color w:val="000000"/>
                <w:sz w:val="18"/>
              </w:rPr>
            </w:pPr>
            <w:r>
              <w:rPr>
                <w:rFonts w:ascii="Verdana" w:hAnsi="Verdana"/>
                <w:i/>
                <w:noProof/>
                <w:color w:val="000000"/>
                <w:sz w:val="18"/>
              </w:rPr>
              <w:t>8 564</w:t>
            </w:r>
          </w:p>
        </w:tc>
        <w:tc>
          <w:tcPr>
            <w:tcW w:w="1402" w:type="dxa"/>
            <w:tcBorders>
              <w:top w:val="nil"/>
              <w:left w:val="nil"/>
              <w:bottom w:val="nil"/>
              <w:right w:val="nil"/>
            </w:tcBorders>
            <w:tcMar>
              <w:top w:w="0" w:type="dxa"/>
              <w:left w:w="60" w:type="dxa"/>
              <w:bottom w:w="0" w:type="dxa"/>
              <w:right w:w="60" w:type="dxa"/>
            </w:tcMar>
            <w:vAlign w:val="center"/>
          </w:tcPr>
          <w:p>
            <w:pPr>
              <w:pStyle w:val="DMETW18983BIPOCNYE"/>
              <w:jc w:val="right"/>
              <w:rPr>
                <w:rFonts w:ascii="Verdana" w:eastAsia="Times New Roman" w:hAnsi="Verdana" w:cs="Verdana"/>
                <w:i/>
                <w:noProof/>
                <w:color w:val="000000"/>
                <w:sz w:val="18"/>
              </w:rPr>
            </w:pPr>
            <w:r>
              <w:rPr>
                <w:rFonts w:ascii="Verdana" w:hAnsi="Verdana"/>
                <w:i/>
                <w:noProof/>
                <w:color w:val="000000"/>
                <w:sz w:val="18"/>
              </w:rPr>
              <w:t>9 071</w:t>
            </w:r>
          </w:p>
        </w:tc>
      </w:tr>
    </w:tbl>
    <w:p>
      <w:pPr>
        <w:pStyle w:val="Textstand-alone"/>
      </w:pPr>
      <w:r>
        <w:t>2019 m. gruodžio 31 d. neįvykdyti biudžetiniai įsipareigojimai iš viso sudarė 10 270 mln. EUR (2018 m. – 10 616 mln. EUR).</w:t>
      </w:r>
    </w:p>
    <w:p>
      <w:pPr>
        <w:pStyle w:val="HEADER1Part2"/>
        <w:numPr>
          <w:ilvl w:val="0"/>
          <w:numId w:val="0"/>
        </w:numPr>
        <w:ind w:left="907" w:hanging="907"/>
        <w:rPr>
          <w:noProof/>
        </w:rPr>
        <w:sectPr>
          <w:headerReference w:type="even" r:id="rId179"/>
          <w:headerReference w:type="default" r:id="rId180"/>
          <w:footerReference w:type="even" r:id="rId181"/>
          <w:footerReference w:type="default" r:id="rId182"/>
          <w:headerReference w:type="first" r:id="rId183"/>
          <w:footerReference w:type="first" r:id="rId184"/>
          <w:pgSz w:w="11906" w:h="16838" w:code="9"/>
          <w:pgMar w:top="1134" w:right="1134" w:bottom="1134" w:left="1134" w:header="708" w:footer="708" w:gutter="0"/>
          <w:cols w:space="708"/>
          <w:docGrid w:linePitch="360"/>
        </w:sectPr>
      </w:pPr>
    </w:p>
    <w:p>
      <w:pPr>
        <w:pStyle w:val="HEADER1Part2"/>
        <w:rPr>
          <w:noProof/>
        </w:rPr>
      </w:pPr>
      <w:r>
        <w:rPr>
          <w:noProof/>
        </w:rPr>
        <w:t>FINANSINĖS RIZIKOS VALDYMAS</w:t>
      </w:r>
    </w:p>
    <w:p>
      <w:pPr>
        <w:pStyle w:val="Textstand-alone"/>
      </w:pPr>
      <w:r>
        <w:t>Toliau pateikiama informacija apie EPF finansinės rizikos valdymą yra susijusi su iždo operacijomis, kurias EPF vardu atlieka Komisija, kad panaudotų fondo išteklius.</w:t>
      </w:r>
    </w:p>
    <w:p>
      <w:pPr>
        <w:pStyle w:val="HEADER2Part2"/>
        <w:rPr>
          <w:noProof/>
        </w:rPr>
      </w:pPr>
      <w:bookmarkStart w:id="84" w:name="_Ref35550915"/>
      <w:r>
        <w:rPr>
          <w:noProof/>
        </w:rPr>
        <w:t>RIZIKOS VALDYMO POLITIKA IR APSIDRAUDIMO VEIKSMAI</w:t>
      </w:r>
      <w:bookmarkEnd w:id="84"/>
    </w:p>
    <w:p>
      <w:pPr>
        <w:pStyle w:val="Textstand-alone"/>
      </w:pPr>
      <w:r>
        <w:t>Iždo operacijų valdymo taisyklės ir principai nustatyti 11-ojo EPF finansiniame reglamente ir vidaus susitarime.</w:t>
      </w:r>
    </w:p>
    <w:p>
      <w:pPr>
        <w:pStyle w:val="Textstand-alone"/>
      </w:pPr>
      <w:r>
        <w:t>Remiantis pirmiau nurodytu reglamentu, taikomi šie pagrindiniai principai:</w:t>
      </w:r>
    </w:p>
    <w:p>
      <w:pPr>
        <w:pStyle w:val="Textstand-alonebulletpointJustified"/>
        <w:numPr>
          <w:ilvl w:val="0"/>
          <w:numId w:val="3"/>
        </w:numPr>
        <w:spacing w:after="120"/>
        <w:ind w:left="357" w:hanging="357"/>
        <w:contextualSpacing w:val="0"/>
        <w:rPr>
          <w:noProof/>
        </w:rPr>
      </w:pPr>
      <w:r>
        <w:rPr>
          <w:noProof/>
        </w:rPr>
        <w:t>EPF įnašus valstybės narės moka į specialiąsias sąskaitas, kurios yra atidarytos kiekvienos valstybės narės centriniame banke arba jos paskirtoje finansų įstaigoje. Įnašų sumos lieka tose specialiosiose sąskaitose iki tol, kol turės būti atlikti EPF mokėjimai.</w:t>
      </w:r>
    </w:p>
    <w:p>
      <w:pPr>
        <w:pStyle w:val="Textstand-alonebulletpointJustified"/>
        <w:numPr>
          <w:ilvl w:val="0"/>
          <w:numId w:val="3"/>
        </w:numPr>
        <w:spacing w:after="120"/>
        <w:ind w:left="357" w:hanging="357"/>
        <w:contextualSpacing w:val="0"/>
        <w:rPr>
          <w:noProof/>
        </w:rPr>
      </w:pPr>
      <w:r>
        <w:rPr>
          <w:noProof/>
        </w:rPr>
        <w:t>EPF įnašus valstybės narės moka eurais, o EPF mokėjimai atliekami eurais ir kitomis valiutomis.</w:t>
      </w:r>
    </w:p>
    <w:p>
      <w:pPr>
        <w:pStyle w:val="Textstand-alonebulletpointJustified"/>
        <w:numPr>
          <w:ilvl w:val="0"/>
          <w:numId w:val="3"/>
        </w:numPr>
        <w:spacing w:after="120"/>
        <w:ind w:left="357" w:hanging="357"/>
        <w:contextualSpacing w:val="0"/>
        <w:rPr>
          <w:noProof/>
        </w:rPr>
      </w:pPr>
      <w:r>
        <w:rPr>
          <w:noProof/>
        </w:rPr>
        <w:t>EPF vardu Komisijos atidarytos banko sąskaitos negali būti pereikvotos.</w:t>
      </w:r>
    </w:p>
    <w:p>
      <w:pPr>
        <w:pStyle w:val="Textstand-alone"/>
      </w:pPr>
      <w:r>
        <w:t>Be specialiųjų sąskaitų, Komisija EPF vardu yra atidariusi kitas banko sąskaitas finansų įstaigose (centriniuose ir komerciniuose bankuose), kad galėtų atlikti mokėjimus ir gauti kitokias įplaukas nei valstybių narių įnašai į biudžetą.</w:t>
      </w:r>
    </w:p>
    <w:p>
      <w:pPr>
        <w:pStyle w:val="Textstand-alone"/>
      </w:pPr>
      <w:r>
        <w:t>Iždo ir mokėjimo operacijos yra itin automatizuotos ir atliekamos naudojantis šiuolaikinėmis informacinėmis sistemomis. Siekiant garantuoti sistemų saugumą ir užtikrinti pareigų atskyrimą pagal Finansinį reglamentą, taikomos specialios procedūros, Komisijos vidaus kontrolės standartai ir audito principai.</w:t>
      </w:r>
    </w:p>
    <w:p>
      <w:pPr>
        <w:pStyle w:val="Textstand-alone"/>
        <w:rPr>
          <w:bCs/>
        </w:rPr>
      </w:pPr>
      <w:r>
        <w:t>Siekiant riboti veiklos ir finansinę riziką bei užtikrinti tinkamą kontrolės lygį, raštišku gairių ir procedūrų rinkiniu reguliuojamas iždo ir mokėjimo operacijų valdymas. Šios gairės ir procedūros apima įvairius operacijų aspektus, ir reguliariai tikrinama, kaip jų laikomasi.</w:t>
      </w:r>
    </w:p>
    <w:bookmarkEnd w:id="47"/>
    <w:p>
      <w:pPr>
        <w:rPr>
          <w:noProof/>
        </w:rPr>
        <w:sectPr>
          <w:headerReference w:type="even" r:id="rId185"/>
          <w:headerReference w:type="default" r:id="rId186"/>
          <w:footerReference w:type="even" r:id="rId187"/>
          <w:footerReference w:type="default" r:id="rId188"/>
          <w:headerReference w:type="first" r:id="rId189"/>
          <w:footerReference w:type="first" r:id="rId190"/>
          <w:pgSz w:w="11906" w:h="16838" w:code="9"/>
          <w:pgMar w:top="1134" w:right="1134" w:bottom="1134" w:left="1134" w:header="708" w:footer="708" w:gutter="0"/>
          <w:cols w:space="708"/>
          <w:docGrid w:linePitch="360"/>
        </w:sectPr>
      </w:pPr>
    </w:p>
    <w:p>
      <w:pPr>
        <w:pStyle w:val="HEADER2Part2"/>
        <w:spacing w:before="0" w:after="240"/>
        <w:rPr>
          <w:noProof/>
        </w:rPr>
      </w:pPr>
      <w:bookmarkStart w:id="85" w:name="_DMBM_18997"/>
      <w:r>
        <w:rPr>
          <w:noProof/>
        </w:rPr>
        <w:t>VALIUTOS RIZIKA</w:t>
      </w:r>
    </w:p>
    <w:p>
      <w:pPr>
        <w:pStyle w:val="HEADER5"/>
        <w:rPr>
          <w:noProof/>
        </w:rPr>
      </w:pPr>
      <w:r>
        <w:rPr>
          <w:noProof/>
        </w:rPr>
        <w:t>Metų pabaigoje EPF tenkanti valiutos rizika – grynoji pozicija</w:t>
      </w:r>
    </w:p>
    <w:p>
      <w:pPr>
        <w:pStyle w:val="HEADER5"/>
        <w:rPr>
          <w:noProof/>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69"/>
        <w:gridCol w:w="862"/>
        <w:gridCol w:w="847"/>
        <w:gridCol w:w="845"/>
        <w:gridCol w:w="870"/>
        <w:gridCol w:w="871"/>
        <w:gridCol w:w="870"/>
        <w:gridCol w:w="871"/>
        <w:gridCol w:w="870"/>
        <w:gridCol w:w="871"/>
        <w:gridCol w:w="870"/>
        <w:gridCol w:w="871"/>
        <w:gridCol w:w="870"/>
        <w:gridCol w:w="871"/>
      </w:tblGrid>
      <w:tr>
        <w:trPr>
          <w:trHeight w:val="255"/>
        </w:trPr>
        <w:tc>
          <w:tcPr>
            <w:tcW w:w="2284" w:type="dxa"/>
            <w:gridSpan w:val="15"/>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6"/>
              </w:rPr>
            </w:pPr>
            <w:bookmarkStart w:id="86" w:name="DOC_TBL00034_1_1"/>
            <w:bookmarkEnd w:id="86"/>
            <w:r>
              <w:rPr>
                <w:rFonts w:ascii="Verdana" w:hAnsi="Verdana"/>
                <w:i/>
                <w:noProof/>
                <w:color w:val="000000"/>
                <w:sz w:val="16"/>
              </w:rPr>
              <w:t>mln. EUR</w:t>
            </w:r>
          </w:p>
        </w:tc>
      </w:tr>
      <w:tr>
        <w:trPr>
          <w:trHeight w:val="255"/>
        </w:trPr>
        <w:tc>
          <w:tcPr>
            <w:tcW w:w="2284"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p>
        </w:tc>
        <w:tc>
          <w:tcPr>
            <w:tcW w:w="875" w:type="dxa"/>
            <w:gridSpan w:val="7"/>
            <w:tcBorders>
              <w:top w:val="nil"/>
              <w:left w:val="nil"/>
              <w:bottom w:val="nil"/>
              <w:right w:val="nil"/>
              <w:tl2br w:val="nil"/>
              <w:tr2bl w:val="nil"/>
            </w:tcBorders>
            <w:shd w:val="solid" w:color="016794" w:fill="FFFFFF"/>
            <w:tcMar>
              <w:left w:w="60" w:type="dxa"/>
              <w:right w:w="60" w:type="dxa"/>
            </w:tcMar>
            <w:vAlign w:val="center"/>
          </w:tcPr>
          <w:p>
            <w:pPr>
              <w:pStyle w:val="DMETW19001BIPCR"/>
              <w:jc w:val="center"/>
              <w:rPr>
                <w:rFonts w:ascii="Verdana" w:eastAsia="Verdana" w:hAnsi="Verdana" w:cs="Verdana"/>
                <w:noProof/>
                <w:color w:val="FFFFFF"/>
                <w:sz w:val="18"/>
              </w:rPr>
            </w:pPr>
            <w:r>
              <w:rPr>
                <w:rFonts w:ascii="Verdana" w:hAnsi="Verdana"/>
                <w:noProof/>
                <w:color w:val="FFFFFF"/>
                <w:sz w:val="18"/>
              </w:rPr>
              <w:t>2019 12 31</w:t>
            </w:r>
          </w:p>
        </w:tc>
        <w:tc>
          <w:tcPr>
            <w:tcW w:w="876" w:type="dxa"/>
            <w:gridSpan w:val="7"/>
            <w:tcBorders>
              <w:top w:val="nil"/>
              <w:left w:val="nil"/>
              <w:bottom w:val="nil"/>
              <w:right w:val="nil"/>
              <w:tl2br w:val="nil"/>
              <w:tr2bl w:val="nil"/>
            </w:tcBorders>
            <w:shd w:val="solid" w:color="016794" w:fill="FFFFFF"/>
            <w:tcMar>
              <w:left w:w="60" w:type="dxa"/>
              <w:right w:w="60" w:type="dxa"/>
            </w:tcMar>
            <w:vAlign w:val="center"/>
          </w:tcPr>
          <w:p>
            <w:pPr>
              <w:pStyle w:val="DMETW19001BIPCR"/>
              <w:jc w:val="center"/>
              <w:rPr>
                <w:rFonts w:ascii="Verdana" w:eastAsia="Verdana" w:hAnsi="Verdana" w:cs="Verdana"/>
                <w:noProof/>
                <w:color w:val="FFFFFF"/>
                <w:sz w:val="18"/>
              </w:rPr>
            </w:pPr>
            <w:r>
              <w:rPr>
                <w:rFonts w:ascii="Verdana" w:hAnsi="Verdana"/>
                <w:noProof/>
                <w:color w:val="FFFFFF"/>
                <w:sz w:val="18"/>
              </w:rPr>
              <w:t>2018 12 31</w:t>
            </w:r>
          </w:p>
        </w:tc>
      </w:tr>
      <w:tr>
        <w:trPr>
          <w:trHeight w:val="255"/>
        </w:trPr>
        <w:tc>
          <w:tcPr>
            <w:tcW w:w="2284"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p>
        </w:tc>
        <w:tc>
          <w:tcPr>
            <w:tcW w:w="875"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USD</w:t>
            </w:r>
          </w:p>
        </w:tc>
        <w:tc>
          <w:tcPr>
            <w:tcW w:w="868"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GBP</w:t>
            </w:r>
          </w:p>
        </w:tc>
        <w:tc>
          <w:tcPr>
            <w:tcW w:w="852"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DKK</w:t>
            </w:r>
          </w:p>
        </w:tc>
        <w:tc>
          <w:tcPr>
            <w:tcW w:w="850"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SEK</w:t>
            </w:r>
          </w:p>
        </w:tc>
        <w:tc>
          <w:tcPr>
            <w:tcW w:w="875"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EUR</w:t>
            </w:r>
          </w:p>
        </w:tc>
        <w:tc>
          <w:tcPr>
            <w:tcW w:w="876"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Kita</w:t>
            </w:r>
          </w:p>
        </w:tc>
        <w:tc>
          <w:tcPr>
            <w:tcW w:w="875"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Iš viso</w:t>
            </w:r>
          </w:p>
        </w:tc>
        <w:tc>
          <w:tcPr>
            <w:tcW w:w="876"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USD</w:t>
            </w:r>
          </w:p>
        </w:tc>
        <w:tc>
          <w:tcPr>
            <w:tcW w:w="875"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GBP</w:t>
            </w:r>
          </w:p>
        </w:tc>
        <w:tc>
          <w:tcPr>
            <w:tcW w:w="876"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DKK</w:t>
            </w:r>
          </w:p>
        </w:tc>
        <w:tc>
          <w:tcPr>
            <w:tcW w:w="875"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SEK</w:t>
            </w:r>
          </w:p>
        </w:tc>
        <w:tc>
          <w:tcPr>
            <w:tcW w:w="876"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EUR</w:t>
            </w:r>
          </w:p>
        </w:tc>
        <w:tc>
          <w:tcPr>
            <w:tcW w:w="875"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Kita</w:t>
            </w:r>
          </w:p>
        </w:tc>
        <w:tc>
          <w:tcPr>
            <w:tcW w:w="876"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Iš viso</w:t>
            </w:r>
          </w:p>
        </w:tc>
      </w:tr>
      <w:tr>
        <w:trPr>
          <w:trHeight w:val="255"/>
        </w:trPr>
        <w:tc>
          <w:tcPr>
            <w:tcW w:w="2284"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b/>
                <w:noProof/>
                <w:color w:val="000000"/>
                <w:sz w:val="18"/>
              </w:rPr>
            </w:pPr>
            <w:r>
              <w:rPr>
                <w:rFonts w:ascii="Verdana" w:hAnsi="Verdana"/>
                <w:b/>
                <w:noProof/>
                <w:color w:val="000000"/>
                <w:sz w:val="18"/>
              </w:rPr>
              <w:t>Finansinis turtas</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68"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52"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noProof/>
                <w:color w:val="000000"/>
                <w:sz w:val="18"/>
                <w:lang w:bidi="en-GB"/>
              </w:rPr>
            </w:pPr>
          </w:p>
        </w:tc>
      </w:tr>
      <w:tr>
        <w:trPr>
          <w:trHeight w:val="255"/>
        </w:trPr>
        <w:tc>
          <w:tcPr>
            <w:tcW w:w="2284" w:type="dxa"/>
            <w:tcBorders>
              <w:top w:val="nil"/>
              <w:left w:val="nil"/>
              <w:bottom w:val="nil"/>
              <w:right w:val="nil"/>
              <w:tl2br w:val="nil"/>
              <w:tr2bl w:val="nil"/>
            </w:tcBorders>
            <w:shd w:val="clear" w:color="auto" w:fill="auto"/>
            <w:tcMar>
              <w:left w:w="60" w:type="dxa"/>
              <w:right w:w="60" w:type="dxa"/>
            </w:tcMar>
            <w:vAlign w:val="bottom"/>
          </w:tcPr>
          <w:p>
            <w:pPr>
              <w:pStyle w:val="DMETW19001BIPCR"/>
              <w:rPr>
                <w:rFonts w:ascii="Verdana" w:eastAsia="Verdana" w:hAnsi="Verdana" w:cs="Verdana"/>
                <w:i/>
                <w:noProof/>
                <w:color w:val="000000"/>
                <w:sz w:val="18"/>
              </w:rPr>
            </w:pPr>
            <w:r>
              <w:rPr>
                <w:rFonts w:ascii="Verdana" w:hAnsi="Verdana"/>
                <w:i/>
                <w:noProof/>
                <w:color w:val="000000"/>
                <w:sz w:val="18"/>
              </w:rPr>
              <w:t>Gautinos ir susigrąžintinos sumos</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68"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52"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115</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8</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123</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63</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0</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67</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8</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138</w:t>
            </w:r>
          </w:p>
        </w:tc>
      </w:tr>
      <w:tr>
        <w:trPr>
          <w:trHeight w:val="255"/>
        </w:trPr>
        <w:tc>
          <w:tcPr>
            <w:tcW w:w="2284" w:type="dxa"/>
            <w:tcBorders>
              <w:top w:val="nil"/>
              <w:left w:val="nil"/>
              <w:bottom w:val="nil"/>
              <w:right w:val="nil"/>
              <w:tl2br w:val="nil"/>
              <w:tr2bl w:val="nil"/>
            </w:tcBorders>
            <w:shd w:val="clear" w:color="auto" w:fill="auto"/>
            <w:tcMar>
              <w:left w:w="60" w:type="dxa"/>
              <w:right w:w="60" w:type="dxa"/>
            </w:tcMar>
            <w:vAlign w:val="bottom"/>
          </w:tcPr>
          <w:p>
            <w:pPr>
              <w:pStyle w:val="DMETW19001BIPCR"/>
              <w:rPr>
                <w:rFonts w:ascii="Verdana" w:eastAsia="Verdana" w:hAnsi="Verdana" w:cs="Verdana"/>
                <w:i/>
                <w:noProof/>
                <w:color w:val="000000"/>
                <w:sz w:val="18"/>
              </w:rPr>
            </w:pPr>
            <w:r>
              <w:rPr>
                <w:rFonts w:ascii="Verdana" w:hAnsi="Verdana"/>
                <w:i/>
                <w:noProof/>
                <w:color w:val="000000"/>
                <w:sz w:val="18"/>
              </w:rPr>
              <w:t>Pinigai ir pinigų ekvivalentai</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1</w:t>
            </w:r>
          </w:p>
        </w:tc>
        <w:tc>
          <w:tcPr>
            <w:tcW w:w="868"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52"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1 178</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1 179</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1</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0</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386</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387</w:t>
            </w:r>
          </w:p>
        </w:tc>
      </w:tr>
      <w:tr>
        <w:trPr>
          <w:trHeight w:val="255"/>
        </w:trPr>
        <w:tc>
          <w:tcPr>
            <w:tcW w:w="228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rPr>
                <w:rFonts w:ascii="Verdana" w:eastAsia="Verdana" w:hAnsi="Verdana" w:cs="Verdana"/>
                <w:b/>
                <w:noProof/>
                <w:color w:val="000000"/>
                <w:sz w:val="18"/>
              </w:rPr>
            </w:pP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1</w:t>
            </w:r>
          </w:p>
        </w:tc>
        <w:tc>
          <w:tcPr>
            <w:tcW w:w="8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5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1 293</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8</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1 302</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64</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0</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0</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453</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8</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525</w:t>
            </w:r>
          </w:p>
        </w:tc>
      </w:tr>
      <w:tr>
        <w:trPr>
          <w:trHeight w:val="255"/>
        </w:trPr>
        <w:tc>
          <w:tcPr>
            <w:tcW w:w="2284"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b/>
                <w:noProof/>
                <w:color w:val="000000"/>
                <w:sz w:val="18"/>
              </w:rPr>
            </w:pPr>
            <w:r>
              <w:rPr>
                <w:rFonts w:ascii="Verdana" w:hAnsi="Verdana"/>
                <w:b/>
                <w:noProof/>
                <w:color w:val="000000"/>
                <w:sz w:val="18"/>
              </w:rPr>
              <w:t>Finansiniai įsipareigojimai</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68"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52"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lang w:bidi="en-GB"/>
              </w:rPr>
            </w:pPr>
          </w:p>
        </w:tc>
      </w:tr>
      <w:tr>
        <w:trPr>
          <w:trHeight w:val="255"/>
        </w:trPr>
        <w:tc>
          <w:tcPr>
            <w:tcW w:w="2284" w:type="dxa"/>
            <w:tcBorders>
              <w:top w:val="nil"/>
              <w:left w:val="nil"/>
              <w:bottom w:val="nil"/>
              <w:right w:val="nil"/>
              <w:tl2br w:val="nil"/>
              <w:tr2bl w:val="nil"/>
            </w:tcBorders>
            <w:shd w:val="clear" w:color="auto" w:fill="auto"/>
            <w:tcMar>
              <w:left w:w="60" w:type="dxa"/>
              <w:right w:w="60" w:type="dxa"/>
            </w:tcMar>
            <w:vAlign w:val="bottom"/>
          </w:tcPr>
          <w:p>
            <w:pPr>
              <w:pStyle w:val="DMETW19001BIPCR"/>
              <w:rPr>
                <w:rFonts w:ascii="Verdana" w:eastAsia="Verdana" w:hAnsi="Verdana" w:cs="Verdana"/>
                <w:i/>
                <w:noProof/>
                <w:color w:val="000000"/>
                <w:sz w:val="18"/>
              </w:rPr>
            </w:pPr>
            <w:r>
              <w:rPr>
                <w:rFonts w:ascii="Verdana" w:hAnsi="Verdana"/>
                <w:i/>
                <w:noProof/>
                <w:color w:val="000000"/>
                <w:sz w:val="18"/>
              </w:rPr>
              <w:t>Ilgalaikiai finansiniai įsipareigojimai</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68"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52"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(19)</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(19)</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(18)</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(18)</w:t>
            </w:r>
          </w:p>
        </w:tc>
      </w:tr>
      <w:tr>
        <w:trPr>
          <w:trHeight w:val="255"/>
        </w:trPr>
        <w:tc>
          <w:tcPr>
            <w:tcW w:w="2284" w:type="dxa"/>
            <w:tcBorders>
              <w:top w:val="nil"/>
              <w:left w:val="nil"/>
              <w:bottom w:val="nil"/>
              <w:right w:val="nil"/>
              <w:tl2br w:val="nil"/>
              <w:tr2bl w:val="nil"/>
            </w:tcBorders>
            <w:shd w:val="clear" w:color="auto" w:fill="auto"/>
            <w:tcMar>
              <w:left w:w="60" w:type="dxa"/>
              <w:right w:w="60" w:type="dxa"/>
            </w:tcMar>
            <w:vAlign w:val="bottom"/>
          </w:tcPr>
          <w:p>
            <w:pPr>
              <w:pStyle w:val="DMETW19001BIPCR"/>
              <w:rPr>
                <w:rFonts w:ascii="Verdana" w:eastAsia="Verdana" w:hAnsi="Verdana" w:cs="Verdana"/>
                <w:i/>
                <w:noProof/>
                <w:color w:val="000000"/>
                <w:sz w:val="18"/>
              </w:rPr>
            </w:pPr>
            <w:r>
              <w:rPr>
                <w:rFonts w:ascii="Verdana" w:hAnsi="Verdana"/>
                <w:i/>
                <w:noProof/>
                <w:color w:val="000000"/>
                <w:sz w:val="18"/>
              </w:rPr>
              <w:t>Mokėtinos sumos</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(7)</w:t>
            </w:r>
          </w:p>
        </w:tc>
        <w:tc>
          <w:tcPr>
            <w:tcW w:w="868"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52"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(509)</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(516)</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(1)</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(218)</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(22)</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(241)</w:t>
            </w:r>
          </w:p>
        </w:tc>
      </w:tr>
      <w:tr>
        <w:trPr>
          <w:trHeight w:val="255"/>
        </w:trPr>
        <w:tc>
          <w:tcPr>
            <w:tcW w:w="228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rPr>
                <w:rFonts w:ascii="Verdana" w:eastAsia="Verdana" w:hAnsi="Verdana" w:cs="Verdana"/>
                <w:b/>
                <w:noProof/>
                <w:color w:val="000000"/>
                <w:sz w:val="18"/>
              </w:rPr>
            </w:pP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(7)</w:t>
            </w:r>
          </w:p>
        </w:tc>
        <w:tc>
          <w:tcPr>
            <w:tcW w:w="8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5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(528)</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(535)</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(1)</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(236)</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(22)</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(259)</w:t>
            </w:r>
          </w:p>
        </w:tc>
      </w:tr>
      <w:tr>
        <w:trPr>
          <w:trHeight w:val="255"/>
        </w:trPr>
        <w:tc>
          <w:tcPr>
            <w:tcW w:w="2284" w:type="dxa"/>
            <w:tcBorders>
              <w:top w:val="nil"/>
              <w:left w:val="nil"/>
              <w:bottom w:val="nil"/>
              <w:right w:val="nil"/>
              <w:tl2br w:val="nil"/>
              <w:tr2bl w:val="nil"/>
            </w:tcBorders>
            <w:shd w:val="solid" w:color="CCE1EA" w:fill="FFFFFF"/>
            <w:tcMar>
              <w:left w:w="60" w:type="dxa"/>
              <w:right w:w="60" w:type="dxa"/>
            </w:tcMar>
            <w:vAlign w:val="center"/>
          </w:tcPr>
          <w:p>
            <w:pPr>
              <w:pStyle w:val="DMETW19001BIPCR"/>
              <w:rPr>
                <w:rFonts w:ascii="Verdana" w:eastAsia="Verdana" w:hAnsi="Verdana" w:cs="Verdana"/>
                <w:b/>
                <w:noProof/>
                <w:color w:val="000000"/>
                <w:sz w:val="18"/>
              </w:rPr>
            </w:pPr>
            <w:r>
              <w:rPr>
                <w:rFonts w:ascii="Verdana" w:hAnsi="Verdana"/>
                <w:b/>
                <w:noProof/>
                <w:color w:val="000000"/>
                <w:sz w:val="18"/>
              </w:rPr>
              <w:t>Iš viso</w:t>
            </w:r>
          </w:p>
        </w:tc>
        <w:tc>
          <w:tcPr>
            <w:tcW w:w="875"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(6)</w:t>
            </w:r>
          </w:p>
        </w:tc>
        <w:tc>
          <w:tcPr>
            <w:tcW w:w="868"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52"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50"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75"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765</w:t>
            </w:r>
          </w:p>
        </w:tc>
        <w:tc>
          <w:tcPr>
            <w:tcW w:w="876"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8</w:t>
            </w:r>
          </w:p>
        </w:tc>
        <w:tc>
          <w:tcPr>
            <w:tcW w:w="875"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767</w:t>
            </w:r>
          </w:p>
        </w:tc>
        <w:tc>
          <w:tcPr>
            <w:tcW w:w="876"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63</w:t>
            </w:r>
          </w:p>
        </w:tc>
        <w:tc>
          <w:tcPr>
            <w:tcW w:w="875"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0</w:t>
            </w:r>
          </w:p>
        </w:tc>
        <w:tc>
          <w:tcPr>
            <w:tcW w:w="876"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0</w:t>
            </w:r>
          </w:p>
        </w:tc>
        <w:tc>
          <w:tcPr>
            <w:tcW w:w="875"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76"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217</w:t>
            </w:r>
          </w:p>
        </w:tc>
        <w:tc>
          <w:tcPr>
            <w:tcW w:w="875"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(14)</w:t>
            </w:r>
          </w:p>
        </w:tc>
        <w:tc>
          <w:tcPr>
            <w:tcW w:w="876"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267</w:t>
            </w:r>
          </w:p>
        </w:tc>
      </w:tr>
    </w:tbl>
    <w:p>
      <w:pPr>
        <w:pStyle w:val="HEADER5"/>
        <w:rPr>
          <w:noProof/>
        </w:rPr>
      </w:pPr>
    </w:p>
    <w:p>
      <w:pPr>
        <w:pStyle w:val="Textstand-alone"/>
      </w:pPr>
      <w:r>
        <w:t>Visi įnašai laikomi eurais, o kitos valiutos perkamos tik tada, kai jų prireikia mokėjimams atlikti. Dėl to EPF iždo operacijoms valiutos rizika nekyla.</w:t>
      </w:r>
    </w:p>
    <w:bookmarkEnd w:id="85"/>
    <w:p>
      <w:pPr>
        <w:rPr>
          <w:noProof/>
        </w:rPr>
        <w:sectPr>
          <w:headerReference w:type="even" r:id="rId191"/>
          <w:headerReference w:type="default" r:id="rId192"/>
          <w:footerReference w:type="even" r:id="rId193"/>
          <w:footerReference w:type="default" r:id="rId194"/>
          <w:headerReference w:type="first" r:id="rId195"/>
          <w:footerReference w:type="first" r:id="rId196"/>
          <w:pgSz w:w="16838" w:h="11906" w:orient="landscape" w:code="9"/>
          <w:pgMar w:top="1134" w:right="1134" w:bottom="1134" w:left="1134" w:header="709" w:footer="709" w:gutter="0"/>
          <w:cols w:space="708"/>
          <w:docGrid w:linePitch="360"/>
        </w:sectPr>
      </w:pPr>
    </w:p>
    <w:p>
      <w:pPr>
        <w:pStyle w:val="HEADER2Part2"/>
        <w:rPr>
          <w:noProof/>
        </w:rPr>
      </w:pPr>
      <w:bookmarkStart w:id="87" w:name="_DMBM_18998"/>
      <w:r>
        <w:rPr>
          <w:noProof/>
        </w:rPr>
        <w:t>PALŪKANŲ NORMOS RIZIKA</w:t>
      </w:r>
    </w:p>
    <w:p>
      <w:pPr>
        <w:pStyle w:val="Textstand-alone"/>
      </w:pPr>
      <w:r>
        <w:t>EPF pinigų neskolina, todėl nepatiria palūkanų normos rizikos.</w:t>
      </w:r>
    </w:p>
    <w:p>
      <w:pPr>
        <w:pStyle w:val="Textstand-alone"/>
      </w:pPr>
      <w:r>
        <w:t>Palūkanos kaupiamos už įvairiose bankų sąskaitose laikomas fondo lėšas. Todėl Komisija EPF vardu nustatė priemones, kuriomis užtikrinama, kad uždirbamos palūkanos reguliariai atspindėtų rinkos palūkanų normas bei galimą jų svyravimą.</w:t>
      </w:r>
    </w:p>
    <w:p>
      <w:pPr>
        <w:pStyle w:val="Textstand-alone"/>
      </w:pPr>
      <w:r>
        <w:t>EPF įnašus valstybės narės moka į specialiąsias sąskaitas, kurios yra atidarytos kiekvienos valstybės narės centriniame banke arba jos paskirtoje finansų įstaigoje. Kadangi kai kurioms šių sąskaitų taikomas atlyginimas šiuo metu gali būti neigiamas, nustatytos pinigų valdymo procedūros, siekiant minimizuoti atitinkamose sąskaitose esančias lėšas. Be to, remiantis Tarybos reglamentu (ES) 2016/888, bet kokį neigiamą atlyginimą už tas sąskaitas dengia susijusi valstybė narė.</w:t>
      </w:r>
    </w:p>
    <w:p>
      <w:pPr>
        <w:pStyle w:val="Textstand-alone"/>
      </w:pPr>
      <w:r>
        <w:t>Už vienos nakties indėlius komercinių bankų sąskaitose atlyginama kiekvieną dieną. Atlyginimas už tokiose sąskaitose laikomas lėšas paremtas kintamomis rinkos palūkanų normomis, kurioms taikoma sutartinė marža (teigiama arba neigiama). Daugumos sąskaitų palūkanų skaičiavimas susietas su rinkos orientacine palūkanų norma ir patikslinamas, kad būtų atsižvelgiama į bet kokius šios normos svyravimus. Todėl EPF negresia jokia rizika, kad už jo lėšas bus galėtų būti atlyginta mažesnėmis nei rinkos normomis.</w:t>
      </w:r>
    </w:p>
    <w:p>
      <w:pPr>
        <w:pStyle w:val="HEADER2Part2"/>
        <w:rPr>
          <w:noProof/>
        </w:rPr>
      </w:pPr>
      <w:r>
        <w:rPr>
          <w:noProof/>
        </w:rPr>
        <w:t>KREDITO RIZIKA (SANDORIO ŠALIES RIZIKA)</w:t>
      </w:r>
    </w:p>
    <w:p>
      <w:pPr>
        <w:pStyle w:val="HEADER5"/>
        <w:rPr>
          <w:noProof/>
        </w:rPr>
      </w:pPr>
      <w:r>
        <w:rPr>
          <w:noProof/>
        </w:rPr>
        <w:t>Finansinis turtas, kurio mokėjimai nepradelsti ir vertė nesumažėjusi</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3"/>
        <w:gridCol w:w="709"/>
        <w:gridCol w:w="1984"/>
        <w:gridCol w:w="992"/>
        <w:gridCol w:w="851"/>
        <w:gridCol w:w="811"/>
      </w:tblGrid>
      <w:tr>
        <w:trPr>
          <w:trHeight w:val="255"/>
        </w:trPr>
        <w:tc>
          <w:tcPr>
            <w:tcW w:w="4313" w:type="dxa"/>
            <w:gridSpan w:val="6"/>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cs="Calibri"/>
                <w:i/>
                <w:noProof/>
                <w:color w:val="000000"/>
              </w:rPr>
            </w:pPr>
            <w:bookmarkStart w:id="88" w:name="DOC_TBL00036_1_1"/>
            <w:bookmarkEnd w:id="88"/>
            <w:r>
              <w:rPr>
                <w:i/>
                <w:noProof/>
                <w:color w:val="000000"/>
              </w:rPr>
              <w:t>mln. EUR</w:t>
            </w:r>
          </w:p>
        </w:tc>
      </w:tr>
      <w:tr>
        <w:trPr>
          <w:trHeight w:val="255"/>
        </w:trPr>
        <w:tc>
          <w:tcPr>
            <w:tcW w:w="4313" w:type="dxa"/>
            <w:tcBorders>
              <w:top w:val="nil"/>
              <w:left w:val="nil"/>
              <w:bottom w:val="nil"/>
              <w:right w:val="nil"/>
              <w:tl2br w:val="nil"/>
              <w:tr2bl w:val="nil"/>
            </w:tcBorders>
            <w:shd w:val="solid" w:color="016794" w:fill="FFFFFF"/>
            <w:tcMar>
              <w:left w:w="60" w:type="dxa"/>
              <w:right w:w="60" w:type="dxa"/>
            </w:tcMar>
            <w:vAlign w:val="center"/>
          </w:tcPr>
          <w:p>
            <w:pPr>
              <w:pStyle w:val="DMETW19001BIPCDTR"/>
              <w:jc w:val="right"/>
              <w:rPr>
                <w:rFonts w:ascii="Verdana" w:eastAsia="Verdana" w:hAnsi="Verdana" w:cs="Verdana"/>
                <w:noProof/>
                <w:color w:val="FFFFFF"/>
              </w:rPr>
            </w:pPr>
          </w:p>
        </w:tc>
        <w:tc>
          <w:tcPr>
            <w:tcW w:w="709" w:type="dxa"/>
            <w:tcBorders>
              <w:top w:val="nil"/>
              <w:left w:val="nil"/>
              <w:bottom w:val="nil"/>
              <w:right w:val="nil"/>
              <w:tl2br w:val="nil"/>
              <w:tr2bl w:val="nil"/>
            </w:tcBorders>
            <w:shd w:val="solid" w:color="016794" w:fill="FFFFFF"/>
            <w:tcMar>
              <w:left w:w="60" w:type="dxa"/>
              <w:right w:w="60" w:type="dxa"/>
            </w:tcMar>
          </w:tcPr>
          <w:p>
            <w:pPr>
              <w:pStyle w:val="DMETW19001BIPCDTR"/>
              <w:jc w:val="right"/>
              <w:rPr>
                <w:rFonts w:ascii="Verdana" w:eastAsia="Verdana" w:hAnsi="Verdana" w:cs="Verdana"/>
                <w:noProof/>
                <w:color w:val="FFFFFF"/>
              </w:rPr>
            </w:pPr>
            <w:r>
              <w:rPr>
                <w:rFonts w:ascii="Verdana" w:hAnsi="Verdana"/>
                <w:noProof/>
                <w:color w:val="FFFFFF"/>
              </w:rPr>
              <w:t>Iš viso</w:t>
            </w:r>
          </w:p>
        </w:tc>
        <w:tc>
          <w:tcPr>
            <w:tcW w:w="1984" w:type="dxa"/>
            <w:tcBorders>
              <w:top w:val="nil"/>
              <w:left w:val="nil"/>
              <w:bottom w:val="nil"/>
              <w:right w:val="nil"/>
              <w:tl2br w:val="nil"/>
              <w:tr2bl w:val="nil"/>
            </w:tcBorders>
            <w:shd w:val="solid" w:color="016794" w:fill="FFFFFF"/>
            <w:tcMar>
              <w:left w:w="60" w:type="dxa"/>
              <w:right w:w="60" w:type="dxa"/>
            </w:tcMar>
          </w:tcPr>
          <w:p>
            <w:pPr>
              <w:pStyle w:val="DMETW19001BIPCDTR"/>
              <w:jc w:val="right"/>
              <w:rPr>
                <w:rFonts w:ascii="Verdana" w:eastAsia="Verdana" w:hAnsi="Verdana" w:cs="Verdana"/>
                <w:noProof/>
                <w:color w:val="FFFFFF"/>
              </w:rPr>
            </w:pPr>
            <w:r>
              <w:rPr>
                <w:rFonts w:ascii="Verdana" w:hAnsi="Verdana"/>
                <w:noProof/>
                <w:color w:val="FFFFFF"/>
              </w:rPr>
              <w:t>Nepradelsta ir vertė nesumažėjusi</w:t>
            </w:r>
          </w:p>
        </w:tc>
        <w:tc>
          <w:tcPr>
            <w:tcW w:w="992" w:type="dxa"/>
            <w:gridSpan w:val="3"/>
            <w:tcBorders>
              <w:top w:val="nil"/>
              <w:left w:val="nil"/>
              <w:bottom w:val="nil"/>
              <w:right w:val="nil"/>
              <w:tl2br w:val="nil"/>
              <w:tr2bl w:val="nil"/>
            </w:tcBorders>
            <w:shd w:val="solid" w:color="016794" w:fill="FFFFFF"/>
            <w:tcMar>
              <w:left w:w="60" w:type="dxa"/>
              <w:right w:w="60" w:type="dxa"/>
            </w:tcMar>
          </w:tcPr>
          <w:p>
            <w:pPr>
              <w:pStyle w:val="DMETW19001BIPCDTR"/>
              <w:jc w:val="center"/>
              <w:rPr>
                <w:rFonts w:ascii="Verdana" w:eastAsia="Verdana" w:hAnsi="Verdana" w:cs="Verdana"/>
                <w:noProof/>
                <w:color w:val="FFFFFF"/>
              </w:rPr>
            </w:pPr>
            <w:r>
              <w:rPr>
                <w:rFonts w:ascii="Verdana" w:hAnsi="Verdana"/>
                <w:noProof/>
                <w:color w:val="FFFFFF"/>
              </w:rPr>
              <w:t>Pradelsta, bet vertė nesumažėjusi</w:t>
            </w:r>
          </w:p>
        </w:tc>
      </w:tr>
      <w:tr>
        <w:trPr>
          <w:trHeight w:val="255"/>
        </w:trPr>
        <w:tc>
          <w:tcPr>
            <w:tcW w:w="4313" w:type="dxa"/>
            <w:tcBorders>
              <w:top w:val="nil"/>
              <w:left w:val="nil"/>
              <w:bottom w:val="nil"/>
              <w:right w:val="nil"/>
              <w:tl2br w:val="nil"/>
              <w:tr2bl w:val="nil"/>
            </w:tcBorders>
            <w:shd w:val="solid" w:color="016794" w:fill="FFFFFF"/>
            <w:tcMar>
              <w:left w:w="60" w:type="dxa"/>
              <w:right w:w="60" w:type="dxa"/>
            </w:tcMar>
            <w:vAlign w:val="center"/>
          </w:tcPr>
          <w:p>
            <w:pPr>
              <w:pStyle w:val="DMETW19001BIPCDTR"/>
              <w:jc w:val="right"/>
              <w:rPr>
                <w:rFonts w:ascii="Verdana" w:eastAsia="Verdana" w:hAnsi="Verdana" w:cs="Verdana"/>
                <w:noProof/>
                <w:color w:val="FFFFFF"/>
              </w:rPr>
            </w:pPr>
          </w:p>
        </w:tc>
        <w:tc>
          <w:tcPr>
            <w:tcW w:w="709" w:type="dxa"/>
            <w:tcBorders>
              <w:top w:val="nil"/>
              <w:left w:val="nil"/>
              <w:bottom w:val="nil"/>
              <w:right w:val="nil"/>
              <w:tl2br w:val="nil"/>
              <w:tr2bl w:val="nil"/>
            </w:tcBorders>
            <w:shd w:val="solid" w:color="016794" w:fill="FFFFFF"/>
            <w:tcMar>
              <w:left w:w="60" w:type="dxa"/>
              <w:right w:w="60" w:type="dxa"/>
            </w:tcMar>
            <w:vAlign w:val="center"/>
          </w:tcPr>
          <w:p>
            <w:pPr>
              <w:pStyle w:val="DMETW19001BIPCDTR"/>
              <w:jc w:val="right"/>
              <w:rPr>
                <w:rFonts w:ascii="Verdana" w:eastAsia="Verdana" w:hAnsi="Verdana" w:cs="Verdana"/>
                <w:noProof/>
                <w:color w:val="FFFFFF"/>
              </w:rPr>
            </w:pPr>
          </w:p>
        </w:tc>
        <w:tc>
          <w:tcPr>
            <w:tcW w:w="1984" w:type="dxa"/>
            <w:tcBorders>
              <w:top w:val="nil"/>
              <w:left w:val="nil"/>
              <w:bottom w:val="nil"/>
              <w:right w:val="nil"/>
              <w:tl2br w:val="nil"/>
              <w:tr2bl w:val="nil"/>
            </w:tcBorders>
            <w:shd w:val="solid" w:color="016794" w:fill="FFFFFF"/>
            <w:tcMar>
              <w:left w:w="60" w:type="dxa"/>
              <w:right w:w="60" w:type="dxa"/>
            </w:tcMar>
            <w:vAlign w:val="center"/>
          </w:tcPr>
          <w:p>
            <w:pPr>
              <w:pStyle w:val="DMETW19001BIPCDTR"/>
              <w:jc w:val="right"/>
              <w:rPr>
                <w:rFonts w:ascii="Verdana" w:eastAsia="Verdana" w:hAnsi="Verdana" w:cs="Verdana"/>
                <w:noProof/>
                <w:color w:val="FFFFFF"/>
              </w:rPr>
            </w:pPr>
          </w:p>
        </w:tc>
        <w:tc>
          <w:tcPr>
            <w:tcW w:w="992" w:type="dxa"/>
            <w:tcBorders>
              <w:top w:val="nil"/>
              <w:left w:val="nil"/>
              <w:bottom w:val="nil"/>
              <w:right w:val="nil"/>
              <w:tl2br w:val="nil"/>
              <w:tr2bl w:val="nil"/>
            </w:tcBorders>
            <w:shd w:val="solid" w:color="016794" w:fill="FFFFFF"/>
            <w:tcMar>
              <w:left w:w="60" w:type="dxa"/>
              <w:right w:w="60" w:type="dxa"/>
            </w:tcMar>
            <w:vAlign w:val="center"/>
          </w:tcPr>
          <w:p>
            <w:pPr>
              <w:pStyle w:val="DMETW19001BIPCDTR"/>
              <w:jc w:val="right"/>
              <w:rPr>
                <w:rFonts w:ascii="Verdana" w:eastAsia="Verdana" w:hAnsi="Verdana" w:cs="Verdana"/>
                <w:noProof/>
                <w:color w:val="FFFFFF"/>
              </w:rPr>
            </w:pPr>
            <w:r>
              <w:rPr>
                <w:rFonts w:ascii="Verdana" w:hAnsi="Verdana"/>
                <w:noProof/>
                <w:color w:val="FFFFFF"/>
              </w:rPr>
              <w:t>&lt; 1 metai</w:t>
            </w:r>
          </w:p>
        </w:tc>
        <w:tc>
          <w:tcPr>
            <w:tcW w:w="851" w:type="dxa"/>
            <w:tcBorders>
              <w:top w:val="nil"/>
              <w:left w:val="nil"/>
              <w:bottom w:val="nil"/>
              <w:right w:val="nil"/>
              <w:tl2br w:val="nil"/>
              <w:tr2bl w:val="nil"/>
            </w:tcBorders>
            <w:shd w:val="solid" w:color="016794" w:fill="FFFFFF"/>
            <w:tcMar>
              <w:left w:w="60" w:type="dxa"/>
              <w:right w:w="60" w:type="dxa"/>
            </w:tcMar>
            <w:vAlign w:val="center"/>
          </w:tcPr>
          <w:p>
            <w:pPr>
              <w:pStyle w:val="DMETW19001BIPCDTR"/>
              <w:jc w:val="right"/>
              <w:rPr>
                <w:rFonts w:ascii="Verdana" w:eastAsia="Verdana" w:hAnsi="Verdana" w:cs="Verdana"/>
                <w:noProof/>
                <w:color w:val="FFFFFF"/>
              </w:rPr>
            </w:pPr>
            <w:r>
              <w:rPr>
                <w:rFonts w:ascii="Verdana" w:hAnsi="Verdana"/>
                <w:noProof/>
                <w:color w:val="FFFFFF"/>
              </w:rPr>
              <w:t>1–5 metai</w:t>
            </w:r>
          </w:p>
        </w:tc>
        <w:tc>
          <w:tcPr>
            <w:tcW w:w="811" w:type="dxa"/>
            <w:tcBorders>
              <w:top w:val="nil"/>
              <w:left w:val="nil"/>
              <w:bottom w:val="nil"/>
              <w:right w:val="nil"/>
              <w:tl2br w:val="nil"/>
              <w:tr2bl w:val="nil"/>
            </w:tcBorders>
            <w:shd w:val="solid" w:color="016794" w:fill="FFFFFF"/>
            <w:tcMar>
              <w:left w:w="60" w:type="dxa"/>
              <w:right w:w="60" w:type="dxa"/>
            </w:tcMar>
            <w:vAlign w:val="center"/>
          </w:tcPr>
          <w:p>
            <w:pPr>
              <w:pStyle w:val="DMETW19001BIPCDTR"/>
              <w:jc w:val="right"/>
              <w:rPr>
                <w:rFonts w:ascii="Verdana" w:eastAsia="Verdana" w:hAnsi="Verdana" w:cs="Verdana"/>
                <w:noProof/>
                <w:color w:val="FFFFFF"/>
              </w:rPr>
            </w:pPr>
            <w:r>
              <w:rPr>
                <w:rFonts w:ascii="Verdana" w:hAnsi="Verdana"/>
                <w:noProof/>
                <w:color w:val="FFFFFF"/>
              </w:rPr>
              <w:t>&gt; 5 metai</w:t>
            </w:r>
          </w:p>
        </w:tc>
      </w:tr>
      <w:tr>
        <w:trPr>
          <w:trHeight w:val="255"/>
        </w:trPr>
        <w:tc>
          <w:tcPr>
            <w:tcW w:w="4313" w:type="dxa"/>
            <w:tcBorders>
              <w:top w:val="nil"/>
              <w:left w:val="nil"/>
              <w:bottom w:val="nil"/>
              <w:right w:val="nil"/>
              <w:tl2br w:val="nil"/>
              <w:tr2bl w:val="nil"/>
            </w:tcBorders>
            <w:shd w:val="clear" w:color="auto" w:fill="auto"/>
            <w:tcMar>
              <w:left w:w="60" w:type="dxa"/>
              <w:right w:w="60" w:type="dxa"/>
            </w:tcMar>
            <w:vAlign w:val="bottom"/>
          </w:tcPr>
          <w:p>
            <w:pPr>
              <w:pStyle w:val="DMETW19001BIPCDTR"/>
              <w:rPr>
                <w:rFonts w:ascii="Verdana" w:eastAsia="Verdana" w:hAnsi="Verdana" w:cs="Verdana"/>
                <w:i/>
                <w:noProof/>
                <w:color w:val="000000"/>
                <w:sz w:val="18"/>
              </w:rPr>
            </w:pPr>
            <w:r>
              <w:rPr>
                <w:rFonts w:ascii="Verdana" w:hAnsi="Verdana"/>
                <w:i/>
                <w:noProof/>
                <w:color w:val="000000"/>
                <w:sz w:val="18"/>
              </w:rPr>
              <w:t>Iš prekybos gautinos sumos ir neprekybinės susigrąžintinos sumos</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hAnsi="Verdana"/>
                <w:i/>
                <w:noProof/>
                <w:color w:val="000000"/>
                <w:sz w:val="18"/>
              </w:rPr>
              <w:t xml:space="preserve"> 123</w:t>
            </w:r>
          </w:p>
        </w:tc>
        <w:tc>
          <w:tcPr>
            <w:tcW w:w="1984"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hAnsi="Verdana"/>
                <w:i/>
                <w:noProof/>
                <w:color w:val="000000"/>
                <w:sz w:val="18"/>
              </w:rPr>
              <w:t xml:space="preserve"> 100</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hAnsi="Verdana"/>
                <w:i/>
                <w:noProof/>
                <w:color w:val="000000"/>
                <w:sz w:val="18"/>
              </w:rPr>
              <w:t xml:space="preserve"> 16</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hAnsi="Verdana"/>
                <w:i/>
                <w:noProof/>
                <w:color w:val="000000"/>
                <w:sz w:val="18"/>
              </w:rPr>
              <w:t xml:space="preserve"> 7</w:t>
            </w:r>
          </w:p>
        </w:tc>
        <w:tc>
          <w:tcPr>
            <w:tcW w:w="811"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4313" w:type="dxa"/>
            <w:tcBorders>
              <w:top w:val="nil"/>
              <w:left w:val="nil"/>
              <w:bottom w:val="nil"/>
              <w:right w:val="nil"/>
              <w:tl2br w:val="nil"/>
              <w:tr2bl w:val="nil"/>
            </w:tcBorders>
            <w:shd w:val="solid" w:color="CCE1EA" w:fill="FFFFFF"/>
            <w:tcMar>
              <w:left w:w="60" w:type="dxa"/>
              <w:right w:w="60" w:type="dxa"/>
            </w:tcMar>
            <w:vAlign w:val="center"/>
          </w:tcPr>
          <w:p>
            <w:pPr>
              <w:pStyle w:val="DMETW19001BIPCDTR"/>
              <w:rPr>
                <w:rFonts w:ascii="Verdana" w:eastAsia="Verdana" w:hAnsi="Verdana" w:cs="Verdana"/>
                <w:b/>
                <w:noProof/>
                <w:color w:val="000000"/>
                <w:sz w:val="18"/>
              </w:rPr>
            </w:pPr>
            <w:r>
              <w:rPr>
                <w:rFonts w:ascii="Verdana" w:hAnsi="Verdana"/>
                <w:b/>
                <w:noProof/>
                <w:color w:val="000000"/>
                <w:sz w:val="18"/>
              </w:rPr>
              <w:t>Iš viso 2019 m. gruodžio 31 d.</w:t>
            </w:r>
          </w:p>
        </w:tc>
        <w:tc>
          <w:tcPr>
            <w:tcW w:w="709"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hAnsi="Verdana"/>
                <w:b/>
                <w:noProof/>
                <w:color w:val="000000"/>
                <w:sz w:val="18"/>
              </w:rPr>
              <w:t xml:space="preserve">  123</w:t>
            </w:r>
          </w:p>
        </w:tc>
        <w:tc>
          <w:tcPr>
            <w:tcW w:w="1984"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hAnsi="Verdana"/>
                <w:b/>
                <w:noProof/>
                <w:color w:val="000000"/>
                <w:sz w:val="18"/>
              </w:rPr>
              <w:t xml:space="preserve">  100</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hAnsi="Verdana"/>
                <w:b/>
                <w:noProof/>
                <w:color w:val="000000"/>
                <w:sz w:val="18"/>
              </w:rPr>
              <w:t xml:space="preserve">  16</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hAnsi="Verdana"/>
                <w:b/>
                <w:noProof/>
                <w:color w:val="000000"/>
                <w:sz w:val="18"/>
              </w:rPr>
              <w:t xml:space="preserve">  7</w:t>
            </w:r>
          </w:p>
        </w:tc>
        <w:tc>
          <w:tcPr>
            <w:tcW w:w="811"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hAnsi="Verdana"/>
                <w:b/>
                <w:noProof/>
                <w:color w:val="000000"/>
                <w:sz w:val="18"/>
              </w:rPr>
              <w:t>–</w:t>
            </w:r>
          </w:p>
        </w:tc>
      </w:tr>
      <w:tr>
        <w:trPr>
          <w:trHeight w:val="255"/>
        </w:trPr>
        <w:tc>
          <w:tcPr>
            <w:tcW w:w="4313" w:type="dxa"/>
            <w:tcBorders>
              <w:top w:val="nil"/>
              <w:left w:val="nil"/>
              <w:bottom w:val="nil"/>
              <w:right w:val="nil"/>
              <w:tl2br w:val="nil"/>
              <w:tr2bl w:val="nil"/>
            </w:tcBorders>
            <w:shd w:val="clear" w:color="auto" w:fill="auto"/>
            <w:tcMar>
              <w:left w:w="60" w:type="dxa"/>
              <w:right w:w="60" w:type="dxa"/>
            </w:tcMar>
            <w:vAlign w:val="bottom"/>
          </w:tcPr>
          <w:p>
            <w:pPr>
              <w:pStyle w:val="DMETW19001BIPCDTR"/>
              <w:rPr>
                <w:rFonts w:ascii="Verdana" w:eastAsia="Verdana" w:hAnsi="Verdana" w:cs="Verdana"/>
                <w:i/>
                <w:noProof/>
                <w:color w:val="000000"/>
                <w:sz w:val="18"/>
              </w:rPr>
            </w:pPr>
            <w:r>
              <w:rPr>
                <w:rFonts w:ascii="Verdana" w:hAnsi="Verdana"/>
                <w:i/>
                <w:noProof/>
                <w:color w:val="000000"/>
                <w:sz w:val="18"/>
              </w:rPr>
              <w:t>Iš prekybos gautinos sumos ir neprekybinės susigrąžintinos sumos</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hAnsi="Verdana"/>
                <w:i/>
                <w:noProof/>
                <w:color w:val="000000"/>
                <w:sz w:val="18"/>
              </w:rPr>
              <w:t xml:space="preserve"> 138</w:t>
            </w:r>
          </w:p>
        </w:tc>
        <w:tc>
          <w:tcPr>
            <w:tcW w:w="1984"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hAnsi="Verdana"/>
                <w:i/>
                <w:noProof/>
                <w:color w:val="000000"/>
                <w:sz w:val="18"/>
              </w:rPr>
              <w:t xml:space="preserve"> 121</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hAnsi="Verdana"/>
                <w:i/>
                <w:noProof/>
                <w:color w:val="000000"/>
                <w:sz w:val="18"/>
              </w:rPr>
              <w:t xml:space="preserve"> 12</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hAnsi="Verdana"/>
                <w:i/>
                <w:noProof/>
                <w:color w:val="000000"/>
                <w:sz w:val="18"/>
              </w:rPr>
              <w:t xml:space="preserve"> 5</w:t>
            </w:r>
          </w:p>
        </w:tc>
        <w:tc>
          <w:tcPr>
            <w:tcW w:w="811"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4313" w:type="dxa"/>
            <w:tcBorders>
              <w:top w:val="nil"/>
              <w:left w:val="nil"/>
              <w:bottom w:val="nil"/>
              <w:right w:val="nil"/>
              <w:tl2br w:val="nil"/>
              <w:tr2bl w:val="nil"/>
            </w:tcBorders>
            <w:shd w:val="solid" w:color="CCE1EA" w:fill="FFFFFF"/>
            <w:tcMar>
              <w:left w:w="60" w:type="dxa"/>
              <w:right w:w="60" w:type="dxa"/>
            </w:tcMar>
            <w:vAlign w:val="center"/>
          </w:tcPr>
          <w:p>
            <w:pPr>
              <w:pStyle w:val="DMETW19001BIPCDTR"/>
              <w:rPr>
                <w:rFonts w:ascii="Verdana" w:eastAsia="Verdana" w:hAnsi="Verdana" w:cs="Verdana"/>
                <w:b/>
                <w:noProof/>
                <w:color w:val="000000"/>
                <w:sz w:val="18"/>
              </w:rPr>
            </w:pPr>
            <w:r>
              <w:rPr>
                <w:rFonts w:ascii="Verdana" w:hAnsi="Verdana"/>
                <w:b/>
                <w:noProof/>
                <w:color w:val="000000"/>
                <w:sz w:val="18"/>
              </w:rPr>
              <w:t>Iš viso 2018 m. gruodžio 31 d.</w:t>
            </w:r>
          </w:p>
        </w:tc>
        <w:tc>
          <w:tcPr>
            <w:tcW w:w="709"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hAnsi="Verdana"/>
                <w:b/>
                <w:noProof/>
                <w:color w:val="000000"/>
                <w:sz w:val="18"/>
              </w:rPr>
              <w:t xml:space="preserve">  138</w:t>
            </w:r>
          </w:p>
        </w:tc>
        <w:tc>
          <w:tcPr>
            <w:tcW w:w="1984"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hAnsi="Verdana"/>
                <w:b/>
                <w:noProof/>
                <w:color w:val="000000"/>
                <w:sz w:val="18"/>
              </w:rPr>
              <w:t xml:space="preserve">  121</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hAnsi="Verdana"/>
                <w:b/>
                <w:noProof/>
                <w:color w:val="000000"/>
                <w:sz w:val="18"/>
              </w:rPr>
              <w:t xml:space="preserve">  12</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hAnsi="Verdana"/>
                <w:b/>
                <w:noProof/>
                <w:color w:val="000000"/>
                <w:sz w:val="18"/>
              </w:rPr>
              <w:t xml:space="preserve">  5</w:t>
            </w:r>
          </w:p>
        </w:tc>
        <w:tc>
          <w:tcPr>
            <w:tcW w:w="811"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hAnsi="Verdana"/>
                <w:b/>
                <w:noProof/>
                <w:color w:val="000000"/>
                <w:sz w:val="18"/>
              </w:rPr>
              <w:t>–</w:t>
            </w:r>
          </w:p>
        </w:tc>
      </w:tr>
    </w:tbl>
    <w:p>
      <w:pPr>
        <w:pStyle w:val="HEADER5"/>
        <w:rPr>
          <w:noProof/>
        </w:rPr>
      </w:pPr>
    </w:p>
    <w:p>
      <w:pPr>
        <w:pStyle w:val="HEADER5"/>
        <w:rPr>
          <w:noProof/>
        </w:rPr>
      </w:pPr>
      <w:r>
        <w:rPr>
          <w:noProof/>
        </w:rPr>
        <w:t>Finansinis turtas pagal rizikos kategorijas</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1"/>
        <w:gridCol w:w="1417"/>
        <w:gridCol w:w="992"/>
        <w:gridCol w:w="851"/>
        <w:gridCol w:w="1248"/>
        <w:gridCol w:w="946"/>
        <w:gridCol w:w="946"/>
      </w:tblGrid>
      <w:tr>
        <w:trPr>
          <w:trHeight w:val="255"/>
        </w:trPr>
        <w:tc>
          <w:tcPr>
            <w:tcW w:w="9721" w:type="dxa"/>
            <w:gridSpan w:val="7"/>
            <w:tcBorders>
              <w:top w:val="nil"/>
              <w:left w:val="nil"/>
              <w:bottom w:val="nil"/>
              <w:right w:val="nil"/>
              <w:tl2br w:val="nil"/>
              <w:tr2bl w:val="nil"/>
            </w:tcBorders>
            <w:shd w:val="clear" w:color="auto" w:fill="auto"/>
            <w:tcMar>
              <w:left w:w="60" w:type="dxa"/>
              <w:right w:w="60" w:type="dxa"/>
            </w:tcMar>
            <w:vAlign w:val="bottom"/>
          </w:tcPr>
          <w:p>
            <w:pPr>
              <w:pStyle w:val="DMETW19001BIPFARC"/>
              <w:jc w:val="right"/>
              <w:rPr>
                <w:rFonts w:cs="Calibri"/>
                <w:i/>
                <w:noProof/>
                <w:color w:val="000000"/>
              </w:rPr>
            </w:pPr>
            <w:bookmarkStart w:id="89" w:name="DOC_TBL00044_1_1"/>
            <w:bookmarkEnd w:id="89"/>
            <w:r>
              <w:rPr>
                <w:i/>
                <w:noProof/>
                <w:color w:val="000000"/>
              </w:rPr>
              <w:t>mln. EUR</w:t>
            </w:r>
          </w:p>
        </w:tc>
      </w:tr>
      <w:tr>
        <w:trPr>
          <w:trHeight w:val="255"/>
        </w:trPr>
        <w:tc>
          <w:tcPr>
            <w:tcW w:w="3321" w:type="dxa"/>
            <w:tcBorders>
              <w:top w:val="nil"/>
              <w:left w:val="nil"/>
              <w:bottom w:val="nil"/>
              <w:right w:val="nil"/>
              <w:tl2br w:val="nil"/>
              <w:tr2bl w:val="nil"/>
            </w:tcBorders>
            <w:shd w:val="solid" w:color="016794" w:fill="FFFFFF"/>
            <w:tcMar>
              <w:left w:w="60" w:type="dxa"/>
              <w:right w:w="60" w:type="dxa"/>
            </w:tcMar>
            <w:vAlign w:val="center"/>
          </w:tcPr>
          <w:p>
            <w:pPr>
              <w:pStyle w:val="DMETW19001BIPFARC"/>
              <w:jc w:val="right"/>
              <w:rPr>
                <w:rFonts w:ascii="Verdana" w:eastAsia="Verdana" w:hAnsi="Verdana" w:cs="Verdana"/>
                <w:noProof/>
                <w:color w:val="FFFFFF"/>
              </w:rPr>
            </w:pPr>
          </w:p>
        </w:tc>
        <w:tc>
          <w:tcPr>
            <w:tcW w:w="3260" w:type="dxa"/>
            <w:gridSpan w:val="3"/>
            <w:tcBorders>
              <w:top w:val="nil"/>
              <w:left w:val="nil"/>
              <w:bottom w:val="nil"/>
              <w:right w:val="nil"/>
              <w:tl2br w:val="nil"/>
              <w:tr2bl w:val="nil"/>
            </w:tcBorders>
            <w:shd w:val="solid" w:color="016794" w:fill="FFFFFF"/>
            <w:tcMar>
              <w:left w:w="60" w:type="dxa"/>
              <w:right w:w="60" w:type="dxa"/>
            </w:tcMar>
            <w:vAlign w:val="center"/>
          </w:tcPr>
          <w:p>
            <w:pPr>
              <w:pStyle w:val="DMETW19001BIPFARC"/>
              <w:jc w:val="center"/>
              <w:rPr>
                <w:rFonts w:ascii="Verdana" w:eastAsia="Verdana" w:hAnsi="Verdana" w:cs="Verdana"/>
                <w:noProof/>
                <w:color w:val="FFFFFF"/>
              </w:rPr>
            </w:pPr>
            <w:r>
              <w:rPr>
                <w:rFonts w:ascii="Verdana" w:hAnsi="Verdana"/>
                <w:noProof/>
                <w:color w:val="FFFFFF"/>
              </w:rPr>
              <w:t>2019 12 31</w:t>
            </w:r>
          </w:p>
        </w:tc>
        <w:tc>
          <w:tcPr>
            <w:tcW w:w="3140" w:type="dxa"/>
            <w:gridSpan w:val="3"/>
            <w:tcBorders>
              <w:top w:val="nil"/>
              <w:left w:val="nil"/>
              <w:bottom w:val="nil"/>
              <w:right w:val="nil"/>
              <w:tl2br w:val="nil"/>
              <w:tr2bl w:val="nil"/>
            </w:tcBorders>
            <w:shd w:val="solid" w:color="016794" w:fill="FFFFFF"/>
            <w:tcMar>
              <w:left w:w="60" w:type="dxa"/>
              <w:right w:w="60" w:type="dxa"/>
            </w:tcMar>
            <w:vAlign w:val="center"/>
          </w:tcPr>
          <w:p>
            <w:pPr>
              <w:pStyle w:val="DMETW19001BIPFARC"/>
              <w:jc w:val="center"/>
              <w:rPr>
                <w:rFonts w:ascii="Verdana" w:eastAsia="Verdana" w:hAnsi="Verdana" w:cs="Verdana"/>
                <w:noProof/>
                <w:color w:val="FFFFFF"/>
              </w:rPr>
            </w:pPr>
            <w:r>
              <w:rPr>
                <w:rFonts w:ascii="Verdana" w:hAnsi="Verdana"/>
                <w:noProof/>
                <w:color w:val="FFFFFF"/>
              </w:rPr>
              <w:t>2018 12 31</w:t>
            </w:r>
          </w:p>
        </w:tc>
      </w:tr>
      <w:tr>
        <w:trPr>
          <w:trHeight w:val="255"/>
        </w:trPr>
        <w:tc>
          <w:tcPr>
            <w:tcW w:w="3321" w:type="dxa"/>
            <w:tcBorders>
              <w:top w:val="nil"/>
              <w:left w:val="nil"/>
              <w:bottom w:val="nil"/>
              <w:right w:val="nil"/>
              <w:tl2br w:val="nil"/>
              <w:tr2bl w:val="nil"/>
            </w:tcBorders>
            <w:shd w:val="solid" w:color="016794" w:fill="FFFFFF"/>
            <w:tcMar>
              <w:left w:w="60" w:type="dxa"/>
              <w:right w:w="60" w:type="dxa"/>
            </w:tcMar>
            <w:vAlign w:val="center"/>
          </w:tcPr>
          <w:p>
            <w:pPr>
              <w:pStyle w:val="DMETW19001BIPFARC"/>
              <w:jc w:val="right"/>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center"/>
          </w:tcPr>
          <w:p>
            <w:pPr>
              <w:pStyle w:val="DMETW19001BIPFARC"/>
              <w:jc w:val="right"/>
              <w:rPr>
                <w:rFonts w:ascii="Verdana" w:eastAsia="Verdana" w:hAnsi="Verdana" w:cs="Verdana"/>
                <w:noProof/>
                <w:color w:val="FFFFFF"/>
              </w:rPr>
            </w:pPr>
            <w:r>
              <w:rPr>
                <w:rFonts w:ascii="Verdana" w:hAnsi="Verdana"/>
                <w:noProof/>
                <w:color w:val="FFFFFF"/>
              </w:rPr>
              <w:t>Gautinos sumos</w:t>
            </w:r>
          </w:p>
        </w:tc>
        <w:tc>
          <w:tcPr>
            <w:tcW w:w="992" w:type="dxa"/>
            <w:tcBorders>
              <w:top w:val="nil"/>
              <w:left w:val="nil"/>
              <w:bottom w:val="nil"/>
              <w:right w:val="nil"/>
              <w:tl2br w:val="nil"/>
              <w:tr2bl w:val="nil"/>
            </w:tcBorders>
            <w:shd w:val="solid" w:color="016794" w:fill="FFFFFF"/>
            <w:tcMar>
              <w:left w:w="60" w:type="dxa"/>
              <w:right w:w="60" w:type="dxa"/>
            </w:tcMar>
            <w:vAlign w:val="center"/>
          </w:tcPr>
          <w:p>
            <w:pPr>
              <w:pStyle w:val="DMETW19001BIPFARC"/>
              <w:jc w:val="right"/>
              <w:rPr>
                <w:rFonts w:ascii="Verdana" w:eastAsia="Verdana" w:hAnsi="Verdana" w:cs="Verdana"/>
                <w:noProof/>
                <w:color w:val="FFFFFF"/>
              </w:rPr>
            </w:pPr>
            <w:r>
              <w:rPr>
                <w:rFonts w:ascii="Verdana" w:hAnsi="Verdana"/>
                <w:noProof/>
                <w:color w:val="FFFFFF"/>
              </w:rPr>
              <w:t>Grynieji pinigai</w:t>
            </w:r>
          </w:p>
        </w:tc>
        <w:tc>
          <w:tcPr>
            <w:tcW w:w="851" w:type="dxa"/>
            <w:tcBorders>
              <w:top w:val="nil"/>
              <w:left w:val="nil"/>
              <w:bottom w:val="nil"/>
              <w:right w:val="nil"/>
              <w:tl2br w:val="nil"/>
              <w:tr2bl w:val="nil"/>
            </w:tcBorders>
            <w:shd w:val="solid" w:color="016794" w:fill="FFFFFF"/>
            <w:tcMar>
              <w:left w:w="60" w:type="dxa"/>
              <w:right w:w="60" w:type="dxa"/>
            </w:tcMar>
            <w:vAlign w:val="center"/>
          </w:tcPr>
          <w:p>
            <w:pPr>
              <w:pStyle w:val="DMETW19001BIPFARC"/>
              <w:jc w:val="right"/>
              <w:rPr>
                <w:rFonts w:ascii="Verdana" w:eastAsia="Verdana" w:hAnsi="Verdana" w:cs="Verdana"/>
                <w:noProof/>
                <w:color w:val="FFFFFF"/>
              </w:rPr>
            </w:pPr>
            <w:r>
              <w:rPr>
                <w:rFonts w:ascii="Verdana" w:hAnsi="Verdana"/>
                <w:noProof/>
                <w:color w:val="FFFFFF"/>
              </w:rPr>
              <w:t>Iš viso</w:t>
            </w:r>
          </w:p>
        </w:tc>
        <w:tc>
          <w:tcPr>
            <w:tcW w:w="1248" w:type="dxa"/>
            <w:tcBorders>
              <w:top w:val="nil"/>
              <w:left w:val="nil"/>
              <w:bottom w:val="nil"/>
              <w:right w:val="nil"/>
              <w:tl2br w:val="nil"/>
              <w:tr2bl w:val="nil"/>
            </w:tcBorders>
            <w:shd w:val="solid" w:color="016794" w:fill="FFFFFF"/>
            <w:tcMar>
              <w:left w:w="60" w:type="dxa"/>
              <w:right w:w="60" w:type="dxa"/>
            </w:tcMar>
            <w:vAlign w:val="center"/>
          </w:tcPr>
          <w:p>
            <w:pPr>
              <w:pStyle w:val="DMETW19001BIPFARC"/>
              <w:jc w:val="right"/>
              <w:rPr>
                <w:rFonts w:ascii="Verdana" w:eastAsia="Verdana" w:hAnsi="Verdana" w:cs="Verdana"/>
                <w:noProof/>
                <w:color w:val="FFFFFF"/>
              </w:rPr>
            </w:pPr>
            <w:r>
              <w:rPr>
                <w:rFonts w:ascii="Verdana" w:hAnsi="Verdana"/>
                <w:noProof/>
                <w:color w:val="FFFFFF"/>
              </w:rPr>
              <w:t>Gautinos sumos</w:t>
            </w:r>
          </w:p>
        </w:tc>
        <w:tc>
          <w:tcPr>
            <w:tcW w:w="946" w:type="dxa"/>
            <w:tcBorders>
              <w:top w:val="nil"/>
              <w:left w:val="nil"/>
              <w:bottom w:val="nil"/>
              <w:right w:val="nil"/>
              <w:tl2br w:val="nil"/>
              <w:tr2bl w:val="nil"/>
            </w:tcBorders>
            <w:shd w:val="solid" w:color="016794" w:fill="FFFFFF"/>
            <w:tcMar>
              <w:left w:w="60" w:type="dxa"/>
              <w:right w:w="60" w:type="dxa"/>
            </w:tcMar>
            <w:vAlign w:val="center"/>
          </w:tcPr>
          <w:p>
            <w:pPr>
              <w:pStyle w:val="DMETW19001BIPFARC"/>
              <w:jc w:val="right"/>
              <w:rPr>
                <w:rFonts w:ascii="Verdana" w:eastAsia="Verdana" w:hAnsi="Verdana" w:cs="Verdana"/>
                <w:noProof/>
                <w:color w:val="FFFFFF"/>
              </w:rPr>
            </w:pPr>
            <w:r>
              <w:rPr>
                <w:rFonts w:ascii="Verdana" w:hAnsi="Verdana"/>
                <w:noProof/>
                <w:color w:val="FFFFFF"/>
              </w:rPr>
              <w:t>Grynieji pinigai</w:t>
            </w:r>
          </w:p>
        </w:tc>
        <w:tc>
          <w:tcPr>
            <w:tcW w:w="946" w:type="dxa"/>
            <w:tcBorders>
              <w:top w:val="nil"/>
              <w:left w:val="nil"/>
              <w:bottom w:val="nil"/>
              <w:right w:val="nil"/>
              <w:tl2br w:val="nil"/>
              <w:tr2bl w:val="nil"/>
            </w:tcBorders>
            <w:shd w:val="solid" w:color="016794" w:fill="FFFFFF"/>
            <w:tcMar>
              <w:left w:w="60" w:type="dxa"/>
              <w:right w:w="60" w:type="dxa"/>
            </w:tcMar>
            <w:vAlign w:val="center"/>
          </w:tcPr>
          <w:p>
            <w:pPr>
              <w:pStyle w:val="DMETW19001BIPFARC"/>
              <w:jc w:val="right"/>
              <w:rPr>
                <w:rFonts w:ascii="Verdana" w:eastAsia="Verdana" w:hAnsi="Verdana" w:cs="Verdana"/>
                <w:noProof/>
                <w:color w:val="FFFFFF"/>
              </w:rPr>
            </w:pPr>
            <w:r>
              <w:rPr>
                <w:rFonts w:ascii="Verdana" w:hAnsi="Verdana"/>
                <w:noProof/>
                <w:color w:val="FFFFFF"/>
              </w:rPr>
              <w:t>Iš viso</w:t>
            </w:r>
          </w:p>
        </w:tc>
      </w:tr>
      <w:tr>
        <w:trPr>
          <w:trHeight w:val="255"/>
        </w:trPr>
        <w:tc>
          <w:tcPr>
            <w:tcW w:w="3321"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b/>
                <w:noProof/>
                <w:color w:val="000000"/>
              </w:rPr>
            </w:pPr>
            <w:r>
              <w:rPr>
                <w:b/>
                <w:noProof/>
                <w:color w:val="000000"/>
              </w:rPr>
              <w:t>Sandorio šalys, turinčios išorės kredito reitingą</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noProof/>
                <w:color w:val="000000"/>
              </w:rPr>
            </w:pPr>
          </w:p>
        </w:tc>
        <w:tc>
          <w:tcPr>
            <w:tcW w:w="992"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cs="Calibri"/>
                <w:noProof/>
                <w:color w:val="000000"/>
              </w:rPr>
            </w:pP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cs="Calibri"/>
                <w:noProof/>
                <w:color w:val="000000"/>
              </w:rPr>
            </w:pPr>
          </w:p>
        </w:tc>
        <w:tc>
          <w:tcPr>
            <w:tcW w:w="1248"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cs="Calibri"/>
                <w:noProof/>
                <w:color w:val="000000"/>
              </w:rPr>
            </w:pPr>
          </w:p>
        </w:tc>
        <w:tc>
          <w:tcPr>
            <w:tcW w:w="946"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cs="Calibri"/>
                <w:noProof/>
                <w:color w:val="000000"/>
              </w:rPr>
            </w:pPr>
          </w:p>
        </w:tc>
        <w:tc>
          <w:tcPr>
            <w:tcW w:w="946"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cs="Calibri"/>
                <w:noProof/>
                <w:color w:val="000000"/>
                <w:lang w:bidi="en-GB"/>
              </w:rPr>
            </w:pPr>
          </w:p>
        </w:tc>
      </w:tr>
      <w:tr>
        <w:trPr>
          <w:trHeight w:val="255"/>
        </w:trPr>
        <w:tc>
          <w:tcPr>
            <w:tcW w:w="3321"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ascii="Verdana" w:eastAsia="Verdana" w:hAnsi="Verdana" w:cs="Verdana"/>
                <w:i/>
                <w:noProof/>
                <w:color w:val="000000"/>
                <w:sz w:val="18"/>
              </w:rPr>
            </w:pPr>
            <w:r>
              <w:rPr>
                <w:rFonts w:ascii="Verdana" w:hAnsi="Verdana"/>
                <w:i/>
                <w:noProof/>
                <w:color w:val="000000"/>
                <w:sz w:val="18"/>
              </w:rPr>
              <w:t>Aukščiausio ir aukšto lygio</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7</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958</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965</w:t>
            </w:r>
          </w:p>
        </w:tc>
        <w:tc>
          <w:tcPr>
            <w:tcW w:w="1248"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5</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303</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308</w:t>
            </w:r>
          </w:p>
        </w:tc>
      </w:tr>
      <w:tr>
        <w:trPr>
          <w:trHeight w:val="255"/>
        </w:trPr>
        <w:tc>
          <w:tcPr>
            <w:tcW w:w="3321"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ascii="Verdana" w:eastAsia="Verdana" w:hAnsi="Verdana" w:cs="Verdana"/>
                <w:i/>
                <w:noProof/>
                <w:color w:val="000000"/>
                <w:sz w:val="18"/>
              </w:rPr>
            </w:pPr>
            <w:r>
              <w:rPr>
                <w:rFonts w:ascii="Verdana" w:hAnsi="Verdana"/>
                <w:i/>
                <w:noProof/>
                <w:color w:val="000000"/>
                <w:sz w:val="18"/>
              </w:rPr>
              <w:t>Aukštesnio vidutinio lygio</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220</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220</w:t>
            </w:r>
          </w:p>
        </w:tc>
        <w:tc>
          <w:tcPr>
            <w:tcW w:w="1248"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80</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80</w:t>
            </w:r>
          </w:p>
        </w:tc>
      </w:tr>
      <w:tr>
        <w:trPr>
          <w:trHeight w:val="255"/>
        </w:trPr>
        <w:tc>
          <w:tcPr>
            <w:tcW w:w="3321"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ascii="Verdana" w:eastAsia="Verdana" w:hAnsi="Verdana" w:cs="Verdana"/>
                <w:i/>
                <w:noProof/>
                <w:color w:val="000000"/>
                <w:sz w:val="18"/>
              </w:rPr>
            </w:pPr>
            <w:r>
              <w:rPr>
                <w:rFonts w:ascii="Verdana" w:hAnsi="Verdana"/>
                <w:i/>
                <w:noProof/>
                <w:color w:val="000000"/>
                <w:sz w:val="18"/>
              </w:rPr>
              <w:t>Žemesnio vidutinio lygio</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1</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1</w:t>
            </w:r>
          </w:p>
        </w:tc>
        <w:tc>
          <w:tcPr>
            <w:tcW w:w="1248"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4</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4</w:t>
            </w:r>
          </w:p>
        </w:tc>
      </w:tr>
      <w:tr>
        <w:trPr>
          <w:trHeight w:val="255"/>
        </w:trPr>
        <w:tc>
          <w:tcPr>
            <w:tcW w:w="3321"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ascii="Verdana" w:eastAsia="Verdana" w:hAnsi="Verdana" w:cs="Verdana"/>
                <w:i/>
                <w:noProof/>
                <w:color w:val="000000"/>
                <w:sz w:val="18"/>
              </w:rPr>
            </w:pPr>
            <w:r>
              <w:rPr>
                <w:rFonts w:ascii="Verdana" w:hAnsi="Verdana"/>
                <w:i/>
                <w:noProof/>
                <w:color w:val="000000"/>
                <w:sz w:val="18"/>
              </w:rPr>
              <w:t>Neinvesticinio lygio</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0</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0</w:t>
            </w:r>
          </w:p>
        </w:tc>
        <w:tc>
          <w:tcPr>
            <w:tcW w:w="1248"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0</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0</w:t>
            </w:r>
          </w:p>
        </w:tc>
      </w:tr>
      <w:tr>
        <w:trPr>
          <w:trHeight w:val="255"/>
        </w:trPr>
        <w:tc>
          <w:tcPr>
            <w:tcW w:w="3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rPr>
                <w:rFonts w:ascii="Verdana" w:eastAsia="Verdana" w:hAnsi="Verdana" w:cs="Verdana"/>
                <w:b/>
                <w:noProof/>
                <w:color w:val="000000"/>
                <w:sz w:val="18"/>
              </w:rPr>
            </w:pPr>
          </w:p>
        </w:tc>
        <w:tc>
          <w:tcPr>
            <w:tcW w:w="14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7</w:t>
            </w:r>
          </w:p>
        </w:tc>
        <w:tc>
          <w:tcPr>
            <w:tcW w:w="99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1 179</w:t>
            </w:r>
          </w:p>
        </w:tc>
        <w:tc>
          <w:tcPr>
            <w:tcW w:w="85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1 186</w:t>
            </w:r>
          </w:p>
        </w:tc>
        <w:tc>
          <w:tcPr>
            <w:tcW w:w="12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5</w:t>
            </w:r>
          </w:p>
        </w:tc>
        <w:tc>
          <w:tcPr>
            <w:tcW w:w="9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387</w:t>
            </w:r>
          </w:p>
        </w:tc>
        <w:tc>
          <w:tcPr>
            <w:tcW w:w="9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391</w:t>
            </w:r>
          </w:p>
        </w:tc>
      </w:tr>
      <w:tr>
        <w:trPr>
          <w:trHeight w:val="255"/>
        </w:trPr>
        <w:tc>
          <w:tcPr>
            <w:tcW w:w="3321"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b/>
                <w:noProof/>
                <w:color w:val="000000"/>
              </w:rPr>
            </w:pPr>
            <w:r>
              <w:rPr>
                <w:b/>
                <w:noProof/>
                <w:color w:val="000000"/>
              </w:rPr>
              <w:t>Sandorio šalys, neturinčios išorės kredito reitingo</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noProof/>
                <w:color w:val="000000"/>
              </w:rPr>
            </w:pP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noProof/>
                <w:color w:val="000000"/>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noProof/>
                <w:color w:val="000000"/>
              </w:rPr>
            </w:pPr>
          </w:p>
        </w:tc>
        <w:tc>
          <w:tcPr>
            <w:tcW w:w="1248"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noProof/>
                <w:color w:val="000000"/>
              </w:rPr>
            </w:pP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noProof/>
                <w:color w:val="000000"/>
              </w:rPr>
            </w:pP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noProof/>
                <w:color w:val="000000"/>
                <w:lang w:bidi="en-GB"/>
              </w:rPr>
            </w:pPr>
          </w:p>
        </w:tc>
      </w:tr>
      <w:tr>
        <w:trPr>
          <w:trHeight w:val="255"/>
        </w:trPr>
        <w:tc>
          <w:tcPr>
            <w:tcW w:w="3321"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ascii="Verdana" w:eastAsia="Verdana" w:hAnsi="Verdana" w:cs="Verdana"/>
                <w:i/>
                <w:noProof/>
                <w:color w:val="000000"/>
                <w:sz w:val="18"/>
              </w:rPr>
            </w:pPr>
            <w:r>
              <w:rPr>
                <w:rFonts w:ascii="Verdana" w:hAnsi="Verdana"/>
                <w:i/>
                <w:noProof/>
                <w:color w:val="000000"/>
                <w:sz w:val="18"/>
              </w:rPr>
              <w:t>1 grupė (skolininkai, praeityje neturėję įsipareigojimų neįvykdymo atvejų)</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116</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0</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116</w:t>
            </w:r>
          </w:p>
        </w:tc>
        <w:tc>
          <w:tcPr>
            <w:tcW w:w="1248"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133</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0</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134</w:t>
            </w:r>
          </w:p>
        </w:tc>
      </w:tr>
      <w:tr>
        <w:trPr>
          <w:trHeight w:val="255"/>
        </w:trPr>
        <w:tc>
          <w:tcPr>
            <w:tcW w:w="3321"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ascii="Verdana" w:eastAsia="Verdana" w:hAnsi="Verdana" w:cs="Verdana"/>
                <w:i/>
                <w:noProof/>
                <w:color w:val="000000"/>
                <w:sz w:val="18"/>
              </w:rPr>
            </w:pPr>
            <w:r>
              <w:rPr>
                <w:rFonts w:ascii="Verdana" w:hAnsi="Verdana"/>
                <w:i/>
                <w:noProof/>
                <w:color w:val="000000"/>
                <w:sz w:val="18"/>
              </w:rPr>
              <w:t>2 grupė (skolininkai, praeityje turėję įsipareigojimų neįvykdymo atvejų)</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w:t>
            </w:r>
          </w:p>
        </w:tc>
        <w:tc>
          <w:tcPr>
            <w:tcW w:w="1248"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3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rPr>
                <w:rFonts w:ascii="Verdana" w:eastAsia="Verdana" w:hAnsi="Verdana" w:cs="Verdana"/>
                <w:b/>
                <w:noProof/>
                <w:color w:val="000000"/>
                <w:sz w:val="18"/>
              </w:rPr>
            </w:pPr>
            <w:r>
              <w:rPr>
                <w:rFonts w:ascii="Verdana" w:hAnsi="Verdana"/>
                <w:b/>
                <w:noProof/>
                <w:color w:val="000000"/>
                <w:sz w:val="18"/>
              </w:rPr>
              <w:t>Iš viso</w:t>
            </w:r>
          </w:p>
        </w:tc>
        <w:tc>
          <w:tcPr>
            <w:tcW w:w="14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116</w:t>
            </w:r>
          </w:p>
        </w:tc>
        <w:tc>
          <w:tcPr>
            <w:tcW w:w="99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0</w:t>
            </w:r>
          </w:p>
        </w:tc>
        <w:tc>
          <w:tcPr>
            <w:tcW w:w="85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116</w:t>
            </w:r>
          </w:p>
        </w:tc>
        <w:tc>
          <w:tcPr>
            <w:tcW w:w="12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133</w:t>
            </w:r>
          </w:p>
        </w:tc>
        <w:tc>
          <w:tcPr>
            <w:tcW w:w="9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0</w:t>
            </w:r>
          </w:p>
        </w:tc>
        <w:tc>
          <w:tcPr>
            <w:tcW w:w="9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134</w:t>
            </w:r>
          </w:p>
        </w:tc>
      </w:tr>
      <w:tr>
        <w:trPr>
          <w:trHeight w:val="255"/>
        </w:trPr>
        <w:tc>
          <w:tcPr>
            <w:tcW w:w="3321" w:type="dxa"/>
            <w:tcBorders>
              <w:top w:val="nil"/>
              <w:left w:val="nil"/>
              <w:bottom w:val="nil"/>
              <w:right w:val="nil"/>
              <w:tl2br w:val="nil"/>
              <w:tr2bl w:val="nil"/>
            </w:tcBorders>
            <w:shd w:val="solid" w:color="CCE1EA" w:fill="FFFFFF"/>
            <w:tcMar>
              <w:left w:w="60" w:type="dxa"/>
              <w:right w:w="60" w:type="dxa"/>
            </w:tcMar>
            <w:vAlign w:val="center"/>
          </w:tcPr>
          <w:p>
            <w:pPr>
              <w:pStyle w:val="DMETW19001BIPFARC"/>
              <w:rPr>
                <w:rFonts w:ascii="Verdana" w:eastAsia="Verdana" w:hAnsi="Verdana" w:cs="Verdana"/>
                <w:b/>
                <w:noProof/>
                <w:color w:val="000000"/>
                <w:sz w:val="18"/>
              </w:rPr>
            </w:pPr>
            <w:r>
              <w:rPr>
                <w:rFonts w:ascii="Verdana" w:hAnsi="Verdana"/>
                <w:b/>
                <w:noProof/>
                <w:color w:val="000000"/>
                <w:sz w:val="18"/>
              </w:rPr>
              <w:t>Iš viso</w:t>
            </w:r>
          </w:p>
        </w:tc>
        <w:tc>
          <w:tcPr>
            <w:tcW w:w="1417" w:type="dxa"/>
            <w:tcBorders>
              <w:top w:val="nil"/>
              <w:left w:val="nil"/>
              <w:bottom w:val="nil"/>
              <w:right w:val="nil"/>
              <w:tl2br w:val="nil"/>
              <w:tr2bl w:val="nil"/>
            </w:tcBorders>
            <w:shd w:val="solid" w:color="CCE1EA" w:fill="FFFFFF"/>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123</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1 179</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1 302</w:t>
            </w:r>
          </w:p>
        </w:tc>
        <w:tc>
          <w:tcPr>
            <w:tcW w:w="1248" w:type="dxa"/>
            <w:tcBorders>
              <w:top w:val="nil"/>
              <w:left w:val="nil"/>
              <w:bottom w:val="nil"/>
              <w:right w:val="nil"/>
              <w:tl2br w:val="nil"/>
              <w:tr2bl w:val="nil"/>
            </w:tcBorders>
            <w:shd w:val="solid" w:color="CCE1EA" w:fill="FFFFFF"/>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138</w:t>
            </w:r>
          </w:p>
        </w:tc>
        <w:tc>
          <w:tcPr>
            <w:tcW w:w="946" w:type="dxa"/>
            <w:tcBorders>
              <w:top w:val="nil"/>
              <w:left w:val="nil"/>
              <w:bottom w:val="nil"/>
              <w:right w:val="nil"/>
              <w:tl2br w:val="nil"/>
              <w:tr2bl w:val="nil"/>
            </w:tcBorders>
            <w:shd w:val="solid" w:color="CCE1EA" w:fill="FFFFFF"/>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387</w:t>
            </w:r>
          </w:p>
        </w:tc>
        <w:tc>
          <w:tcPr>
            <w:tcW w:w="946" w:type="dxa"/>
            <w:tcBorders>
              <w:top w:val="nil"/>
              <w:left w:val="nil"/>
              <w:bottom w:val="nil"/>
              <w:right w:val="nil"/>
              <w:tl2br w:val="nil"/>
              <w:tr2bl w:val="nil"/>
            </w:tcBorders>
            <w:shd w:val="solid" w:color="CCE1EA" w:fill="FFFFFF"/>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525</w:t>
            </w:r>
          </w:p>
        </w:tc>
      </w:tr>
    </w:tbl>
    <w:p>
      <w:pPr>
        <w:pStyle w:val="Textstand-alone"/>
      </w:pPr>
      <w:r>
        <w:rPr>
          <w:i/>
          <w:iCs/>
        </w:rPr>
        <w:t>Neinvesticinio lygio</w:t>
      </w:r>
      <w:r>
        <w:t xml:space="preserve"> ir </w:t>
      </w:r>
      <w:r>
        <w:rPr>
          <w:i/>
          <w:iCs/>
        </w:rPr>
        <w:t>žemesnio vidutinio lygio</w:t>
      </w:r>
      <w:r>
        <w:t xml:space="preserve"> kategorijų lėšos daugiausia susijusios su valstybių narių įnašais į EPF, kurie mokami į specialiąsias sąskaitas, atidarytas valstybių narių pagal EPF FR 20 straipsnio 3 dalį. Remiantis šiuo reglamentu, tokių įnašų suma privalo likti tose specialiosiose sąskaitose, kol reikės atlikti mokėjimus. </w:t>
      </w:r>
    </w:p>
    <w:p>
      <w:pPr>
        <w:pStyle w:val="Textstand-alone"/>
      </w:pPr>
      <w:r>
        <w:t>Pagal EPF FR dauguma EPF iždo išteklių laikoma valstybių narių atidarytose specialiosiose sąskaitose, kurios skirtos jų įnašams mokėti. Dauguma tokių sąskaitų laikomos valstybių narių ižduose arba nacionaliniuose centriniuose bankuose. Šios įstaigos EPF kelia mažiausią sandorio šalių riziką (rizika tenka jame dalyvaujančioms valstybėms narėms).</w:t>
      </w:r>
    </w:p>
    <w:p>
      <w:pPr>
        <w:pStyle w:val="Textstand-alone"/>
      </w:pPr>
      <w:r>
        <w:t>Mokėjimams padengti komerciniuose bankuose laikomų EPF iždo išteklių atveju šios sąskaitos papildomos reikiamu laiku ir jas automatiškai tvarko Komisijos iždo pinigų valdymo sistema. Kiekvienoje sąskaitoje laikomos minimalios pinigų sumos, atitinkančios kasdienių iš jos atliekamų mokėjimų vidurkį. Dėl to šiose sąskaitose per naktį laikomos sumos visada yra nedidelės ir taip užtikrinama, kad EPF tenka nedidelė rizika.</w:t>
      </w:r>
    </w:p>
    <w:p>
      <w:pPr>
        <w:pStyle w:val="Textstand-alone"/>
      </w:pPr>
      <w:r>
        <w:t>Be to, siekiant sumažinti EPF tenkančią sandorio šalies riziką, atrenkant komercinius bankus taikomos specialios gairės.</w:t>
      </w:r>
    </w:p>
    <w:p>
      <w:pPr>
        <w:pStyle w:val="Textstand-alone"/>
      </w:pPr>
      <w:r>
        <w:t xml:space="preserve">Visi komerciniai bankai atrenkami konkurso būdu. Norint dalyvauti konkurso procedūrose, minimalus trumpalaikis kredito reitingas turi būti „Moody's“ P-1 arba lygiavertis reitingas (S&amp;P A-1 arba „Fitch“ F1). Tam tikromis tinkamai pagrįstomis aplinkybėmis gali užtekti mažesnio lygio reitingo. </w:t>
      </w:r>
    </w:p>
    <w:p>
      <w:pPr>
        <w:pStyle w:val="HEADER2Part2"/>
        <w:rPr>
          <w:noProof/>
        </w:rPr>
      </w:pPr>
      <w:r>
        <w:rPr>
          <w:noProof/>
        </w:rPr>
        <w:t>LIKVIDUMO RIZIKA</w:t>
      </w:r>
    </w:p>
    <w:p>
      <w:pPr>
        <w:pStyle w:val="HEADER5"/>
        <w:rPr>
          <w:noProof/>
        </w:rPr>
      </w:pPr>
      <w:r>
        <w:rPr>
          <w:noProof/>
        </w:rPr>
        <w:t>Finansinių įsipareigojimų terminų analizė pagal likusius sutartinius terminus</w:t>
      </w:r>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3"/>
        <w:gridCol w:w="1821"/>
        <w:gridCol w:w="1821"/>
        <w:gridCol w:w="1821"/>
        <w:gridCol w:w="1821"/>
      </w:tblGrid>
      <w:tr>
        <w:trPr>
          <w:trHeight w:hRule="exact" w:val="272"/>
        </w:trPr>
        <w:tc>
          <w:tcPr>
            <w:tcW w:w="2433" w:type="dxa"/>
            <w:gridSpan w:val="5"/>
            <w:tcBorders>
              <w:top w:val="nil"/>
              <w:left w:val="nil"/>
              <w:bottom w:val="nil"/>
              <w:right w:val="nil"/>
              <w:tl2br w:val="nil"/>
              <w:tr2bl w:val="nil"/>
            </w:tcBorders>
            <w:shd w:val="clear" w:color="auto" w:fill="auto"/>
            <w:tcMar>
              <w:left w:w="60" w:type="dxa"/>
              <w:right w:w="60" w:type="dxa"/>
            </w:tcMar>
            <w:vAlign w:val="center"/>
          </w:tcPr>
          <w:p>
            <w:pPr>
              <w:pStyle w:val="DMETW19001BIPLR"/>
              <w:jc w:val="right"/>
              <w:rPr>
                <w:rFonts w:ascii="Verdana" w:eastAsia="Verdana" w:hAnsi="Verdana" w:cs="Verdana"/>
                <w:i/>
                <w:noProof/>
                <w:color w:val="000000"/>
                <w:sz w:val="16"/>
              </w:rPr>
            </w:pPr>
            <w:bookmarkStart w:id="90" w:name="DOC_TBL00045_1_1"/>
            <w:bookmarkEnd w:id="90"/>
            <w:r>
              <w:rPr>
                <w:rFonts w:ascii="Verdana" w:hAnsi="Verdana"/>
                <w:i/>
                <w:noProof/>
                <w:color w:val="000000"/>
                <w:sz w:val="16"/>
              </w:rPr>
              <w:t>mln. EUR</w:t>
            </w:r>
          </w:p>
        </w:tc>
      </w:tr>
      <w:tr>
        <w:trPr>
          <w:trHeight w:hRule="exact" w:val="272"/>
        </w:trPr>
        <w:tc>
          <w:tcPr>
            <w:tcW w:w="2433" w:type="dxa"/>
            <w:tcBorders>
              <w:top w:val="nil"/>
              <w:left w:val="nil"/>
              <w:bottom w:val="nil"/>
              <w:right w:val="nil"/>
              <w:tl2br w:val="nil"/>
              <w:tr2bl w:val="nil"/>
            </w:tcBorders>
            <w:shd w:val="solid" w:color="016794" w:fill="FFFFFF"/>
            <w:tcMar>
              <w:left w:w="60" w:type="dxa"/>
              <w:right w:w="60" w:type="dxa"/>
            </w:tcMar>
            <w:vAlign w:val="center"/>
          </w:tcPr>
          <w:p>
            <w:pPr>
              <w:pStyle w:val="DMETW19001BIPLR"/>
              <w:jc w:val="right"/>
              <w:rPr>
                <w:rFonts w:ascii="Verdana" w:eastAsia="Verdana" w:hAnsi="Verdana" w:cs="Verdana"/>
                <w:noProof/>
                <w:color w:val="FFFFFF"/>
              </w:rPr>
            </w:pPr>
          </w:p>
        </w:tc>
        <w:tc>
          <w:tcPr>
            <w:tcW w:w="1821" w:type="dxa"/>
            <w:tcBorders>
              <w:top w:val="nil"/>
              <w:left w:val="nil"/>
              <w:bottom w:val="nil"/>
              <w:right w:val="nil"/>
              <w:tl2br w:val="nil"/>
              <w:tr2bl w:val="nil"/>
            </w:tcBorders>
            <w:shd w:val="solid" w:color="016794" w:fill="FFFFFF"/>
            <w:tcMar>
              <w:left w:w="60" w:type="dxa"/>
              <w:right w:w="60" w:type="dxa"/>
            </w:tcMar>
            <w:vAlign w:val="center"/>
          </w:tcPr>
          <w:p>
            <w:pPr>
              <w:pStyle w:val="DMETW19001BIPLR"/>
              <w:jc w:val="right"/>
              <w:rPr>
                <w:rFonts w:ascii="Verdana" w:eastAsia="Verdana" w:hAnsi="Verdana" w:cs="Verdana"/>
                <w:noProof/>
                <w:color w:val="FFFFFF"/>
              </w:rPr>
            </w:pPr>
            <w:r>
              <w:rPr>
                <w:rFonts w:ascii="Verdana" w:hAnsi="Verdana"/>
                <w:noProof/>
                <w:color w:val="FFFFFF"/>
              </w:rPr>
              <w:t>&lt; 1 metai</w:t>
            </w:r>
          </w:p>
        </w:tc>
        <w:tc>
          <w:tcPr>
            <w:tcW w:w="1821" w:type="dxa"/>
            <w:tcBorders>
              <w:top w:val="nil"/>
              <w:left w:val="nil"/>
              <w:bottom w:val="nil"/>
              <w:right w:val="nil"/>
              <w:tl2br w:val="nil"/>
              <w:tr2bl w:val="nil"/>
            </w:tcBorders>
            <w:shd w:val="solid" w:color="016794" w:fill="FFFFFF"/>
            <w:tcMar>
              <w:left w:w="60" w:type="dxa"/>
              <w:right w:w="60" w:type="dxa"/>
            </w:tcMar>
            <w:vAlign w:val="center"/>
          </w:tcPr>
          <w:p>
            <w:pPr>
              <w:pStyle w:val="DMETW19001BIPLR"/>
              <w:jc w:val="right"/>
              <w:rPr>
                <w:rFonts w:ascii="Verdana" w:eastAsia="Verdana" w:hAnsi="Verdana" w:cs="Verdana"/>
                <w:noProof/>
                <w:color w:val="FFFFFF"/>
              </w:rPr>
            </w:pPr>
            <w:r>
              <w:rPr>
                <w:rFonts w:ascii="Verdana" w:hAnsi="Verdana"/>
                <w:noProof/>
                <w:color w:val="FFFFFF"/>
              </w:rPr>
              <w:t>1–5 metai</w:t>
            </w:r>
          </w:p>
        </w:tc>
        <w:tc>
          <w:tcPr>
            <w:tcW w:w="1821" w:type="dxa"/>
            <w:tcBorders>
              <w:top w:val="nil"/>
              <w:left w:val="nil"/>
              <w:bottom w:val="nil"/>
              <w:right w:val="nil"/>
              <w:tl2br w:val="nil"/>
              <w:tr2bl w:val="nil"/>
            </w:tcBorders>
            <w:shd w:val="solid" w:color="016794" w:fill="FFFFFF"/>
            <w:tcMar>
              <w:left w:w="60" w:type="dxa"/>
              <w:right w:w="60" w:type="dxa"/>
            </w:tcMar>
            <w:vAlign w:val="center"/>
          </w:tcPr>
          <w:p>
            <w:pPr>
              <w:pStyle w:val="DMETW19001BIPLR"/>
              <w:jc w:val="right"/>
              <w:rPr>
                <w:rFonts w:ascii="Verdana" w:eastAsia="Verdana" w:hAnsi="Verdana" w:cs="Verdana"/>
                <w:noProof/>
                <w:color w:val="FFFFFF"/>
              </w:rPr>
            </w:pPr>
            <w:r>
              <w:rPr>
                <w:rFonts w:ascii="Verdana" w:hAnsi="Verdana"/>
                <w:noProof/>
                <w:color w:val="FFFFFF"/>
              </w:rPr>
              <w:t>&gt; 5 metai</w:t>
            </w:r>
          </w:p>
        </w:tc>
        <w:tc>
          <w:tcPr>
            <w:tcW w:w="1821" w:type="dxa"/>
            <w:tcBorders>
              <w:top w:val="nil"/>
              <w:left w:val="nil"/>
              <w:bottom w:val="nil"/>
              <w:right w:val="nil"/>
              <w:tl2br w:val="nil"/>
              <w:tr2bl w:val="nil"/>
            </w:tcBorders>
            <w:shd w:val="solid" w:color="016794" w:fill="FFFFFF"/>
            <w:tcMar>
              <w:left w:w="60" w:type="dxa"/>
              <w:right w:w="60" w:type="dxa"/>
            </w:tcMar>
            <w:vAlign w:val="center"/>
          </w:tcPr>
          <w:p>
            <w:pPr>
              <w:pStyle w:val="DMETW19001BIPLR"/>
              <w:jc w:val="right"/>
              <w:rPr>
                <w:rFonts w:ascii="Verdana" w:eastAsia="Verdana" w:hAnsi="Verdana" w:cs="Verdana"/>
                <w:noProof/>
                <w:color w:val="FFFFFF"/>
              </w:rPr>
            </w:pPr>
            <w:r>
              <w:rPr>
                <w:rFonts w:ascii="Verdana" w:hAnsi="Verdana"/>
                <w:noProof/>
                <w:color w:val="FFFFFF"/>
              </w:rPr>
              <w:t>Iš viso</w:t>
            </w:r>
          </w:p>
        </w:tc>
      </w:tr>
      <w:tr>
        <w:trPr>
          <w:trHeight w:hRule="exact" w:val="531"/>
        </w:trPr>
        <w:tc>
          <w:tcPr>
            <w:tcW w:w="2433" w:type="dxa"/>
            <w:tcBorders>
              <w:top w:val="nil"/>
              <w:left w:val="nil"/>
              <w:bottom w:val="nil"/>
              <w:right w:val="nil"/>
              <w:tl2br w:val="nil"/>
              <w:tr2bl w:val="nil"/>
            </w:tcBorders>
            <w:shd w:val="clear" w:color="auto" w:fill="auto"/>
            <w:tcMar>
              <w:left w:w="60" w:type="dxa"/>
              <w:right w:w="60" w:type="dxa"/>
            </w:tcMar>
            <w:vAlign w:val="bottom"/>
          </w:tcPr>
          <w:p>
            <w:pPr>
              <w:pStyle w:val="DMETW19001BIPLR"/>
              <w:rPr>
                <w:rFonts w:ascii="Verdana" w:eastAsia="Verdana" w:hAnsi="Verdana" w:cs="Verdana"/>
                <w:i/>
                <w:noProof/>
                <w:color w:val="000000"/>
                <w:sz w:val="18"/>
              </w:rPr>
            </w:pPr>
            <w:r>
              <w:rPr>
                <w:rFonts w:ascii="Verdana" w:hAnsi="Verdana"/>
                <w:i/>
                <w:noProof/>
                <w:color w:val="000000"/>
                <w:sz w:val="18"/>
              </w:rPr>
              <w:t>Finansiniai įsipareigojimai</w:t>
            </w:r>
          </w:p>
        </w:tc>
        <w:tc>
          <w:tcPr>
            <w:tcW w:w="1821" w:type="dxa"/>
            <w:tcBorders>
              <w:top w:val="nil"/>
              <w:left w:val="nil"/>
              <w:bottom w:val="nil"/>
              <w:right w:val="nil"/>
              <w:tl2br w:val="nil"/>
              <w:tr2bl w:val="nil"/>
            </w:tcBorders>
            <w:shd w:val="clear" w:color="auto" w:fill="auto"/>
            <w:tcMar>
              <w:left w:w="60" w:type="dxa"/>
              <w:right w:w="60" w:type="dxa"/>
            </w:tcMar>
            <w:vAlign w:val="center"/>
          </w:tcPr>
          <w:p>
            <w:pPr>
              <w:pStyle w:val="DMETW19001BIPLR"/>
              <w:jc w:val="right"/>
              <w:rPr>
                <w:rFonts w:ascii="Verdana" w:eastAsia="Verdana" w:hAnsi="Verdana" w:cs="Verdana"/>
                <w:i/>
                <w:noProof/>
                <w:color w:val="000000"/>
                <w:sz w:val="18"/>
              </w:rPr>
            </w:pPr>
            <w:r>
              <w:rPr>
                <w:rFonts w:ascii="Verdana" w:hAnsi="Verdana"/>
                <w:i/>
                <w:noProof/>
                <w:color w:val="000000"/>
                <w:sz w:val="18"/>
              </w:rPr>
              <w:t>516</w:t>
            </w:r>
          </w:p>
        </w:tc>
        <w:tc>
          <w:tcPr>
            <w:tcW w:w="1821" w:type="dxa"/>
            <w:tcBorders>
              <w:top w:val="nil"/>
              <w:left w:val="nil"/>
              <w:bottom w:val="nil"/>
              <w:right w:val="nil"/>
              <w:tl2br w:val="nil"/>
              <w:tr2bl w:val="nil"/>
            </w:tcBorders>
            <w:shd w:val="clear" w:color="auto" w:fill="auto"/>
            <w:tcMar>
              <w:left w:w="60" w:type="dxa"/>
              <w:right w:w="60" w:type="dxa"/>
            </w:tcMar>
            <w:vAlign w:val="bottom"/>
          </w:tcPr>
          <w:p>
            <w:pPr>
              <w:pStyle w:val="DMETW19001BIPLR"/>
              <w:jc w:val="right"/>
              <w:rPr>
                <w:rFonts w:ascii="Verdana" w:eastAsia="Verdana" w:hAnsi="Verdana" w:cs="Verdana"/>
                <w:i/>
                <w:noProof/>
                <w:color w:val="000000"/>
                <w:sz w:val="18"/>
              </w:rPr>
            </w:pPr>
            <w:r>
              <w:rPr>
                <w:rFonts w:ascii="Verdana" w:hAnsi="Verdana"/>
                <w:i/>
                <w:noProof/>
                <w:color w:val="000000"/>
                <w:sz w:val="18"/>
              </w:rPr>
              <w:t>2</w:t>
            </w:r>
          </w:p>
        </w:tc>
        <w:tc>
          <w:tcPr>
            <w:tcW w:w="1821" w:type="dxa"/>
            <w:tcBorders>
              <w:top w:val="nil"/>
              <w:left w:val="nil"/>
              <w:bottom w:val="nil"/>
              <w:right w:val="nil"/>
              <w:tl2br w:val="nil"/>
              <w:tr2bl w:val="nil"/>
            </w:tcBorders>
            <w:shd w:val="clear" w:color="auto" w:fill="auto"/>
            <w:tcMar>
              <w:left w:w="60" w:type="dxa"/>
              <w:right w:w="60" w:type="dxa"/>
            </w:tcMar>
            <w:vAlign w:val="center"/>
          </w:tcPr>
          <w:p>
            <w:pPr>
              <w:pStyle w:val="DMETW19001BIPLR"/>
              <w:jc w:val="right"/>
              <w:rPr>
                <w:rFonts w:ascii="Verdana" w:eastAsia="Verdana" w:hAnsi="Verdana" w:cs="Verdana"/>
                <w:i/>
                <w:noProof/>
                <w:color w:val="000000"/>
                <w:sz w:val="18"/>
              </w:rPr>
            </w:pPr>
            <w:r>
              <w:rPr>
                <w:rFonts w:ascii="Verdana" w:hAnsi="Verdana"/>
                <w:i/>
                <w:noProof/>
                <w:color w:val="000000"/>
                <w:sz w:val="18"/>
              </w:rPr>
              <w:t xml:space="preserve"> 17</w:t>
            </w:r>
          </w:p>
        </w:tc>
        <w:tc>
          <w:tcPr>
            <w:tcW w:w="1821" w:type="dxa"/>
            <w:tcBorders>
              <w:top w:val="nil"/>
              <w:left w:val="nil"/>
              <w:bottom w:val="nil"/>
              <w:right w:val="nil"/>
              <w:tl2br w:val="nil"/>
              <w:tr2bl w:val="nil"/>
            </w:tcBorders>
            <w:shd w:val="clear" w:color="auto" w:fill="auto"/>
            <w:tcMar>
              <w:left w:w="60" w:type="dxa"/>
              <w:right w:w="60" w:type="dxa"/>
            </w:tcMar>
            <w:vAlign w:val="bottom"/>
          </w:tcPr>
          <w:p>
            <w:pPr>
              <w:pStyle w:val="DMETW19001BIPLR"/>
              <w:jc w:val="right"/>
              <w:rPr>
                <w:rFonts w:ascii="Verdana" w:eastAsia="Verdana" w:hAnsi="Verdana" w:cs="Verdana"/>
                <w:i/>
                <w:noProof/>
                <w:color w:val="000000"/>
                <w:sz w:val="18"/>
              </w:rPr>
            </w:pPr>
            <w:r>
              <w:rPr>
                <w:rFonts w:ascii="Verdana" w:hAnsi="Verdana"/>
                <w:i/>
                <w:noProof/>
                <w:color w:val="000000"/>
                <w:sz w:val="18"/>
              </w:rPr>
              <w:t xml:space="preserve"> 535</w:t>
            </w:r>
          </w:p>
        </w:tc>
      </w:tr>
      <w:tr>
        <w:trPr>
          <w:trHeight w:hRule="exact" w:val="567"/>
        </w:trPr>
        <w:tc>
          <w:tcPr>
            <w:tcW w:w="2433" w:type="dxa"/>
            <w:tcBorders>
              <w:top w:val="nil"/>
              <w:left w:val="nil"/>
              <w:bottom w:val="nil"/>
              <w:right w:val="nil"/>
              <w:tl2br w:val="nil"/>
              <w:tr2bl w:val="nil"/>
            </w:tcBorders>
            <w:shd w:val="solid" w:color="CCE1EA" w:fill="FFFFFF"/>
            <w:tcMar>
              <w:left w:w="60" w:type="dxa"/>
              <w:right w:w="60" w:type="dxa"/>
            </w:tcMar>
            <w:vAlign w:val="center"/>
          </w:tcPr>
          <w:p>
            <w:pPr>
              <w:pStyle w:val="DMETW19001BIPLR"/>
              <w:rPr>
                <w:rFonts w:ascii="Verdana" w:eastAsia="Verdana" w:hAnsi="Verdana" w:cs="Verdana"/>
                <w:b/>
                <w:noProof/>
                <w:color w:val="000000"/>
                <w:sz w:val="18"/>
              </w:rPr>
            </w:pPr>
            <w:r>
              <w:rPr>
                <w:rFonts w:ascii="Verdana" w:hAnsi="Verdana"/>
                <w:b/>
                <w:noProof/>
                <w:color w:val="000000"/>
                <w:sz w:val="18"/>
              </w:rPr>
              <w:t>Iš viso 2019 m. gruodžio 31 d.</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pStyle w:val="DMETW19001BIPLR"/>
              <w:jc w:val="right"/>
              <w:rPr>
                <w:rFonts w:ascii="Verdana" w:eastAsia="Verdana" w:hAnsi="Verdana" w:cs="Verdana"/>
                <w:b/>
                <w:noProof/>
                <w:color w:val="000000"/>
                <w:sz w:val="18"/>
              </w:rPr>
            </w:pPr>
            <w:r>
              <w:rPr>
                <w:rFonts w:ascii="Verdana" w:hAnsi="Verdana"/>
                <w:b/>
                <w:noProof/>
                <w:color w:val="000000"/>
                <w:sz w:val="18"/>
              </w:rPr>
              <w:t xml:space="preserve">  516</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pStyle w:val="DMETW19001BIPLR"/>
              <w:jc w:val="right"/>
              <w:rPr>
                <w:rFonts w:ascii="Verdana" w:eastAsia="Verdana" w:hAnsi="Verdana" w:cs="Verdana"/>
                <w:b/>
                <w:noProof/>
                <w:color w:val="000000"/>
                <w:sz w:val="18"/>
              </w:rPr>
            </w:pPr>
            <w:r>
              <w:rPr>
                <w:rFonts w:ascii="Verdana" w:hAnsi="Verdana"/>
                <w:b/>
                <w:noProof/>
                <w:color w:val="000000"/>
                <w:sz w:val="18"/>
              </w:rPr>
              <w:t xml:space="preserve">  6</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pStyle w:val="DMETW19001BIPLR"/>
              <w:jc w:val="right"/>
              <w:rPr>
                <w:rFonts w:ascii="Verdana" w:eastAsia="Verdana" w:hAnsi="Verdana" w:cs="Verdana"/>
                <w:b/>
                <w:noProof/>
                <w:color w:val="000000"/>
                <w:sz w:val="18"/>
              </w:rPr>
            </w:pPr>
            <w:r>
              <w:rPr>
                <w:rFonts w:ascii="Verdana" w:hAnsi="Verdana"/>
                <w:b/>
                <w:noProof/>
                <w:color w:val="000000"/>
                <w:sz w:val="18"/>
              </w:rPr>
              <w:t xml:space="preserve">  22</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pStyle w:val="DMETW19001BIPLR"/>
              <w:jc w:val="right"/>
              <w:rPr>
                <w:rFonts w:ascii="Verdana" w:eastAsia="Verdana" w:hAnsi="Verdana" w:cs="Verdana"/>
                <w:b/>
                <w:noProof/>
                <w:color w:val="000000"/>
                <w:sz w:val="18"/>
              </w:rPr>
            </w:pPr>
            <w:r>
              <w:rPr>
                <w:rFonts w:ascii="Verdana" w:hAnsi="Verdana"/>
                <w:b/>
                <w:noProof/>
                <w:color w:val="000000"/>
                <w:sz w:val="18"/>
              </w:rPr>
              <w:t xml:space="preserve">  516</w:t>
            </w:r>
          </w:p>
        </w:tc>
      </w:tr>
      <w:tr>
        <w:trPr>
          <w:trHeight w:hRule="exact" w:val="419"/>
        </w:trPr>
        <w:tc>
          <w:tcPr>
            <w:tcW w:w="2433" w:type="dxa"/>
            <w:tcBorders>
              <w:top w:val="nil"/>
              <w:left w:val="nil"/>
              <w:bottom w:val="nil"/>
              <w:right w:val="nil"/>
              <w:tl2br w:val="nil"/>
              <w:tr2bl w:val="nil"/>
            </w:tcBorders>
            <w:shd w:val="clear" w:color="auto" w:fill="auto"/>
            <w:tcMar>
              <w:left w:w="60" w:type="dxa"/>
              <w:right w:w="60" w:type="dxa"/>
            </w:tcMar>
            <w:vAlign w:val="bottom"/>
          </w:tcPr>
          <w:p>
            <w:pPr>
              <w:pStyle w:val="DMETW19001BIPLR"/>
              <w:rPr>
                <w:rFonts w:ascii="Verdana" w:eastAsia="Verdana" w:hAnsi="Verdana" w:cs="Verdana"/>
                <w:i/>
                <w:noProof/>
                <w:color w:val="000000"/>
                <w:sz w:val="18"/>
              </w:rPr>
            </w:pPr>
            <w:r>
              <w:rPr>
                <w:rFonts w:ascii="Verdana" w:hAnsi="Verdana"/>
                <w:i/>
                <w:noProof/>
                <w:color w:val="000000"/>
                <w:sz w:val="18"/>
              </w:rPr>
              <w:t>Finansiniai įsipareigojimai</w:t>
            </w:r>
          </w:p>
        </w:tc>
        <w:tc>
          <w:tcPr>
            <w:tcW w:w="1821" w:type="dxa"/>
            <w:tcBorders>
              <w:top w:val="nil"/>
              <w:left w:val="nil"/>
              <w:bottom w:val="nil"/>
              <w:right w:val="nil"/>
              <w:tl2br w:val="nil"/>
              <w:tr2bl w:val="nil"/>
            </w:tcBorders>
            <w:shd w:val="clear" w:color="auto" w:fill="auto"/>
            <w:tcMar>
              <w:left w:w="60" w:type="dxa"/>
              <w:right w:w="60" w:type="dxa"/>
            </w:tcMar>
            <w:vAlign w:val="center"/>
          </w:tcPr>
          <w:p>
            <w:pPr>
              <w:pStyle w:val="DMETW19001BIPLR"/>
              <w:jc w:val="right"/>
              <w:rPr>
                <w:rFonts w:ascii="Verdana" w:eastAsia="Verdana" w:hAnsi="Verdana" w:cs="Verdana"/>
                <w:i/>
                <w:noProof/>
                <w:color w:val="000000"/>
                <w:sz w:val="18"/>
              </w:rPr>
            </w:pPr>
            <w:r>
              <w:rPr>
                <w:rFonts w:ascii="Verdana" w:hAnsi="Verdana"/>
                <w:i/>
                <w:noProof/>
                <w:color w:val="000000"/>
                <w:sz w:val="18"/>
              </w:rPr>
              <w:t xml:space="preserve"> 241</w:t>
            </w:r>
          </w:p>
        </w:tc>
        <w:tc>
          <w:tcPr>
            <w:tcW w:w="1821" w:type="dxa"/>
            <w:tcBorders>
              <w:top w:val="nil"/>
              <w:left w:val="nil"/>
              <w:bottom w:val="nil"/>
              <w:right w:val="nil"/>
              <w:tl2br w:val="nil"/>
              <w:tr2bl w:val="nil"/>
            </w:tcBorders>
            <w:shd w:val="clear" w:color="auto" w:fill="auto"/>
            <w:tcMar>
              <w:left w:w="60" w:type="dxa"/>
              <w:right w:w="60" w:type="dxa"/>
            </w:tcMar>
            <w:vAlign w:val="bottom"/>
          </w:tcPr>
          <w:p>
            <w:pPr>
              <w:pStyle w:val="DMETW19001BIPLR"/>
              <w:jc w:val="right"/>
              <w:rPr>
                <w:rFonts w:ascii="Verdana" w:eastAsia="Verdana" w:hAnsi="Verdana" w:cs="Verdana"/>
                <w:i/>
                <w:noProof/>
                <w:color w:val="000000"/>
                <w:sz w:val="18"/>
              </w:rPr>
            </w:pPr>
            <w:r>
              <w:rPr>
                <w:rFonts w:ascii="Verdana" w:hAnsi="Verdana"/>
                <w:i/>
                <w:noProof/>
                <w:color w:val="000000"/>
                <w:sz w:val="18"/>
              </w:rPr>
              <w:t xml:space="preserve"> 7</w:t>
            </w:r>
          </w:p>
        </w:tc>
        <w:tc>
          <w:tcPr>
            <w:tcW w:w="1821" w:type="dxa"/>
            <w:tcBorders>
              <w:top w:val="nil"/>
              <w:left w:val="nil"/>
              <w:bottom w:val="nil"/>
              <w:right w:val="nil"/>
              <w:tl2br w:val="nil"/>
              <w:tr2bl w:val="nil"/>
            </w:tcBorders>
            <w:shd w:val="clear" w:color="auto" w:fill="auto"/>
            <w:tcMar>
              <w:left w:w="60" w:type="dxa"/>
              <w:right w:w="60" w:type="dxa"/>
            </w:tcMar>
            <w:vAlign w:val="center"/>
          </w:tcPr>
          <w:p>
            <w:pPr>
              <w:pStyle w:val="DMETW19001BIPLR"/>
              <w:jc w:val="right"/>
              <w:rPr>
                <w:rFonts w:ascii="Verdana" w:eastAsia="Verdana" w:hAnsi="Verdana" w:cs="Verdana"/>
                <w:i/>
                <w:noProof/>
                <w:color w:val="000000"/>
                <w:sz w:val="18"/>
              </w:rPr>
            </w:pPr>
            <w:r>
              <w:rPr>
                <w:rFonts w:ascii="Verdana" w:hAnsi="Verdana"/>
                <w:i/>
                <w:noProof/>
                <w:color w:val="000000"/>
                <w:sz w:val="18"/>
              </w:rPr>
              <w:t xml:space="preserve"> 11</w:t>
            </w:r>
          </w:p>
        </w:tc>
        <w:tc>
          <w:tcPr>
            <w:tcW w:w="1821" w:type="dxa"/>
            <w:tcBorders>
              <w:top w:val="nil"/>
              <w:left w:val="nil"/>
              <w:bottom w:val="nil"/>
              <w:right w:val="nil"/>
              <w:tl2br w:val="nil"/>
              <w:tr2bl w:val="nil"/>
            </w:tcBorders>
            <w:shd w:val="clear" w:color="auto" w:fill="auto"/>
            <w:tcMar>
              <w:left w:w="60" w:type="dxa"/>
              <w:right w:w="60" w:type="dxa"/>
            </w:tcMar>
            <w:vAlign w:val="bottom"/>
          </w:tcPr>
          <w:p>
            <w:pPr>
              <w:pStyle w:val="DMETW19001BIPLR"/>
              <w:jc w:val="right"/>
              <w:rPr>
                <w:rFonts w:ascii="Verdana" w:eastAsia="Verdana" w:hAnsi="Verdana" w:cs="Verdana"/>
                <w:i/>
                <w:noProof/>
                <w:color w:val="000000"/>
                <w:sz w:val="18"/>
              </w:rPr>
            </w:pPr>
            <w:r>
              <w:rPr>
                <w:rFonts w:ascii="Verdana" w:hAnsi="Verdana"/>
                <w:i/>
                <w:noProof/>
                <w:color w:val="000000"/>
                <w:sz w:val="18"/>
              </w:rPr>
              <w:t xml:space="preserve"> 259</w:t>
            </w:r>
          </w:p>
        </w:tc>
      </w:tr>
      <w:tr>
        <w:trPr>
          <w:trHeight w:hRule="exact" w:val="425"/>
        </w:trPr>
        <w:tc>
          <w:tcPr>
            <w:tcW w:w="2433" w:type="dxa"/>
            <w:tcBorders>
              <w:top w:val="nil"/>
              <w:left w:val="nil"/>
              <w:bottom w:val="nil"/>
              <w:right w:val="nil"/>
              <w:tl2br w:val="nil"/>
              <w:tr2bl w:val="nil"/>
            </w:tcBorders>
            <w:shd w:val="solid" w:color="CCE1EA" w:fill="FFFFFF"/>
            <w:tcMar>
              <w:left w:w="60" w:type="dxa"/>
              <w:right w:w="60" w:type="dxa"/>
            </w:tcMar>
            <w:vAlign w:val="center"/>
          </w:tcPr>
          <w:p>
            <w:pPr>
              <w:pStyle w:val="DMETW19001BIPLR"/>
              <w:rPr>
                <w:rFonts w:ascii="Verdana" w:eastAsia="Verdana" w:hAnsi="Verdana" w:cs="Verdana"/>
                <w:b/>
                <w:noProof/>
                <w:color w:val="000000"/>
                <w:sz w:val="18"/>
              </w:rPr>
            </w:pPr>
            <w:r>
              <w:rPr>
                <w:rFonts w:ascii="Verdana" w:hAnsi="Verdana"/>
                <w:b/>
                <w:noProof/>
                <w:color w:val="000000"/>
                <w:sz w:val="18"/>
              </w:rPr>
              <w:t>Iš viso 2018 m. gruodžio 31 d.</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pStyle w:val="DMETW19001BIPLR"/>
              <w:jc w:val="right"/>
              <w:rPr>
                <w:rFonts w:ascii="Verdana" w:eastAsia="Verdana" w:hAnsi="Verdana" w:cs="Verdana"/>
                <w:b/>
                <w:noProof/>
                <w:color w:val="000000"/>
                <w:sz w:val="18"/>
              </w:rPr>
            </w:pPr>
            <w:r>
              <w:rPr>
                <w:rFonts w:ascii="Verdana" w:hAnsi="Verdana"/>
                <w:b/>
                <w:noProof/>
                <w:color w:val="000000"/>
                <w:sz w:val="18"/>
              </w:rPr>
              <w:t xml:space="preserve">  241</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pStyle w:val="DMETW19001BIPLR"/>
              <w:jc w:val="right"/>
              <w:rPr>
                <w:rFonts w:ascii="Verdana" w:eastAsia="Verdana" w:hAnsi="Verdana" w:cs="Verdana"/>
                <w:b/>
                <w:noProof/>
                <w:color w:val="000000"/>
                <w:sz w:val="18"/>
              </w:rPr>
            </w:pPr>
            <w:r>
              <w:rPr>
                <w:rFonts w:ascii="Verdana" w:hAnsi="Verdana"/>
                <w:b/>
                <w:noProof/>
                <w:color w:val="000000"/>
                <w:sz w:val="18"/>
              </w:rPr>
              <w:t xml:space="preserve">  7</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pStyle w:val="DMETW19001BIPLR"/>
              <w:jc w:val="right"/>
              <w:rPr>
                <w:rFonts w:ascii="Verdana" w:eastAsia="Verdana" w:hAnsi="Verdana" w:cs="Verdana"/>
                <w:b/>
                <w:noProof/>
                <w:color w:val="000000"/>
                <w:sz w:val="18"/>
              </w:rPr>
            </w:pPr>
            <w:r>
              <w:rPr>
                <w:rFonts w:ascii="Verdana" w:hAnsi="Verdana"/>
                <w:b/>
                <w:noProof/>
                <w:color w:val="000000"/>
                <w:sz w:val="18"/>
              </w:rPr>
              <w:t xml:space="preserve">  11</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pStyle w:val="DMETW19001BIPLR"/>
              <w:jc w:val="right"/>
              <w:rPr>
                <w:rFonts w:ascii="Verdana" w:eastAsia="Verdana" w:hAnsi="Verdana" w:cs="Verdana"/>
                <w:b/>
                <w:noProof/>
                <w:color w:val="000000"/>
                <w:sz w:val="18"/>
              </w:rPr>
            </w:pPr>
            <w:r>
              <w:rPr>
                <w:rFonts w:ascii="Verdana" w:hAnsi="Verdana"/>
                <w:b/>
                <w:noProof/>
                <w:color w:val="000000"/>
                <w:sz w:val="18"/>
              </w:rPr>
              <w:t xml:space="preserve">  259</w:t>
            </w:r>
          </w:p>
        </w:tc>
      </w:tr>
    </w:tbl>
    <w:p>
      <w:pPr>
        <w:pStyle w:val="Textstand-alone"/>
      </w:pPr>
      <w:r>
        <w:t>EPF taikomais biudžeto principais užtikrinama, kad biudžeto laikotarpiu mokėjimams atlikti visada užtektų bendrų pinigų išteklių. Iš tiesų bendra valstybių narių įnašų suma atitinka bendrą atitinkamo biudžeto laikotarpio mokėjimo asignavimų sumą.</w:t>
      </w:r>
    </w:p>
    <w:p>
      <w:pPr>
        <w:pStyle w:val="Textstand-alone"/>
      </w:pPr>
      <w:r>
        <w:t>Vis dėlto valstybės narės įnašus EPF moka tris kartus per metus, o mokėjimams būdingas sezoniškumas.</w:t>
      </w:r>
    </w:p>
    <w:p>
      <w:pPr>
        <w:pStyle w:val="Textstand-alone"/>
      </w:pPr>
      <w:r>
        <w:t>Siekiant užtikrinti, kad iždo išteklių visada užtektų mokėjimams, kurie turi būti atlikti konkretų mėnesį, padengti, Komisijos iždo tarnyba ir atitinkami mokėjimus atliekantys departamentai reguliariai keičiasi informacija apie iždo būklę.</w:t>
      </w:r>
    </w:p>
    <w:p>
      <w:pPr>
        <w:pStyle w:val="Textstand-alone"/>
        <w:sectPr>
          <w:headerReference w:type="even" r:id="rId197"/>
          <w:headerReference w:type="default" r:id="rId198"/>
          <w:footerReference w:type="even" r:id="rId199"/>
          <w:footerReference w:type="default" r:id="rId200"/>
          <w:headerReference w:type="first" r:id="rId201"/>
          <w:footerReference w:type="first" r:id="rId202"/>
          <w:pgSz w:w="11906" w:h="16838"/>
          <w:pgMar w:top="1134" w:right="1134" w:bottom="1134" w:left="1134" w:header="709" w:footer="709" w:gutter="0"/>
          <w:cols w:space="708"/>
          <w:docGrid w:linePitch="360"/>
        </w:sectPr>
      </w:pPr>
      <w:r>
        <w:t>Be to, kas paminėta pirmiau, vykdant EPF iždo operacijas automatizuotomis pinigų valdymo priemonėmis užtikrinama, kad kiekvienos EPF banko sąskaitos likvidumas kasdien būtų pakankamas.</w:t>
      </w:r>
    </w:p>
    <w:p>
      <w:pPr>
        <w:pStyle w:val="HEADER1Part2"/>
        <w:rPr>
          <w:noProof/>
        </w:rPr>
      </w:pPr>
      <w:r>
        <w:rPr>
          <w:noProof/>
        </w:rPr>
        <w:t>SUSIJUSIŲ ŠALIŲ TEIKIAMA INFORMACIJA</w:t>
      </w:r>
    </w:p>
    <w:p>
      <w:pPr>
        <w:pStyle w:val="Textstand-alone"/>
      </w:pPr>
      <w:r>
        <w:t>Susijusios EPF šalys yra „Bêkou“, Afrikos ir ES patikos fondai ir Europos Komisija. Šių subjektų tarpusavio sandoriai yra įprasta EPF operacijų dalis ir todėl pagal ES apskaitos taisykles šiems sandoriams nekeliami jokie specialūs informacijos atskleidimo reikalavimai.</w:t>
      </w:r>
    </w:p>
    <w:p>
      <w:pPr>
        <w:pStyle w:val="Textstand-alone"/>
      </w:pPr>
      <w:r>
        <w:t>EPF neturi jokios atskiros vadovybės, nes jį valdo Komisija. ES aukščiausiojo rango vadovų, be kita ko, ir Komisijos, teisės į gautinas sumas paskelbtos Europos Sąjungos konsoliduotųjų metinių ataskaitų 7.2 antraštinėje dalyje „Aukščiausiojo rango vadovų teisės į gautinas sumas“.</w:t>
      </w:r>
    </w:p>
    <w:p>
      <w:pPr>
        <w:pStyle w:val="Textstand-alone"/>
        <w:sectPr>
          <w:headerReference w:type="even" r:id="rId203"/>
          <w:headerReference w:type="default" r:id="rId204"/>
          <w:footerReference w:type="even" r:id="rId205"/>
          <w:footerReference w:type="default" r:id="rId206"/>
          <w:headerReference w:type="first" r:id="rId207"/>
          <w:footerReference w:type="first" r:id="rId208"/>
          <w:pgSz w:w="11906" w:h="16838"/>
          <w:pgMar w:top="1134" w:right="1134" w:bottom="1134" w:left="1134" w:header="709" w:footer="709" w:gutter="0"/>
          <w:cols w:space="708"/>
          <w:docGrid w:linePitch="360"/>
        </w:sectPr>
      </w:pPr>
    </w:p>
    <w:p>
      <w:pPr>
        <w:pStyle w:val="HEADER1Part2"/>
        <w:rPr>
          <w:noProof/>
        </w:rPr>
      </w:pPr>
      <w:r>
        <w:rPr>
          <w:noProof/>
        </w:rPr>
        <w:t>ĮVYKIAI PO PASKUTINĖS ATASKAITINIO LAIKOTARPIO DIENOS</w:t>
      </w:r>
    </w:p>
    <w:p>
      <w:pPr>
        <w:pStyle w:val="Textstand-alone"/>
      </w:pPr>
      <w:r>
        <w:t>Šių preliminarių finansinių ataskaitų perdavimo dieną, išskyrus toliau aprašytą įvykį, EPF apskaitos pareigūnas nebuvo pastebėjęs jokių reikšmingų įvykių ir jam nebuvo pranešta apie jokius reikšmingus įvykius, kurie turėtų būti atskirai atskleisti šiame skirsnyje. Metinės ataskaitos ir susijusios pastabos buvo parengtos remiantis naujausiais turimais duomenimis – tą patvirtina pirmiau pateikta informacija.</w:t>
      </w:r>
    </w:p>
    <w:p>
      <w:pPr>
        <w:pStyle w:val="HEADER5"/>
        <w:rPr>
          <w:noProof/>
        </w:rPr>
      </w:pPr>
      <w:r>
        <w:rPr>
          <w:noProof/>
        </w:rPr>
        <w:t>Jungtinės Karalystės išstojimas iš Europos Sąjungos</w:t>
      </w:r>
    </w:p>
    <w:p>
      <w:pPr>
        <w:pStyle w:val="Textstand-alone"/>
      </w:pPr>
      <w:r>
        <w:t xml:space="preserve">2020 m. vasario 1 d. Jungtinė Karalystė nustojo būti Europos Sąjungos valstybe nare. Abiem šalims sudarius Susitarimą dėl Jungtinės Didžiosios Britanijos ir Šiaurės Airijos Karalystės išstojimo iš Europos Sąjungos ir Europos atominės energijos bendrijos (toliau – Susitarimas dėl išstojimo), Jungtinė Karalystė įsipareigojo įvykdyti visus savo įsipareigojimus pagal dabartinę DFP ir ankstesnes finansines perspektyvas, lyg ji vis dar būtų valstybė narė. </w:t>
      </w:r>
    </w:p>
    <w:p>
      <w:pPr>
        <w:pStyle w:val="Textstand-alone"/>
      </w:pPr>
      <w:r>
        <w:t xml:space="preserve">Šiame susitarime dėl išstojimo nurodyta, kad Jungtinė Karalystė lieka EPF šalis iki 11-ojo EPF ir visų ankstesnių dar veiklos neužbaigusių EPF veiklos užbaigimo, ir šiuo atžvilgiu prisiima tokius pačius įsipareigojimus, kaip ir valstybės narės, pagal vidaus susitarimą, kuriuo jis buvo įsteigtas, taip pat su ankstesniais EPF susijusius įsipareigojimus iki jų veiklos užbaigimo. Ji gali dalyvauti EPF komitete kaip stebėtoja be balsavimo teisės. </w:t>
      </w:r>
    </w:p>
    <w:p>
      <w:pPr>
        <w:pStyle w:val="Textstand-alone"/>
      </w:pPr>
      <w:r>
        <w:t xml:space="preserve">Susitarime dėl išstojimo taip pat nustatyta, kad tais atvejais, kai projektų sumos pagal 10-ąjį EPF arba ankstesnius EPF šio susitarimo įsigaliojimo dieną nebuvo skirtos arba nebuvo panaudotos, Jungtinei Karalystei priklausanti tų sumų dalis pakartotinai nenaudojama. Tas pats taikytina ir Jungtinės Karalystės pagal 11-ąjį EPF po 2020 m. gruodžio 31 d. neskirtų lėšų daliai arba nepanaudotoms sumoms. </w:t>
      </w:r>
    </w:p>
    <w:p>
      <w:pPr>
        <w:pStyle w:val="Textstand-alone"/>
      </w:pPr>
      <w:r>
        <w:t>Šių preliminarių finansinių ataskaitų perdavimo metu, remiantis sudarytu ir jau veikiančiu Susitarimu dėl išstojimo, finansinio poveikio, kurį reikėtų nurodyti 2019 m. EPF metinėse ataskaitose, nėra.</w:t>
      </w:r>
    </w:p>
    <w:p>
      <w:pPr>
        <w:pStyle w:val="HEADER5"/>
        <w:rPr>
          <w:noProof/>
        </w:rPr>
      </w:pPr>
      <w:r>
        <w:rPr>
          <w:noProof/>
        </w:rPr>
        <w:t>Liga COVID-19 (COVID-19)</w:t>
      </w:r>
    </w:p>
    <w:p>
      <w:pPr>
        <w:pStyle w:val="Textstand-alone"/>
      </w:pPr>
      <w:r>
        <w:t>Pirmąjį 2020 m. ketvirtį koronaviruso protrūkis padarė didžiulį pasaulinį poveikį, be kita ko, finansų rinkoms, kuriose labai sumažėjo visi pagrindiniai indeksai. Dėl to padidėjo finansinių priemonių, įskaitant EPF balanse nurodytas priemones, tikrosios vertės kintamumas. Kadangi koronaviruso protrūkis yra nekoreguojantis įvykis, pateiktų duomenų koreguoti nereikia. Vėlesniais ataskaitiniais laikotarpiais COVID-19 greičiausiai turės įtakos tam tikro turto ir įsipareigojimų pripažinimui ir vertinimui finansinėse ataskaitose. Remiantis šių preliminarių ataskaitų perdavimo metu turėta informacija, koronaviruso protrūkio finansinio poveikio negalima patikimai įvertinti.</w:t>
      </w:r>
    </w:p>
    <w:p>
      <w:pPr>
        <w:pStyle w:val="HEADER5"/>
        <w:rPr>
          <w:noProof/>
        </w:rPr>
        <w:sectPr>
          <w:headerReference w:type="even" r:id="rId209"/>
          <w:headerReference w:type="default" r:id="rId210"/>
          <w:footerReference w:type="even" r:id="rId211"/>
          <w:footerReference w:type="default" r:id="rId212"/>
          <w:headerReference w:type="first" r:id="rId213"/>
          <w:footerReference w:type="first" r:id="rId214"/>
          <w:pgSz w:w="11906" w:h="16838"/>
          <w:pgMar w:top="1134" w:right="1134" w:bottom="1134" w:left="1134" w:header="709" w:footer="709" w:gutter="0"/>
          <w:cols w:space="708"/>
          <w:docGrid w:linePitch="360"/>
        </w:sectPr>
      </w:pPr>
    </w:p>
    <w:p>
      <w:pPr>
        <w:pStyle w:val="HEADER1Part2"/>
        <w:tabs>
          <w:tab w:val="clear" w:pos="907"/>
          <w:tab w:val="left" w:pos="0"/>
        </w:tabs>
        <w:ind w:left="0" w:firstLine="0"/>
        <w:jc w:val="left"/>
        <w:rPr>
          <w:noProof/>
        </w:rPr>
      </w:pPr>
      <w:r>
        <w:rPr>
          <w:noProof/>
        </w:rPr>
        <w:t>EKONOMINIO REZULTATO IR BIUDŽETO REZULTATO SUDERINIMAS</w:t>
      </w:r>
    </w:p>
    <w:p>
      <w:pPr>
        <w:pStyle w:val="Textstand-alone"/>
      </w:pPr>
      <w:r>
        <w:t>Ekonominis metų rezultatas apskaičiuotas pagal kaupiamosios apskaitos principus. Tačiau biudžeto rezultatas grindžiamas pinigų apskaitos taisyklėmis. Kadangi ekonominis rezultatas ir biudžeto rezultatas yra tų pačių susijusių veiklos operacijų rezultatai, naudinga kontrolės priemonė – užtikrinti, kad jie būtų suderinami. Toliau pateikiamoje lentelėje šis suderinimas parodomas pabrėžiant pagrindines derinamas sumas, išskaidytas į pajamų ir išlaidų punktus. Lentelės pastabose pateikiama papildoma informacija apie svarbiausių derinamų punktų pobūdį.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2"/>
        <w:gridCol w:w="1383"/>
        <w:gridCol w:w="1143"/>
      </w:tblGrid>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noProof/>
                <w:color w:val="000000"/>
                <w:sz w:val="16"/>
              </w:rPr>
            </w:pPr>
            <w:bookmarkStart w:id="91" w:name="DOC_TBL00046_1_1"/>
            <w:bookmarkEnd w:id="91"/>
          </w:p>
        </w:tc>
        <w:tc>
          <w:tcPr>
            <w:tcW w:w="1383"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noProof/>
                <w:color w:val="000000"/>
                <w:sz w:val="16"/>
              </w:rPr>
            </w:pP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6"/>
              </w:rPr>
            </w:pPr>
            <w:r>
              <w:rPr>
                <w:rFonts w:ascii="Verdana" w:hAnsi="Verdana"/>
                <w:i/>
                <w:noProof/>
                <w:color w:val="000000"/>
                <w:sz w:val="16"/>
              </w:rPr>
              <w:t>mln. EUR</w:t>
            </w:r>
          </w:p>
        </w:tc>
      </w:tr>
      <w:tr>
        <w:trPr>
          <w:trHeight w:hRule="exact" w:val="255"/>
        </w:trPr>
        <w:tc>
          <w:tcPr>
            <w:tcW w:w="7232" w:type="dxa"/>
            <w:tcBorders>
              <w:top w:val="nil"/>
              <w:left w:val="nil"/>
              <w:bottom w:val="nil"/>
              <w:right w:val="nil"/>
              <w:tl2br w:val="nil"/>
              <w:tr2bl w:val="nil"/>
            </w:tcBorders>
            <w:shd w:val="solid" w:color="016794" w:fill="FFFFFF"/>
            <w:tcMar>
              <w:left w:w="60" w:type="dxa"/>
              <w:right w:w="60" w:type="dxa"/>
            </w:tcMar>
            <w:vAlign w:val="center"/>
          </w:tcPr>
          <w:p>
            <w:pPr>
              <w:pStyle w:val="DMETW19001BIPECRBDGR"/>
              <w:jc w:val="right"/>
              <w:rPr>
                <w:rFonts w:ascii="Verdana" w:eastAsia="Verdana" w:hAnsi="Verdana" w:cs="Verdana"/>
                <w:noProof/>
                <w:color w:val="FFFFFF"/>
              </w:rPr>
            </w:pPr>
          </w:p>
        </w:tc>
        <w:tc>
          <w:tcPr>
            <w:tcW w:w="1383" w:type="dxa"/>
            <w:tcBorders>
              <w:top w:val="nil"/>
              <w:left w:val="nil"/>
              <w:bottom w:val="nil"/>
              <w:right w:val="nil"/>
              <w:tl2br w:val="nil"/>
              <w:tr2bl w:val="nil"/>
            </w:tcBorders>
            <w:shd w:val="solid" w:color="016794" w:fill="FFFFFF"/>
            <w:tcMar>
              <w:left w:w="60" w:type="dxa"/>
              <w:right w:w="60" w:type="dxa"/>
            </w:tcMar>
            <w:vAlign w:val="center"/>
          </w:tcPr>
          <w:p>
            <w:pPr>
              <w:pStyle w:val="DMETW19001BIPECRBDGR"/>
              <w:jc w:val="right"/>
              <w:rPr>
                <w:rFonts w:ascii="Verdana" w:eastAsia="Verdana" w:hAnsi="Verdana" w:cs="Verdana"/>
                <w:noProof/>
                <w:color w:val="FFFFFF"/>
              </w:rPr>
            </w:pPr>
            <w:r>
              <w:rPr>
                <w:rFonts w:ascii="Verdana" w:hAnsi="Verdana"/>
                <w:noProof/>
                <w:color w:val="FFFFFF"/>
              </w:rPr>
              <w:t>2019</w:t>
            </w:r>
          </w:p>
        </w:tc>
        <w:tc>
          <w:tcPr>
            <w:tcW w:w="1143" w:type="dxa"/>
            <w:tcBorders>
              <w:top w:val="nil"/>
              <w:left w:val="nil"/>
              <w:bottom w:val="nil"/>
              <w:right w:val="nil"/>
              <w:tl2br w:val="nil"/>
              <w:tr2bl w:val="nil"/>
            </w:tcBorders>
            <w:shd w:val="solid" w:color="016794" w:fill="FFFFFF"/>
            <w:tcMar>
              <w:left w:w="60" w:type="dxa"/>
              <w:right w:w="60" w:type="dxa"/>
            </w:tcMar>
            <w:vAlign w:val="center"/>
          </w:tcPr>
          <w:p>
            <w:pPr>
              <w:pStyle w:val="DMETW19001BIPECRBDGR"/>
              <w:jc w:val="right"/>
              <w:rPr>
                <w:rFonts w:ascii="Verdana" w:eastAsia="Verdana" w:hAnsi="Verdana" w:cs="Verdana"/>
                <w:noProof/>
                <w:color w:val="FFFFFF"/>
              </w:rPr>
            </w:pPr>
            <w:r>
              <w:rPr>
                <w:rFonts w:ascii="Verdana" w:hAnsi="Verdana"/>
                <w:noProof/>
                <w:color w:val="FFFFFF"/>
              </w:rPr>
              <w:t>2018</w:t>
            </w:r>
          </w:p>
        </w:tc>
      </w:tr>
      <w:tr>
        <w:trPr>
          <w:trHeight w:hRule="exact" w:val="255"/>
        </w:trPr>
        <w:tc>
          <w:tcPr>
            <w:tcW w:w="7232" w:type="dxa"/>
            <w:tcBorders>
              <w:top w:val="nil"/>
              <w:left w:val="nil"/>
              <w:bottom w:val="nil"/>
              <w:right w:val="nil"/>
              <w:tl2br w:val="nil"/>
              <w:tr2bl w:val="nil"/>
            </w:tcBorders>
            <w:shd w:val="solid" w:color="CCE1EA" w:fill="FFFFFF"/>
            <w:tcMar>
              <w:left w:w="60" w:type="dxa"/>
              <w:right w:w="60" w:type="dxa"/>
            </w:tcMar>
            <w:vAlign w:val="center"/>
          </w:tcPr>
          <w:p>
            <w:pPr>
              <w:pStyle w:val="DMETW19001BIPECRBDGR"/>
              <w:rPr>
                <w:rFonts w:ascii="Verdana" w:eastAsia="Verdana" w:hAnsi="Verdana" w:cs="Verdana"/>
                <w:b/>
                <w:noProof/>
                <w:color w:val="000000"/>
                <w:sz w:val="18"/>
              </w:rPr>
            </w:pPr>
            <w:r>
              <w:rPr>
                <w:rFonts w:ascii="Verdana" w:hAnsi="Verdana"/>
                <w:b/>
                <w:noProof/>
                <w:color w:val="000000"/>
                <w:sz w:val="18"/>
              </w:rPr>
              <w:t>EKONOMINIS METŲ REZULTATAS</w:t>
            </w:r>
          </w:p>
        </w:tc>
        <w:tc>
          <w:tcPr>
            <w:tcW w:w="1383" w:type="dxa"/>
            <w:tcBorders>
              <w:top w:val="nil"/>
              <w:left w:val="nil"/>
              <w:bottom w:val="nil"/>
              <w:right w:val="nil"/>
              <w:tl2br w:val="nil"/>
              <w:tr2bl w:val="nil"/>
            </w:tcBorders>
            <w:shd w:val="solid" w:color="CCE1EA" w:fill="FFFFFF"/>
            <w:tcMar>
              <w:left w:w="60" w:type="dxa"/>
              <w:right w:w="60" w:type="dxa"/>
            </w:tcMar>
            <w:vAlign w:val="center"/>
          </w:tcPr>
          <w:p>
            <w:pPr>
              <w:pStyle w:val="DMETW19001BIPECRBDGR"/>
              <w:jc w:val="right"/>
              <w:rPr>
                <w:rFonts w:ascii="Verdana" w:eastAsia="Verdana" w:hAnsi="Verdana" w:cs="Verdana"/>
                <w:b/>
                <w:noProof/>
                <w:color w:val="000000"/>
                <w:sz w:val="18"/>
              </w:rPr>
            </w:pPr>
            <w:r>
              <w:rPr>
                <w:rFonts w:ascii="Verdana" w:hAnsi="Verdana"/>
                <w:b/>
                <w:noProof/>
                <w:color w:val="000000"/>
                <w:sz w:val="18"/>
              </w:rPr>
              <w:t xml:space="preserve"> (3 956)</w:t>
            </w:r>
          </w:p>
        </w:tc>
        <w:tc>
          <w:tcPr>
            <w:tcW w:w="1143" w:type="dxa"/>
            <w:tcBorders>
              <w:top w:val="nil"/>
              <w:left w:val="nil"/>
              <w:bottom w:val="nil"/>
              <w:right w:val="nil"/>
              <w:tl2br w:val="nil"/>
              <w:tr2bl w:val="nil"/>
            </w:tcBorders>
            <w:shd w:val="solid" w:color="CCE1EA" w:fill="FFFFFF"/>
            <w:tcMar>
              <w:left w:w="60" w:type="dxa"/>
              <w:right w:w="60" w:type="dxa"/>
            </w:tcMar>
            <w:vAlign w:val="center"/>
          </w:tcPr>
          <w:p>
            <w:pPr>
              <w:pStyle w:val="DMETW19001BIPECRBDGR"/>
              <w:jc w:val="right"/>
              <w:rPr>
                <w:rFonts w:ascii="Verdana" w:eastAsia="Verdana" w:hAnsi="Verdana" w:cs="Verdana"/>
                <w:b/>
                <w:noProof/>
                <w:color w:val="000000"/>
                <w:sz w:val="18"/>
              </w:rPr>
            </w:pPr>
            <w:r>
              <w:rPr>
                <w:rFonts w:ascii="Verdana" w:hAnsi="Verdana"/>
                <w:b/>
                <w:noProof/>
                <w:color w:val="000000"/>
                <w:sz w:val="18"/>
              </w:rPr>
              <w:t xml:space="preserve"> (4 118)</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center"/>
          </w:tcPr>
          <w:p>
            <w:pPr>
              <w:pStyle w:val="DMETW19001BIPECRBDGR"/>
              <w:rPr>
                <w:rFonts w:ascii="Verdana" w:eastAsia="Verdana" w:hAnsi="Verdana" w:cs="Verdana"/>
                <w:noProof/>
                <w:color w:val="000000"/>
                <w:sz w:val="18"/>
              </w:rPr>
            </w:pP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noProof/>
                <w:color w:val="000000"/>
                <w:sz w:val="18"/>
              </w:rPr>
            </w:pP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noProof/>
                <w:color w:val="000000"/>
                <w:sz w:val="18"/>
                <w:lang w:bidi="en-GB"/>
              </w:rPr>
            </w:pP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center"/>
          </w:tcPr>
          <w:p>
            <w:pPr>
              <w:pStyle w:val="DMETW19001BIPECRBDGR"/>
              <w:rPr>
                <w:rFonts w:ascii="Verdana" w:eastAsia="Verdana" w:hAnsi="Verdana" w:cs="Verdana"/>
                <w:b/>
                <w:noProof/>
                <w:color w:val="000000"/>
                <w:sz w:val="18"/>
              </w:rPr>
            </w:pPr>
            <w:r>
              <w:rPr>
                <w:rFonts w:ascii="Verdana" w:hAnsi="Verdana"/>
                <w:b/>
                <w:noProof/>
                <w:color w:val="000000"/>
                <w:sz w:val="18"/>
              </w:rPr>
              <w:t>Pajamos</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noProof/>
                <w:color w:val="000000"/>
                <w:sz w:val="18"/>
              </w:rPr>
            </w:pP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noProof/>
                <w:color w:val="000000"/>
                <w:sz w:val="18"/>
                <w:lang w:bidi="en-GB"/>
              </w:rPr>
            </w:pP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hAnsi="Verdana"/>
                <w:i/>
                <w:noProof/>
                <w:color w:val="000000"/>
                <w:sz w:val="18"/>
              </w:rPr>
              <w:t>Teisės į gautinas sumas, neturinčios poveikio biudžeto rezultatui</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(1)</w:t>
            </w:r>
          </w:p>
        </w:tc>
      </w:tr>
      <w:tr>
        <w:trPr>
          <w:trHeight w:hRule="exact" w:val="511"/>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hAnsi="Verdana"/>
                <w:i/>
                <w:noProof/>
                <w:color w:val="000000"/>
                <w:sz w:val="18"/>
              </w:rPr>
              <w:t>Einamaisiais metais nustatytos teisės į gautinas sumas, kurios dar nesurinktos</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(16)</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(11)</w:t>
            </w:r>
          </w:p>
        </w:tc>
      </w:tr>
      <w:tr>
        <w:trPr>
          <w:trHeight w:hRule="exact" w:val="433"/>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hAnsi="Verdana"/>
                <w:i/>
                <w:noProof/>
                <w:color w:val="000000"/>
                <w:sz w:val="18"/>
              </w:rPr>
              <w:t>Ankstesniais metais nustatytos teisės į gautinas sumas, kurios surinktos einamaisiais metais</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23</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11</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hAnsi="Verdana"/>
                <w:i/>
                <w:noProof/>
                <w:color w:val="000000"/>
                <w:sz w:val="18"/>
              </w:rPr>
              <w:t>Grynasis išankstinio finansavimo poveikis</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53</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36</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hAnsi="Verdana"/>
                <w:i/>
                <w:noProof/>
                <w:color w:val="000000"/>
                <w:sz w:val="18"/>
              </w:rPr>
              <w:t>Sukauptos pajamos (grynosios)</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(67)</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(39)</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hAnsi="Verdana"/>
                <w:i/>
                <w:noProof/>
                <w:color w:val="000000"/>
                <w:sz w:val="18"/>
              </w:rPr>
              <w:t>Kitos</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(3)</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(1)</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center"/>
          </w:tcPr>
          <w:p>
            <w:pPr>
              <w:pStyle w:val="DMETW19001BIPECRBDGR"/>
              <w:rPr>
                <w:rFonts w:ascii="Verdana" w:eastAsia="Verdana" w:hAnsi="Verdana" w:cs="Verdana"/>
                <w:b/>
                <w:noProof/>
                <w:color w:val="000000"/>
                <w:sz w:val="18"/>
              </w:rPr>
            </w:pPr>
            <w:r>
              <w:rPr>
                <w:rFonts w:ascii="Verdana" w:hAnsi="Verdana"/>
                <w:b/>
                <w:noProof/>
                <w:color w:val="000000"/>
                <w:sz w:val="18"/>
              </w:rPr>
              <w:t>Išlaidos</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lang w:bidi="en-GB"/>
              </w:rPr>
            </w:pP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hAnsi="Verdana"/>
                <w:i/>
                <w:noProof/>
                <w:color w:val="000000"/>
                <w:sz w:val="18"/>
              </w:rPr>
              <w:t>Dar nesumokėtos einamųjų metų išlaidos</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107</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115</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hAnsi="Verdana"/>
                <w:i/>
                <w:noProof/>
                <w:color w:val="000000"/>
                <w:sz w:val="18"/>
              </w:rPr>
              <w:t>Einamaisiais metais sumokėtos ankstesnių metų išlaidos</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(672)</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(366)</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hAnsi="Verdana"/>
                <w:i/>
                <w:noProof/>
                <w:color w:val="000000"/>
                <w:sz w:val="18"/>
              </w:rPr>
              <w:t>Grynasis išankstinio finansavimo poveikis</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(44)</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(179)</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hAnsi="Verdana"/>
                <w:i/>
                <w:noProof/>
                <w:color w:val="000000"/>
                <w:sz w:val="18"/>
              </w:rPr>
              <w:t>Sukauptos sąnaudos (grynosios)</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719</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484</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p>
        </w:tc>
        <w:tc>
          <w:tcPr>
            <w:tcW w:w="1143"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lang w:bidi="en-GB"/>
              </w:rPr>
            </w:pPr>
          </w:p>
        </w:tc>
      </w:tr>
      <w:tr>
        <w:trPr>
          <w:trHeight w:hRule="exact" w:val="255"/>
        </w:trPr>
        <w:tc>
          <w:tcPr>
            <w:tcW w:w="7232" w:type="dxa"/>
            <w:tcBorders>
              <w:top w:val="nil"/>
              <w:left w:val="nil"/>
              <w:bottom w:val="nil"/>
              <w:right w:val="nil"/>
              <w:tl2br w:val="nil"/>
              <w:tr2bl w:val="nil"/>
            </w:tcBorders>
            <w:shd w:val="solid" w:color="CCE1EA" w:fill="FFFFFF"/>
            <w:tcMar>
              <w:left w:w="60" w:type="dxa"/>
              <w:right w:w="60" w:type="dxa"/>
            </w:tcMar>
            <w:vAlign w:val="center"/>
          </w:tcPr>
          <w:p>
            <w:pPr>
              <w:pStyle w:val="DMETW19001BIPECRBDGR"/>
              <w:rPr>
                <w:rFonts w:ascii="Verdana" w:eastAsia="Verdana" w:hAnsi="Verdana" w:cs="Verdana"/>
                <w:b/>
                <w:noProof/>
                <w:color w:val="000000"/>
                <w:sz w:val="18"/>
              </w:rPr>
            </w:pPr>
            <w:r>
              <w:rPr>
                <w:rFonts w:ascii="Verdana" w:hAnsi="Verdana"/>
                <w:b/>
                <w:noProof/>
                <w:color w:val="000000"/>
                <w:sz w:val="18"/>
              </w:rPr>
              <w:t xml:space="preserve">METINIS BIUDŽETO REZULTATAS </w:t>
            </w:r>
          </w:p>
        </w:tc>
        <w:tc>
          <w:tcPr>
            <w:tcW w:w="1383" w:type="dxa"/>
            <w:tcBorders>
              <w:top w:val="nil"/>
              <w:left w:val="nil"/>
              <w:bottom w:val="nil"/>
              <w:right w:val="nil"/>
              <w:tl2br w:val="nil"/>
              <w:tr2bl w:val="nil"/>
            </w:tcBorders>
            <w:shd w:val="solid" w:color="CCE1EA" w:fill="FFFFFF"/>
            <w:tcMar>
              <w:left w:w="60" w:type="dxa"/>
              <w:right w:w="60" w:type="dxa"/>
            </w:tcMar>
            <w:vAlign w:val="center"/>
          </w:tcPr>
          <w:p>
            <w:pPr>
              <w:pStyle w:val="DMETW19001BIPECRBDGR"/>
              <w:jc w:val="right"/>
              <w:rPr>
                <w:rFonts w:ascii="Verdana" w:eastAsia="Verdana" w:hAnsi="Verdana" w:cs="Verdana"/>
                <w:b/>
                <w:noProof/>
                <w:color w:val="000000"/>
                <w:sz w:val="18"/>
              </w:rPr>
            </w:pPr>
            <w:r>
              <w:rPr>
                <w:rFonts w:ascii="Verdana" w:hAnsi="Verdana"/>
                <w:b/>
                <w:noProof/>
                <w:color w:val="000000"/>
                <w:sz w:val="18"/>
              </w:rPr>
              <w:t xml:space="preserve"> (3 856)</w:t>
            </w:r>
          </w:p>
        </w:tc>
        <w:tc>
          <w:tcPr>
            <w:tcW w:w="1143" w:type="dxa"/>
            <w:tcBorders>
              <w:top w:val="nil"/>
              <w:left w:val="nil"/>
              <w:bottom w:val="nil"/>
              <w:right w:val="nil"/>
              <w:tl2br w:val="nil"/>
              <w:tr2bl w:val="nil"/>
            </w:tcBorders>
            <w:shd w:val="solid" w:color="CCE1EA" w:fill="FFFFFF"/>
            <w:tcMar>
              <w:left w:w="60" w:type="dxa"/>
              <w:right w:w="60" w:type="dxa"/>
            </w:tcMar>
            <w:vAlign w:val="center"/>
          </w:tcPr>
          <w:p>
            <w:pPr>
              <w:pStyle w:val="DMETW19001BIPECRBDGR"/>
              <w:jc w:val="right"/>
              <w:rPr>
                <w:rFonts w:ascii="Verdana" w:eastAsia="Verdana" w:hAnsi="Verdana" w:cs="Verdana"/>
                <w:b/>
                <w:noProof/>
                <w:color w:val="000000"/>
                <w:sz w:val="18"/>
              </w:rPr>
            </w:pPr>
            <w:r>
              <w:rPr>
                <w:rFonts w:ascii="Verdana" w:hAnsi="Verdana"/>
                <w:b/>
                <w:noProof/>
                <w:color w:val="000000"/>
                <w:sz w:val="18"/>
              </w:rPr>
              <w:t xml:space="preserve"> (4 069)</w:t>
            </w:r>
          </w:p>
        </w:tc>
      </w:tr>
    </w:tbl>
    <w:p>
      <w:pPr>
        <w:pStyle w:val="HEADER2Part2"/>
        <w:rPr>
          <w:noProof/>
        </w:rPr>
      </w:pPr>
      <w:r>
        <w:rPr>
          <w:noProof/>
        </w:rPr>
        <w:t>DERINAMI PUNKTAI. PAJAMOS</w:t>
      </w:r>
    </w:p>
    <w:p>
      <w:pPr>
        <w:pStyle w:val="Textstand-alone"/>
      </w:pPr>
      <w:r>
        <w:t>Finansinių metų biudžeto pajamos yra pajamos, gautos surinkus gautinas sumas pagal per metus nustatytas teises, ir sumos, gautos pagal teises, nustatytas ankstesniais metais.</w:t>
      </w:r>
    </w:p>
    <w:p>
      <w:pPr>
        <w:pStyle w:val="Textstand-alone"/>
      </w:pPr>
      <w:r>
        <w:rPr>
          <w:b/>
        </w:rPr>
        <w:t>Teisės į gautinas sumas, neturinčios poveikio biudžeto rezultatui</w:t>
      </w:r>
      <w:r>
        <w:t>, įtraukiamos į ekonominį rezultatą, tačiau biudžeto prasme jų negalima laikyti pajamomis, nes sumokėta suma pervedama į rezervus ir jos nebegalima vėl panaudoti be Tarybos sprendimo.</w:t>
      </w:r>
    </w:p>
    <w:p>
      <w:pPr>
        <w:pStyle w:val="Textstand-alone"/>
      </w:pPr>
      <w:r>
        <w:rPr>
          <w:b/>
        </w:rPr>
        <w:t>Einamaisiais metais nustatytos teisės į gautinas sumas, kurios dar nesurinktos</w:t>
      </w:r>
      <w:r>
        <w:t xml:space="preserve">, suderinimo tikslais turi būti išskaitomos iš ekonominio rezultato, nes jos nesudaro biudžeto pajamų dalies. Tačiau </w:t>
      </w:r>
      <w:r>
        <w:rPr>
          <w:b/>
        </w:rPr>
        <w:t>einamaisiais metais surinktos sumos pagal ankstesniais metais nustatytas teises į gautinas sumas</w:t>
      </w:r>
      <w:r>
        <w:t xml:space="preserve"> suderinimo tikslais turi būti pridėtos prie ekonominio rezultato.</w:t>
      </w:r>
    </w:p>
    <w:p>
      <w:pPr>
        <w:pStyle w:val="Textstand-alone"/>
      </w:pPr>
      <w:r>
        <w:rPr>
          <w:b/>
        </w:rPr>
        <w:t>Grynasis išankstinio finansavimo poveikis</w:t>
      </w:r>
      <w:r>
        <w:t xml:space="preserve"> – išankstinio finansavimo ir iš gavėjų susigrąžintų sumų tarpuskaita. Šios piniginės įplaukos yra biudžeto pajamos, tačiau jos neturi poveikio ekonominiam rezultatui, todėl jas reikia pridėti suderinimo tikslais.</w:t>
      </w:r>
    </w:p>
    <w:p>
      <w:pPr>
        <w:pStyle w:val="Textstand-alone"/>
        <w:spacing w:after="0"/>
      </w:pPr>
      <w:r>
        <w:rPr>
          <w:b/>
        </w:rPr>
        <w:t>Grynąsias sukauptas pajamas</w:t>
      </w:r>
      <w:r>
        <w:t xml:space="preserve"> daugiausia sudaro sukauptos sumos, nustatytos metų pabaigos ataskaitinių laikotarpių atskyrimo tikslais. Atsižvelgiama tik į grynąjį poveikį, t. y. einamųjų metų sukauptas pajamas, atėmus atkurtas sukauptas ankstesnių metų pajamas.</w:t>
      </w:r>
    </w:p>
    <w:p>
      <w:pPr>
        <w:pStyle w:val="HEADER2Part2"/>
        <w:rPr>
          <w:noProof/>
        </w:rPr>
      </w:pPr>
      <w:r>
        <w:rPr>
          <w:noProof/>
        </w:rPr>
        <w:t>DERINAMI PUNKTAI. IŠLAIDOS</w:t>
      </w:r>
    </w:p>
    <w:p>
      <w:pPr>
        <w:pStyle w:val="Textstand-alone"/>
      </w:pPr>
      <w:r>
        <w:rPr>
          <w:b/>
        </w:rPr>
        <w:t>Dar neapmokėtos einamųjų metų išlaidos</w:t>
      </w:r>
      <w:r>
        <w:t xml:space="preserve"> suderinimo tikslais turi būti pridedamos, nes jos įtrauktos į ekonominį rezultatą, bet nepriskiriamos biudžeto išlaidoms. Tačiau </w:t>
      </w:r>
      <w:r>
        <w:rPr>
          <w:b/>
        </w:rPr>
        <w:t>einamaisiais metais apmokėtos ankstesnių metų išlaidos</w:t>
      </w:r>
      <w:r>
        <w:t xml:space="preserve"> suderinimo tikslais turi būti išskaitomos iš ekonominio rezultato, nes jos yra einamųjų metų biudžeto išlaidų dalis, bet neturi poveikio ekonominiam rezultatui, arba dėl jų sumažėja išlaidos, jeigu atliekamos pataisos.</w:t>
      </w:r>
    </w:p>
    <w:p>
      <w:pPr>
        <w:pStyle w:val="Textstand-alone"/>
        <w:rPr>
          <w:bCs/>
        </w:rPr>
      </w:pPr>
      <w:r>
        <w:rPr>
          <w:b/>
          <w:bCs/>
        </w:rPr>
        <w:t>Panaikintų mokėjimų</w:t>
      </w:r>
      <w:r>
        <w:t xml:space="preserve"> piniginės įplaukos nedaro poveikio ekonominiam rezultatui, tačiau daro poveikį biudžeto rezultatui.</w:t>
      </w:r>
    </w:p>
    <w:p>
      <w:pPr>
        <w:pStyle w:val="Textstand-alone"/>
      </w:pPr>
      <w:r>
        <w:rPr>
          <w:b/>
        </w:rPr>
        <w:t>Grynasis išankstinio finansavimo poveikis</w:t>
      </w:r>
      <w:r>
        <w:t xml:space="preserve"> yra naujų išankstinio finansavimo sumų, išmokėtų einamaisiais metais (pripažintų kaip metų biudžeto išlaidos), ir išankstinio finansavimo sumų, išmokėtų einamaisiais metais arba ankstesniais metais priėmus finansuoti tinkamas išlaidas, padengimo derinys. Pastarosios sumos yra išlaidos kaupimo, bet ne biudžeto sąskaitų požiūriu, nes pradinio išankstinio finansavimo mokėjimas jau buvo laikomas biudžeto išlaidomis, kai tas mokėjimas buvo atliekamas.</w:t>
      </w:r>
    </w:p>
    <w:p>
      <w:pPr>
        <w:pStyle w:val="Textstand-alone"/>
        <w:spacing w:after="0"/>
      </w:pPr>
      <w:r>
        <w:rPr>
          <w:b/>
        </w:rPr>
        <w:t>Grynąsias sukauptas sąnaudas</w:t>
      </w:r>
      <w:r>
        <w:t xml:space="preserve"> daugiausia sudaro sukauptos sumos metų pabaigos ataskaitinių laikotarpių atskyrimo tikslais, t. y. finansuoti tinkamos išlaidos, kurias patyrė EPF lėšų gavėjai, bet apie kurias Komisijai dar nepranešta. Atsižvelgiama tik į grynąjį poveikį, t. y. einamųjų metų sukauptas sąnaudas, atėmus atkurtas sukauptas ankstesnių metų sąnaudas.</w:t>
      </w:r>
    </w:p>
    <w:bookmarkEnd w:id="87"/>
    <w:p>
      <w:pPr>
        <w:rPr>
          <w:noProof/>
        </w:rPr>
        <w:sectPr>
          <w:headerReference w:type="even" r:id="rId215"/>
          <w:headerReference w:type="default" r:id="rId216"/>
          <w:footerReference w:type="even" r:id="rId217"/>
          <w:footerReference w:type="default" r:id="rId218"/>
          <w:headerReference w:type="first" r:id="rId219"/>
          <w:footerReference w:type="first" r:id="rId220"/>
          <w:pgSz w:w="11906" w:h="16838" w:code="9"/>
          <w:pgMar w:top="1134" w:right="1134" w:bottom="1134" w:left="1134" w:header="708" w:footer="708" w:gutter="0"/>
          <w:cols w:space="708"/>
          <w:docGrid w:linePitch="360"/>
        </w:sectPr>
      </w:pPr>
    </w:p>
    <w:p>
      <w:pPr>
        <w:rPr>
          <w:noProof/>
        </w:rPr>
      </w:pPr>
      <w:bookmarkStart w:id="92" w:name="_DMBM_18999"/>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pStyle w:val="FIRSTCHAPTERPAGE1"/>
      </w:pPr>
      <w:bookmarkStart w:id="93" w:name="_Toc48834991"/>
      <w:bookmarkStart w:id="94" w:name="_Toc49242749"/>
      <w:r>
        <w:t>EPF KONSOLIDUOTŲ ES PATIKOS FONDŲ FINANSINĖS ATASKAITOS</w:t>
      </w:r>
      <w:bookmarkEnd w:id="93"/>
      <w:bookmarkEnd w:id="94"/>
    </w:p>
    <w:p>
      <w:pPr>
        <w:pStyle w:val="FIRSTCHAPTERPAGE1"/>
      </w:pPr>
    </w:p>
    <w:p>
      <w:pPr>
        <w:pStyle w:val="FIRSTCHAPTERPAGE1"/>
        <w:sectPr>
          <w:headerReference w:type="even" r:id="rId221"/>
          <w:headerReference w:type="default" r:id="rId222"/>
          <w:footerReference w:type="even" r:id="rId223"/>
          <w:footerReference w:type="default" r:id="rId224"/>
          <w:headerReference w:type="first" r:id="rId225"/>
          <w:footerReference w:type="first" r:id="rId226"/>
          <w:pgSz w:w="11906" w:h="16838" w:code="9"/>
          <w:pgMar w:top="1134" w:right="1134" w:bottom="1134" w:left="1134" w:header="709" w:footer="709" w:gutter="0"/>
          <w:cols w:space="708"/>
          <w:docGrid w:linePitch="360"/>
        </w:sectPr>
      </w:pPr>
    </w:p>
    <w:p>
      <w:pPr>
        <w:pStyle w:val="FIRSTCHAPTERPAGE1"/>
      </w:pPr>
    </w:p>
    <w:p>
      <w:pPr>
        <w:pStyle w:val="FIRSTCHAPTERPAGE1"/>
      </w:pPr>
    </w:p>
    <w:p>
      <w:pPr>
        <w:pStyle w:val="FIRSTCHAPTERPAGE1"/>
      </w:pPr>
    </w:p>
    <w:p>
      <w:pPr>
        <w:pStyle w:val="FIRSTCHAPTERPAGE1"/>
      </w:pPr>
    </w:p>
    <w:p>
      <w:pPr>
        <w:pStyle w:val="FIRSTCHAPTERPAGE1"/>
      </w:pPr>
    </w:p>
    <w:p>
      <w:pPr>
        <w:pStyle w:val="FIRSTCHAPTERPAGE1"/>
      </w:pPr>
      <w:bookmarkStart w:id="95" w:name="_Toc41982799"/>
      <w:bookmarkStart w:id="96" w:name="_Toc48834992"/>
      <w:bookmarkStart w:id="97" w:name="_Toc49242750"/>
      <w:r>
        <w:t>2019 M. ES PATIKOS FONDO „BÊKOU“ FINANSINĖS ATASKAITOS</w:t>
      </w:r>
      <w:bookmarkEnd w:id="95"/>
      <w:bookmarkEnd w:id="96"/>
      <w:bookmarkEnd w:id="97"/>
    </w:p>
    <w:p>
      <w:pPr>
        <w:pStyle w:val="FIRSTCHAPTERPAGE1"/>
      </w:pPr>
    </w:p>
    <w:p>
      <w:pPr>
        <w:pStyle w:val="FIRSTCHAPTERPAGE1"/>
      </w:pPr>
    </w:p>
    <w:p>
      <w:pPr>
        <w:pStyle w:val="FIRSTCHAPTERPAGE1"/>
      </w:pPr>
    </w:p>
    <w:p>
      <w:pPr>
        <w:pStyle w:val="FIRSTCHAPTERPAGE1"/>
      </w:pPr>
    </w:p>
    <w:p>
      <w:pPr>
        <w:pStyle w:val="FIRSTCHAPTERPAGE1"/>
      </w:pPr>
    </w:p>
    <w:p>
      <w:pPr>
        <w:pStyle w:val="TOPHEADERNOTE"/>
        <w:rPr>
          <w:noProof/>
        </w:rPr>
      </w:pPr>
      <w:r>
        <w:rPr>
          <w:noProof/>
        </w:rPr>
        <w:t>Reikėtų atkreipti dėmesį, kad skaičius suapvalinant iki tūkstančių eurų (tūkst. EUR) kai kurių lentelėse pateikiamų finansinių duomenų suma gali būti netiksli.</w:t>
      </w:r>
    </w:p>
    <w:p>
      <w:pPr>
        <w:pStyle w:val="HEADERTITLE"/>
      </w:pPr>
      <w:r>
        <w:t>ES PATIKOS FONDO „BÊKOU“ AIŠKINAMOJI INFORMACIJA</w:t>
      </w:r>
    </w:p>
    <w:p>
      <w:pPr>
        <w:pStyle w:val="Textstand-alone"/>
        <w:rPr>
          <w:b/>
          <w:color w:val="016794"/>
        </w:rPr>
      </w:pPr>
      <w:r>
        <w:rPr>
          <w:b/>
          <w:color w:val="016794"/>
        </w:rPr>
        <w:t>Sąjungos patikos fondų bendroji informacija</w:t>
      </w:r>
    </w:p>
    <w:p>
      <w:pPr>
        <w:pStyle w:val="Textstand-alone"/>
      </w:pPr>
      <w:r>
        <w:t>Remiantis Sąjungos bendrajam biudžetui taikomo finansinio reglamento (ES FR)</w:t>
      </w:r>
      <w:r>
        <w:rPr>
          <w:rStyle w:val="FootnoteReference"/>
        </w:rPr>
        <w:footnoteReference w:id="4"/>
      </w:r>
      <w:r>
        <w:t xml:space="preserve"> 234 ir 235 straipsniais ir 11-ajam Europos plėtros fondui</w:t>
      </w:r>
      <w:r>
        <w:rPr>
          <w:rStyle w:val="FootnoteReference"/>
        </w:rPr>
        <w:footnoteReference w:id="5"/>
      </w:r>
      <w:r>
        <w:t xml:space="preserve"> taikomo finansinio reglamento (EPF FR) 35 straipsniu, Europos Komisijai leidžiama įsteigti Sąjungos patikos fondus išorės veiksmams finansuoti (toliau – ES patikos fondai). Sąjungos patikos fondai įsteigiami pagal susitarimus su kitais paramos teikėjais siekiant vykdyti veiksmus ekstremaliųjų situacijų atveju ir veiksmus po ekstremaliųjų situacijų, kurių reikia norint reaguoti į krizę, arba teminius veiksmus. </w:t>
      </w:r>
    </w:p>
    <w:p>
      <w:pPr>
        <w:pStyle w:val="Textstand-alone"/>
      </w:pPr>
      <w:r>
        <w:t>Sąjungos patikos fondus priimdama sprendimą steigia Europos Komisija, pasikonsultavusi su Europos Parlamentu ir Taryba arba gavusi jų pritarimą. Šis sprendimas apima steigiamąjį susitarimą su kitais paramos teikėjais.</w:t>
      </w:r>
    </w:p>
    <w:p>
      <w:pPr>
        <w:pStyle w:val="Textstand-alone"/>
      </w:pPr>
      <w:r>
        <w:t>Sąjungos patikos fondai steigiami ir jų veikla vykdoma, tik kai tenkinamos šios sąlygos:</w:t>
      </w:r>
    </w:p>
    <w:p>
      <w:pPr>
        <w:pStyle w:val="Textstand-alone"/>
        <w:numPr>
          <w:ilvl w:val="0"/>
          <w:numId w:val="17"/>
        </w:numPr>
        <w:spacing w:before="0" w:after="120"/>
        <w:ind w:left="714" w:hanging="357"/>
      </w:pPr>
      <w:r>
        <w:t>Sąjungos intervencija turi pridėtinę vertę: Sąjungos patikos fondų tikslų, visų pirma dėl jų masto ar galimo poveikio, geriau siekti Sąjungos, o ne nacionaliniu lygmeniu, ir kai esamų finansinių priemonių naudojimo nepakaktų Sąjungos politikos tikslams pasiekti;</w:t>
      </w:r>
    </w:p>
    <w:p>
      <w:pPr>
        <w:pStyle w:val="Textstand-alone"/>
        <w:numPr>
          <w:ilvl w:val="0"/>
          <w:numId w:val="17"/>
        </w:numPr>
        <w:spacing w:before="0" w:after="120"/>
        <w:ind w:left="714" w:hanging="357"/>
      </w:pPr>
      <w:r>
        <w:t>Sąjungos patikos fondų veikla užtikrinamas aiškus Sąjungos politinis matomumas ir valdymo privalumai, taip pat užtikrinama geresnė Sąjungos vykdoma rizikos kontrolė bei geresnis Sąjungos ir kitų paramos teikėjų įnašų išmokėjimas;</w:t>
      </w:r>
    </w:p>
    <w:p>
      <w:pPr>
        <w:pStyle w:val="Textstand-alone"/>
        <w:numPr>
          <w:ilvl w:val="0"/>
          <w:numId w:val="17"/>
        </w:numPr>
        <w:spacing w:before="0" w:after="120"/>
        <w:ind w:left="714" w:hanging="357"/>
      </w:pPr>
      <w:r>
        <w:t>Sąjungos patikos fondai nesidubliuoja su kitais esamais finansavimo kanalais ar panašiomis priemonėmis neteikdami papildomos naudos;</w:t>
      </w:r>
    </w:p>
    <w:p>
      <w:pPr>
        <w:pStyle w:val="Textstand-alone"/>
        <w:numPr>
          <w:ilvl w:val="0"/>
          <w:numId w:val="17"/>
        </w:numPr>
        <w:spacing w:before="0" w:after="120"/>
        <w:ind w:left="714" w:hanging="357"/>
      </w:pPr>
      <w:r>
        <w:t>Sąjungos patikos fondų tikslai atitinka Sąjungos priemonės ar biudžeto punkto, kurių lėšomis jie finansuojami, tikslus.</w:t>
      </w:r>
    </w:p>
    <w:p>
      <w:pPr>
        <w:pStyle w:val="Textstand-alone"/>
      </w:pPr>
      <w:r>
        <w:t>Siekiant užtikrinti sąžiningą paramos teikėjų atstovavimą ir priimti sprendimus dėl lėšų panaudojimo, įsteigiama kiekvieno Sąjungos patikos fondo valdyba, kuriai pirmininkauja Komisija. Valdyboje yra kiekvienos įnašų neskiriančios valstybės narės, dalyvaujančios stebėtojo teisėmis, atstovas. Valdybos sudarymo taisyklės ir jos vidaus taisyklės nustatomos Sąjungos patikos fondo steigiamajame susitarime.</w:t>
      </w:r>
    </w:p>
    <w:p>
      <w:pPr>
        <w:pStyle w:val="Textstand-alone"/>
      </w:pPr>
      <w:r>
        <w:t>Sąjungos patikos fondai steigiami ribotam laikotarpiui, kuris nustatomas šių fondų steigiamajame susitarime. Minėtas laikotarpis gali būti pratęstas atitinkamo Sąjungos patikos fondo valdybos prašymu ir Komisijai pateikus ataskaitą, kurioje pagrindžiamas laikotarpio pratęsimas. Europos Parlamentas ir (arba) Taryba gali paprašyti Komisijos nebeskirti asignavimų patikos fondui arba persvarstyti steigiamąjį teisės aktą siekdami, kai tinkama, likviduoti patikos fondą.</w:t>
      </w:r>
    </w:p>
    <w:p>
      <w:pPr>
        <w:pStyle w:val="Textstand-alone"/>
      </w:pPr>
      <w:r>
        <w:t>Komisijos apskaitos pareigūnas veikia kaip Sąjungos patikos fondo apskaitos pareigūnas. Apskaitos pareigūnas atsakingas už visiems Sąjungos patikos fondams bendrų apskaitos procedūrų ir sąskaitų plano nustatymą. Komisijos vidaus auditorius, OLAF ir Audito Rūmai turi tokius pačius įgaliojimus Sąjungos patikos fondo atžvilgiu, kaip ir kitų veiksmų, kuriuos vykdo Komisija, atžvilgiu.  Sąjungos patikos fondus taip pat kasmet tikrina nepriklausomas išorės auditorius.</w:t>
      </w:r>
    </w:p>
    <w:p>
      <w:pPr>
        <w:pStyle w:val="Textstand-alone"/>
        <w:rPr>
          <w:b/>
          <w:color w:val="016794"/>
        </w:rPr>
      </w:pPr>
      <w:r>
        <w:rPr>
          <w:b/>
          <w:color w:val="016794"/>
        </w:rPr>
        <w:t>Dabartiniai ES patikos fondai</w:t>
      </w:r>
    </w:p>
    <w:p>
      <w:pPr>
        <w:pStyle w:val="Textstand-alone"/>
      </w:pPr>
      <w:r>
        <w:t>Iki šiol Komisija yra įsteigusi keturis ES patikos fondus:</w:t>
      </w:r>
    </w:p>
    <w:p>
      <w:pPr>
        <w:pStyle w:val="Textstand-alone"/>
        <w:tabs>
          <w:tab w:val="left" w:pos="284"/>
          <w:tab w:val="left" w:pos="567"/>
        </w:tabs>
        <w:ind w:left="567" w:hanging="567"/>
      </w:pPr>
      <w:r>
        <w:t xml:space="preserve"> </w:t>
      </w:r>
      <w:r>
        <w:tab/>
        <w:t xml:space="preserve">- </w:t>
      </w:r>
      <w:r>
        <w:tab/>
        <w:t>ES patikos fondas „</w:t>
      </w:r>
      <w:r>
        <w:rPr>
          <w:b/>
        </w:rPr>
        <w:t>BÊKOU</w:t>
      </w:r>
      <w:r>
        <w:t>“, kurio tikslas – visais atžvilgiais padėti Centrinės Afrikos Respublikai išeiti iš krizės ir remti jos atstatymo veiklą. Įsteigtas 2014 m. liepos 15 d.</w:t>
      </w:r>
    </w:p>
    <w:p>
      <w:pPr>
        <w:pStyle w:val="Textstand-alone"/>
        <w:tabs>
          <w:tab w:val="left" w:pos="284"/>
          <w:tab w:val="left" w:pos="567"/>
        </w:tabs>
        <w:ind w:left="567" w:hanging="567"/>
      </w:pPr>
      <w:r>
        <w:tab/>
        <w:t xml:space="preserve">- </w:t>
      </w:r>
      <w:r>
        <w:tab/>
        <w:t>ES patikos fondas „</w:t>
      </w:r>
      <w:r>
        <w:rPr>
          <w:b/>
        </w:rPr>
        <w:t>MADAD</w:t>
      </w:r>
      <w:r>
        <w:t>“ – Europos Sąjungos regioninis patikos fondas, sukurtas reaguojant į krizę Sirijoje. Įsteigtas 2014 m. gruodžio 15 d.</w:t>
      </w:r>
    </w:p>
    <w:p>
      <w:pPr>
        <w:pStyle w:val="Textstand-alone"/>
        <w:tabs>
          <w:tab w:val="left" w:pos="284"/>
          <w:tab w:val="left" w:pos="567"/>
        </w:tabs>
        <w:ind w:left="567" w:hanging="567"/>
      </w:pPr>
      <w:r>
        <w:tab/>
        <w:t xml:space="preserve">- </w:t>
      </w:r>
      <w:r>
        <w:tab/>
        <w:t>ES patikos fondas „</w:t>
      </w:r>
      <w:r>
        <w:rPr>
          <w:b/>
        </w:rPr>
        <w:t>AFRICA</w:t>
      </w:r>
      <w:r>
        <w:t>“ – Europos Sąjungos skubiosios pagalbos patikos fondas stabilumui didinti ir pagrindinėms neteisėtos migracijos ir asmenų persikėlimo Afrikoje priežastims šalinti. Įsteigtas 2015 m. lapkričio 12 d.</w:t>
      </w:r>
    </w:p>
    <w:p>
      <w:pPr>
        <w:pStyle w:val="Textstand-alone"/>
        <w:tabs>
          <w:tab w:val="left" w:pos="284"/>
          <w:tab w:val="left" w:pos="567"/>
        </w:tabs>
        <w:ind w:left="567" w:hanging="567"/>
      </w:pPr>
      <w:r>
        <w:tab/>
        <w:t xml:space="preserve">- </w:t>
      </w:r>
      <w:r>
        <w:tab/>
        <w:t>ES patikos fondas „</w:t>
      </w:r>
      <w:r>
        <w:rPr>
          <w:b/>
        </w:rPr>
        <w:t>COLOMBIA</w:t>
      </w:r>
      <w:r>
        <w:t>“ skirtas padėti įgyvendinti taikos susitarimą ankstyvajame atkūrimo etape ir stabilizuoti padėtį po konflikto. Įsteigtas 2016 m. gruodžio 12 d.</w:t>
      </w:r>
    </w:p>
    <w:p>
      <w:pPr>
        <w:pStyle w:val="Textstand-alone"/>
        <w:rPr>
          <w:b/>
          <w:color w:val="016794"/>
        </w:rPr>
      </w:pPr>
      <w:r>
        <w:rPr>
          <w:b/>
          <w:color w:val="016794"/>
        </w:rPr>
        <w:t>ES patikos fondas „Bêkou“</w:t>
      </w:r>
    </w:p>
    <w:p>
      <w:pPr>
        <w:pStyle w:val="Textstand-alone"/>
      </w:pPr>
      <w:r>
        <w:t>2014 m. liepos 15 d. ES Komisija (atstovaujama DEVCO ir ECHO generalinių direktoratų ir EIVT) ir trys ES valstybės narės (Vokietija, Prancūzija ir Nyderlandai) įsteigė pirmąjį kelių paramos teikėjų ES patikos fondą „Bêkou“, kurio pavadinimas sango kalba reiškia „viltį“ ir kurio tikslas – remti Centrinės Afrikos Respublikos (CAR) stabilizavimą ir rekonstrukciją. Jis sukurtas ne ilgesniam kaip 60 mėnesių laikotarpiui. 2019 m. gegužės mėn. ES pritarė ES patikos fondo „Bêkou“ veiklos pratęsimui iki 2020 m. gruodžio mėn., taip prailgindama bendrą jo veiklos trukmę iki 78 mėnesių.</w:t>
      </w:r>
    </w:p>
    <w:p>
      <w:pPr>
        <w:pStyle w:val="Textstand-alone"/>
      </w:pPr>
      <w:r>
        <w:t>ES patikos fondo „Bêkou“ valdybą ir veiklos komitetą sudaro paramos teikėjų bei Komisijos atstovai ir stebėtojai.Valdyba tvirtina ir peržiūri ES patikos fondo strategiją. Valdybos posėdžiai vyksta ne rečiau kaip kartą per metus.</w:t>
      </w:r>
    </w:p>
    <w:p>
      <w:pPr>
        <w:pStyle w:val="Textstand-alone"/>
      </w:pPr>
      <w:r>
        <w:t>Veiklos komitetas nagrinėja fondo finansuojamus veiksmus, juos tvirtina ir prižiūri jų įgyvendinimą. Komisija taip pat tvirtina metines ataskaitas ir metines patikos fondo finansuojamos veiklos ataskaitas.</w:t>
      </w:r>
    </w:p>
    <w:p>
      <w:pPr>
        <w:pStyle w:val="Textstand-alone"/>
        <w:rPr>
          <w:b/>
          <w:color w:val="016794"/>
        </w:rPr>
      </w:pPr>
      <w:r>
        <w:rPr>
          <w:b/>
          <w:color w:val="016794"/>
        </w:rPr>
        <w:t>ES patikos fondo „Bêkou“ metinės ataskaitos</w:t>
      </w:r>
    </w:p>
    <w:p>
      <w:pPr>
        <w:pStyle w:val="Textstand-alone"/>
      </w:pPr>
      <w:r>
        <w:t>Remiantis Susitarimo, kuriuo įsteigiamas Europos Sąjungos fondas Centrinės Afrikos Respublikai (ES patikos fondas „Bêkou“), 8 straipsniu ir steigiamojo susitarimo 11.2.1 straipsniu, metines ataskaitas sudaro dvi dalys: 1) metinė finansinė ataskaita, už kurios parengimą atsakingas ES patikos fondo valdytojas, ir 2) Komisijos apskaitos pareigūno, kuris, remiantis tuo pačiu straipsniu, yra ir patikos fondo apskaitos pareigūnas, parengtos metinės finansinės ataskaitos.</w:t>
      </w:r>
    </w:p>
    <w:p>
      <w:pPr>
        <w:pStyle w:val="Textstand-alone"/>
      </w:pPr>
      <w:r>
        <w:t>Pagal steigiamojo susitarimo 8 straipsnį finansinės ataskaitos rengiamos remiantis Komisijos apskaitos pareigūno patvirtintomis apskaitos taisyklėmis (ES apskaitos taisyklėmis), kurios grindžiamos tarptautiniais viešojo sektoriaus apskaitos standartais (TVSAS).</w:t>
      </w:r>
    </w:p>
    <w:p>
      <w:pPr>
        <w:pStyle w:val="Textstand-alone"/>
      </w:pPr>
      <w:r>
        <w:t>Metinės ataskaitos teikiamos nepriklausomam išorės auditui, o galutines metines ataskaitas ES patikos fondo valdytojas ir apskaitos pareigūnas teikia tvirtinti einamosios veiklos komitetui (8.3.4 straipsnio c punktas).</w:t>
      </w:r>
    </w:p>
    <w:p>
      <w:pPr>
        <w:pStyle w:val="Textstand-alone"/>
      </w:pPr>
      <w:r>
        <w:t>ES patikos fondo „Bêkou“ metinės finansinės ataskaitos konsoliduojamos Europos plėtros fondo metinėse finansinėse ataskaitose.</w:t>
      </w:r>
    </w:p>
    <w:p>
      <w:pPr>
        <w:pStyle w:val="Textstand-alone"/>
        <w:rPr>
          <w:b/>
          <w:color w:val="016794"/>
        </w:rPr>
      </w:pPr>
      <w:r>
        <w:rPr>
          <w:b/>
          <w:color w:val="016794"/>
        </w:rPr>
        <w:t>Pagrindiniai metų įvykiai</w:t>
      </w:r>
    </w:p>
    <w:p>
      <w:pPr>
        <w:pStyle w:val="Textstand-alone"/>
      </w:pPr>
      <w:r>
        <w:t>Nuo ES patikos fondo „Bêkou“ įsteigimo 2014 m. liepos mėn. šis fondas priėmė 19 programų ir jo parama pasiekė daugiau kaip 2,5 mln. paramos gavėjų. Programos skirtos padėti Centrinės Afrikos Respublikai (CAR) ir jos gyventojams po 2013 m. krizės. Konkrečiau, ES patikos fondas „Bêkou“ siekia užtikrinti galimybę naudotis pagrindinėmis paslaugomis (daugiausia sveikatos, vandens ir sanitarijos), remti ekonomikos atsigavimą ir darbo vietų kūrimą, skatinti socialinę sanglaudą ir susitaikymą.</w:t>
      </w:r>
    </w:p>
    <w:p>
      <w:pPr>
        <w:pStyle w:val="Textstand-alone"/>
      </w:pPr>
      <w:r>
        <w:t>Nepaisant to, kad yra demokratiškai išrinkta vyriausybė ir 2019 m. vasario mėn. buvo pasirašytas taikos susitarimas, saugumo padėtis CAR tebėra nestabili. Šioje sudėtingoje ir nestabilioje aplinkoje ES patikos fondas „Bêkou“ naudojasi savo lyginamaisiais lankstumo ir gebėjimo prisitaikyti prie kintančių aplinkybių pranašumais. Be to, ES patikos fondas „Bêkou“ ir toliau yra vienintelė priemonė, kuria, taikant tikrą pagalbos, atkūrimo ir vystymosi susiejimo metodą, didinamas tiek gyventojų, tiek valstybės atsparumas.</w:t>
      </w:r>
    </w:p>
    <w:p>
      <w:pPr>
        <w:pStyle w:val="Textstand-alone"/>
      </w:pPr>
      <w:r>
        <w:t xml:space="preserve">2019 m. gegužės mėn., atsižvelgdama į esamą situaciją CAR, ES pritarė ES patikos fondo „Bêkou“ veiklos pratęsimui iki 2020 m. gruodžio mėn., taip prailgindama bendrą jo veiklos trukmę nuo 60 iki 78 mėnesių. Oficiali procedūra, apimanti konsultacijas su Europos Parlamentu ir Taryba, buvo pradėta 2018 m., po to, kai ES patikos fondo valdyba pateikė oficialų prašymą. </w:t>
      </w:r>
    </w:p>
    <w:p>
      <w:pPr>
        <w:pStyle w:val="Textstand-alone"/>
      </w:pPr>
      <w:r>
        <w:t>Svarbiausi 2019 m. veiklos momentai:</w:t>
      </w:r>
    </w:p>
    <w:p>
      <w:pPr>
        <w:pStyle w:val="Textstand-alone"/>
        <w:numPr>
          <w:ilvl w:val="0"/>
          <w:numId w:val="18"/>
        </w:numPr>
      </w:pPr>
      <w:r>
        <w:t xml:space="preserve">Gegužės mėn., pasirašius taikos susitarimą, ES patikos fondas „Bêkou“ priėmė naujas įvairius sektorius apimančias priemones, kuriomis remiamas socialinis ir ekonominis atsigavimas pietryčių regione, kuris anksčiau nebuvo prieinamas. Šia priemone siekiama atnaujinti valstybės ir gyventojų socialinę sutartį remiant ekonomikos atgaivinimą, atkuriant pagrindines sveikatos ir vandens bei sanitarijos paslaugas, skatinant dialogą ir socialinę sanglaudą, stiprinant vietos valdžios institucijas ir remiant valstybės restruktūrizavimą. Skirtas biudžetas – 18 mln. EUR. </w:t>
      </w:r>
    </w:p>
    <w:p>
      <w:pPr>
        <w:pStyle w:val="Textstand-alone"/>
        <w:numPr>
          <w:ilvl w:val="0"/>
          <w:numId w:val="18"/>
        </w:numPr>
      </w:pPr>
      <w:r>
        <w:t>Spalio mėn. ES patikos fondas „Bêkou“ patvirtino verslumo skatinimo miesto ir kaimo vietovėse paramos programą, kuriai iš viso skirta 15 mln. EUR. Taip pat patvirtinta nauja techninės pagalbos ir pagalbos komunikacijos srityje priemonė. Be to, ES patikos fondas „Bêkou“ padidino trijų vykdomų priemonių sveikatos apsaugos (papildoma 21,76 mln. EUR suma), lyčių įgalėjimo (papildoma 0,5 mln. EUR suma) ir socialinės bei ekonominės reabilitacijos (papildoma 0,78 mln. EUR suma) srityse biudžetą.</w:t>
      </w:r>
    </w:p>
    <w:p>
      <w:pPr>
        <w:pStyle w:val="Textstand-alone"/>
        <w:numPr>
          <w:ilvl w:val="0"/>
          <w:numId w:val="18"/>
        </w:numPr>
      </w:pPr>
      <w:r>
        <w:t xml:space="preserve">Pratęsus ES patikos fondo „Bêkou“ veiklą, lapkričio mėn. valdyba priėmė 2019–2020 m. veiklos strategiją. Joje nustatytos trys plačios intervencijos sritys, kurios tebėra aktualios ES patikos fondui: i) socialiniai sektoriai (daugiausia sveikatos, vandens ir sanitarijos); ii) ekonomikos atsparumą ir atsigavimą skatinantys veiksmai ir iii) sustiprintas valstybės restruktūrizavimo ir susitaikymo veiksmų rėmimas. </w:t>
      </w:r>
    </w:p>
    <w:p>
      <w:pPr>
        <w:pStyle w:val="Textstand-alone"/>
        <w:numPr>
          <w:ilvl w:val="0"/>
          <w:numId w:val="18"/>
        </w:numPr>
      </w:pPr>
      <w:r>
        <w:t>ES patikos fondo „Bêkou“ projektams buvo būdinga tai, kad jie vykdomi nestabiliomis saugumo sąlygomis (vietinio pobūdžio konfliktai Bangyje ir nuošaliose teritorijose, po kurių sekė santykinio stabilumo laikotarpiai), bet taip pat ir sustiprintas vyriausybės, partnerių ir humanitarinės pagalbos teikėjų veiksmų koordinavimas.</w:t>
      </w:r>
    </w:p>
    <w:p>
      <w:pPr>
        <w:pStyle w:val="Textstand-alone"/>
      </w:pPr>
      <w:r>
        <w:t>Kalbant apie finansinę padėtį, 2019 m. pabaigoje ES patikos fondo įnašų mokėtojų įsipareigojimai sudarė beveik 296 mln. EUR. Palyginti su 2018 m., ši suma padidėjo 53 mln. EUR. Iš šių 295 mln. EUR dar reikia patvirtinti 31 mln. EUR.</w:t>
      </w:r>
    </w:p>
    <w:p>
      <w:pPr>
        <w:pStyle w:val="Textstand-alone"/>
      </w:pPr>
      <w:r>
        <w:t xml:space="preserve">Kalbant apie sutartis, 2019 m. ES patikos fondas „Bêkou“ pasirašė 11 naujų sutarčių, kurių bendra vertė viršija 28 mln. EUR. Jos padeda įgyvendinti fondo programas sveikatos, kaimo vietovių atsparumo ir darbo vietų kūrimo, regionų atvėrimo ir socialinio bei ekonominio atsigavimo srityse. </w:t>
      </w:r>
    </w:p>
    <w:p>
      <w:pPr>
        <w:pStyle w:val="Textstand-alone"/>
      </w:pPr>
      <w:r>
        <w:t>Galiausiai, be ankstesniais metais atliktų mokėjimų, 2019 m. išmokėta beveik 32 mln. EUR; nuo ES patikos fondo „Bêkou“ sukūrimo iš viso išmokėta beveik 151 mln. EUR.</w:t>
      </w:r>
    </w:p>
    <w:p>
      <w:pPr>
        <w:pStyle w:val="Textstand-alone"/>
      </w:pPr>
      <w:r>
        <w:t>Finansinėse ataskaitose pirmiau minėtos veiklos poveikis yra akivaizdžiausias šiose srityse:</w:t>
      </w:r>
    </w:p>
    <w:p>
      <w:pPr>
        <w:pStyle w:val="Textstand-alone"/>
        <w:numPr>
          <w:ilvl w:val="0"/>
          <w:numId w:val="17"/>
        </w:numPr>
        <w:spacing w:before="0" w:after="0"/>
        <w:ind w:left="714" w:hanging="357"/>
      </w:pPr>
      <w:r>
        <w:t>išankstinio finansavimo: 11 405 tūkst. EUR sumažėjimas dėl 2018 m. pabaigoje nepanaudotų sumų panaudojimo 2019 m., atėmus išmokėtus avansus;</w:t>
      </w:r>
    </w:p>
    <w:p>
      <w:pPr>
        <w:pStyle w:val="Textstand-alone"/>
        <w:numPr>
          <w:ilvl w:val="0"/>
          <w:numId w:val="17"/>
        </w:numPr>
        <w:spacing w:before="120"/>
        <w:ind w:left="714" w:hanging="357"/>
      </w:pPr>
      <w:r>
        <w:t>pinigų ir pinigų ekvivalentų: 3 506 tūkst. EUR padidėjimas (žr. pinigų srautų ataskaitą) daugiausia dėl mažesnių išankstinio finansavimo mokėjimų.</w:t>
      </w:r>
    </w:p>
    <w:p>
      <w:pPr>
        <w:pStyle w:val="Textstand-alone"/>
        <w:numPr>
          <w:ilvl w:val="0"/>
          <w:numId w:val="17"/>
        </w:numPr>
        <w:spacing w:before="120"/>
        <w:ind w:left="714" w:hanging="357"/>
        <w:sectPr>
          <w:headerReference w:type="even" r:id="rId227"/>
          <w:headerReference w:type="default" r:id="rId228"/>
          <w:footerReference w:type="even" r:id="rId229"/>
          <w:footerReference w:type="default" r:id="rId230"/>
          <w:headerReference w:type="first" r:id="rId231"/>
          <w:footerReference w:type="first" r:id="rId232"/>
          <w:pgSz w:w="11906" w:h="16838" w:code="9"/>
          <w:pgMar w:top="1134" w:right="1134" w:bottom="1134" w:left="1134" w:header="708" w:footer="708" w:gutter="0"/>
          <w:cols w:space="708"/>
          <w:docGrid w:linePitch="360"/>
        </w:sectPr>
      </w:pPr>
    </w:p>
    <w:p>
      <w:pPr>
        <w:pStyle w:val="HEADERTITLE1"/>
      </w:pPr>
      <w:bookmarkStart w:id="98" w:name="_Toc9948396"/>
      <w:bookmarkStart w:id="99" w:name="_Toc41982823"/>
      <w:bookmarkStart w:id="100" w:name="_Toc48834993"/>
      <w:r>
        <w:t>BALANSAS</w:t>
      </w:r>
      <w:bookmarkEnd w:id="98"/>
      <w:bookmarkEnd w:id="99"/>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2"/>
        <w:gridCol w:w="911"/>
        <w:gridCol w:w="1357"/>
        <w:gridCol w:w="1618"/>
      </w:tblGrid>
      <w:tr>
        <w:trPr>
          <w:trHeight w:val="255"/>
        </w:trPr>
        <w:tc>
          <w:tcPr>
            <w:tcW w:w="5872"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cs="Calibri"/>
                <w:noProof/>
                <w:color w:val="000000"/>
                <w:sz w:val="22"/>
              </w:rPr>
            </w:pPr>
            <w:bookmarkStart w:id="101" w:name="DOC_TBL00047_1_1"/>
            <w:bookmarkEnd w:id="101"/>
          </w:p>
        </w:tc>
        <w:tc>
          <w:tcPr>
            <w:tcW w:w="911"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cs="Calibri"/>
                <w:noProof/>
                <w:color w:val="000000"/>
                <w:sz w:val="22"/>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cs="Calibri"/>
                <w:noProof/>
                <w:color w:val="000000"/>
                <w:sz w:val="22"/>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6"/>
              </w:rPr>
            </w:pPr>
            <w:r>
              <w:rPr>
                <w:rFonts w:ascii="Verdana" w:hAnsi="Verdana"/>
                <w:i/>
                <w:noProof/>
                <w:color w:val="000000"/>
                <w:sz w:val="16"/>
              </w:rPr>
              <w:t xml:space="preserve"> tūkst. EUR</w:t>
            </w:r>
          </w:p>
        </w:tc>
      </w:tr>
      <w:tr>
        <w:trPr>
          <w:trHeight w:val="255"/>
        </w:trPr>
        <w:tc>
          <w:tcPr>
            <w:tcW w:w="5872" w:type="dxa"/>
            <w:tcBorders>
              <w:top w:val="nil"/>
              <w:left w:val="nil"/>
              <w:bottom w:val="nil"/>
              <w:right w:val="nil"/>
              <w:tl2br w:val="nil"/>
              <w:tr2bl w:val="nil"/>
            </w:tcBorders>
            <w:shd w:val="solid" w:color="016794" w:fill="FFFFFF"/>
            <w:tcMar>
              <w:left w:w="60" w:type="dxa"/>
              <w:right w:w="60" w:type="dxa"/>
            </w:tcMar>
            <w:vAlign w:val="bottom"/>
          </w:tcPr>
          <w:p>
            <w:pPr>
              <w:pStyle w:val="DMETW18319BIPBS"/>
              <w:rPr>
                <w:rFonts w:ascii="Verdana" w:eastAsia="Verdana" w:hAnsi="Verdana" w:cs="Verdana"/>
                <w:noProof/>
                <w:color w:val="FFFFFF"/>
              </w:rPr>
            </w:pPr>
          </w:p>
        </w:tc>
        <w:tc>
          <w:tcPr>
            <w:tcW w:w="911" w:type="dxa"/>
            <w:tcBorders>
              <w:top w:val="nil"/>
              <w:left w:val="nil"/>
              <w:bottom w:val="nil"/>
              <w:right w:val="nil"/>
              <w:tl2br w:val="nil"/>
              <w:tr2bl w:val="nil"/>
            </w:tcBorders>
            <w:shd w:val="solid" w:color="016794" w:fill="FFFFFF"/>
            <w:tcMar>
              <w:left w:w="60" w:type="dxa"/>
              <w:right w:w="60" w:type="dxa"/>
            </w:tcMar>
            <w:vAlign w:val="bottom"/>
          </w:tcPr>
          <w:p>
            <w:pPr>
              <w:pStyle w:val="DMETW18319BIPBS"/>
              <w:jc w:val="center"/>
              <w:rPr>
                <w:rFonts w:ascii="Verdana" w:eastAsia="Verdana" w:hAnsi="Verdana" w:cs="Verdana"/>
                <w:noProof/>
                <w:color w:val="FFFFFF"/>
              </w:rPr>
            </w:pPr>
            <w:r>
              <w:rPr>
                <w:rFonts w:ascii="Verdana" w:hAnsi="Verdana"/>
                <w:noProof/>
                <w:color w:val="FFFFFF"/>
              </w:rPr>
              <w:t>Pastaba</w:t>
            </w:r>
          </w:p>
        </w:tc>
        <w:tc>
          <w:tcPr>
            <w:tcW w:w="1357" w:type="dxa"/>
            <w:tcBorders>
              <w:top w:val="nil"/>
              <w:left w:val="nil"/>
              <w:bottom w:val="nil"/>
              <w:right w:val="nil"/>
              <w:tl2br w:val="nil"/>
              <w:tr2bl w:val="nil"/>
            </w:tcBorders>
            <w:shd w:val="solid" w:color="016794" w:fill="FFFFFF"/>
            <w:tcMar>
              <w:left w:w="60" w:type="dxa"/>
              <w:right w:w="60" w:type="dxa"/>
            </w:tcMar>
            <w:vAlign w:val="bottom"/>
          </w:tcPr>
          <w:p>
            <w:pPr>
              <w:pStyle w:val="DMETW18319BIPBS"/>
              <w:jc w:val="right"/>
              <w:rPr>
                <w:rFonts w:ascii="Verdana" w:eastAsia="Verdana" w:hAnsi="Verdana" w:cs="Verdana"/>
                <w:noProof/>
                <w:color w:val="FFFFFF"/>
              </w:rPr>
            </w:pPr>
            <w:r>
              <w:rPr>
                <w:rFonts w:ascii="Verdana" w:hAnsi="Verdana"/>
                <w:noProof/>
                <w:color w:val="FFFFFF"/>
              </w:rPr>
              <w:t>2019 12 31</w:t>
            </w:r>
          </w:p>
        </w:tc>
        <w:tc>
          <w:tcPr>
            <w:tcW w:w="1618" w:type="dxa"/>
            <w:tcBorders>
              <w:top w:val="nil"/>
              <w:left w:val="nil"/>
              <w:bottom w:val="nil"/>
              <w:right w:val="nil"/>
              <w:tl2br w:val="nil"/>
              <w:tr2bl w:val="nil"/>
            </w:tcBorders>
            <w:shd w:val="solid" w:color="016794" w:fill="FFFFFF"/>
            <w:tcMar>
              <w:left w:w="60" w:type="dxa"/>
              <w:right w:w="60" w:type="dxa"/>
            </w:tcMar>
            <w:vAlign w:val="bottom"/>
          </w:tcPr>
          <w:p>
            <w:pPr>
              <w:pStyle w:val="DMETW18319BIPBS"/>
              <w:jc w:val="right"/>
              <w:rPr>
                <w:rFonts w:ascii="Verdana" w:eastAsia="Verdana" w:hAnsi="Verdana" w:cs="Verdana"/>
                <w:noProof/>
                <w:color w:val="FFFFFF"/>
              </w:rPr>
            </w:pPr>
            <w:r>
              <w:rPr>
                <w:rFonts w:ascii="Verdana" w:hAnsi="Verdana"/>
                <w:noProof/>
                <w:color w:val="FFFFFF"/>
              </w:rPr>
              <w:t>2018 12 31</w:t>
            </w:r>
          </w:p>
        </w:tc>
      </w:tr>
      <w:tr>
        <w:trPr>
          <w:trHeight w:val="255"/>
        </w:trPr>
        <w:tc>
          <w:tcPr>
            <w:tcW w:w="5872"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b/>
                <w:noProof/>
                <w:color w:val="000000"/>
                <w:sz w:val="18"/>
              </w:rPr>
            </w:pPr>
            <w:r>
              <w:rPr>
                <w:rFonts w:ascii="Verdana" w:hAnsi="Verdana"/>
                <w:b/>
                <w:noProof/>
                <w:color w:val="000000"/>
                <w:sz w:val="18"/>
              </w:rPr>
              <w:t>ILGALAIKIS TURTAS</w:t>
            </w:r>
          </w:p>
        </w:tc>
        <w:tc>
          <w:tcPr>
            <w:tcW w:w="911"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b/>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lang w:bidi="en-GB"/>
              </w:rPr>
            </w:pPr>
          </w:p>
        </w:tc>
      </w:tr>
      <w:tr>
        <w:trPr>
          <w:trHeight w:val="255"/>
        </w:trPr>
        <w:tc>
          <w:tcPr>
            <w:tcW w:w="5872"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hAnsi="Verdana"/>
                <w:i/>
                <w:noProof/>
                <w:color w:val="000000"/>
                <w:sz w:val="18"/>
              </w:rPr>
              <w:t>Išankstinis finansavimas</w:t>
            </w:r>
          </w:p>
        </w:tc>
        <w:tc>
          <w:tcPr>
            <w:tcW w:w="911"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3 273</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3 443</w:t>
            </w:r>
          </w:p>
        </w:tc>
      </w:tr>
      <w:tr>
        <w:trPr>
          <w:trHeight w:val="255"/>
        </w:trPr>
        <w:tc>
          <w:tcPr>
            <w:tcW w:w="58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p>
        </w:tc>
        <w:tc>
          <w:tcPr>
            <w:tcW w:w="9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 xml:space="preserve"> 3 273</w:t>
            </w:r>
          </w:p>
        </w:tc>
        <w:tc>
          <w:tcPr>
            <w:tcW w:w="16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 xml:space="preserve"> 3 443</w:t>
            </w:r>
          </w:p>
        </w:tc>
      </w:tr>
      <w:tr>
        <w:trPr>
          <w:trHeight w:val="255"/>
        </w:trPr>
        <w:tc>
          <w:tcPr>
            <w:tcW w:w="5872"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b/>
                <w:noProof/>
                <w:color w:val="000000"/>
                <w:sz w:val="18"/>
              </w:rPr>
            </w:pPr>
            <w:r>
              <w:rPr>
                <w:rFonts w:ascii="Verdana" w:hAnsi="Verdana"/>
                <w:b/>
                <w:noProof/>
                <w:color w:val="000000"/>
                <w:sz w:val="18"/>
              </w:rPr>
              <w:t>TRUMPALAIKIS TURTAS</w:t>
            </w:r>
          </w:p>
        </w:tc>
        <w:tc>
          <w:tcPr>
            <w:tcW w:w="911"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b/>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lang w:bidi="en-GB"/>
              </w:rPr>
            </w:pPr>
          </w:p>
        </w:tc>
      </w:tr>
      <w:tr>
        <w:trPr>
          <w:trHeight w:val="255"/>
        </w:trPr>
        <w:tc>
          <w:tcPr>
            <w:tcW w:w="5872"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hAnsi="Verdana"/>
                <w:i/>
                <w:noProof/>
                <w:color w:val="000000"/>
                <w:sz w:val="18"/>
              </w:rPr>
              <w:t>Išankstinis finansavimas</w:t>
            </w:r>
          </w:p>
        </w:tc>
        <w:tc>
          <w:tcPr>
            <w:tcW w:w="911"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18 312</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29 546</w:t>
            </w:r>
          </w:p>
        </w:tc>
      </w:tr>
      <w:tr>
        <w:trPr>
          <w:trHeight w:val="255"/>
        </w:trPr>
        <w:tc>
          <w:tcPr>
            <w:tcW w:w="5872"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hAnsi="Verdana"/>
                <w:i/>
                <w:noProof/>
                <w:color w:val="000000"/>
                <w:sz w:val="18"/>
              </w:rPr>
              <w:t>Iš prekybos gautinos sumos ir neprekybinės susigrąžintinos sumos</w:t>
            </w:r>
          </w:p>
        </w:tc>
        <w:tc>
          <w:tcPr>
            <w:tcW w:w="911"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1 853</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1 138</w:t>
            </w:r>
          </w:p>
        </w:tc>
      </w:tr>
      <w:tr>
        <w:trPr>
          <w:trHeight w:val="255"/>
        </w:trPr>
        <w:tc>
          <w:tcPr>
            <w:tcW w:w="587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hAnsi="Verdana"/>
                <w:i/>
                <w:noProof/>
                <w:color w:val="000000"/>
                <w:sz w:val="18"/>
              </w:rPr>
              <w:t xml:space="preserve">Pinigai ir pinigų ekvivalentai </w:t>
            </w:r>
          </w:p>
        </w:tc>
        <w:tc>
          <w:tcPr>
            <w:tcW w:w="911"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17 432</w:t>
            </w:r>
          </w:p>
        </w:tc>
        <w:tc>
          <w:tcPr>
            <w:tcW w:w="161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13 926</w:t>
            </w:r>
          </w:p>
        </w:tc>
      </w:tr>
      <w:tr>
        <w:trPr>
          <w:trHeight w:val="255"/>
        </w:trPr>
        <w:tc>
          <w:tcPr>
            <w:tcW w:w="5872"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p>
        </w:tc>
        <w:tc>
          <w:tcPr>
            <w:tcW w:w="911"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 xml:space="preserve"> 37 597</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 xml:space="preserve"> 44 611</w:t>
            </w:r>
          </w:p>
        </w:tc>
      </w:tr>
      <w:tr>
        <w:trPr>
          <w:trHeight w:val="255"/>
        </w:trPr>
        <w:tc>
          <w:tcPr>
            <w:tcW w:w="5872" w:type="dxa"/>
            <w:tcBorders>
              <w:top w:val="nil"/>
              <w:left w:val="nil"/>
              <w:bottom w:val="nil"/>
              <w:right w:val="nil"/>
              <w:tl2br w:val="nil"/>
              <w:tr2bl w:val="nil"/>
            </w:tcBorders>
            <w:shd w:val="solid" w:color="CCE1EA" w:fill="FFFFFF"/>
            <w:tcMar>
              <w:left w:w="60" w:type="dxa"/>
              <w:right w:w="60" w:type="dxa"/>
            </w:tcMar>
            <w:vAlign w:val="bottom"/>
          </w:tcPr>
          <w:p>
            <w:pPr>
              <w:pStyle w:val="DMETW18319BIPBS"/>
              <w:rPr>
                <w:rFonts w:ascii="Verdana" w:eastAsia="Verdana" w:hAnsi="Verdana" w:cs="Verdana"/>
                <w:b/>
                <w:noProof/>
                <w:color w:val="000000"/>
                <w:sz w:val="18"/>
              </w:rPr>
            </w:pPr>
            <w:r>
              <w:rPr>
                <w:rFonts w:ascii="Verdana" w:hAnsi="Verdana"/>
                <w:b/>
                <w:noProof/>
                <w:color w:val="000000"/>
                <w:sz w:val="18"/>
              </w:rPr>
              <w:t>IŠ VISO TURTO</w:t>
            </w:r>
          </w:p>
        </w:tc>
        <w:tc>
          <w:tcPr>
            <w:tcW w:w="911"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center"/>
              <w:rPr>
                <w:rFonts w:ascii="Verdana" w:eastAsia="Verdana" w:hAnsi="Verdana" w:cs="Verdana"/>
                <w:noProof/>
                <w:color w:val="000000"/>
                <w:sz w:val="18"/>
              </w:rPr>
            </w:pPr>
          </w:p>
        </w:tc>
        <w:tc>
          <w:tcPr>
            <w:tcW w:w="1357"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 xml:space="preserve"> 40 870</w:t>
            </w:r>
          </w:p>
        </w:tc>
        <w:tc>
          <w:tcPr>
            <w:tcW w:w="1618"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 xml:space="preserve"> 48 054</w:t>
            </w:r>
          </w:p>
        </w:tc>
      </w:tr>
      <w:tr>
        <w:trPr>
          <w:trHeight w:val="255"/>
        </w:trPr>
        <w:tc>
          <w:tcPr>
            <w:tcW w:w="5872"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cs="Calibri"/>
                <w:noProof/>
                <w:color w:val="000000"/>
                <w:sz w:val="22"/>
              </w:rPr>
            </w:pPr>
          </w:p>
        </w:tc>
        <w:tc>
          <w:tcPr>
            <w:tcW w:w="911"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cs="Calibri"/>
                <w:noProof/>
                <w:color w:val="000000"/>
                <w:sz w:val="22"/>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cs="Calibri"/>
                <w:noProof/>
                <w:color w:val="000000"/>
                <w:sz w:val="22"/>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cs="Calibri"/>
                <w:noProof/>
                <w:color w:val="000000"/>
                <w:sz w:val="22"/>
                <w:lang w:bidi="en-GB"/>
              </w:rPr>
            </w:pPr>
          </w:p>
        </w:tc>
      </w:tr>
      <w:tr>
        <w:trPr>
          <w:trHeight w:val="255"/>
        </w:trPr>
        <w:tc>
          <w:tcPr>
            <w:tcW w:w="5872"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b/>
                <w:noProof/>
                <w:color w:val="000000"/>
                <w:sz w:val="18"/>
              </w:rPr>
            </w:pPr>
            <w:r>
              <w:rPr>
                <w:rFonts w:ascii="Verdana" w:hAnsi="Verdana"/>
                <w:b/>
                <w:noProof/>
                <w:color w:val="000000"/>
                <w:sz w:val="18"/>
              </w:rPr>
              <w:t>ILGALAIKIAI ĮSIPAREIGOJIMAI</w:t>
            </w:r>
          </w:p>
        </w:tc>
        <w:tc>
          <w:tcPr>
            <w:tcW w:w="911"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b/>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lang w:bidi="en-GB"/>
              </w:rPr>
            </w:pPr>
          </w:p>
        </w:tc>
      </w:tr>
      <w:tr>
        <w:trPr>
          <w:trHeight w:val="255"/>
        </w:trPr>
        <w:tc>
          <w:tcPr>
            <w:tcW w:w="587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hAnsi="Verdana"/>
                <w:i/>
                <w:noProof/>
                <w:color w:val="000000"/>
                <w:sz w:val="18"/>
              </w:rPr>
              <w:t>Finansiniai įsipareigojimai</w:t>
            </w:r>
          </w:p>
        </w:tc>
        <w:tc>
          <w:tcPr>
            <w:tcW w:w="911"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(29 727)</w:t>
            </w:r>
          </w:p>
        </w:tc>
        <w:tc>
          <w:tcPr>
            <w:tcW w:w="161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(42 737)</w:t>
            </w:r>
          </w:p>
        </w:tc>
      </w:tr>
      <w:tr>
        <w:trPr>
          <w:trHeight w:val="255"/>
        </w:trPr>
        <w:tc>
          <w:tcPr>
            <w:tcW w:w="58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p>
        </w:tc>
        <w:tc>
          <w:tcPr>
            <w:tcW w:w="9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 xml:space="preserve"> (29 727)</w:t>
            </w:r>
          </w:p>
        </w:tc>
        <w:tc>
          <w:tcPr>
            <w:tcW w:w="16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 xml:space="preserve"> (42 737)</w:t>
            </w:r>
          </w:p>
        </w:tc>
      </w:tr>
      <w:tr>
        <w:trPr>
          <w:trHeight w:val="255"/>
        </w:trPr>
        <w:tc>
          <w:tcPr>
            <w:tcW w:w="5872"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b/>
                <w:noProof/>
                <w:color w:val="000000"/>
                <w:sz w:val="18"/>
              </w:rPr>
            </w:pPr>
            <w:r>
              <w:rPr>
                <w:rFonts w:ascii="Verdana" w:hAnsi="Verdana"/>
                <w:b/>
                <w:noProof/>
                <w:color w:val="000000"/>
                <w:sz w:val="18"/>
              </w:rPr>
              <w:t>TRUMPALAIKIAI ĮSIPAREIGOJIMAI</w:t>
            </w:r>
          </w:p>
        </w:tc>
        <w:tc>
          <w:tcPr>
            <w:tcW w:w="911"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b/>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lang w:bidi="en-GB"/>
              </w:rPr>
            </w:pPr>
          </w:p>
        </w:tc>
      </w:tr>
      <w:tr>
        <w:trPr>
          <w:trHeight w:val="255"/>
        </w:trPr>
        <w:tc>
          <w:tcPr>
            <w:tcW w:w="5872"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hAnsi="Verdana"/>
                <w:i/>
                <w:noProof/>
                <w:color w:val="000000"/>
                <w:sz w:val="18"/>
              </w:rPr>
              <w:t xml:space="preserve">Mokėtinos sumos </w:t>
            </w:r>
          </w:p>
        </w:tc>
        <w:tc>
          <w:tcPr>
            <w:tcW w:w="911"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(10)</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(918)</w:t>
            </w:r>
          </w:p>
        </w:tc>
      </w:tr>
      <w:tr>
        <w:trPr>
          <w:trHeight w:val="255"/>
        </w:trPr>
        <w:tc>
          <w:tcPr>
            <w:tcW w:w="587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hAnsi="Verdana"/>
                <w:i/>
                <w:noProof/>
                <w:color w:val="000000"/>
                <w:sz w:val="18"/>
              </w:rPr>
              <w:t>Sukauptos sąnaudos ir būsimojo laikotarpio pajamos</w:t>
            </w:r>
          </w:p>
        </w:tc>
        <w:tc>
          <w:tcPr>
            <w:tcW w:w="911"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(11 133)</w:t>
            </w:r>
          </w:p>
        </w:tc>
        <w:tc>
          <w:tcPr>
            <w:tcW w:w="161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(4 399)</w:t>
            </w:r>
          </w:p>
        </w:tc>
      </w:tr>
      <w:tr>
        <w:trPr>
          <w:trHeight w:val="255"/>
        </w:trPr>
        <w:tc>
          <w:tcPr>
            <w:tcW w:w="5872"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p>
        </w:tc>
        <w:tc>
          <w:tcPr>
            <w:tcW w:w="911"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 xml:space="preserve"> (11 143)</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 xml:space="preserve"> (5 317)</w:t>
            </w:r>
          </w:p>
        </w:tc>
      </w:tr>
      <w:tr>
        <w:trPr>
          <w:trHeight w:val="255"/>
        </w:trPr>
        <w:tc>
          <w:tcPr>
            <w:tcW w:w="5872" w:type="dxa"/>
            <w:tcBorders>
              <w:top w:val="nil"/>
              <w:left w:val="nil"/>
              <w:bottom w:val="nil"/>
              <w:right w:val="nil"/>
              <w:tl2br w:val="nil"/>
              <w:tr2bl w:val="nil"/>
            </w:tcBorders>
            <w:shd w:val="solid" w:color="CCE1EA" w:fill="FFFFFF"/>
            <w:tcMar>
              <w:left w:w="60" w:type="dxa"/>
              <w:right w:w="60" w:type="dxa"/>
            </w:tcMar>
            <w:vAlign w:val="bottom"/>
          </w:tcPr>
          <w:p>
            <w:pPr>
              <w:pStyle w:val="DMETW18319BIPBS"/>
              <w:rPr>
                <w:rFonts w:ascii="Verdana" w:eastAsia="Verdana" w:hAnsi="Verdana" w:cs="Verdana"/>
                <w:b/>
                <w:noProof/>
                <w:color w:val="000000"/>
                <w:sz w:val="18"/>
              </w:rPr>
            </w:pPr>
            <w:r>
              <w:rPr>
                <w:rFonts w:ascii="Verdana" w:hAnsi="Verdana"/>
                <w:b/>
                <w:noProof/>
                <w:color w:val="000000"/>
                <w:sz w:val="18"/>
              </w:rPr>
              <w:t>IŠ VISO ĮSIPAREIGOJIMŲ</w:t>
            </w:r>
          </w:p>
        </w:tc>
        <w:tc>
          <w:tcPr>
            <w:tcW w:w="911"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center"/>
              <w:rPr>
                <w:rFonts w:ascii="Verdana" w:eastAsia="Verdana" w:hAnsi="Verdana" w:cs="Verdana"/>
                <w:noProof/>
                <w:color w:val="000000"/>
                <w:sz w:val="18"/>
              </w:rPr>
            </w:pPr>
          </w:p>
        </w:tc>
        <w:tc>
          <w:tcPr>
            <w:tcW w:w="1357"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 xml:space="preserve"> (40 870)</w:t>
            </w:r>
          </w:p>
        </w:tc>
        <w:tc>
          <w:tcPr>
            <w:tcW w:w="1618"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 xml:space="preserve"> (48 054)</w:t>
            </w:r>
          </w:p>
        </w:tc>
      </w:tr>
      <w:tr>
        <w:trPr>
          <w:trHeight w:val="255"/>
        </w:trPr>
        <w:tc>
          <w:tcPr>
            <w:tcW w:w="5872"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p>
        </w:tc>
        <w:tc>
          <w:tcPr>
            <w:tcW w:w="911"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lang w:bidi="en-GB"/>
              </w:rPr>
            </w:pPr>
          </w:p>
        </w:tc>
      </w:tr>
      <w:tr>
        <w:trPr>
          <w:trHeight w:val="255"/>
        </w:trPr>
        <w:tc>
          <w:tcPr>
            <w:tcW w:w="5872" w:type="dxa"/>
            <w:tcBorders>
              <w:top w:val="nil"/>
              <w:left w:val="nil"/>
              <w:bottom w:val="nil"/>
              <w:right w:val="nil"/>
              <w:tl2br w:val="nil"/>
              <w:tr2bl w:val="nil"/>
            </w:tcBorders>
            <w:shd w:val="solid" w:color="CCE1EA" w:fill="FFFFFF"/>
            <w:tcMar>
              <w:left w:w="60" w:type="dxa"/>
              <w:right w:w="60" w:type="dxa"/>
            </w:tcMar>
            <w:vAlign w:val="bottom"/>
          </w:tcPr>
          <w:p>
            <w:pPr>
              <w:pStyle w:val="DMETW18319BIPBS"/>
              <w:rPr>
                <w:rFonts w:ascii="Verdana" w:eastAsia="Verdana" w:hAnsi="Verdana" w:cs="Verdana"/>
                <w:b/>
                <w:noProof/>
                <w:color w:val="000000"/>
                <w:sz w:val="18"/>
              </w:rPr>
            </w:pPr>
            <w:r>
              <w:rPr>
                <w:rFonts w:ascii="Verdana" w:hAnsi="Verdana"/>
                <w:b/>
                <w:noProof/>
                <w:color w:val="000000"/>
                <w:sz w:val="18"/>
              </w:rPr>
              <w:t>GRYNASIS TURTAS</w:t>
            </w:r>
          </w:p>
        </w:tc>
        <w:tc>
          <w:tcPr>
            <w:tcW w:w="911"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center"/>
              <w:rPr>
                <w:rFonts w:ascii="Verdana" w:eastAsia="Verdana" w:hAnsi="Verdana" w:cs="Verdana"/>
                <w:noProof/>
                <w:color w:val="000000"/>
                <w:sz w:val="18"/>
              </w:rPr>
            </w:pPr>
          </w:p>
        </w:tc>
        <w:tc>
          <w:tcPr>
            <w:tcW w:w="1357"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w:t>
            </w:r>
          </w:p>
        </w:tc>
        <w:tc>
          <w:tcPr>
            <w:tcW w:w="1618"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w:t>
            </w:r>
          </w:p>
        </w:tc>
      </w:tr>
      <w:tr>
        <w:trPr>
          <w:trHeight w:val="255"/>
        </w:trPr>
        <w:tc>
          <w:tcPr>
            <w:tcW w:w="5872"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b/>
                <w:noProof/>
                <w:color w:val="000000"/>
                <w:sz w:val="18"/>
              </w:rPr>
            </w:pPr>
          </w:p>
        </w:tc>
        <w:tc>
          <w:tcPr>
            <w:tcW w:w="911"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lang w:bidi="en-GB"/>
              </w:rPr>
            </w:pPr>
          </w:p>
        </w:tc>
      </w:tr>
      <w:tr>
        <w:trPr>
          <w:trHeight w:val="255"/>
        </w:trPr>
        <w:tc>
          <w:tcPr>
            <w:tcW w:w="5872" w:type="dxa"/>
            <w:tcBorders>
              <w:top w:val="nil"/>
              <w:left w:val="nil"/>
              <w:bottom w:val="nil"/>
              <w:right w:val="nil"/>
              <w:tl2br w:val="nil"/>
              <w:tr2bl w:val="nil"/>
            </w:tcBorders>
            <w:shd w:val="solid" w:color="CCE1EA" w:fill="FFFFFF"/>
            <w:tcMar>
              <w:left w:w="60" w:type="dxa"/>
              <w:right w:w="60" w:type="dxa"/>
            </w:tcMar>
            <w:vAlign w:val="bottom"/>
          </w:tcPr>
          <w:p>
            <w:pPr>
              <w:pStyle w:val="DMETW18319BIPBS"/>
              <w:rPr>
                <w:rFonts w:ascii="Verdana" w:eastAsia="Verdana" w:hAnsi="Verdana" w:cs="Verdana"/>
                <w:b/>
                <w:noProof/>
                <w:color w:val="000000"/>
                <w:sz w:val="18"/>
              </w:rPr>
            </w:pPr>
            <w:r>
              <w:rPr>
                <w:rFonts w:ascii="Verdana" w:hAnsi="Verdana"/>
                <w:b/>
                <w:noProof/>
                <w:color w:val="000000"/>
                <w:sz w:val="18"/>
              </w:rPr>
              <w:t>FONDAI IR REZERVAI</w:t>
            </w:r>
          </w:p>
        </w:tc>
        <w:tc>
          <w:tcPr>
            <w:tcW w:w="911"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center"/>
              <w:rPr>
                <w:rFonts w:ascii="Verdana" w:eastAsia="Verdana" w:hAnsi="Verdana" w:cs="Verdana"/>
                <w:noProof/>
                <w:color w:val="000000"/>
                <w:sz w:val="18"/>
              </w:rPr>
            </w:pPr>
          </w:p>
        </w:tc>
        <w:tc>
          <w:tcPr>
            <w:tcW w:w="1357"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rPr>
            </w:pPr>
          </w:p>
        </w:tc>
        <w:tc>
          <w:tcPr>
            <w:tcW w:w="1618"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lang w:bidi="en-GB"/>
              </w:rPr>
            </w:pPr>
          </w:p>
        </w:tc>
      </w:tr>
      <w:tr>
        <w:trPr>
          <w:trHeight w:val="255"/>
        </w:trPr>
        <w:tc>
          <w:tcPr>
            <w:tcW w:w="5872"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hAnsi="Verdana"/>
                <w:i/>
                <w:noProof/>
                <w:color w:val="000000"/>
                <w:sz w:val="18"/>
              </w:rPr>
              <w:t>Narių įnašai</w:t>
            </w:r>
          </w:p>
        </w:tc>
        <w:tc>
          <w:tcPr>
            <w:tcW w:w="911"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5872"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hAnsi="Verdana"/>
                <w:i/>
                <w:noProof/>
                <w:color w:val="000000"/>
                <w:sz w:val="18"/>
              </w:rPr>
              <w:t>Sukauptas perteklius</w:t>
            </w:r>
          </w:p>
        </w:tc>
        <w:tc>
          <w:tcPr>
            <w:tcW w:w="911"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5872"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hAnsi="Verdana"/>
                <w:i/>
                <w:noProof/>
                <w:color w:val="000000"/>
                <w:sz w:val="18"/>
              </w:rPr>
              <w:t>Ekonominis metų rezultatas</w:t>
            </w:r>
          </w:p>
        </w:tc>
        <w:tc>
          <w:tcPr>
            <w:tcW w:w="911"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5872" w:type="dxa"/>
            <w:tcBorders>
              <w:top w:val="nil"/>
              <w:left w:val="nil"/>
              <w:bottom w:val="nil"/>
              <w:right w:val="nil"/>
              <w:tl2br w:val="nil"/>
              <w:tr2bl w:val="nil"/>
            </w:tcBorders>
            <w:shd w:val="solid" w:color="CCE1EA" w:fill="FFFFFF"/>
            <w:tcMar>
              <w:left w:w="60" w:type="dxa"/>
              <w:right w:w="60" w:type="dxa"/>
            </w:tcMar>
            <w:vAlign w:val="bottom"/>
          </w:tcPr>
          <w:p>
            <w:pPr>
              <w:pStyle w:val="DMETW18319BIPBS"/>
              <w:rPr>
                <w:rFonts w:ascii="Verdana" w:eastAsia="Verdana" w:hAnsi="Verdana" w:cs="Verdana"/>
                <w:b/>
                <w:noProof/>
                <w:color w:val="000000"/>
                <w:sz w:val="18"/>
              </w:rPr>
            </w:pPr>
            <w:r>
              <w:rPr>
                <w:rFonts w:ascii="Verdana" w:hAnsi="Verdana"/>
                <w:b/>
                <w:noProof/>
                <w:color w:val="000000"/>
                <w:sz w:val="18"/>
              </w:rPr>
              <w:t>GRYNASIS TURTAS</w:t>
            </w:r>
          </w:p>
        </w:tc>
        <w:tc>
          <w:tcPr>
            <w:tcW w:w="911"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center"/>
              <w:rPr>
                <w:rFonts w:ascii="Verdana" w:eastAsia="Verdana" w:hAnsi="Verdana" w:cs="Verdana"/>
                <w:noProof/>
                <w:color w:val="000000"/>
                <w:sz w:val="18"/>
              </w:rPr>
            </w:pPr>
          </w:p>
        </w:tc>
        <w:tc>
          <w:tcPr>
            <w:tcW w:w="1357"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w:t>
            </w:r>
          </w:p>
        </w:tc>
        <w:tc>
          <w:tcPr>
            <w:tcW w:w="1618"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w:t>
            </w:r>
          </w:p>
        </w:tc>
      </w:tr>
    </w:tbl>
    <w:p>
      <w:pPr>
        <w:pStyle w:val="HEADERTITLE1"/>
      </w:pPr>
    </w:p>
    <w:p>
      <w:pPr>
        <w:pStyle w:val="TOPHEADERNOTE"/>
        <w:rPr>
          <w:noProof/>
        </w:rPr>
        <w:sectPr>
          <w:headerReference w:type="even" r:id="rId233"/>
          <w:headerReference w:type="default" r:id="rId234"/>
          <w:footerReference w:type="even" r:id="rId235"/>
          <w:footerReference w:type="default" r:id="rId236"/>
          <w:headerReference w:type="first" r:id="rId237"/>
          <w:footerReference w:type="first" r:id="rId238"/>
          <w:pgSz w:w="11906" w:h="16838" w:code="9"/>
          <w:pgMar w:top="1134" w:right="1134" w:bottom="1134" w:left="1134" w:header="708" w:footer="708" w:gutter="0"/>
          <w:cols w:space="708"/>
          <w:docGrid w:linePitch="360"/>
        </w:sectPr>
      </w:pPr>
    </w:p>
    <w:p>
      <w:pPr>
        <w:pStyle w:val="HEADERTITLE1"/>
      </w:pPr>
      <w:bookmarkStart w:id="102" w:name="_Toc41982824"/>
      <w:bookmarkStart w:id="103" w:name="_Toc48834994"/>
      <w:r>
        <w:t>FINANSINĖS VEIKLOS ATASKAITA</w:t>
      </w:r>
      <w:bookmarkEnd w:id="102"/>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7"/>
        <w:gridCol w:w="1000"/>
        <w:gridCol w:w="2032"/>
        <w:gridCol w:w="1279"/>
      </w:tblGrid>
      <w:tr>
        <w:trPr>
          <w:trHeight w:val="255"/>
        </w:trPr>
        <w:tc>
          <w:tcPr>
            <w:tcW w:w="5447"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noProof/>
                <w:color w:val="000000"/>
              </w:rPr>
            </w:pPr>
            <w:bookmarkStart w:id="104" w:name="DOC_TBL00048_1_1"/>
            <w:bookmarkEnd w:id="104"/>
          </w:p>
        </w:tc>
        <w:tc>
          <w:tcPr>
            <w:tcW w:w="1000"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noProof/>
                <w:color w:val="000000"/>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noProof/>
                <w:color w:val="000000"/>
              </w:rPr>
            </w:pP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6"/>
              </w:rPr>
            </w:pPr>
            <w:r>
              <w:rPr>
                <w:rFonts w:ascii="Verdana" w:hAnsi="Verdana"/>
                <w:i/>
                <w:noProof/>
                <w:color w:val="000000"/>
                <w:sz w:val="16"/>
              </w:rPr>
              <w:t>tūkst. EUR</w:t>
            </w:r>
          </w:p>
        </w:tc>
      </w:tr>
      <w:tr>
        <w:trPr>
          <w:trHeight w:val="255"/>
        </w:trPr>
        <w:tc>
          <w:tcPr>
            <w:tcW w:w="5447" w:type="dxa"/>
            <w:tcBorders>
              <w:top w:val="nil"/>
              <w:left w:val="nil"/>
              <w:bottom w:val="nil"/>
              <w:right w:val="nil"/>
              <w:tl2br w:val="nil"/>
              <w:tr2bl w:val="nil"/>
            </w:tcBorders>
            <w:shd w:val="solid" w:color="016794" w:fill="FFFFFF"/>
            <w:tcMar>
              <w:left w:w="60" w:type="dxa"/>
              <w:right w:w="60" w:type="dxa"/>
            </w:tcMar>
            <w:vAlign w:val="bottom"/>
          </w:tcPr>
          <w:p>
            <w:pPr>
              <w:pStyle w:val="DMETW18319BIPFP"/>
              <w:rPr>
                <w:rFonts w:ascii="Verdana" w:eastAsia="Verdana" w:hAnsi="Verdana" w:cs="Verdana"/>
                <w:noProof/>
                <w:color w:val="FFFFFF"/>
              </w:rPr>
            </w:pPr>
          </w:p>
        </w:tc>
        <w:tc>
          <w:tcPr>
            <w:tcW w:w="1000" w:type="dxa"/>
            <w:tcBorders>
              <w:top w:val="nil"/>
              <w:left w:val="nil"/>
              <w:bottom w:val="nil"/>
              <w:right w:val="nil"/>
              <w:tl2br w:val="nil"/>
              <w:tr2bl w:val="nil"/>
            </w:tcBorders>
            <w:shd w:val="solid" w:color="016794" w:fill="FFFFFF"/>
            <w:tcMar>
              <w:left w:w="60" w:type="dxa"/>
              <w:right w:w="60" w:type="dxa"/>
            </w:tcMar>
            <w:vAlign w:val="bottom"/>
          </w:tcPr>
          <w:p>
            <w:pPr>
              <w:pStyle w:val="DMETW18319BIPFP"/>
              <w:jc w:val="center"/>
              <w:rPr>
                <w:rFonts w:ascii="Verdana" w:eastAsia="Verdana" w:hAnsi="Verdana" w:cs="Verdana"/>
                <w:noProof/>
                <w:color w:val="FFFFFF"/>
              </w:rPr>
            </w:pPr>
            <w:r>
              <w:rPr>
                <w:rFonts w:ascii="Verdana" w:hAnsi="Verdana"/>
                <w:noProof/>
                <w:color w:val="FFFFFF"/>
              </w:rPr>
              <w:t>Pastaba</w:t>
            </w:r>
          </w:p>
        </w:tc>
        <w:tc>
          <w:tcPr>
            <w:tcW w:w="2032" w:type="dxa"/>
            <w:tcBorders>
              <w:top w:val="nil"/>
              <w:left w:val="nil"/>
              <w:bottom w:val="nil"/>
              <w:right w:val="nil"/>
              <w:tl2br w:val="nil"/>
              <w:tr2bl w:val="nil"/>
            </w:tcBorders>
            <w:shd w:val="solid" w:color="016794" w:fill="FFFFFF"/>
            <w:tcMar>
              <w:left w:w="60" w:type="dxa"/>
              <w:right w:w="60" w:type="dxa"/>
            </w:tcMar>
            <w:vAlign w:val="bottom"/>
          </w:tcPr>
          <w:p>
            <w:pPr>
              <w:pStyle w:val="DMETW18319BIPFP"/>
              <w:jc w:val="right"/>
              <w:rPr>
                <w:rFonts w:ascii="Verdana" w:eastAsia="Verdana" w:hAnsi="Verdana" w:cs="Verdana"/>
                <w:noProof/>
                <w:color w:val="FFFFFF"/>
              </w:rPr>
            </w:pPr>
            <w:r>
              <w:rPr>
                <w:rFonts w:ascii="Verdana" w:hAnsi="Verdana"/>
                <w:noProof/>
                <w:color w:val="FFFFFF"/>
              </w:rPr>
              <w:t>2019</w:t>
            </w:r>
          </w:p>
        </w:tc>
        <w:tc>
          <w:tcPr>
            <w:tcW w:w="1279" w:type="dxa"/>
            <w:tcBorders>
              <w:top w:val="nil"/>
              <w:left w:val="nil"/>
              <w:bottom w:val="nil"/>
              <w:right w:val="nil"/>
              <w:tl2br w:val="nil"/>
              <w:tr2bl w:val="nil"/>
            </w:tcBorders>
            <w:shd w:val="solid" w:color="016794" w:fill="FFFFFF"/>
            <w:tcMar>
              <w:left w:w="60" w:type="dxa"/>
              <w:right w:w="60" w:type="dxa"/>
            </w:tcMar>
            <w:vAlign w:val="bottom"/>
          </w:tcPr>
          <w:p>
            <w:pPr>
              <w:pStyle w:val="DMETW18319BIPFP"/>
              <w:jc w:val="right"/>
              <w:rPr>
                <w:rFonts w:ascii="Verdana" w:eastAsia="Verdana" w:hAnsi="Verdana" w:cs="Verdana"/>
                <w:noProof/>
                <w:color w:val="FFFFFF"/>
              </w:rPr>
            </w:pPr>
            <w:r>
              <w:rPr>
                <w:rFonts w:ascii="Verdana" w:hAnsi="Verdana"/>
                <w:noProof/>
                <w:color w:val="FFFFFF"/>
              </w:rPr>
              <w:t>2018</w:t>
            </w:r>
          </w:p>
        </w:tc>
      </w:tr>
      <w:tr>
        <w:trPr>
          <w:trHeight w:val="255"/>
        </w:trPr>
        <w:tc>
          <w:tcPr>
            <w:tcW w:w="5447"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b/>
                <w:noProof/>
                <w:color w:val="000000"/>
                <w:sz w:val="18"/>
              </w:rPr>
            </w:pPr>
            <w:r>
              <w:rPr>
                <w:rFonts w:ascii="Verdana" w:hAnsi="Verdana"/>
                <w:b/>
                <w:noProof/>
                <w:color w:val="000000"/>
                <w:sz w:val="18"/>
              </w:rPr>
              <w:t>PAJAMOS</w:t>
            </w:r>
          </w:p>
        </w:tc>
        <w:tc>
          <w:tcPr>
            <w:tcW w:w="1000"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b/>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lang w:bidi="en-GB"/>
              </w:rPr>
            </w:pPr>
          </w:p>
        </w:tc>
      </w:tr>
      <w:tr>
        <w:trPr>
          <w:trHeight w:val="255"/>
        </w:trPr>
        <w:tc>
          <w:tcPr>
            <w:tcW w:w="5447"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b/>
                <w:noProof/>
                <w:color w:val="000000"/>
                <w:sz w:val="18"/>
              </w:rPr>
            </w:pPr>
            <w:r>
              <w:rPr>
                <w:rFonts w:ascii="Verdana" w:hAnsi="Verdana"/>
                <w:b/>
                <w:noProof/>
                <w:color w:val="000000"/>
                <w:sz w:val="18"/>
              </w:rPr>
              <w:t>Pajamos iš neprekybinių operacijų</w:t>
            </w:r>
          </w:p>
        </w:tc>
        <w:tc>
          <w:tcPr>
            <w:tcW w:w="1000"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b/>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lang w:bidi="en-GB"/>
              </w:rPr>
            </w:pPr>
          </w:p>
        </w:tc>
      </w:tr>
      <w:tr>
        <w:trPr>
          <w:trHeight w:val="255"/>
        </w:trPr>
        <w:tc>
          <w:tcPr>
            <w:tcW w:w="5447"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i/>
                <w:noProof/>
                <w:color w:val="000000"/>
                <w:sz w:val="18"/>
              </w:rPr>
            </w:pPr>
            <w:r>
              <w:rPr>
                <w:rFonts w:ascii="Verdana" w:hAnsi="Verdana"/>
                <w:i/>
                <w:noProof/>
                <w:color w:val="000000"/>
                <w:sz w:val="18"/>
              </w:rPr>
              <w:t>Pajamos iš paramos teikėjų</w:t>
            </w:r>
          </w:p>
        </w:tc>
        <w:tc>
          <w:tcPr>
            <w:tcW w:w="1000"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i/>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hAnsi="Verdana"/>
                <w:i/>
                <w:noProof/>
                <w:color w:val="000000"/>
                <w:sz w:val="18"/>
              </w:rPr>
              <w:t xml:space="preserve"> 48 343</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hAnsi="Verdana"/>
                <w:i/>
                <w:noProof/>
                <w:color w:val="000000"/>
                <w:sz w:val="18"/>
              </w:rPr>
              <w:t xml:space="preserve"> 33 682</w:t>
            </w:r>
          </w:p>
        </w:tc>
      </w:tr>
      <w:tr>
        <w:trPr>
          <w:trHeight w:val="255"/>
        </w:trPr>
        <w:tc>
          <w:tcPr>
            <w:tcW w:w="5447"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i/>
                <w:noProof/>
                <w:color w:val="000000"/>
                <w:sz w:val="18"/>
              </w:rPr>
            </w:pPr>
            <w:r>
              <w:rPr>
                <w:rFonts w:ascii="Verdana" w:hAnsi="Verdana"/>
                <w:i/>
                <w:noProof/>
                <w:color w:val="000000"/>
                <w:sz w:val="18"/>
              </w:rPr>
              <w:t>Išlaidų susigrąžinimas</w:t>
            </w:r>
          </w:p>
        </w:tc>
        <w:tc>
          <w:tcPr>
            <w:tcW w:w="1000"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i/>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hAnsi="Verdana"/>
                <w:i/>
                <w:noProof/>
                <w:color w:val="000000"/>
                <w:sz w:val="18"/>
              </w:rPr>
              <w:t xml:space="preserve">  68</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544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rPr>
                <w:rFonts w:ascii="Verdana" w:eastAsia="Verdana" w:hAnsi="Verdana" w:cs="Verdana"/>
                <w:b/>
                <w:noProof/>
                <w:color w:val="000000"/>
                <w:sz w:val="18"/>
              </w:rPr>
            </w:pPr>
          </w:p>
        </w:tc>
        <w:tc>
          <w:tcPr>
            <w:tcW w:w="10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b/>
                <w:noProof/>
                <w:color w:val="000000"/>
                <w:sz w:val="18"/>
              </w:rPr>
            </w:pPr>
          </w:p>
        </w:tc>
        <w:tc>
          <w:tcPr>
            <w:tcW w:w="20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hAnsi="Verdana"/>
                <w:b/>
                <w:noProof/>
                <w:color w:val="000000"/>
                <w:sz w:val="18"/>
              </w:rPr>
              <w:t xml:space="preserve"> 48 410</w:t>
            </w:r>
          </w:p>
        </w:tc>
        <w:tc>
          <w:tcPr>
            <w:tcW w:w="12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hAnsi="Verdana"/>
                <w:b/>
                <w:noProof/>
                <w:color w:val="000000"/>
                <w:sz w:val="18"/>
              </w:rPr>
              <w:t xml:space="preserve"> 33 682</w:t>
            </w:r>
          </w:p>
        </w:tc>
      </w:tr>
      <w:tr>
        <w:trPr>
          <w:trHeight w:val="255"/>
        </w:trPr>
        <w:tc>
          <w:tcPr>
            <w:tcW w:w="5447"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b/>
                <w:noProof/>
                <w:color w:val="000000"/>
                <w:sz w:val="18"/>
              </w:rPr>
            </w:pPr>
            <w:r>
              <w:rPr>
                <w:rFonts w:ascii="Verdana" w:hAnsi="Verdana"/>
                <w:b/>
                <w:noProof/>
                <w:color w:val="000000"/>
                <w:sz w:val="18"/>
              </w:rPr>
              <w:t>Pajamos iš prekybos operacijų</w:t>
            </w:r>
          </w:p>
        </w:tc>
        <w:tc>
          <w:tcPr>
            <w:tcW w:w="1000"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b/>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lang w:bidi="en-GB"/>
              </w:rPr>
            </w:pPr>
          </w:p>
        </w:tc>
      </w:tr>
      <w:tr>
        <w:trPr>
          <w:trHeight w:val="255"/>
        </w:trPr>
        <w:tc>
          <w:tcPr>
            <w:tcW w:w="5447"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i/>
                <w:noProof/>
                <w:color w:val="000000"/>
                <w:sz w:val="18"/>
              </w:rPr>
            </w:pPr>
            <w:r>
              <w:rPr>
                <w:rFonts w:ascii="Verdana" w:hAnsi="Verdana"/>
                <w:i/>
                <w:noProof/>
                <w:color w:val="000000"/>
                <w:sz w:val="18"/>
              </w:rPr>
              <w:t>Finansinės pajamos</w:t>
            </w:r>
          </w:p>
        </w:tc>
        <w:tc>
          <w:tcPr>
            <w:tcW w:w="1000"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i/>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hAnsi="Verdana"/>
                <w:i/>
                <w:noProof/>
                <w:color w:val="000000"/>
                <w:sz w:val="18"/>
              </w:rPr>
              <w:t xml:space="preserve">  (2)</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hAnsi="Verdana"/>
                <w:i/>
                <w:noProof/>
                <w:color w:val="000000"/>
                <w:sz w:val="18"/>
              </w:rPr>
              <w:t xml:space="preserve">  1</w:t>
            </w:r>
          </w:p>
        </w:tc>
      </w:tr>
      <w:tr>
        <w:trPr>
          <w:trHeight w:val="255"/>
        </w:trPr>
        <w:tc>
          <w:tcPr>
            <w:tcW w:w="544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rPr>
                <w:rFonts w:ascii="Verdana" w:eastAsia="Verdana" w:hAnsi="Verdana" w:cs="Verdana"/>
                <w:i/>
                <w:noProof/>
                <w:color w:val="000000"/>
                <w:sz w:val="18"/>
              </w:rPr>
            </w:pPr>
          </w:p>
        </w:tc>
        <w:tc>
          <w:tcPr>
            <w:tcW w:w="10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i/>
                <w:noProof/>
                <w:color w:val="000000"/>
                <w:sz w:val="18"/>
              </w:rPr>
            </w:pPr>
          </w:p>
        </w:tc>
        <w:tc>
          <w:tcPr>
            <w:tcW w:w="20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hAnsi="Verdana"/>
                <w:b/>
                <w:noProof/>
                <w:color w:val="000000"/>
                <w:sz w:val="18"/>
              </w:rPr>
              <w:t xml:space="preserve">  (2)</w:t>
            </w:r>
          </w:p>
        </w:tc>
        <w:tc>
          <w:tcPr>
            <w:tcW w:w="12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hAnsi="Verdana"/>
                <w:b/>
                <w:noProof/>
                <w:color w:val="000000"/>
                <w:sz w:val="18"/>
              </w:rPr>
              <w:t xml:space="preserve">  1</w:t>
            </w:r>
          </w:p>
        </w:tc>
      </w:tr>
      <w:tr>
        <w:trPr>
          <w:trHeight w:val="255"/>
        </w:trPr>
        <w:tc>
          <w:tcPr>
            <w:tcW w:w="544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rPr>
                <w:rFonts w:ascii="Verdana" w:eastAsia="Verdana" w:hAnsi="Verdana" w:cs="Verdana"/>
                <w:b/>
                <w:noProof/>
                <w:color w:val="000000"/>
                <w:sz w:val="18"/>
              </w:rPr>
            </w:pPr>
            <w:r>
              <w:rPr>
                <w:rFonts w:ascii="Verdana" w:hAnsi="Verdana"/>
                <w:b/>
                <w:noProof/>
                <w:color w:val="000000"/>
                <w:sz w:val="18"/>
              </w:rPr>
              <w:t>Iš viso pajamų</w:t>
            </w:r>
          </w:p>
        </w:tc>
        <w:tc>
          <w:tcPr>
            <w:tcW w:w="10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i/>
                <w:noProof/>
                <w:color w:val="000000"/>
                <w:sz w:val="18"/>
              </w:rPr>
            </w:pPr>
          </w:p>
        </w:tc>
        <w:tc>
          <w:tcPr>
            <w:tcW w:w="20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hAnsi="Verdana"/>
                <w:b/>
                <w:noProof/>
                <w:color w:val="000000"/>
                <w:sz w:val="18"/>
              </w:rPr>
              <w:t xml:space="preserve"> 48 408</w:t>
            </w:r>
          </w:p>
        </w:tc>
        <w:tc>
          <w:tcPr>
            <w:tcW w:w="12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hAnsi="Verdana"/>
                <w:b/>
                <w:noProof/>
                <w:color w:val="000000"/>
                <w:sz w:val="18"/>
              </w:rPr>
              <w:t xml:space="preserve"> 33 683</w:t>
            </w:r>
          </w:p>
        </w:tc>
      </w:tr>
      <w:tr>
        <w:trPr>
          <w:trHeight w:val="255"/>
        </w:trPr>
        <w:tc>
          <w:tcPr>
            <w:tcW w:w="5447"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b/>
                <w:noProof/>
                <w:color w:val="000000"/>
                <w:sz w:val="18"/>
              </w:rPr>
            </w:pPr>
            <w:r>
              <w:rPr>
                <w:rFonts w:ascii="Verdana" w:hAnsi="Verdana"/>
                <w:b/>
                <w:noProof/>
                <w:color w:val="000000"/>
                <w:sz w:val="18"/>
              </w:rPr>
              <w:t>IŠLAIDOS</w:t>
            </w:r>
          </w:p>
        </w:tc>
        <w:tc>
          <w:tcPr>
            <w:tcW w:w="1000"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b/>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lang w:bidi="en-GB"/>
              </w:rPr>
            </w:pPr>
          </w:p>
        </w:tc>
      </w:tr>
      <w:tr>
        <w:trPr>
          <w:trHeight w:val="255"/>
        </w:trPr>
        <w:tc>
          <w:tcPr>
            <w:tcW w:w="5447"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i/>
                <w:noProof/>
                <w:color w:val="000000"/>
                <w:sz w:val="18"/>
              </w:rPr>
            </w:pPr>
            <w:r>
              <w:rPr>
                <w:rFonts w:ascii="Verdana" w:hAnsi="Verdana"/>
                <w:i/>
                <w:noProof/>
                <w:color w:val="000000"/>
                <w:sz w:val="18"/>
              </w:rPr>
              <w:t>Veiklos išlaidos</w:t>
            </w:r>
          </w:p>
        </w:tc>
        <w:tc>
          <w:tcPr>
            <w:tcW w:w="1000"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i/>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hAnsi="Verdana"/>
                <w:i/>
                <w:noProof/>
                <w:color w:val="000000"/>
                <w:sz w:val="18"/>
              </w:rPr>
              <w:t xml:space="preserve"> (47 620)</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hAnsi="Verdana"/>
                <w:i/>
                <w:noProof/>
                <w:color w:val="000000"/>
                <w:sz w:val="18"/>
              </w:rPr>
              <w:t xml:space="preserve"> (32 825)</w:t>
            </w:r>
          </w:p>
        </w:tc>
      </w:tr>
      <w:tr>
        <w:trPr>
          <w:trHeight w:val="255"/>
        </w:trPr>
        <w:tc>
          <w:tcPr>
            <w:tcW w:w="5447"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FP"/>
              <w:rPr>
                <w:rFonts w:ascii="Verdana" w:eastAsia="Verdana" w:hAnsi="Verdana" w:cs="Verdana"/>
                <w:i/>
                <w:noProof/>
                <w:color w:val="000000"/>
                <w:sz w:val="18"/>
              </w:rPr>
            </w:pPr>
            <w:r>
              <w:rPr>
                <w:rFonts w:ascii="Verdana" w:hAnsi="Verdana"/>
                <w:i/>
                <w:noProof/>
                <w:color w:val="000000"/>
                <w:sz w:val="18"/>
              </w:rPr>
              <w:t>Kitos išlaidos</w:t>
            </w:r>
          </w:p>
        </w:tc>
        <w:tc>
          <w:tcPr>
            <w:tcW w:w="100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i/>
                <w:noProof/>
                <w:color w:val="000000"/>
                <w:sz w:val="18"/>
              </w:rPr>
            </w:pPr>
          </w:p>
        </w:tc>
        <w:tc>
          <w:tcPr>
            <w:tcW w:w="203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hAnsi="Verdana"/>
                <w:i/>
                <w:noProof/>
                <w:color w:val="000000"/>
                <w:sz w:val="18"/>
              </w:rPr>
              <w:t xml:space="preserve">  (789)</w:t>
            </w:r>
          </w:p>
        </w:tc>
        <w:tc>
          <w:tcPr>
            <w:tcW w:w="1279"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hAnsi="Verdana"/>
                <w:i/>
                <w:noProof/>
                <w:color w:val="000000"/>
                <w:sz w:val="18"/>
              </w:rPr>
              <w:t xml:space="preserve">  (858)</w:t>
            </w:r>
          </w:p>
        </w:tc>
      </w:tr>
      <w:tr>
        <w:trPr>
          <w:trHeight w:val="255"/>
        </w:trPr>
        <w:tc>
          <w:tcPr>
            <w:tcW w:w="5447"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b/>
                <w:noProof/>
                <w:color w:val="000000"/>
                <w:sz w:val="18"/>
              </w:rPr>
            </w:pPr>
            <w:r>
              <w:rPr>
                <w:rFonts w:ascii="Verdana" w:hAnsi="Verdana"/>
                <w:b/>
                <w:noProof/>
                <w:color w:val="000000"/>
                <w:sz w:val="18"/>
              </w:rPr>
              <w:t>Iš viso išlaidų</w:t>
            </w:r>
          </w:p>
        </w:tc>
        <w:tc>
          <w:tcPr>
            <w:tcW w:w="1000"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b/>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hAnsi="Verdana"/>
                <w:b/>
                <w:noProof/>
                <w:color w:val="000000"/>
                <w:sz w:val="18"/>
              </w:rPr>
              <w:t xml:space="preserve"> (48 408)</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hAnsi="Verdana"/>
                <w:b/>
                <w:noProof/>
                <w:color w:val="000000"/>
                <w:sz w:val="18"/>
              </w:rPr>
              <w:t xml:space="preserve"> (33 683)</w:t>
            </w:r>
          </w:p>
        </w:tc>
      </w:tr>
      <w:tr>
        <w:trPr>
          <w:trHeight w:val="255"/>
        </w:trPr>
        <w:tc>
          <w:tcPr>
            <w:tcW w:w="5447" w:type="dxa"/>
            <w:tcBorders>
              <w:top w:val="nil"/>
              <w:left w:val="nil"/>
              <w:bottom w:val="nil"/>
              <w:right w:val="nil"/>
              <w:tl2br w:val="nil"/>
              <w:tr2bl w:val="nil"/>
            </w:tcBorders>
            <w:shd w:val="solid" w:color="CCE1EA" w:fill="FFFFFF"/>
            <w:tcMar>
              <w:left w:w="60" w:type="dxa"/>
              <w:right w:w="60" w:type="dxa"/>
            </w:tcMar>
            <w:vAlign w:val="bottom"/>
          </w:tcPr>
          <w:p>
            <w:pPr>
              <w:pStyle w:val="DMETW18319BIPFP"/>
              <w:rPr>
                <w:rFonts w:ascii="Verdana" w:eastAsia="Verdana" w:hAnsi="Verdana" w:cs="Verdana"/>
                <w:b/>
                <w:noProof/>
                <w:color w:val="000000"/>
                <w:sz w:val="18"/>
              </w:rPr>
            </w:pPr>
            <w:r>
              <w:rPr>
                <w:rFonts w:ascii="Verdana" w:hAnsi="Verdana"/>
                <w:b/>
                <w:noProof/>
                <w:color w:val="000000"/>
                <w:sz w:val="18"/>
              </w:rPr>
              <w:t>EKONOMINIS METŲ REZULTATAS</w:t>
            </w:r>
          </w:p>
        </w:tc>
        <w:tc>
          <w:tcPr>
            <w:tcW w:w="1000" w:type="dxa"/>
            <w:tcBorders>
              <w:top w:val="nil"/>
              <w:left w:val="nil"/>
              <w:bottom w:val="nil"/>
              <w:right w:val="nil"/>
              <w:tl2br w:val="nil"/>
              <w:tr2bl w:val="nil"/>
            </w:tcBorders>
            <w:shd w:val="solid" w:color="CCE1EA" w:fill="FFFFFF"/>
            <w:tcMar>
              <w:left w:w="60" w:type="dxa"/>
              <w:right w:w="60" w:type="dxa"/>
            </w:tcMar>
            <w:vAlign w:val="bottom"/>
          </w:tcPr>
          <w:p>
            <w:pPr>
              <w:pStyle w:val="DMETW18319BIPFP"/>
              <w:jc w:val="center"/>
              <w:rPr>
                <w:rFonts w:ascii="Verdana" w:eastAsia="Verdana" w:hAnsi="Verdana" w:cs="Verdana"/>
                <w:noProof/>
                <w:color w:val="000000"/>
                <w:sz w:val="18"/>
              </w:rPr>
            </w:pPr>
          </w:p>
        </w:tc>
        <w:tc>
          <w:tcPr>
            <w:tcW w:w="2032" w:type="dxa"/>
            <w:tcBorders>
              <w:top w:val="nil"/>
              <w:left w:val="nil"/>
              <w:bottom w:val="nil"/>
              <w:right w:val="nil"/>
              <w:tl2br w:val="nil"/>
              <w:tr2bl w:val="nil"/>
            </w:tcBorders>
            <w:shd w:val="solid" w:color="CCE1EA" w:fill="FFFFFF"/>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hAnsi="Verdana"/>
                <w:b/>
                <w:noProof/>
                <w:color w:val="000000"/>
                <w:sz w:val="18"/>
              </w:rPr>
              <w:t>–</w:t>
            </w:r>
          </w:p>
        </w:tc>
        <w:tc>
          <w:tcPr>
            <w:tcW w:w="1279" w:type="dxa"/>
            <w:tcBorders>
              <w:top w:val="nil"/>
              <w:left w:val="nil"/>
              <w:bottom w:val="nil"/>
              <w:right w:val="nil"/>
              <w:tl2br w:val="nil"/>
              <w:tr2bl w:val="nil"/>
            </w:tcBorders>
            <w:shd w:val="solid" w:color="CCE1EA" w:fill="FFFFFF"/>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hAnsi="Verdana"/>
                <w:b/>
                <w:noProof/>
                <w:color w:val="000000"/>
                <w:sz w:val="18"/>
              </w:rPr>
              <w:t>–</w:t>
            </w:r>
          </w:p>
        </w:tc>
      </w:tr>
    </w:tbl>
    <w:p>
      <w:pPr>
        <w:pStyle w:val="HEADERTITLE1"/>
      </w:pPr>
    </w:p>
    <w:p>
      <w:pPr>
        <w:pStyle w:val="HEADERTITLE1"/>
      </w:pPr>
    </w:p>
    <w:p>
      <w:pPr>
        <w:pStyle w:val="HEADERTITLE1"/>
      </w:pPr>
    </w:p>
    <w:p>
      <w:pPr>
        <w:pStyle w:val="HEADERTITLE1"/>
        <w:sectPr>
          <w:headerReference w:type="even" r:id="rId239"/>
          <w:headerReference w:type="default" r:id="rId240"/>
          <w:footerReference w:type="even" r:id="rId241"/>
          <w:footerReference w:type="default" r:id="rId242"/>
          <w:headerReference w:type="first" r:id="rId243"/>
          <w:footerReference w:type="first" r:id="rId244"/>
          <w:pgSz w:w="11906" w:h="16838" w:code="9"/>
          <w:pgMar w:top="1134" w:right="1134" w:bottom="1134" w:left="1134" w:header="708" w:footer="708" w:gutter="0"/>
          <w:cols w:space="708"/>
          <w:docGrid w:linePitch="360"/>
        </w:sectPr>
      </w:pPr>
    </w:p>
    <w:p>
      <w:pPr>
        <w:pStyle w:val="HEADERTITLE1"/>
      </w:pPr>
      <w:bookmarkStart w:id="105" w:name="_Toc41982825"/>
      <w:bookmarkStart w:id="106" w:name="_Toc48834995"/>
      <w:r>
        <w:t>PINIGŲ SRAUTŲ ATASKAITA</w:t>
      </w:r>
      <w:bookmarkEnd w:id="105"/>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0"/>
        <w:gridCol w:w="1056"/>
        <w:gridCol w:w="1412"/>
      </w:tblGrid>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cs="Calibri"/>
                <w:noProof/>
                <w:color w:val="000000"/>
              </w:rPr>
            </w:pPr>
            <w:bookmarkStart w:id="107" w:name="DOC_TBL00049_1_1"/>
            <w:bookmarkEnd w:id="107"/>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cs="Calibri"/>
                <w:i/>
                <w:noProof/>
                <w:color w:val="000000"/>
              </w:rPr>
            </w:pP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6"/>
              </w:rPr>
            </w:pPr>
            <w:r>
              <w:rPr>
                <w:rFonts w:ascii="Verdana" w:hAnsi="Verdana"/>
                <w:i/>
                <w:noProof/>
                <w:color w:val="000000"/>
                <w:sz w:val="16"/>
              </w:rPr>
              <w:t>tūkst. EUR</w:t>
            </w:r>
          </w:p>
        </w:tc>
      </w:tr>
      <w:tr>
        <w:trPr>
          <w:trHeight w:val="255"/>
        </w:trPr>
        <w:tc>
          <w:tcPr>
            <w:tcW w:w="7290" w:type="dxa"/>
            <w:tcBorders>
              <w:top w:val="nil"/>
              <w:left w:val="nil"/>
              <w:bottom w:val="nil"/>
              <w:right w:val="nil"/>
              <w:tl2br w:val="nil"/>
              <w:tr2bl w:val="nil"/>
            </w:tcBorders>
            <w:shd w:val="solid" w:color="016794" w:fill="FFFFFF"/>
            <w:tcMar>
              <w:left w:w="60" w:type="dxa"/>
              <w:right w:w="60" w:type="dxa"/>
            </w:tcMar>
            <w:vAlign w:val="bottom"/>
          </w:tcPr>
          <w:p>
            <w:pPr>
              <w:pStyle w:val="DMETW18319BIPCF"/>
              <w:rPr>
                <w:rFonts w:ascii="Verdana" w:eastAsia="Verdana" w:hAnsi="Verdana" w:cs="Verdana"/>
                <w:noProof/>
                <w:color w:val="FFFFFF"/>
              </w:rPr>
            </w:pPr>
          </w:p>
        </w:tc>
        <w:tc>
          <w:tcPr>
            <w:tcW w:w="1056" w:type="dxa"/>
            <w:tcBorders>
              <w:top w:val="nil"/>
              <w:left w:val="nil"/>
              <w:bottom w:val="nil"/>
              <w:right w:val="nil"/>
              <w:tl2br w:val="nil"/>
              <w:tr2bl w:val="nil"/>
            </w:tcBorders>
            <w:shd w:val="solid" w:color="016794" w:fill="FFFFFF"/>
            <w:tcMar>
              <w:left w:w="60" w:type="dxa"/>
              <w:right w:w="60" w:type="dxa"/>
            </w:tcMar>
            <w:vAlign w:val="bottom"/>
          </w:tcPr>
          <w:p>
            <w:pPr>
              <w:pStyle w:val="DMETW18319BIPCF"/>
              <w:jc w:val="right"/>
              <w:rPr>
                <w:rFonts w:ascii="Verdana" w:eastAsia="Verdana" w:hAnsi="Verdana" w:cs="Verdana"/>
                <w:noProof/>
                <w:color w:val="FFFFFF"/>
              </w:rPr>
            </w:pPr>
            <w:r>
              <w:rPr>
                <w:rFonts w:ascii="Verdana" w:hAnsi="Verdana"/>
                <w:noProof/>
                <w:color w:val="FFFFFF"/>
              </w:rPr>
              <w:t>2019</w:t>
            </w:r>
          </w:p>
        </w:tc>
        <w:tc>
          <w:tcPr>
            <w:tcW w:w="1412" w:type="dxa"/>
            <w:tcBorders>
              <w:top w:val="nil"/>
              <w:left w:val="nil"/>
              <w:bottom w:val="nil"/>
              <w:right w:val="nil"/>
              <w:tl2br w:val="nil"/>
              <w:tr2bl w:val="nil"/>
            </w:tcBorders>
            <w:shd w:val="solid" w:color="016794" w:fill="FFFFFF"/>
            <w:tcMar>
              <w:left w:w="60" w:type="dxa"/>
              <w:right w:w="60" w:type="dxa"/>
            </w:tcMar>
            <w:vAlign w:val="bottom"/>
          </w:tcPr>
          <w:p>
            <w:pPr>
              <w:pStyle w:val="DMETW18319BIPCF"/>
              <w:jc w:val="right"/>
              <w:rPr>
                <w:rFonts w:ascii="Verdana" w:eastAsia="Verdana" w:hAnsi="Verdana" w:cs="Verdana"/>
                <w:noProof/>
                <w:color w:val="FFFFFF"/>
              </w:rPr>
            </w:pPr>
            <w:r>
              <w:rPr>
                <w:rFonts w:ascii="Verdana" w:hAnsi="Verdana"/>
                <w:noProof/>
                <w:color w:val="FFFFFF"/>
              </w:rPr>
              <w:t>2018</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ascii="Verdana" w:eastAsia="Verdana" w:hAnsi="Verdana" w:cs="Verdana"/>
                <w:i/>
                <w:noProof/>
                <w:color w:val="000000"/>
                <w:sz w:val="18"/>
              </w:rPr>
            </w:pPr>
            <w:r>
              <w:rPr>
                <w:rFonts w:ascii="Verdana" w:hAnsi="Verdana"/>
                <w:i/>
                <w:noProof/>
                <w:color w:val="000000"/>
                <w:sz w:val="18"/>
              </w:rPr>
              <w:t>Išankstinio finansavimo (padidėjimas) / sumažėjimas</w:t>
            </w: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11 405</w:t>
            </w: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(24 839)</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ascii="Verdana" w:eastAsia="Verdana" w:hAnsi="Verdana" w:cs="Verdana"/>
                <w:i/>
                <w:noProof/>
                <w:color w:val="000000"/>
                <w:sz w:val="18"/>
              </w:rPr>
            </w:pPr>
            <w:r>
              <w:rPr>
                <w:rFonts w:ascii="Verdana" w:hAnsi="Verdana"/>
                <w:i/>
                <w:noProof/>
                <w:color w:val="000000"/>
                <w:sz w:val="18"/>
              </w:rPr>
              <w:t>Iš prekybos gautinų sumų ir neprekybinių susigrąžintinų sumų (padidėjimas) / sumažėjimas</w:t>
            </w: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(715)</w:t>
            </w: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(261)</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ascii="Verdana" w:eastAsia="Verdana" w:hAnsi="Verdana" w:cs="Verdana"/>
                <w:i/>
                <w:noProof/>
                <w:color w:val="000000"/>
                <w:sz w:val="18"/>
              </w:rPr>
            </w:pPr>
            <w:r>
              <w:rPr>
                <w:rFonts w:ascii="Verdana" w:hAnsi="Verdana"/>
                <w:i/>
                <w:noProof/>
                <w:color w:val="000000"/>
                <w:sz w:val="18"/>
              </w:rPr>
              <w:t>Finansinių įsipareigojimų padidėjimas / (sumažėjimas)</w:t>
            </w: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(13 010)</w:t>
            </w: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(1 982)</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ascii="Verdana" w:eastAsia="Verdana" w:hAnsi="Verdana" w:cs="Verdana"/>
                <w:i/>
                <w:noProof/>
                <w:color w:val="000000"/>
                <w:sz w:val="18"/>
              </w:rPr>
            </w:pPr>
            <w:r>
              <w:rPr>
                <w:rFonts w:ascii="Verdana" w:hAnsi="Verdana"/>
                <w:i/>
                <w:noProof/>
                <w:color w:val="000000"/>
                <w:sz w:val="18"/>
              </w:rPr>
              <w:t>Mokėtinų sumų padidėjimas / (sumažėjimas)</w:t>
            </w: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(908)</w:t>
            </w: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202</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ascii="Verdana" w:eastAsia="Verdana" w:hAnsi="Verdana" w:cs="Verdana"/>
                <w:i/>
                <w:noProof/>
                <w:color w:val="000000"/>
                <w:sz w:val="18"/>
              </w:rPr>
            </w:pPr>
            <w:r>
              <w:rPr>
                <w:rFonts w:ascii="Verdana" w:hAnsi="Verdana"/>
                <w:i/>
                <w:noProof/>
                <w:color w:val="000000"/>
                <w:sz w:val="18"/>
              </w:rPr>
              <w:t>Sukauptų sąnaudų ir būsimojo laikotarpio pajamų padidėjimas / (sumažėjimas)</w:t>
            </w: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6 734</w:t>
            </w: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863</w:t>
            </w:r>
          </w:p>
        </w:tc>
      </w:tr>
      <w:tr>
        <w:trPr>
          <w:trHeight w:val="255"/>
        </w:trPr>
        <w:tc>
          <w:tcPr>
            <w:tcW w:w="7290" w:type="dxa"/>
            <w:tcBorders>
              <w:top w:val="nil"/>
              <w:left w:val="nil"/>
              <w:bottom w:val="nil"/>
              <w:right w:val="nil"/>
              <w:tl2br w:val="nil"/>
              <w:tr2bl w:val="nil"/>
            </w:tcBorders>
            <w:shd w:val="solid" w:color="CCE1EA" w:fill="FFFFFF"/>
            <w:tcMar>
              <w:left w:w="60" w:type="dxa"/>
              <w:right w:w="60" w:type="dxa"/>
            </w:tcMar>
            <w:vAlign w:val="bottom"/>
          </w:tcPr>
          <w:p>
            <w:pPr>
              <w:pStyle w:val="DMETW18319BIPCF"/>
              <w:rPr>
                <w:rFonts w:ascii="Verdana" w:eastAsia="Verdana" w:hAnsi="Verdana" w:cs="Verdana"/>
                <w:b/>
                <w:noProof/>
                <w:color w:val="000000"/>
                <w:sz w:val="18"/>
              </w:rPr>
            </w:pPr>
            <w:r>
              <w:rPr>
                <w:rFonts w:ascii="Verdana" w:hAnsi="Verdana"/>
                <w:b/>
                <w:noProof/>
                <w:color w:val="000000"/>
                <w:sz w:val="18"/>
              </w:rPr>
              <w:t>GRYNIEJI PINIGŲ SRAUTAI</w:t>
            </w:r>
          </w:p>
        </w:tc>
        <w:tc>
          <w:tcPr>
            <w:tcW w:w="1056" w:type="dxa"/>
            <w:tcBorders>
              <w:top w:val="nil"/>
              <w:left w:val="nil"/>
              <w:bottom w:val="nil"/>
              <w:right w:val="nil"/>
              <w:tl2br w:val="nil"/>
              <w:tr2bl w:val="nil"/>
            </w:tcBorders>
            <w:shd w:val="solid" w:color="CCE1EA" w:fill="FFFFFF"/>
            <w:tcMar>
              <w:left w:w="60" w:type="dxa"/>
              <w:right w:w="60" w:type="dxa"/>
            </w:tcMar>
            <w:vAlign w:val="bottom"/>
          </w:tcPr>
          <w:p>
            <w:pPr>
              <w:pStyle w:val="DMETW18319BIPCF"/>
              <w:jc w:val="right"/>
              <w:rPr>
                <w:rFonts w:ascii="Verdana" w:eastAsia="Verdana" w:hAnsi="Verdana" w:cs="Verdana"/>
                <w:b/>
                <w:noProof/>
                <w:color w:val="000000"/>
                <w:sz w:val="18"/>
              </w:rPr>
            </w:pPr>
            <w:r>
              <w:rPr>
                <w:rFonts w:ascii="Verdana" w:hAnsi="Verdana"/>
                <w:b/>
                <w:noProof/>
                <w:color w:val="000000"/>
                <w:sz w:val="18"/>
              </w:rPr>
              <w:t xml:space="preserve"> 3 506</w:t>
            </w:r>
          </w:p>
        </w:tc>
        <w:tc>
          <w:tcPr>
            <w:tcW w:w="1412" w:type="dxa"/>
            <w:tcBorders>
              <w:top w:val="nil"/>
              <w:left w:val="nil"/>
              <w:bottom w:val="nil"/>
              <w:right w:val="nil"/>
              <w:tl2br w:val="nil"/>
              <w:tr2bl w:val="nil"/>
            </w:tcBorders>
            <w:shd w:val="solid" w:color="CCE1EA" w:fill="FFFFFF"/>
            <w:tcMar>
              <w:left w:w="60" w:type="dxa"/>
              <w:right w:w="60" w:type="dxa"/>
            </w:tcMar>
            <w:vAlign w:val="bottom"/>
          </w:tcPr>
          <w:p>
            <w:pPr>
              <w:pStyle w:val="DMETW18319BIPCF"/>
              <w:jc w:val="right"/>
              <w:rPr>
                <w:rFonts w:ascii="Verdana" w:eastAsia="Verdana" w:hAnsi="Verdana" w:cs="Verdana"/>
                <w:b/>
                <w:noProof/>
                <w:color w:val="000000"/>
                <w:sz w:val="18"/>
              </w:rPr>
            </w:pPr>
            <w:r>
              <w:rPr>
                <w:rFonts w:ascii="Verdana" w:hAnsi="Verdana"/>
                <w:b/>
                <w:noProof/>
                <w:color w:val="000000"/>
                <w:sz w:val="18"/>
              </w:rPr>
              <w:t xml:space="preserve"> (26 017)</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cs="Calibri"/>
                <w:b/>
                <w:noProof/>
                <w:color w:val="000000"/>
              </w:rPr>
            </w:pP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cs="Calibri"/>
                <w:noProof/>
                <w:color w:val="000000"/>
              </w:rPr>
            </w:pP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cs="Calibri"/>
                <w:noProof/>
                <w:color w:val="000000"/>
                <w:lang w:bidi="en-GB"/>
              </w:rPr>
            </w:pP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ascii="Verdana" w:eastAsia="Verdana" w:hAnsi="Verdana" w:cs="Verdana"/>
                <w:i/>
                <w:noProof/>
                <w:color w:val="000000"/>
                <w:sz w:val="18"/>
              </w:rPr>
            </w:pPr>
            <w:r>
              <w:rPr>
                <w:rFonts w:ascii="Verdana" w:hAnsi="Verdana"/>
                <w:i/>
                <w:noProof/>
                <w:color w:val="000000"/>
                <w:sz w:val="18"/>
              </w:rPr>
              <w:t>Pinigų ir pinigų ekvivalentų grynasis padidėjimas / (sumažėjimas)</w:t>
            </w: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3 506</w:t>
            </w: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(26 017)</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ascii="Verdana" w:eastAsia="Verdana" w:hAnsi="Verdana" w:cs="Verdana"/>
                <w:i/>
                <w:noProof/>
                <w:color w:val="000000"/>
                <w:sz w:val="18"/>
              </w:rPr>
            </w:pPr>
            <w:r>
              <w:rPr>
                <w:rFonts w:ascii="Verdana" w:hAnsi="Verdana"/>
                <w:i/>
                <w:noProof/>
                <w:color w:val="000000"/>
                <w:sz w:val="18"/>
              </w:rPr>
              <w:t>Pinigai ir pinigų ekvivalentai metų pradžioje</w:t>
            </w: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13 926</w:t>
            </w: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39 943</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ascii="Verdana" w:eastAsia="Verdana" w:hAnsi="Verdana" w:cs="Verdana"/>
                <w:i/>
                <w:noProof/>
                <w:color w:val="000000"/>
                <w:sz w:val="18"/>
              </w:rPr>
            </w:pPr>
            <w:r>
              <w:rPr>
                <w:rFonts w:ascii="Verdana" w:hAnsi="Verdana"/>
                <w:i/>
                <w:noProof/>
                <w:color w:val="000000"/>
                <w:sz w:val="18"/>
              </w:rPr>
              <w:t>Pinigai ir pinigų ekvivalentai metų pabaigoje</w:t>
            </w: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17 432</w:t>
            </w: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13 926</w:t>
            </w:r>
          </w:p>
        </w:tc>
      </w:tr>
    </w:tbl>
    <w:p>
      <w:pPr>
        <w:pStyle w:val="HEADERTITLE1"/>
      </w:pPr>
    </w:p>
    <w:p>
      <w:pPr>
        <w:pStyle w:val="HEADERTITLE1"/>
        <w:sectPr>
          <w:headerReference w:type="even" r:id="rId245"/>
          <w:headerReference w:type="default" r:id="rId246"/>
          <w:footerReference w:type="even" r:id="rId247"/>
          <w:footerReference w:type="default" r:id="rId248"/>
          <w:headerReference w:type="first" r:id="rId249"/>
          <w:footerReference w:type="first" r:id="rId250"/>
          <w:pgSz w:w="11906" w:h="16838" w:code="9"/>
          <w:pgMar w:top="1134" w:right="1134" w:bottom="1134" w:left="1134" w:header="708" w:footer="708" w:gutter="0"/>
          <w:cols w:space="708"/>
          <w:docGrid w:linePitch="360"/>
        </w:sectPr>
      </w:pPr>
    </w:p>
    <w:p>
      <w:pPr>
        <w:pStyle w:val="FIRSTCHAPTERPAGE1"/>
      </w:pPr>
    </w:p>
    <w:p>
      <w:pPr>
        <w:pStyle w:val="FIRSTCHAPTERPAGE1"/>
      </w:pPr>
    </w:p>
    <w:p>
      <w:pPr>
        <w:pStyle w:val="FIRSTCHAPTERPAGE1"/>
      </w:pPr>
    </w:p>
    <w:p>
      <w:pPr>
        <w:pStyle w:val="FIRSTCHAPTERPAGE1"/>
      </w:pPr>
    </w:p>
    <w:p>
      <w:pPr>
        <w:pStyle w:val="FIRSTCHAPTERPAGE1"/>
      </w:pPr>
    </w:p>
    <w:p>
      <w:pPr>
        <w:pStyle w:val="FIRSTCHAPTERPAGE1"/>
      </w:pPr>
      <w:bookmarkStart w:id="108" w:name="_Toc41982800"/>
      <w:bookmarkStart w:id="109" w:name="_Toc48834996"/>
      <w:bookmarkStart w:id="110" w:name="_Toc49242751"/>
      <w:r>
        <w:t>2019 M. ES PATIKOS FONDO AFRIKAI FINANSINĖS ATASKAITOS</w:t>
      </w:r>
      <w:bookmarkEnd w:id="108"/>
      <w:bookmarkEnd w:id="109"/>
      <w:bookmarkEnd w:id="110"/>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r>
        <w:rPr>
          <w:noProof/>
        </w:rPr>
        <w:t>Reikėtų atkreipti dėmesį, kad skaičius suapvalinant iki tūkstančių eurų (tūkst. EUR) kai kurių lentelėse pateikiamų finansinių duomenų suma gali būti netiksli.</w:t>
      </w:r>
    </w:p>
    <w:p>
      <w:pPr>
        <w:pStyle w:val="TOPHEADERNOTE"/>
        <w:rPr>
          <w:noProof/>
        </w:rPr>
        <w:sectPr>
          <w:headerReference w:type="even" r:id="rId251"/>
          <w:headerReference w:type="default" r:id="rId252"/>
          <w:footerReference w:type="even" r:id="rId253"/>
          <w:footerReference w:type="default" r:id="rId254"/>
          <w:headerReference w:type="first" r:id="rId255"/>
          <w:footerReference w:type="first" r:id="rId256"/>
          <w:pgSz w:w="11906" w:h="16838" w:code="9"/>
          <w:pgMar w:top="1134" w:right="1134" w:bottom="1134" w:left="1134" w:header="709" w:footer="709" w:gutter="0"/>
          <w:cols w:space="708"/>
          <w:docGrid w:linePitch="360"/>
        </w:sectPr>
      </w:pPr>
    </w:p>
    <w:p>
      <w:pPr>
        <w:pStyle w:val="HEADERTITLE"/>
      </w:pPr>
      <w:r>
        <w:t>ES PATIKOS FONDO AFRIKAI AIŠKINAMOJI INFORMACIJA</w:t>
      </w:r>
    </w:p>
    <w:p>
      <w:pPr>
        <w:pStyle w:val="Textstand-alone"/>
        <w:rPr>
          <w:b/>
          <w:color w:val="016794"/>
        </w:rPr>
      </w:pPr>
      <w:r>
        <w:rPr>
          <w:b/>
          <w:color w:val="016794"/>
        </w:rPr>
        <w:t>ES patikos fondų bendroji informacija</w:t>
      </w:r>
    </w:p>
    <w:p>
      <w:pPr>
        <w:pStyle w:val="Textstand-alone"/>
      </w:pPr>
      <w:r>
        <w:t>Remiantis Sąjungos bendrajam biudžetui taikomo finansinio reglamento (ES FR)</w:t>
      </w:r>
      <w:r>
        <w:rPr>
          <w:rStyle w:val="FootnoteReference"/>
        </w:rPr>
        <w:footnoteReference w:id="6"/>
      </w:r>
      <w:r>
        <w:t xml:space="preserve"> 234 ir 235 straipsniais ir 11-ajam Europos plėtros fondui taikomo finansinio reglamento (EPF FR)</w:t>
      </w:r>
      <w:r>
        <w:rPr>
          <w:rStyle w:val="FootnoteReference"/>
        </w:rPr>
        <w:footnoteReference w:id="7"/>
      </w:r>
      <w:r>
        <w:t xml:space="preserve"> 35 straipsniu, Europos Komisijai leidžiama įsteigti Sąjungos patikos fondus išorės veiksmams finansuoti (toliau – Sąjungos patikos fondai). Sąjungos patikos fondai įsteigiami pagal susitarimus su kitais paramos teikėjais siekiant vykdyti veiksmus ekstremaliųjų situacijų atveju ir veiksmus po ekstremaliųjų situacijų, kurių reikia norint reaguoti į krizę, arba teminius veiksmus. </w:t>
      </w:r>
    </w:p>
    <w:p>
      <w:pPr>
        <w:pStyle w:val="Textstand-alone"/>
      </w:pPr>
      <w:r>
        <w:t>Sąjungos patikos fondus priimdama sprendimą steigia Europos Komisija, pasikonsultavusi su Europos Parlamentu ir Taryba arba gavusi jų pritarimą. Šis sprendimas apima steigiamąjį susitarimą su kitais paramos teikėjais.</w:t>
      </w:r>
    </w:p>
    <w:p>
      <w:pPr>
        <w:pStyle w:val="Textstand-alone"/>
      </w:pPr>
      <w:r>
        <w:t>Sąjungos patikos fondai steigiami ir jų veikla vykdoma, tik kai tenkinamos šios sąlygos:</w:t>
      </w:r>
    </w:p>
    <w:p>
      <w:pPr>
        <w:pStyle w:val="Textstand-alone"/>
        <w:numPr>
          <w:ilvl w:val="0"/>
          <w:numId w:val="19"/>
        </w:numPr>
        <w:spacing w:before="0" w:after="0"/>
      </w:pPr>
      <w:r>
        <w:t>Sąjungos intervencija turi pridėtinę vertę: Sąjungos patikos fondų tikslų, visų pirma dėl jų masto ar galimo poveikio, geriau siekti Sąjungos, o ne nacionaliniu lygmeniu, ir kai esamų finansinių priemonių naudojimo nepakaktų Sąjungos politikos tikslams pasiekti;</w:t>
      </w:r>
    </w:p>
    <w:p>
      <w:pPr>
        <w:pStyle w:val="Textstand-alone"/>
        <w:numPr>
          <w:ilvl w:val="0"/>
          <w:numId w:val="19"/>
        </w:numPr>
        <w:spacing w:before="0" w:after="0"/>
      </w:pPr>
      <w:r>
        <w:t>Sąjungos patikos fondų veikla užtikrinamas aiškus Sąjungos politinis matomumas ir valdymo privalumai, taip pat užtikrinama geresnė Sąjungos vykdoma rizikos kontrolė bei geresnis Sąjungos ir kitų paramos teikėjų įnašų išmokėjimas;</w:t>
      </w:r>
    </w:p>
    <w:p>
      <w:pPr>
        <w:pStyle w:val="Textstand-alone"/>
        <w:numPr>
          <w:ilvl w:val="0"/>
          <w:numId w:val="19"/>
        </w:numPr>
        <w:spacing w:before="0" w:after="0"/>
      </w:pPr>
      <w:r>
        <w:t>Sąjungos patikos fondai nesidubliuoja su kitais esamais finansavimo kanalais ar panašiomis priemonėmis neteikdami papildomos naudos;</w:t>
      </w:r>
    </w:p>
    <w:p>
      <w:pPr>
        <w:pStyle w:val="Textstand-alone"/>
        <w:numPr>
          <w:ilvl w:val="0"/>
          <w:numId w:val="19"/>
        </w:numPr>
        <w:spacing w:before="0" w:after="0"/>
      </w:pPr>
      <w:r>
        <w:t>Sąjungos patikos fondų tikslai atitinka Sąjungos priemonės ar biudžeto punkto, kurių lėšomis jie finansuojami, tikslus.</w:t>
      </w:r>
    </w:p>
    <w:p>
      <w:pPr>
        <w:pStyle w:val="Textstand-alone"/>
      </w:pPr>
      <w:r>
        <w:t>Siekiant užtikrinti sąžiningą paramos teikėjų atstovavimą ir priimti sprendimus dėl lėšų panaudojimo, įsteigiama kiekvieno Sąjungos patikos fondo valdyba, kuriai pirmininkauja Komisija. Valdyboje yra kiekvienos įnašų neskiriančios valstybės narės, dalyvaujančios stebėtojo teisėmis, atstovas. Valdybos sudarymo taisyklės ir jos vidaus taisyklės nustatomos Sąjungos patikos fondo steigiamajame susitarime.</w:t>
      </w:r>
    </w:p>
    <w:p>
      <w:pPr>
        <w:pStyle w:val="Textstand-alone"/>
      </w:pPr>
      <w:r>
        <w:t>Sąjungos patikos fondai steigiami ribotam laikotarpiui, kuris nustatomas šių fondų steigiamajame susitarime. Minėtas laikotarpis gali būti pratęstas atitinkamo Sąjungos patikos fondo valdybos prašymu ir Komisijai pateikus ataskaitą, kurioje pagrindžiamas laikotarpio pratęsimas. Europos Parlamentas ir (arba) Taryba gali paprašyti Komisijos nebeskirti asignavimų patikos fondui arba persvarstyti steigiamąjį teisės aktą siekdami, kai tinkama, likviduoti patikos fondą.</w:t>
      </w:r>
    </w:p>
    <w:p>
      <w:pPr>
        <w:pStyle w:val="Textstand-alone"/>
      </w:pPr>
      <w:r>
        <w:t>Komisijos apskaitos pareigūnas veikia kaip Sąjungos patikos fondo apskaitos pareigūnas. Apskaitos pareigūnas atsakingas už visiems Sąjungos patikos fondams bendrų apskaitos procedūrų ir sąskaitų plano nustatymą. Komisijos vidaus auditorius, OLAF ir Audito Rūmai turi tokius pačius įgaliojimus Sąjungos patikos fondo atžvilgiu, kaip ir kitų veiksmų, kuriuos vykdo Komisija, atžvilgiu.  Sąjungos patikos fondus taip pat kasmet tikrina nepriklausomas išorės auditorius.</w:t>
      </w:r>
    </w:p>
    <w:p>
      <w:pPr>
        <w:pStyle w:val="Textstand-alone"/>
        <w:rPr>
          <w:b/>
          <w:color w:val="016794"/>
        </w:rPr>
      </w:pPr>
      <w:r>
        <w:rPr>
          <w:b/>
          <w:color w:val="016794"/>
        </w:rPr>
        <w:t>Dabartiniai ES patikos fondai</w:t>
      </w:r>
    </w:p>
    <w:p>
      <w:pPr>
        <w:pStyle w:val="Textstand-alone"/>
      </w:pPr>
      <w:r>
        <w:t xml:space="preserve"> Iki šiol Komisija yra įsteigusi keturis ES patikos fondus:</w:t>
      </w:r>
    </w:p>
    <w:p>
      <w:pPr>
        <w:pStyle w:val="Textstand-alone"/>
        <w:spacing w:before="120" w:after="120"/>
      </w:pPr>
      <w:r>
        <w:t xml:space="preserve">     - </w:t>
      </w:r>
      <w:r>
        <w:rPr>
          <w:b/>
        </w:rPr>
        <w:t>ES patikos fondas</w:t>
      </w:r>
      <w:r>
        <w:t xml:space="preserve"> „</w:t>
      </w:r>
      <w:r>
        <w:rPr>
          <w:b/>
        </w:rPr>
        <w:t>BÊKOU</w:t>
      </w:r>
      <w:r>
        <w:t>“, kurio tikslas – visais atžvilgiais padėti Centrinės Afrikos Respublikai išeiti iš krizės ir remti jos atstatymo veiklą. Įsteigtas 2014 m. liepos 15 d.</w:t>
      </w:r>
    </w:p>
    <w:p>
      <w:pPr>
        <w:pStyle w:val="Textstand-alone"/>
        <w:spacing w:before="120" w:after="120"/>
      </w:pPr>
      <w:r>
        <w:t xml:space="preserve">     </w:t>
      </w:r>
      <w:r>
        <w:rPr>
          <w:b/>
        </w:rPr>
        <w:t>ES patikos fondas</w:t>
      </w:r>
      <w:r>
        <w:t xml:space="preserve"> „</w:t>
      </w:r>
      <w:r>
        <w:rPr>
          <w:b/>
        </w:rPr>
        <w:t>MADAD</w:t>
      </w:r>
      <w:r>
        <w:t>“ – Europos Sąjungos regioninis patikos fondas, sukurtas reaguojant į krizę Sirijoje. Įsteigtas 2014 m. gruodžio 15 d.</w:t>
      </w:r>
    </w:p>
    <w:p>
      <w:pPr>
        <w:pStyle w:val="Textstand-alone"/>
        <w:spacing w:before="120" w:after="120"/>
      </w:pPr>
      <w:r>
        <w:t xml:space="preserve">     </w:t>
      </w:r>
      <w:r>
        <w:rPr>
          <w:b/>
        </w:rPr>
        <w:t>ES patikos fondas</w:t>
      </w:r>
      <w:r>
        <w:t xml:space="preserve"> „</w:t>
      </w:r>
      <w:r>
        <w:rPr>
          <w:b/>
        </w:rPr>
        <w:t>AFRICA</w:t>
      </w:r>
      <w:r>
        <w:t>“, Europos Sąjungos skubiosios pagalbos patikos fondas stabilumui didinti ir pagrindinėms neteisėtos migracijos ir asmenų persikėlimo Afrikoje priežastims šalinti. Įsteigtas 2015 m. lapkričio 12 d.</w:t>
      </w:r>
    </w:p>
    <w:p>
      <w:pPr>
        <w:pStyle w:val="Textstand-alone"/>
        <w:spacing w:before="120" w:after="120"/>
      </w:pPr>
      <w:r>
        <w:t xml:space="preserve">     </w:t>
      </w:r>
      <w:r>
        <w:rPr>
          <w:b/>
        </w:rPr>
        <w:t>ES patikos fondas „COLOMBIA“</w:t>
      </w:r>
      <w:r>
        <w:t>, skirtas padėti įgyvendinti taikos susitarimą ankstyvajame atkūrimo etape ir stabilizuoti padėtį po konflikto. Įsteigtas 2016 m. gruodžio 12 d.</w:t>
      </w:r>
    </w:p>
    <w:p>
      <w:pPr>
        <w:pStyle w:val="Textstand-alone"/>
        <w:rPr>
          <w:b/>
          <w:color w:val="016794"/>
        </w:rPr>
      </w:pPr>
      <w:r>
        <w:rPr>
          <w:b/>
          <w:color w:val="016794"/>
        </w:rPr>
        <w:t>ES patikos fondas „AFRICA“</w:t>
      </w:r>
    </w:p>
    <w:p>
      <w:pPr>
        <w:pStyle w:val="Textstand-alone"/>
      </w:pPr>
      <w:r>
        <w:t xml:space="preserve">Europos Sąjungos skubiosios pagalbos patikos fondas stabilumui didinti ir pagrindinėms neteisėtos migracijos ir asmenų persikėlimo Afrikoje priežastims šalinti (toliau – ES patikos fondas Afrikai) įsteigtas 2015 m. lapkričio 12 d. Valetos aukščiausiojo lygio susitikime migracijos klausimais. Pagrindinis šio patikos fondo tikslas – remti visus stabilumo aspektus ir prisidėti prie geresnio migracijos valdymo, taip pat prie pagrindinių destabilizavimo, prievartinio perkėlimo ir nelegalios migracijos priežasčių šalinimo, visų pirma propaguojant atsparumą, ekonomines ir lygias galimybes, saugumą bei vystymąsi ir sprendžiant žmogaus teisių pažeidimų klausimus. </w:t>
      </w:r>
    </w:p>
    <w:p>
      <w:pPr>
        <w:pStyle w:val="Textstand-alone"/>
      </w:pPr>
      <w:r>
        <w:t>Patikos fondas veikia trijose pagrindinėse geografinėse teritorijose: Sahelio regione ir Čado ežero regione, Somalio pusiasalyje ir Šiaurės Afrikoje. Patikos fondo projektais atskirais atvejais gali pasinaudoti ir reikalavimus atitinkančių šalių kaimyninės šalys. Patikos fondas įsteigtas ribotam laikotarpiui, iki 2020 m. gruodžio 31 d., jo paskirtis – trumpalaikiu ir vidutinės trukmės laikotarpiu reaguoti į regionuose kylančias problemas. Patikos fondas valdomas iš Briuselio.</w:t>
      </w:r>
    </w:p>
    <w:p>
      <w:pPr>
        <w:pStyle w:val="Textstand-alone"/>
      </w:pPr>
      <w:r>
        <w:t xml:space="preserve">ES patikos fondo Afrikai valdybą ir veiklos komitetą sudaro paramos teikėjų bei Komisijos atstovai, taip pat įnašų nemokančių ES valstybių narių, reikalavimus atitinkančių šalių institucijų ir regioninių organizacijų atstovai stebėtojų teisėmis. </w:t>
      </w:r>
    </w:p>
    <w:p>
      <w:pPr>
        <w:pStyle w:val="Textstand-alone"/>
      </w:pPr>
      <w:r>
        <w:t>Valdyba nustato ir peržiūri ES patikos fondo strategiją. Valdyba posėdžiauja bent kartą per metus.</w:t>
      </w:r>
    </w:p>
    <w:p>
      <w:pPr>
        <w:pStyle w:val="Textstand-alone"/>
      </w:pPr>
      <w:r>
        <w:t>Veiklos komitetas nagrinėja fondo finansuojamus veiksmus, juos tvirtina ir prižiūri jų įgyvendinimą. Komisija taip pat tvirtina metines ataskaitas ir metines patikos fondo finansuojamos veiklos ataskaitas.</w:t>
      </w:r>
    </w:p>
    <w:p>
      <w:pPr>
        <w:pStyle w:val="Textstand-alone"/>
        <w:rPr>
          <w:b/>
          <w:color w:val="016794"/>
        </w:rPr>
      </w:pPr>
      <w:r>
        <w:rPr>
          <w:b/>
          <w:color w:val="016794"/>
        </w:rPr>
        <w:t>ES patikos fondo Afrikai metinės ataskaitos</w:t>
      </w:r>
    </w:p>
    <w:p>
      <w:pPr>
        <w:pStyle w:val="Textstand-alone"/>
      </w:pPr>
      <w:r>
        <w:t>Remiantis Susitarimo, kuriuo įsteigiamas Europos Sąjungos skubiosios pagalbos patikos fondas stabilumui didinti ir pagrindinėms neteisėtos migracijos ir asmenų persikėlimo Afrikoje priežastims šalinti (steigiamojo susitarimo) 7 straipsniu, metines ataskaitas sudaro dvi dalys: 1) metinė finansinė ataskaita, už kurios parengimą atsakingas ES patikos fondo valdytojas, ir 2) EK apskaitos pareigūno, kuris, remiantis tuo pačiu straipsniu, yra ir patikos fondo apskaitos pareigūnas, parengtos metinės finansinės ataskaitos.</w:t>
      </w:r>
    </w:p>
    <w:p>
      <w:pPr>
        <w:pStyle w:val="Textstand-alone"/>
      </w:pPr>
      <w:r>
        <w:t xml:space="preserve">Pagal steigiamojo susitarimo 8 straipsnį finansinės ataskaitos rengiamos remiantis Komisijos apskaitos pareigūno patvirtintomis apskaitos taisyklėmis (ES apskaitos taisyklėmis), kurios grindžiamos tarptautiniais viešojo sektoriaus apskaitos standartais (TVSAS). </w:t>
      </w:r>
    </w:p>
    <w:p>
      <w:pPr>
        <w:pStyle w:val="Textstand-alone"/>
      </w:pPr>
      <w:r>
        <w:t>Metinės ataskaitos teikiamos nepriklausomam išorės auditui, o galutines metines ataskaitas ES patikos fondo valdytojas ir apskaitos pareigūnas teikia tvirtinti einamosios veiklos komitetui (8.3.4 straipsnio c punktas).</w:t>
      </w:r>
    </w:p>
    <w:p>
      <w:pPr>
        <w:pStyle w:val="Textstand-alone"/>
        <w:rPr>
          <w:b/>
          <w:color w:val="016794"/>
        </w:rPr>
      </w:pPr>
      <w:r>
        <w:rPr>
          <w:b/>
          <w:color w:val="016794"/>
        </w:rPr>
        <w:t>Pagrindiniai metų įvykiai</w:t>
      </w:r>
    </w:p>
    <w:p>
      <w:pPr>
        <w:pStyle w:val="Textstand-alone"/>
      </w:pPr>
      <w:r>
        <w:t xml:space="preserve">2019 m. ES skubiosios pagalbos Afrikai patikos fondas (ES patikos fondas Afrikai) dar kartą įrodė esąs greito ir veiksmingo įgyvendinimo priemonė. Jis sudarė palankesnes sąlygas politiniam dialogui su Afrikos šalimis partnerėmis, taikė novatoriškus metodus ir pasiekė apčiuopiamų rezultatų visuose trijuose ES patikos fondo Afrikai regionuose (Sahelyje ir Čade, Somalio pusiasalyje ir Šiaurės Afrikoje) sutelkdamas įvairių suinteresuotųjų subjektų finansavimą ir patirtį. </w:t>
      </w:r>
    </w:p>
    <w:p>
      <w:pPr>
        <w:pStyle w:val="Textstand-alone"/>
      </w:pPr>
      <w:r>
        <w:t>ES patikos fondas toliau stiprino savo pasiekimus bendradarbiaudamas su ES valstybių narių plėtros agentūromis, JT organizacijomis, NVO ir šalimis partnerėmis, veiklos komitetams visuose trijuose regionuose patvirtinus 36 papildomas programas ir 16 papildomų išmokų, kurių bendra suma – 851 mln. EUR</w:t>
      </w:r>
      <w:bookmarkStart w:id="111" w:name="_Ref32237415"/>
      <w:r>
        <w:rPr>
          <w:rStyle w:val="FootnoteReference"/>
        </w:rPr>
        <w:footnoteReference w:id="8"/>
      </w:r>
      <w:bookmarkEnd w:id="111"/>
      <w:r>
        <w:t>. Taigi bendras patvirtintų programų skaičius siekia 223, o bendras biudžetas – 4,4 mlrd. EUR</w:t>
      </w:r>
      <w:r>
        <w:fldChar w:fldCharType="begin"/>
      </w:r>
      <w:r>
        <w:instrText xml:space="preserve"> NOTEREF _Ref32237415 \f \h </w:instrText>
      </w:r>
      <w:r>
        <w:fldChar w:fldCharType="separate"/>
      </w:r>
      <w:r>
        <w:rPr>
          <w:rStyle w:val="FootnoteReference"/>
        </w:rPr>
        <w:t>8</w:t>
      </w:r>
      <w:r>
        <w:fldChar w:fldCharType="end"/>
      </w:r>
      <w:r>
        <w:t>. 2019 m. su įgyvendinančiaisiais partneriais pasirašytos naujos sutartys, kurių vertė – 951 mln. EUR, taigi bendra pasirašytų sutarčių vertė siekia 3,4 mlrd. EUR. Iki 2019 m. pabaigos buvo išmokėta maždaug 2 mlrd. EUR.</w:t>
      </w:r>
    </w:p>
    <w:p>
      <w:pPr>
        <w:pStyle w:val="Textstand-alone"/>
      </w:pPr>
      <w:r>
        <w:t>2019 m. ES patikos fondas toliau siekė dviejų tikslų – skatinti stabilumą ir šalinti pagrindines priverstinio perkėlimo ir neteisėtos migracijos Sahelio ir Čado ežero, Somalio pusiasalio ir Šiaurės Afrikos regionuose priežastis. Spręsdamas neteisėtos migracijos problemas ES patikos fondas toliau laikėsi subalansuoto požiūrio, daugiausia dėmesio skirdamas abipusio ES ir Afrikos intereso sritims. Jos apima kovą su neteisėtu migrantų gabenimu ir prekyba žmonėmis, savanoriško grįžimo į savo kilmės šalį rėmimą ir tvarią migrantų reintegraciją joje.</w:t>
      </w:r>
    </w:p>
    <w:p>
      <w:pPr>
        <w:pStyle w:val="Textstand-alone"/>
      </w:pPr>
      <w:r>
        <w:t>Praėjusiais metais ES patikos fondas pasinaudojo papildomais finansiniais įsipareigojimais skirti 486,6 mln. EUR, iš jų – 101 mln. EUR iš ES valstybių narių ir kitų paramos teikėjų. Todėl bendri ES patikos fondui skirti ištekliai 2019 m. gruodžio 31 d. sudarė beveik 4,7 mlrd. EUR, iš jų 590 mln. EUR įsipareigojo skirti ES valstybės narės ir kiti paramos teikėjai (Norvegija ir Šveicarija).</w:t>
      </w:r>
    </w:p>
    <w:p>
      <w:pPr>
        <w:pStyle w:val="Textstand-alone"/>
      </w:pPr>
      <w:r>
        <w:t>Kaip ir 2018 m., ES patikos fondas toliau glaudžiai bendradarbiavo su įvairiais įgyvendinimo partneriais (valstybių narių agentūromis, JT ir tarptautinėmis organizacijomis, vietos ir tarptautinėmis NVO).</w:t>
      </w:r>
    </w:p>
    <w:p>
      <w:pPr>
        <w:pStyle w:val="Textstand-alone"/>
      </w:pPr>
      <w:r>
        <w:t>ES patikos fondas taip pat pradėjo įgyvendinti Europos Audito Rūmų specialiojoje ataskaitoje, paskelbtoje 2018 m. pabaigoje, pateiktas rekomendacijas. Visų pirma Komisija sustiprino ES patikos fondo skaidrumą ir įrodymais grindžiamą požiūrį, būtent priimdama rizikos vertinimo sistemą ir peržiūrėdama trijų regionų veiklos sistemas, kurios pirmą kartą buvo patvirtintos 2016 m.</w:t>
      </w:r>
    </w:p>
    <w:p>
      <w:pPr>
        <w:pStyle w:val="Textstand-alone"/>
      </w:pPr>
      <w:r>
        <w:t>Visus metus iš Sahelio ir Čado ežero bei Somalio pusiasalio stebėsenos ir mokymosi sistemos ataskaitų buvo matyti, kad ES patikos fondas pasiekė apčiuopiamų rezultatų įvairiose veiklos srityse. Šiaurės Afrikos regionas sukūrė savo stebėjimo ir mokymosi sistemą, kuri padės vykdyti ES patikos fondo veiksmus regione ir užtikrins atskaitomybę. Pirmąją jos ataskaitą, paskelbtą 2019 m. rugsėjo mėn., dabar galima rasti ES patikos fondo interneto svetainėje kartu su kitų dviejų regionų stebėjimo ir mokymosi sistemų ataskaitomis.</w:t>
      </w:r>
    </w:p>
    <w:p>
      <w:pPr>
        <w:pStyle w:val="Textstand-alone"/>
      </w:pPr>
      <w:r>
        <w:t>Per metus padaryta pažanga vykdant ES patikos fondo laikotarpio vidurio vertinimą. Vertinimo grupė peržiūrai atrinko apie 50 programų ir apsilankė keturiose trijų regionų šalyse (Senegale, Nigeryje, Etiopijoje ir Maroke), o aplankyti projektus Somalyje ir Libijoje ir surinkti informaciją apie juos pavedė nacionaliniams konsultantams. Galutinė laikotarpio vidurio vertinimo ataskaita turėtų būti pateikta 2020 m. balandžio mėn.</w:t>
      </w:r>
    </w:p>
    <w:p>
      <w:pPr>
        <w:pStyle w:val="Textstand-alone"/>
      </w:pPr>
      <w:r>
        <w:t>Atskaitomybė ir skaidrumas pagerėjo sustiprinus komunikavimą – ir visa tai padaryta nuolatinio nestabilumo sąlygomis. To pavyko pasiekti reguliariai atnaujinant ES patikos fondo interneto svetainę, skelbiant įrašus socialinėje žiniasklaidoje ir organizuojant komunikacijos renginius, pavyzdžiui, dvi fotografijos parodas.</w:t>
      </w:r>
    </w:p>
    <w:p>
      <w:pPr>
        <w:pStyle w:val="Textstand-alone"/>
      </w:pPr>
      <w:r>
        <w:t>Sahelio ir Čado ežero regionas ir toliau turėjo humanitarinių, plėtros, aplinkos ir saugumo problemų, ypač pablogėjo padėtis Malyje ir Burkina Fase. Šiomis aplinkybėmis ES patikos fondas patvirtino naujas programas, kurių bendra vertė – 302,1 mln. EUR</w:t>
      </w:r>
      <w:r>
        <w:fldChar w:fldCharType="begin"/>
      </w:r>
      <w:r>
        <w:instrText xml:space="preserve"> NOTEREF _Ref32237415 \f \h </w:instrText>
      </w:r>
      <w:r>
        <w:fldChar w:fldCharType="separate"/>
      </w:r>
      <w:r>
        <w:rPr>
          <w:rStyle w:val="FootnoteReference"/>
        </w:rPr>
        <w:t>8</w:t>
      </w:r>
      <w:r>
        <w:fldChar w:fldCharType="end"/>
      </w:r>
      <w:r>
        <w:t xml:space="preserve"> ir kuriomis prisidedama prie stabilizavimo pastangų regione, o tai sustiprins humanitarinės pagalbos, vystymosi ir taikos sąsają. Daugiau kaip 70 % patvirtinto finansavimo bus skirta regiono atsparumui didinti ir valdymui bei saugumui gerinti. Daugiau kaip 20 % bus toliau panaudojama ES patiko fondo TMO iniciatyvai ir Evakuacijos tranzito mechanizmui (ETM), kuriais iki 2020 m. pabaigos bus remiami pažeidžiamiausi migrantai ir pabėgėliai. Likusi finansavimo dalis padės skatinti žaliųjų darbo vietų ir įmonių kūrimą.</w:t>
      </w:r>
    </w:p>
    <w:p>
      <w:pPr>
        <w:pStyle w:val="Textstand-alone"/>
      </w:pPr>
      <w:r>
        <w:t>Nepaisant teigiamų politinių pokyčių, pavyzdžiui, Etiopijos ir Eritrėjos suartėjimo ir pereinamojo laikotarpio civilinės vyriausybės suformavimo Sudane, Somalio pusiasalio regionas vis dar turi problemų (politinių, aplinkos, ekonominių ir kt.). Gyvenimo sąlygos tebėra prastos, ir svarbiu prioritetu išlieka pabėgėliams ir perkeltiesiems asmenims skirti tvarūs sprendimai. Šioms problemoms spręsti ES patikos fondas patvirtino naujas programas, kurioms iš viso skirta 324,4 mln. EUR</w:t>
      </w:r>
      <w:r>
        <w:fldChar w:fldCharType="begin"/>
      </w:r>
      <w:r>
        <w:instrText xml:space="preserve"> NOTEREF _Ref32237415 \f \h </w:instrText>
      </w:r>
      <w:r>
        <w:fldChar w:fldCharType="separate"/>
      </w:r>
      <w:r>
        <w:rPr>
          <w:rStyle w:val="FootnoteReference"/>
        </w:rPr>
        <w:t>8</w:t>
      </w:r>
      <w:r>
        <w:fldChar w:fldCharType="end"/>
      </w:r>
      <w:r>
        <w:t xml:space="preserve"> ir pagal kurias bus toliau teikiama parama pažeidžiamiausiems gyventojams, įskaitant pabėgėlius ir šalies viduje perkeltus asmenis. Šiomis programomis bus skatinamas politinis ir ekonominis stabilumas ir gerinamas migracijos valdymas. Konkrečiai, ES patikos fondas patvirtino penkias naujas programas, kuriomis toliau remiamas Pasaulinio susitarimo dėl pabėgėlių įgyvendinimas regione.</w:t>
      </w:r>
    </w:p>
    <w:p>
      <w:pPr>
        <w:pStyle w:val="Textstand-alone"/>
      </w:pPr>
      <w:r>
        <w:t>Šiaurės Afrikos regionas susidūrė su iššūkiais, į kuriuos ES turi visapusiškai reaguoti, kad išgelbėtų gyvybes, apsaugotų pažeidžiamiausius asmenis, paremtų priimančiąsias bendruomenes ir suteiktų saugaus judumo galimybių. Todėl 2019 m. ES patikos fondas patvirtino naujus veiksmus, be kita ko, iš viso papildomai skyrė 224,8 mln. EUR</w:t>
      </w:r>
      <w:r>
        <w:fldChar w:fldCharType="begin"/>
      </w:r>
      <w:r>
        <w:instrText xml:space="preserve"> NOTEREF _Ref32237415 \f \h </w:instrText>
      </w:r>
      <w:r>
        <w:fldChar w:fldCharType="separate"/>
      </w:r>
      <w:r>
        <w:rPr>
          <w:rStyle w:val="FootnoteReference"/>
        </w:rPr>
        <w:t>8</w:t>
      </w:r>
      <w:r>
        <w:fldChar w:fldCharType="end"/>
      </w:r>
      <w:r>
        <w:t>. Pagal keturias iš šių programų toliau teikiama parama padės Libijai:</w:t>
      </w:r>
    </w:p>
    <w:p>
      <w:pPr>
        <w:pStyle w:val="Textstand-alone"/>
        <w:numPr>
          <w:ilvl w:val="0"/>
          <w:numId w:val="20"/>
        </w:numPr>
        <w:spacing w:before="120" w:after="120"/>
        <w:ind w:left="714" w:hanging="357"/>
      </w:pPr>
      <w:r>
        <w:t>stiprinti apsaugos veiklą;</w:t>
      </w:r>
    </w:p>
    <w:p>
      <w:pPr>
        <w:pStyle w:val="Textstand-alone"/>
        <w:numPr>
          <w:ilvl w:val="0"/>
          <w:numId w:val="20"/>
        </w:numPr>
        <w:spacing w:before="120" w:after="120"/>
        <w:ind w:left="714" w:hanging="357"/>
      </w:pPr>
      <w:r>
        <w:t xml:space="preserve">toliau gerinti socialinę infrastruktūrą; </w:t>
      </w:r>
    </w:p>
    <w:p>
      <w:pPr>
        <w:pStyle w:val="Textstand-alone"/>
        <w:numPr>
          <w:ilvl w:val="0"/>
          <w:numId w:val="20"/>
        </w:numPr>
        <w:spacing w:before="120" w:after="120"/>
        <w:ind w:left="714" w:hanging="357"/>
      </w:pPr>
      <w:r>
        <w:t>remtis bendruomenės stabilizavimo veikla;</w:t>
      </w:r>
    </w:p>
    <w:p>
      <w:pPr>
        <w:pStyle w:val="Textstand-alone"/>
        <w:numPr>
          <w:ilvl w:val="0"/>
          <w:numId w:val="20"/>
        </w:numPr>
        <w:spacing w:before="120" w:after="120"/>
        <w:ind w:left="714" w:hanging="357"/>
      </w:pPr>
      <w:r>
        <w:t>didinti vietos gyventojų ir migrantų atsparumą;</w:t>
      </w:r>
    </w:p>
    <w:p>
      <w:pPr>
        <w:pStyle w:val="Textstand-alone"/>
        <w:numPr>
          <w:ilvl w:val="0"/>
          <w:numId w:val="20"/>
        </w:numPr>
        <w:spacing w:before="120" w:after="120"/>
        <w:ind w:left="714" w:hanging="357"/>
      </w:pPr>
      <w:r>
        <w:t>remti įstrigusių migrantų savanorišką humanitarinį grįžimą. Plati paramos biudžetui programa padės Marokui valdyti savo sienas ir kovoti su neteisėtu migrantų gabenimu.</w:t>
      </w:r>
    </w:p>
    <w:p>
      <w:pPr>
        <w:pStyle w:val="Textstand-alone"/>
      </w:pPr>
      <w:r>
        <w:t>Be to, keturios regioninės programos padės didinti žmonių, kuriems reikia pagalbos, atsparumą, remti pabėgėlių ir prieglobsčio prašytojų teises, skatinti diasporos investicijas kilmės šalyse ir toliau skatinti darbo jėgos judumą, kad vyktų teisėta migracija. Taip pat patvirtintas techninio bendradarbiavimo priemonės lėšų papildymas.</w:t>
      </w:r>
    </w:p>
    <w:p>
      <w:pPr>
        <w:pStyle w:val="Textstand-alone"/>
      </w:pPr>
      <w:r>
        <w:t>Balanse vertinant išankstinį finansavimą akivaizdžiausiai matomas patikos fondo veiklos padidėjimas, t. y. pasirašytos 188 naujos sutartys, o išmokėjus avansus pagal šias naujas sutartis išankstinis finansavimas padidėjo 157 912 tūkst. EUR. Finansinės veiklos ataskaitoje naujoji veikla turėjo didžiausią poveikį veiklos išlaidoms, kurios padidėjo 201 322 tūkst. EUR. Tuo pat metu labai padidėjo pajamos iš paramos teikėjų (206 775 tūkst. EUR daugiau, palyginti su 2018 m.), skirtų didėjančioms išlaidoms padengti.</w:t>
      </w: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sectPr>
          <w:headerReference w:type="even" r:id="rId257"/>
          <w:headerReference w:type="default" r:id="rId258"/>
          <w:footerReference w:type="even" r:id="rId259"/>
          <w:footerReference w:type="default" r:id="rId260"/>
          <w:headerReference w:type="first" r:id="rId261"/>
          <w:footerReference w:type="first" r:id="rId262"/>
          <w:pgSz w:w="11906" w:h="16838" w:code="9"/>
          <w:pgMar w:top="1134" w:right="1134" w:bottom="1134" w:left="1134" w:header="709" w:footer="709" w:gutter="0"/>
          <w:cols w:space="708"/>
          <w:docGrid w:linePitch="360"/>
        </w:sectPr>
      </w:pPr>
    </w:p>
    <w:p>
      <w:pPr>
        <w:pStyle w:val="HEADERTITLE1"/>
      </w:pPr>
      <w:bookmarkStart w:id="112" w:name="_Toc41982827"/>
      <w:bookmarkStart w:id="113" w:name="_Toc48834997"/>
      <w:r>
        <w:t>BALANSAS</w:t>
      </w:r>
      <w:bookmarkEnd w:id="112"/>
      <w:bookmarkEnd w:id="113"/>
    </w:p>
    <w:tbl>
      <w:tblPr>
        <w:tblW w:w="51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0"/>
        <w:gridCol w:w="958"/>
        <w:gridCol w:w="1432"/>
        <w:gridCol w:w="1753"/>
      </w:tblGrid>
      <w:tr>
        <w:trPr>
          <w:trHeight w:val="280"/>
        </w:trPr>
        <w:tc>
          <w:tcPr>
            <w:tcW w:w="581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cs="Calibri"/>
                <w:noProof/>
                <w:color w:val="000000"/>
                <w:sz w:val="22"/>
              </w:rPr>
            </w:pPr>
            <w:bookmarkStart w:id="114" w:name="DOC_TBL00050_1_1"/>
            <w:bookmarkEnd w:id="114"/>
          </w:p>
        </w:tc>
        <w:tc>
          <w:tcPr>
            <w:tcW w:w="95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cs="Calibri"/>
                <w:noProof/>
                <w:color w:val="000000"/>
                <w:sz w:val="22"/>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cs="Calibri"/>
                <w:noProof/>
                <w:color w:val="000000"/>
                <w:sz w:val="22"/>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6"/>
              </w:rPr>
            </w:pPr>
            <w:r>
              <w:rPr>
                <w:rFonts w:ascii="Verdana" w:hAnsi="Verdana"/>
                <w:i/>
                <w:noProof/>
                <w:color w:val="000000"/>
                <w:sz w:val="16"/>
              </w:rPr>
              <w:t xml:space="preserve"> tūkst. EUR</w:t>
            </w:r>
          </w:p>
        </w:tc>
      </w:tr>
      <w:tr>
        <w:trPr>
          <w:trHeight w:val="280"/>
        </w:trPr>
        <w:tc>
          <w:tcPr>
            <w:tcW w:w="5810" w:type="dxa"/>
            <w:tcBorders>
              <w:top w:val="nil"/>
              <w:left w:val="nil"/>
              <w:bottom w:val="nil"/>
              <w:right w:val="nil"/>
              <w:tl2br w:val="nil"/>
              <w:tr2bl w:val="nil"/>
            </w:tcBorders>
            <w:shd w:val="solid" w:color="016794" w:fill="FFFFFF"/>
            <w:tcMar>
              <w:left w:w="60" w:type="dxa"/>
              <w:right w:w="60" w:type="dxa"/>
            </w:tcMar>
            <w:vAlign w:val="bottom"/>
          </w:tcPr>
          <w:p>
            <w:pPr>
              <w:pStyle w:val="DMETW17933BIPBS"/>
              <w:rPr>
                <w:rFonts w:ascii="Verdana" w:eastAsia="Verdana" w:hAnsi="Verdana" w:cs="Verdana"/>
                <w:noProof/>
                <w:color w:val="FFFFFF"/>
              </w:rPr>
            </w:pPr>
          </w:p>
        </w:tc>
        <w:tc>
          <w:tcPr>
            <w:tcW w:w="958" w:type="dxa"/>
            <w:tcBorders>
              <w:top w:val="nil"/>
              <w:left w:val="nil"/>
              <w:bottom w:val="nil"/>
              <w:right w:val="nil"/>
              <w:tl2br w:val="nil"/>
              <w:tr2bl w:val="nil"/>
            </w:tcBorders>
            <w:shd w:val="solid" w:color="016794" w:fill="FFFFFF"/>
            <w:tcMar>
              <w:left w:w="60" w:type="dxa"/>
              <w:right w:w="60" w:type="dxa"/>
            </w:tcMar>
            <w:vAlign w:val="bottom"/>
          </w:tcPr>
          <w:p>
            <w:pPr>
              <w:pStyle w:val="DMETW17933BIPBS"/>
              <w:jc w:val="center"/>
              <w:rPr>
                <w:rFonts w:ascii="Verdana" w:eastAsia="Verdana" w:hAnsi="Verdana" w:cs="Verdana"/>
                <w:noProof/>
                <w:color w:val="FFFFFF"/>
              </w:rPr>
            </w:pPr>
            <w:r>
              <w:rPr>
                <w:rFonts w:ascii="Verdana" w:hAnsi="Verdana"/>
                <w:noProof/>
                <w:color w:val="FFFFFF"/>
              </w:rPr>
              <w:t>Pastaba</w:t>
            </w:r>
          </w:p>
        </w:tc>
        <w:tc>
          <w:tcPr>
            <w:tcW w:w="1432" w:type="dxa"/>
            <w:tcBorders>
              <w:top w:val="nil"/>
              <w:left w:val="nil"/>
              <w:bottom w:val="nil"/>
              <w:right w:val="nil"/>
              <w:tl2br w:val="nil"/>
              <w:tr2bl w:val="nil"/>
            </w:tcBorders>
            <w:shd w:val="solid" w:color="016794" w:fill="FFFFFF"/>
            <w:tcMar>
              <w:left w:w="60" w:type="dxa"/>
              <w:right w:w="60" w:type="dxa"/>
            </w:tcMar>
            <w:vAlign w:val="bottom"/>
          </w:tcPr>
          <w:p>
            <w:pPr>
              <w:pStyle w:val="DMETW17933BIPBS"/>
              <w:jc w:val="right"/>
              <w:rPr>
                <w:rFonts w:ascii="Verdana" w:eastAsia="Verdana" w:hAnsi="Verdana" w:cs="Verdana"/>
                <w:noProof/>
                <w:color w:val="FFFFFF"/>
              </w:rPr>
            </w:pPr>
            <w:r>
              <w:rPr>
                <w:rFonts w:ascii="Verdana" w:hAnsi="Verdana"/>
                <w:noProof/>
                <w:color w:val="FFFFFF"/>
              </w:rPr>
              <w:t>2019 12 31</w:t>
            </w:r>
          </w:p>
        </w:tc>
        <w:tc>
          <w:tcPr>
            <w:tcW w:w="1753" w:type="dxa"/>
            <w:tcBorders>
              <w:top w:val="nil"/>
              <w:left w:val="nil"/>
              <w:bottom w:val="nil"/>
              <w:right w:val="nil"/>
              <w:tl2br w:val="nil"/>
              <w:tr2bl w:val="nil"/>
            </w:tcBorders>
            <w:shd w:val="solid" w:color="016794" w:fill="FFFFFF"/>
            <w:tcMar>
              <w:left w:w="60" w:type="dxa"/>
              <w:right w:w="60" w:type="dxa"/>
            </w:tcMar>
            <w:vAlign w:val="bottom"/>
          </w:tcPr>
          <w:p>
            <w:pPr>
              <w:pStyle w:val="DMETW17933BIPBS"/>
              <w:jc w:val="right"/>
              <w:rPr>
                <w:rFonts w:ascii="Verdana" w:eastAsia="Verdana" w:hAnsi="Verdana" w:cs="Verdana"/>
                <w:noProof/>
                <w:color w:val="FFFFFF"/>
              </w:rPr>
            </w:pPr>
            <w:r>
              <w:rPr>
                <w:rFonts w:ascii="Verdana" w:hAnsi="Verdana"/>
                <w:noProof/>
                <w:color w:val="FFFFFF"/>
              </w:rPr>
              <w:t>2018 12 31</w:t>
            </w:r>
          </w:p>
        </w:tc>
      </w:tr>
      <w:tr>
        <w:trPr>
          <w:trHeight w:val="280"/>
        </w:trPr>
        <w:tc>
          <w:tcPr>
            <w:tcW w:w="581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b/>
                <w:noProof/>
                <w:color w:val="000000"/>
                <w:sz w:val="18"/>
              </w:rPr>
            </w:pPr>
            <w:r>
              <w:rPr>
                <w:rFonts w:ascii="Verdana" w:hAnsi="Verdana"/>
                <w:b/>
                <w:noProof/>
                <w:color w:val="000000"/>
                <w:sz w:val="18"/>
              </w:rPr>
              <w:t>ILGALAIKIS TURTAS</w:t>
            </w:r>
          </w:p>
        </w:tc>
        <w:tc>
          <w:tcPr>
            <w:tcW w:w="95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b/>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lang w:bidi="en-GB"/>
              </w:rPr>
            </w:pPr>
          </w:p>
        </w:tc>
      </w:tr>
      <w:tr>
        <w:trPr>
          <w:trHeight w:val="280"/>
        </w:trPr>
        <w:tc>
          <w:tcPr>
            <w:tcW w:w="581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hAnsi="Verdana"/>
                <w:i/>
                <w:noProof/>
                <w:color w:val="000000"/>
                <w:sz w:val="18"/>
              </w:rPr>
              <w:t>Išankstinis finansavimas</w:t>
            </w:r>
          </w:p>
        </w:tc>
        <w:tc>
          <w:tcPr>
            <w:tcW w:w="95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48 539</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34 144</w:t>
            </w:r>
          </w:p>
        </w:tc>
      </w:tr>
      <w:tr>
        <w:trPr>
          <w:trHeight w:val="280"/>
        </w:trPr>
        <w:tc>
          <w:tcPr>
            <w:tcW w:w="581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p>
        </w:tc>
        <w:tc>
          <w:tcPr>
            <w:tcW w:w="9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 xml:space="preserve"> 48 539</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 xml:space="preserve"> 34 144</w:t>
            </w:r>
          </w:p>
        </w:tc>
      </w:tr>
      <w:tr>
        <w:trPr>
          <w:trHeight w:val="280"/>
        </w:trPr>
        <w:tc>
          <w:tcPr>
            <w:tcW w:w="581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b/>
                <w:noProof/>
                <w:color w:val="000000"/>
                <w:sz w:val="18"/>
              </w:rPr>
            </w:pPr>
            <w:r>
              <w:rPr>
                <w:rFonts w:ascii="Verdana" w:hAnsi="Verdana"/>
                <w:b/>
                <w:noProof/>
                <w:color w:val="000000"/>
                <w:sz w:val="18"/>
              </w:rPr>
              <w:t>TRUMPALAIKIS TURTAS</w:t>
            </w:r>
          </w:p>
        </w:tc>
        <w:tc>
          <w:tcPr>
            <w:tcW w:w="95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b/>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lang w:bidi="en-GB"/>
              </w:rPr>
            </w:pPr>
          </w:p>
        </w:tc>
      </w:tr>
      <w:tr>
        <w:trPr>
          <w:trHeight w:val="280"/>
        </w:trPr>
        <w:tc>
          <w:tcPr>
            <w:tcW w:w="581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hAnsi="Verdana"/>
                <w:i/>
                <w:noProof/>
                <w:color w:val="000000"/>
                <w:sz w:val="18"/>
              </w:rPr>
              <w:t>Išankstinis finansavimas</w:t>
            </w:r>
          </w:p>
        </w:tc>
        <w:tc>
          <w:tcPr>
            <w:tcW w:w="95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418 569</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273 214</w:t>
            </w:r>
          </w:p>
        </w:tc>
      </w:tr>
      <w:tr>
        <w:trPr>
          <w:trHeight w:val="280"/>
        </w:trPr>
        <w:tc>
          <w:tcPr>
            <w:tcW w:w="581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hAnsi="Verdana"/>
                <w:i/>
                <w:noProof/>
                <w:color w:val="000000"/>
                <w:sz w:val="18"/>
              </w:rPr>
              <w:t>Iš prekybos gautinos sumos ir neprekybinės susigrąžintinos sumos</w:t>
            </w:r>
          </w:p>
        </w:tc>
        <w:tc>
          <w:tcPr>
            <w:tcW w:w="95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18 471</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16 656</w:t>
            </w:r>
          </w:p>
        </w:tc>
      </w:tr>
      <w:tr>
        <w:trPr>
          <w:trHeight w:val="280"/>
        </w:trPr>
        <w:tc>
          <w:tcPr>
            <w:tcW w:w="581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hAnsi="Verdana"/>
                <w:i/>
                <w:noProof/>
                <w:color w:val="000000"/>
                <w:sz w:val="18"/>
              </w:rPr>
              <w:t xml:space="preserve">Pinigai ir pinigų ekvivalentai </w:t>
            </w:r>
          </w:p>
        </w:tc>
        <w:tc>
          <w:tcPr>
            <w:tcW w:w="95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26 915</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146 864</w:t>
            </w:r>
          </w:p>
        </w:tc>
      </w:tr>
      <w:tr>
        <w:trPr>
          <w:trHeight w:val="280"/>
        </w:trPr>
        <w:tc>
          <w:tcPr>
            <w:tcW w:w="581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p>
        </w:tc>
        <w:tc>
          <w:tcPr>
            <w:tcW w:w="95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 xml:space="preserve"> 463 955</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 xml:space="preserve"> 436 734</w:t>
            </w:r>
          </w:p>
        </w:tc>
      </w:tr>
      <w:tr>
        <w:trPr>
          <w:trHeight w:val="280"/>
        </w:trPr>
        <w:tc>
          <w:tcPr>
            <w:tcW w:w="5810" w:type="dxa"/>
            <w:tcBorders>
              <w:top w:val="nil"/>
              <w:left w:val="nil"/>
              <w:bottom w:val="nil"/>
              <w:right w:val="nil"/>
              <w:tl2br w:val="nil"/>
              <w:tr2bl w:val="nil"/>
            </w:tcBorders>
            <w:shd w:val="solid" w:color="CCE1EA" w:fill="FFFFFF"/>
            <w:tcMar>
              <w:left w:w="60" w:type="dxa"/>
              <w:right w:w="60" w:type="dxa"/>
            </w:tcMar>
            <w:vAlign w:val="bottom"/>
          </w:tcPr>
          <w:p>
            <w:pPr>
              <w:pStyle w:val="DMETW17933BIPBS"/>
              <w:rPr>
                <w:rFonts w:ascii="Verdana" w:eastAsia="Verdana" w:hAnsi="Verdana" w:cs="Verdana"/>
                <w:b/>
                <w:noProof/>
                <w:color w:val="000000"/>
                <w:sz w:val="18"/>
              </w:rPr>
            </w:pPr>
            <w:r>
              <w:rPr>
                <w:rFonts w:ascii="Verdana" w:hAnsi="Verdana"/>
                <w:b/>
                <w:noProof/>
                <w:color w:val="000000"/>
                <w:sz w:val="18"/>
              </w:rPr>
              <w:t>IŠ VISO TURTO</w:t>
            </w:r>
          </w:p>
        </w:tc>
        <w:tc>
          <w:tcPr>
            <w:tcW w:w="958"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center"/>
              <w:rPr>
                <w:rFonts w:ascii="Verdana" w:eastAsia="Verdana" w:hAnsi="Verdana" w:cs="Verdana"/>
                <w:noProof/>
                <w:color w:val="000000"/>
                <w:sz w:val="18"/>
              </w:rPr>
            </w:pPr>
          </w:p>
        </w:tc>
        <w:tc>
          <w:tcPr>
            <w:tcW w:w="1432"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 xml:space="preserve"> 512 495</w:t>
            </w:r>
          </w:p>
        </w:tc>
        <w:tc>
          <w:tcPr>
            <w:tcW w:w="1753"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 xml:space="preserve"> 470 878</w:t>
            </w:r>
          </w:p>
        </w:tc>
      </w:tr>
      <w:tr>
        <w:trPr>
          <w:trHeight w:val="280"/>
        </w:trPr>
        <w:tc>
          <w:tcPr>
            <w:tcW w:w="581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cs="Calibri"/>
                <w:noProof/>
                <w:color w:val="000000"/>
                <w:sz w:val="22"/>
              </w:rPr>
            </w:pPr>
          </w:p>
        </w:tc>
        <w:tc>
          <w:tcPr>
            <w:tcW w:w="95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cs="Calibri"/>
                <w:noProof/>
                <w:color w:val="000000"/>
                <w:sz w:val="22"/>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cs="Calibri"/>
                <w:noProof/>
                <w:color w:val="000000"/>
                <w:sz w:val="22"/>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cs="Calibri"/>
                <w:noProof/>
                <w:color w:val="000000"/>
                <w:sz w:val="22"/>
                <w:lang w:bidi="en-GB"/>
              </w:rPr>
            </w:pPr>
          </w:p>
        </w:tc>
      </w:tr>
      <w:tr>
        <w:trPr>
          <w:trHeight w:val="280"/>
        </w:trPr>
        <w:tc>
          <w:tcPr>
            <w:tcW w:w="581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b/>
                <w:noProof/>
                <w:color w:val="000000"/>
                <w:sz w:val="18"/>
              </w:rPr>
            </w:pPr>
            <w:r>
              <w:rPr>
                <w:rFonts w:ascii="Verdana" w:hAnsi="Verdana"/>
                <w:b/>
                <w:noProof/>
                <w:color w:val="000000"/>
                <w:sz w:val="18"/>
              </w:rPr>
              <w:t>ILGALAIKIAI ĮSIPAREIGOJIMAI</w:t>
            </w:r>
          </w:p>
        </w:tc>
        <w:tc>
          <w:tcPr>
            <w:tcW w:w="95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b/>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lang w:bidi="en-GB"/>
              </w:rPr>
            </w:pPr>
          </w:p>
        </w:tc>
      </w:tr>
      <w:tr>
        <w:trPr>
          <w:trHeight w:val="280"/>
        </w:trPr>
        <w:tc>
          <w:tcPr>
            <w:tcW w:w="581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hAnsi="Verdana"/>
                <w:i/>
                <w:noProof/>
                <w:color w:val="000000"/>
                <w:sz w:val="18"/>
              </w:rPr>
              <w:t>Finansiniai įsipareigojimai</w:t>
            </w:r>
          </w:p>
        </w:tc>
        <w:tc>
          <w:tcPr>
            <w:tcW w:w="95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(384 411)</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(369 999)</w:t>
            </w:r>
          </w:p>
        </w:tc>
      </w:tr>
      <w:tr>
        <w:trPr>
          <w:trHeight w:val="280"/>
        </w:trPr>
        <w:tc>
          <w:tcPr>
            <w:tcW w:w="581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p>
        </w:tc>
        <w:tc>
          <w:tcPr>
            <w:tcW w:w="9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 xml:space="preserve"> (384 411)</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 xml:space="preserve"> (369 999)</w:t>
            </w:r>
          </w:p>
        </w:tc>
      </w:tr>
      <w:tr>
        <w:trPr>
          <w:trHeight w:val="280"/>
        </w:trPr>
        <w:tc>
          <w:tcPr>
            <w:tcW w:w="581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b/>
                <w:noProof/>
                <w:color w:val="000000"/>
                <w:sz w:val="18"/>
              </w:rPr>
            </w:pPr>
            <w:r>
              <w:rPr>
                <w:rFonts w:ascii="Verdana" w:hAnsi="Verdana"/>
                <w:b/>
                <w:noProof/>
                <w:color w:val="000000"/>
                <w:sz w:val="18"/>
              </w:rPr>
              <w:t>TRUMPALAIKIAI ĮSIPAREIGOJIMAI</w:t>
            </w:r>
          </w:p>
        </w:tc>
        <w:tc>
          <w:tcPr>
            <w:tcW w:w="95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b/>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lang w:bidi="en-GB"/>
              </w:rPr>
            </w:pPr>
          </w:p>
        </w:tc>
      </w:tr>
      <w:tr>
        <w:trPr>
          <w:trHeight w:val="280"/>
        </w:trPr>
        <w:tc>
          <w:tcPr>
            <w:tcW w:w="581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hAnsi="Verdana"/>
                <w:i/>
                <w:noProof/>
                <w:color w:val="000000"/>
                <w:sz w:val="18"/>
              </w:rPr>
              <w:t xml:space="preserve">Mokėtinos sumos </w:t>
            </w:r>
          </w:p>
        </w:tc>
        <w:tc>
          <w:tcPr>
            <w:tcW w:w="95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(25 969)</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(12 733)</w:t>
            </w:r>
          </w:p>
        </w:tc>
      </w:tr>
      <w:tr>
        <w:trPr>
          <w:trHeight w:val="280"/>
        </w:trPr>
        <w:tc>
          <w:tcPr>
            <w:tcW w:w="581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hAnsi="Verdana"/>
                <w:i/>
                <w:noProof/>
                <w:color w:val="000000"/>
                <w:sz w:val="18"/>
              </w:rPr>
              <w:t>Sukauptos sąnaudos ir būsimojo laikotarpio pajamos</w:t>
            </w:r>
          </w:p>
        </w:tc>
        <w:tc>
          <w:tcPr>
            <w:tcW w:w="95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(102 114)</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(88 146)</w:t>
            </w:r>
          </w:p>
        </w:tc>
      </w:tr>
      <w:tr>
        <w:trPr>
          <w:trHeight w:val="280"/>
        </w:trPr>
        <w:tc>
          <w:tcPr>
            <w:tcW w:w="581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p>
        </w:tc>
        <w:tc>
          <w:tcPr>
            <w:tcW w:w="95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 xml:space="preserve"> (128 083)</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 xml:space="preserve"> (100 879)</w:t>
            </w:r>
          </w:p>
        </w:tc>
      </w:tr>
      <w:tr>
        <w:trPr>
          <w:trHeight w:val="280"/>
        </w:trPr>
        <w:tc>
          <w:tcPr>
            <w:tcW w:w="5810" w:type="dxa"/>
            <w:tcBorders>
              <w:top w:val="nil"/>
              <w:left w:val="nil"/>
              <w:bottom w:val="nil"/>
              <w:right w:val="nil"/>
              <w:tl2br w:val="nil"/>
              <w:tr2bl w:val="nil"/>
            </w:tcBorders>
            <w:shd w:val="solid" w:color="CCE1EA" w:fill="FFFFFF"/>
            <w:tcMar>
              <w:left w:w="60" w:type="dxa"/>
              <w:right w:w="60" w:type="dxa"/>
            </w:tcMar>
            <w:vAlign w:val="bottom"/>
          </w:tcPr>
          <w:p>
            <w:pPr>
              <w:pStyle w:val="DMETW17933BIPBS"/>
              <w:rPr>
                <w:rFonts w:ascii="Verdana" w:eastAsia="Verdana" w:hAnsi="Verdana" w:cs="Verdana"/>
                <w:b/>
                <w:noProof/>
                <w:color w:val="000000"/>
                <w:sz w:val="18"/>
              </w:rPr>
            </w:pPr>
            <w:r>
              <w:rPr>
                <w:rFonts w:ascii="Verdana" w:hAnsi="Verdana"/>
                <w:b/>
                <w:noProof/>
                <w:color w:val="000000"/>
                <w:sz w:val="18"/>
              </w:rPr>
              <w:t>IŠ VISO ĮSIPAREIGOJIMŲ</w:t>
            </w:r>
          </w:p>
        </w:tc>
        <w:tc>
          <w:tcPr>
            <w:tcW w:w="958"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center"/>
              <w:rPr>
                <w:rFonts w:ascii="Verdana" w:eastAsia="Verdana" w:hAnsi="Verdana" w:cs="Verdana"/>
                <w:noProof/>
                <w:color w:val="000000"/>
                <w:sz w:val="18"/>
              </w:rPr>
            </w:pPr>
          </w:p>
        </w:tc>
        <w:tc>
          <w:tcPr>
            <w:tcW w:w="1432"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 xml:space="preserve"> (512 495)</w:t>
            </w:r>
          </w:p>
        </w:tc>
        <w:tc>
          <w:tcPr>
            <w:tcW w:w="1753"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 xml:space="preserve"> (470 878)</w:t>
            </w:r>
          </w:p>
        </w:tc>
      </w:tr>
      <w:tr>
        <w:trPr>
          <w:trHeight w:val="280"/>
        </w:trPr>
        <w:tc>
          <w:tcPr>
            <w:tcW w:w="581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p>
        </w:tc>
        <w:tc>
          <w:tcPr>
            <w:tcW w:w="95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lang w:bidi="en-GB"/>
              </w:rPr>
            </w:pPr>
          </w:p>
        </w:tc>
      </w:tr>
      <w:tr>
        <w:trPr>
          <w:trHeight w:val="280"/>
        </w:trPr>
        <w:tc>
          <w:tcPr>
            <w:tcW w:w="5810" w:type="dxa"/>
            <w:tcBorders>
              <w:top w:val="nil"/>
              <w:left w:val="nil"/>
              <w:bottom w:val="nil"/>
              <w:right w:val="nil"/>
              <w:tl2br w:val="nil"/>
              <w:tr2bl w:val="nil"/>
            </w:tcBorders>
            <w:shd w:val="solid" w:color="CCE1EA" w:fill="FFFFFF"/>
            <w:tcMar>
              <w:left w:w="60" w:type="dxa"/>
              <w:right w:w="60" w:type="dxa"/>
            </w:tcMar>
            <w:vAlign w:val="bottom"/>
          </w:tcPr>
          <w:p>
            <w:pPr>
              <w:pStyle w:val="DMETW17933BIPBS"/>
              <w:rPr>
                <w:rFonts w:ascii="Verdana" w:eastAsia="Verdana" w:hAnsi="Verdana" w:cs="Verdana"/>
                <w:b/>
                <w:noProof/>
                <w:color w:val="000000"/>
                <w:sz w:val="18"/>
              </w:rPr>
            </w:pPr>
            <w:r>
              <w:rPr>
                <w:rFonts w:ascii="Verdana" w:hAnsi="Verdana"/>
                <w:b/>
                <w:noProof/>
                <w:color w:val="000000"/>
                <w:sz w:val="18"/>
              </w:rPr>
              <w:t>GRYNASIS TURTAS</w:t>
            </w:r>
          </w:p>
        </w:tc>
        <w:tc>
          <w:tcPr>
            <w:tcW w:w="958"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center"/>
              <w:rPr>
                <w:rFonts w:ascii="Verdana" w:eastAsia="Verdana" w:hAnsi="Verdana" w:cs="Verdana"/>
                <w:noProof/>
                <w:color w:val="000000"/>
                <w:sz w:val="18"/>
              </w:rPr>
            </w:pPr>
          </w:p>
        </w:tc>
        <w:tc>
          <w:tcPr>
            <w:tcW w:w="1432"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w:t>
            </w:r>
          </w:p>
        </w:tc>
        <w:tc>
          <w:tcPr>
            <w:tcW w:w="1753"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w:t>
            </w:r>
          </w:p>
        </w:tc>
      </w:tr>
      <w:tr>
        <w:trPr>
          <w:trHeight w:val="280"/>
        </w:trPr>
        <w:tc>
          <w:tcPr>
            <w:tcW w:w="581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b/>
                <w:noProof/>
                <w:color w:val="000000"/>
                <w:sz w:val="18"/>
              </w:rPr>
            </w:pPr>
          </w:p>
        </w:tc>
        <w:tc>
          <w:tcPr>
            <w:tcW w:w="95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lang w:bidi="en-GB"/>
              </w:rPr>
            </w:pPr>
          </w:p>
        </w:tc>
      </w:tr>
      <w:tr>
        <w:trPr>
          <w:trHeight w:val="280"/>
        </w:trPr>
        <w:tc>
          <w:tcPr>
            <w:tcW w:w="5810" w:type="dxa"/>
            <w:tcBorders>
              <w:top w:val="nil"/>
              <w:left w:val="nil"/>
              <w:bottom w:val="nil"/>
              <w:right w:val="nil"/>
              <w:tl2br w:val="nil"/>
              <w:tr2bl w:val="nil"/>
            </w:tcBorders>
            <w:shd w:val="solid" w:color="CCE1EA" w:fill="FFFFFF"/>
            <w:tcMar>
              <w:left w:w="60" w:type="dxa"/>
              <w:right w:w="60" w:type="dxa"/>
            </w:tcMar>
            <w:vAlign w:val="bottom"/>
          </w:tcPr>
          <w:p>
            <w:pPr>
              <w:pStyle w:val="DMETW17933BIPBS"/>
              <w:rPr>
                <w:rFonts w:ascii="Verdana" w:eastAsia="Verdana" w:hAnsi="Verdana" w:cs="Verdana"/>
                <w:b/>
                <w:noProof/>
                <w:color w:val="000000"/>
                <w:sz w:val="18"/>
              </w:rPr>
            </w:pPr>
            <w:r>
              <w:rPr>
                <w:rFonts w:ascii="Verdana" w:hAnsi="Verdana"/>
                <w:b/>
                <w:noProof/>
                <w:color w:val="000000"/>
                <w:sz w:val="18"/>
              </w:rPr>
              <w:t>FONDAI IR REZERVAI</w:t>
            </w:r>
          </w:p>
        </w:tc>
        <w:tc>
          <w:tcPr>
            <w:tcW w:w="958"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center"/>
              <w:rPr>
                <w:rFonts w:ascii="Verdana" w:eastAsia="Verdana" w:hAnsi="Verdana" w:cs="Verdana"/>
                <w:noProof/>
                <w:color w:val="000000"/>
                <w:sz w:val="18"/>
              </w:rPr>
            </w:pPr>
          </w:p>
        </w:tc>
        <w:tc>
          <w:tcPr>
            <w:tcW w:w="1432"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rPr>
            </w:pPr>
          </w:p>
        </w:tc>
        <w:tc>
          <w:tcPr>
            <w:tcW w:w="1753"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lang w:bidi="en-GB"/>
              </w:rPr>
            </w:pPr>
          </w:p>
        </w:tc>
      </w:tr>
      <w:tr>
        <w:trPr>
          <w:trHeight w:val="280"/>
        </w:trPr>
        <w:tc>
          <w:tcPr>
            <w:tcW w:w="581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hAnsi="Verdana"/>
                <w:i/>
                <w:noProof/>
                <w:color w:val="000000"/>
                <w:sz w:val="18"/>
              </w:rPr>
              <w:t>Narių įnašai</w:t>
            </w:r>
          </w:p>
        </w:tc>
        <w:tc>
          <w:tcPr>
            <w:tcW w:w="95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w:t>
            </w:r>
          </w:p>
        </w:tc>
      </w:tr>
      <w:tr>
        <w:trPr>
          <w:trHeight w:val="280"/>
        </w:trPr>
        <w:tc>
          <w:tcPr>
            <w:tcW w:w="581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hAnsi="Verdana"/>
                <w:i/>
                <w:noProof/>
                <w:color w:val="000000"/>
                <w:sz w:val="18"/>
              </w:rPr>
              <w:t>Sukauptas perteklius</w:t>
            </w:r>
          </w:p>
        </w:tc>
        <w:tc>
          <w:tcPr>
            <w:tcW w:w="95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w:t>
            </w:r>
          </w:p>
        </w:tc>
      </w:tr>
      <w:tr>
        <w:trPr>
          <w:trHeight w:val="280"/>
        </w:trPr>
        <w:tc>
          <w:tcPr>
            <w:tcW w:w="581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hAnsi="Verdana"/>
                <w:i/>
                <w:noProof/>
                <w:color w:val="000000"/>
                <w:sz w:val="18"/>
              </w:rPr>
              <w:t>Ekonominis metų rezultatas</w:t>
            </w:r>
          </w:p>
        </w:tc>
        <w:tc>
          <w:tcPr>
            <w:tcW w:w="95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w:t>
            </w:r>
          </w:p>
        </w:tc>
      </w:tr>
      <w:tr>
        <w:trPr>
          <w:trHeight w:val="280"/>
        </w:trPr>
        <w:tc>
          <w:tcPr>
            <w:tcW w:w="5810" w:type="dxa"/>
            <w:tcBorders>
              <w:top w:val="nil"/>
              <w:left w:val="nil"/>
              <w:bottom w:val="nil"/>
              <w:right w:val="nil"/>
              <w:tl2br w:val="nil"/>
              <w:tr2bl w:val="nil"/>
            </w:tcBorders>
            <w:shd w:val="solid" w:color="CCE1EA" w:fill="FFFFFF"/>
            <w:tcMar>
              <w:left w:w="60" w:type="dxa"/>
              <w:right w:w="60" w:type="dxa"/>
            </w:tcMar>
            <w:vAlign w:val="bottom"/>
          </w:tcPr>
          <w:p>
            <w:pPr>
              <w:pStyle w:val="DMETW17933BIPBS"/>
              <w:rPr>
                <w:rFonts w:ascii="Verdana" w:eastAsia="Verdana" w:hAnsi="Verdana" w:cs="Verdana"/>
                <w:b/>
                <w:noProof/>
                <w:color w:val="000000"/>
                <w:sz w:val="18"/>
              </w:rPr>
            </w:pPr>
            <w:r>
              <w:rPr>
                <w:rFonts w:ascii="Verdana" w:hAnsi="Verdana"/>
                <w:b/>
                <w:noProof/>
                <w:color w:val="000000"/>
                <w:sz w:val="18"/>
              </w:rPr>
              <w:t>GRYNASIS TURTAS</w:t>
            </w:r>
          </w:p>
        </w:tc>
        <w:tc>
          <w:tcPr>
            <w:tcW w:w="958"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center"/>
              <w:rPr>
                <w:rFonts w:ascii="Verdana" w:eastAsia="Verdana" w:hAnsi="Verdana" w:cs="Verdana"/>
                <w:noProof/>
                <w:color w:val="000000"/>
                <w:sz w:val="18"/>
              </w:rPr>
            </w:pPr>
          </w:p>
        </w:tc>
        <w:tc>
          <w:tcPr>
            <w:tcW w:w="1432"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w:t>
            </w:r>
          </w:p>
        </w:tc>
        <w:tc>
          <w:tcPr>
            <w:tcW w:w="1753"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w:t>
            </w:r>
          </w:p>
        </w:tc>
      </w:tr>
    </w:tbl>
    <w:p>
      <w:pPr>
        <w:pStyle w:val="HEADERTITLE1"/>
      </w:pPr>
    </w:p>
    <w:p>
      <w:pPr>
        <w:pStyle w:val="HEADERTITLE1"/>
        <w:sectPr>
          <w:headerReference w:type="even" r:id="rId263"/>
          <w:headerReference w:type="default" r:id="rId264"/>
          <w:footerReference w:type="even" r:id="rId265"/>
          <w:footerReference w:type="default" r:id="rId266"/>
          <w:headerReference w:type="first" r:id="rId267"/>
          <w:footerReference w:type="first" r:id="rId268"/>
          <w:pgSz w:w="11906" w:h="16838" w:code="9"/>
          <w:pgMar w:top="1134" w:right="1134" w:bottom="1134" w:left="1134" w:header="709" w:footer="709" w:gutter="0"/>
          <w:cols w:space="708"/>
          <w:docGrid w:linePitch="360"/>
        </w:sectPr>
      </w:pPr>
    </w:p>
    <w:p>
      <w:pPr>
        <w:pStyle w:val="HEADERTITLE1"/>
      </w:pPr>
      <w:bookmarkStart w:id="115" w:name="_Toc41982828"/>
      <w:bookmarkStart w:id="116" w:name="_Toc48834998"/>
      <w:r>
        <w:t>FINANSINĖS VEIKLOS ATASKAITA</w:t>
      </w:r>
      <w:bookmarkEnd w:id="115"/>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0"/>
        <w:gridCol w:w="940"/>
        <w:gridCol w:w="1768"/>
        <w:gridCol w:w="1320"/>
      </w:tblGrid>
      <w:tr>
        <w:trPr>
          <w:trHeight w:val="255"/>
        </w:trPr>
        <w:tc>
          <w:tcPr>
            <w:tcW w:w="5730"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noProof/>
                <w:color w:val="000000"/>
              </w:rPr>
            </w:pPr>
            <w:bookmarkStart w:id="117" w:name="DOC_TBL00051_1_1"/>
            <w:bookmarkEnd w:id="117"/>
          </w:p>
        </w:tc>
        <w:tc>
          <w:tcPr>
            <w:tcW w:w="94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noProof/>
                <w:color w:val="000000"/>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noProof/>
                <w:color w:val="000000"/>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6"/>
              </w:rPr>
            </w:pPr>
            <w:r>
              <w:rPr>
                <w:rFonts w:ascii="Verdana" w:hAnsi="Verdana"/>
                <w:i/>
                <w:noProof/>
                <w:color w:val="000000"/>
                <w:sz w:val="16"/>
              </w:rPr>
              <w:t>tūkst. EUR</w:t>
            </w:r>
          </w:p>
        </w:tc>
      </w:tr>
      <w:tr>
        <w:trPr>
          <w:trHeight w:val="255"/>
        </w:trPr>
        <w:tc>
          <w:tcPr>
            <w:tcW w:w="5730" w:type="dxa"/>
            <w:tcBorders>
              <w:top w:val="nil"/>
              <w:left w:val="nil"/>
              <w:bottom w:val="nil"/>
              <w:right w:val="nil"/>
              <w:tl2br w:val="nil"/>
              <w:tr2bl w:val="nil"/>
            </w:tcBorders>
            <w:shd w:val="solid" w:color="016794" w:fill="FFFFFF"/>
            <w:tcMar>
              <w:left w:w="60" w:type="dxa"/>
              <w:right w:w="60" w:type="dxa"/>
            </w:tcMar>
            <w:vAlign w:val="bottom"/>
          </w:tcPr>
          <w:p>
            <w:pPr>
              <w:pStyle w:val="DMETW17933BIPFP"/>
              <w:rPr>
                <w:rFonts w:ascii="Verdana" w:eastAsia="Verdana" w:hAnsi="Verdana" w:cs="Verdana"/>
                <w:noProof/>
                <w:color w:val="FFFFFF"/>
              </w:rPr>
            </w:pPr>
          </w:p>
        </w:tc>
        <w:tc>
          <w:tcPr>
            <w:tcW w:w="940" w:type="dxa"/>
            <w:tcBorders>
              <w:top w:val="nil"/>
              <w:left w:val="nil"/>
              <w:bottom w:val="nil"/>
              <w:right w:val="nil"/>
              <w:tl2br w:val="nil"/>
              <w:tr2bl w:val="nil"/>
            </w:tcBorders>
            <w:shd w:val="solid" w:color="016794" w:fill="FFFFFF"/>
            <w:tcMar>
              <w:left w:w="60" w:type="dxa"/>
              <w:right w:w="60" w:type="dxa"/>
            </w:tcMar>
            <w:vAlign w:val="bottom"/>
          </w:tcPr>
          <w:p>
            <w:pPr>
              <w:pStyle w:val="DMETW17933BIPFP"/>
              <w:jc w:val="center"/>
              <w:rPr>
                <w:rFonts w:ascii="Verdana" w:eastAsia="Verdana" w:hAnsi="Verdana" w:cs="Verdana"/>
                <w:noProof/>
                <w:color w:val="FFFFFF"/>
              </w:rPr>
            </w:pPr>
            <w:r>
              <w:rPr>
                <w:rFonts w:ascii="Verdana" w:hAnsi="Verdana"/>
                <w:noProof/>
                <w:color w:val="FFFFFF"/>
              </w:rPr>
              <w:t>Pastaba</w:t>
            </w:r>
          </w:p>
        </w:tc>
        <w:tc>
          <w:tcPr>
            <w:tcW w:w="1768" w:type="dxa"/>
            <w:tcBorders>
              <w:top w:val="nil"/>
              <w:left w:val="nil"/>
              <w:bottom w:val="nil"/>
              <w:right w:val="nil"/>
              <w:tl2br w:val="nil"/>
              <w:tr2bl w:val="nil"/>
            </w:tcBorders>
            <w:shd w:val="solid" w:color="016794" w:fill="FFFFFF"/>
            <w:tcMar>
              <w:left w:w="60" w:type="dxa"/>
              <w:right w:w="60" w:type="dxa"/>
            </w:tcMar>
            <w:vAlign w:val="bottom"/>
          </w:tcPr>
          <w:p>
            <w:pPr>
              <w:pStyle w:val="DMETW17933BIPFP"/>
              <w:jc w:val="right"/>
              <w:rPr>
                <w:rFonts w:ascii="Verdana" w:eastAsia="Verdana" w:hAnsi="Verdana" w:cs="Verdana"/>
                <w:noProof/>
                <w:color w:val="FFFFFF"/>
              </w:rPr>
            </w:pPr>
            <w:r>
              <w:rPr>
                <w:rFonts w:ascii="Verdana" w:hAnsi="Verdana"/>
                <w:noProof/>
                <w:color w:val="FFFFFF"/>
              </w:rPr>
              <w:t>2019</w:t>
            </w:r>
          </w:p>
        </w:tc>
        <w:tc>
          <w:tcPr>
            <w:tcW w:w="1320" w:type="dxa"/>
            <w:tcBorders>
              <w:top w:val="nil"/>
              <w:left w:val="nil"/>
              <w:bottom w:val="nil"/>
              <w:right w:val="nil"/>
              <w:tl2br w:val="nil"/>
              <w:tr2bl w:val="nil"/>
            </w:tcBorders>
            <w:shd w:val="solid" w:color="016794" w:fill="FFFFFF"/>
            <w:tcMar>
              <w:left w:w="60" w:type="dxa"/>
              <w:right w:w="60" w:type="dxa"/>
            </w:tcMar>
            <w:vAlign w:val="bottom"/>
          </w:tcPr>
          <w:p>
            <w:pPr>
              <w:pStyle w:val="DMETW17933BIPFP"/>
              <w:jc w:val="right"/>
              <w:rPr>
                <w:rFonts w:ascii="Verdana" w:eastAsia="Verdana" w:hAnsi="Verdana" w:cs="Verdana"/>
                <w:noProof/>
                <w:color w:val="FFFFFF"/>
              </w:rPr>
            </w:pPr>
            <w:r>
              <w:rPr>
                <w:rFonts w:ascii="Verdana" w:hAnsi="Verdana"/>
                <w:noProof/>
                <w:color w:val="FFFFFF"/>
              </w:rPr>
              <w:t>2018</w:t>
            </w:r>
          </w:p>
        </w:tc>
      </w:tr>
      <w:tr>
        <w:trPr>
          <w:trHeight w:val="255"/>
        </w:trPr>
        <w:tc>
          <w:tcPr>
            <w:tcW w:w="5730"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b/>
                <w:noProof/>
                <w:color w:val="000000"/>
                <w:sz w:val="18"/>
              </w:rPr>
            </w:pPr>
            <w:r>
              <w:rPr>
                <w:rFonts w:ascii="Verdana" w:hAnsi="Verdana"/>
                <w:b/>
                <w:noProof/>
                <w:color w:val="000000"/>
                <w:sz w:val="18"/>
              </w:rPr>
              <w:t>PAJAMOS</w:t>
            </w:r>
          </w:p>
        </w:tc>
        <w:tc>
          <w:tcPr>
            <w:tcW w:w="94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lang w:bidi="en-GB"/>
              </w:rPr>
            </w:pPr>
          </w:p>
        </w:tc>
      </w:tr>
      <w:tr>
        <w:trPr>
          <w:trHeight w:val="255"/>
        </w:trPr>
        <w:tc>
          <w:tcPr>
            <w:tcW w:w="5730"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b/>
                <w:noProof/>
                <w:color w:val="000000"/>
                <w:sz w:val="18"/>
              </w:rPr>
            </w:pPr>
            <w:r>
              <w:rPr>
                <w:rFonts w:ascii="Verdana" w:hAnsi="Verdana"/>
                <w:b/>
                <w:noProof/>
                <w:color w:val="000000"/>
                <w:sz w:val="18"/>
              </w:rPr>
              <w:t>Pajamos iš neprekybinių operacijų</w:t>
            </w:r>
          </w:p>
        </w:tc>
        <w:tc>
          <w:tcPr>
            <w:tcW w:w="94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lang w:bidi="en-GB"/>
              </w:rPr>
            </w:pPr>
          </w:p>
        </w:tc>
      </w:tr>
      <w:tr>
        <w:trPr>
          <w:trHeight w:val="255"/>
        </w:trPr>
        <w:tc>
          <w:tcPr>
            <w:tcW w:w="5730"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i/>
                <w:noProof/>
                <w:color w:val="000000"/>
                <w:sz w:val="18"/>
              </w:rPr>
            </w:pPr>
            <w:r>
              <w:rPr>
                <w:rFonts w:ascii="Verdana" w:hAnsi="Verdana"/>
                <w:i/>
                <w:noProof/>
                <w:color w:val="000000"/>
                <w:sz w:val="18"/>
              </w:rPr>
              <w:t>Išlaidų susigrąžinimas</w:t>
            </w:r>
          </w:p>
        </w:tc>
        <w:tc>
          <w:tcPr>
            <w:tcW w:w="94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 xml:space="preserve">  467</w:t>
            </w: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5730"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i/>
                <w:noProof/>
                <w:color w:val="000000"/>
                <w:sz w:val="18"/>
              </w:rPr>
            </w:pPr>
            <w:r>
              <w:rPr>
                <w:rFonts w:ascii="Verdana" w:hAnsi="Verdana"/>
                <w:i/>
                <w:noProof/>
                <w:color w:val="000000"/>
                <w:sz w:val="18"/>
              </w:rPr>
              <w:t>Pajamos iš paramos teikėjų</w:t>
            </w:r>
          </w:p>
        </w:tc>
        <w:tc>
          <w:tcPr>
            <w:tcW w:w="94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 xml:space="preserve"> 774 090</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 xml:space="preserve"> 576 802</w:t>
            </w:r>
          </w:p>
        </w:tc>
      </w:tr>
      <w:tr>
        <w:trPr>
          <w:trHeight w:val="255"/>
        </w:trPr>
        <w:tc>
          <w:tcPr>
            <w:tcW w:w="57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rPr>
                <w:rFonts w:ascii="Verdana" w:eastAsia="Verdana" w:hAnsi="Verdana" w:cs="Verdana"/>
                <w:b/>
                <w:noProof/>
                <w:color w:val="000000"/>
                <w:sz w:val="18"/>
              </w:rPr>
            </w:pPr>
          </w:p>
        </w:tc>
        <w:tc>
          <w:tcPr>
            <w:tcW w:w="9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b/>
                <w:noProof/>
                <w:color w:val="000000"/>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hAnsi="Verdana"/>
                <w:b/>
                <w:noProof/>
                <w:color w:val="000000"/>
                <w:sz w:val="18"/>
              </w:rPr>
              <w:t xml:space="preserve"> 774 557</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hAnsi="Verdana"/>
                <w:b/>
                <w:noProof/>
                <w:color w:val="000000"/>
                <w:sz w:val="18"/>
              </w:rPr>
              <w:t xml:space="preserve"> 576 802</w:t>
            </w:r>
          </w:p>
        </w:tc>
      </w:tr>
      <w:tr>
        <w:trPr>
          <w:trHeight w:val="255"/>
        </w:trPr>
        <w:tc>
          <w:tcPr>
            <w:tcW w:w="5730"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b/>
                <w:noProof/>
                <w:color w:val="000000"/>
                <w:sz w:val="18"/>
              </w:rPr>
            </w:pPr>
            <w:r>
              <w:rPr>
                <w:rFonts w:ascii="Verdana" w:hAnsi="Verdana"/>
                <w:b/>
                <w:noProof/>
                <w:color w:val="000000"/>
                <w:sz w:val="18"/>
              </w:rPr>
              <w:t>Pajamos iš prekybos operacijų</w:t>
            </w:r>
          </w:p>
        </w:tc>
        <w:tc>
          <w:tcPr>
            <w:tcW w:w="94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lang w:bidi="en-GB"/>
              </w:rPr>
            </w:pPr>
          </w:p>
        </w:tc>
      </w:tr>
      <w:tr>
        <w:trPr>
          <w:trHeight w:val="255"/>
        </w:trPr>
        <w:tc>
          <w:tcPr>
            <w:tcW w:w="5730"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i/>
                <w:noProof/>
                <w:color w:val="000000"/>
                <w:sz w:val="18"/>
              </w:rPr>
            </w:pPr>
            <w:r>
              <w:rPr>
                <w:rFonts w:ascii="Verdana" w:hAnsi="Verdana"/>
                <w:i/>
                <w:noProof/>
                <w:color w:val="000000"/>
                <w:sz w:val="18"/>
              </w:rPr>
              <w:t>Finansinės pajamos</w:t>
            </w:r>
          </w:p>
        </w:tc>
        <w:tc>
          <w:tcPr>
            <w:tcW w:w="94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 xml:space="preserve">  (7)</w:t>
            </w: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 xml:space="preserve">  2</w:t>
            </w:r>
          </w:p>
        </w:tc>
      </w:tr>
      <w:tr>
        <w:trPr>
          <w:trHeight w:val="255"/>
        </w:trPr>
        <w:tc>
          <w:tcPr>
            <w:tcW w:w="5730"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i/>
                <w:noProof/>
                <w:color w:val="000000"/>
                <w:sz w:val="18"/>
              </w:rPr>
            </w:pPr>
            <w:r>
              <w:rPr>
                <w:rFonts w:ascii="Verdana" w:hAnsi="Verdana"/>
                <w:i/>
                <w:noProof/>
                <w:color w:val="000000"/>
                <w:sz w:val="18"/>
              </w:rPr>
              <w:t>Kitos pajamos iš prekybinių operacijų</w:t>
            </w:r>
          </w:p>
        </w:tc>
        <w:tc>
          <w:tcPr>
            <w:tcW w:w="94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 xml:space="preserve"> 1 855</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 xml:space="preserve">  5</w:t>
            </w:r>
          </w:p>
        </w:tc>
      </w:tr>
      <w:tr>
        <w:trPr>
          <w:trHeight w:val="255"/>
        </w:trPr>
        <w:tc>
          <w:tcPr>
            <w:tcW w:w="57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rPr>
                <w:rFonts w:ascii="Verdana" w:eastAsia="Verdana" w:hAnsi="Verdana" w:cs="Verdana"/>
                <w:i/>
                <w:noProof/>
                <w:color w:val="000000"/>
                <w:sz w:val="18"/>
              </w:rPr>
            </w:pPr>
          </w:p>
        </w:tc>
        <w:tc>
          <w:tcPr>
            <w:tcW w:w="9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hAnsi="Verdana"/>
                <w:b/>
                <w:noProof/>
                <w:color w:val="000000"/>
                <w:sz w:val="18"/>
              </w:rPr>
              <w:t xml:space="preserve"> 1 848</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hAnsi="Verdana"/>
                <w:b/>
                <w:noProof/>
                <w:color w:val="000000"/>
                <w:sz w:val="18"/>
              </w:rPr>
              <w:t xml:space="preserve">  6</w:t>
            </w:r>
          </w:p>
        </w:tc>
      </w:tr>
      <w:tr>
        <w:trPr>
          <w:trHeight w:val="255"/>
        </w:trPr>
        <w:tc>
          <w:tcPr>
            <w:tcW w:w="57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rPr>
                <w:rFonts w:ascii="Verdana" w:eastAsia="Verdana" w:hAnsi="Verdana" w:cs="Verdana"/>
                <w:b/>
                <w:noProof/>
                <w:color w:val="000000"/>
                <w:sz w:val="18"/>
              </w:rPr>
            </w:pPr>
            <w:r>
              <w:rPr>
                <w:rFonts w:ascii="Verdana" w:hAnsi="Verdana"/>
                <w:b/>
                <w:noProof/>
                <w:color w:val="000000"/>
                <w:sz w:val="18"/>
              </w:rPr>
              <w:t>Iš viso pajamų</w:t>
            </w:r>
          </w:p>
        </w:tc>
        <w:tc>
          <w:tcPr>
            <w:tcW w:w="9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hAnsi="Verdana"/>
                <w:b/>
                <w:noProof/>
                <w:color w:val="000000"/>
                <w:sz w:val="18"/>
              </w:rPr>
              <w:t xml:space="preserve"> 776 405</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hAnsi="Verdana"/>
                <w:b/>
                <w:noProof/>
                <w:color w:val="000000"/>
                <w:sz w:val="18"/>
              </w:rPr>
              <w:t xml:space="preserve"> 576 808</w:t>
            </w:r>
          </w:p>
        </w:tc>
      </w:tr>
      <w:tr>
        <w:trPr>
          <w:trHeight w:val="255"/>
        </w:trPr>
        <w:tc>
          <w:tcPr>
            <w:tcW w:w="5730"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b/>
                <w:noProof/>
                <w:color w:val="000000"/>
                <w:sz w:val="18"/>
              </w:rPr>
            </w:pPr>
            <w:r>
              <w:rPr>
                <w:rFonts w:ascii="Verdana" w:hAnsi="Verdana"/>
                <w:b/>
                <w:noProof/>
                <w:color w:val="000000"/>
                <w:sz w:val="18"/>
              </w:rPr>
              <w:t>IŠLAIDOS</w:t>
            </w:r>
          </w:p>
        </w:tc>
        <w:tc>
          <w:tcPr>
            <w:tcW w:w="94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lang w:bidi="en-GB"/>
              </w:rPr>
            </w:pPr>
          </w:p>
        </w:tc>
      </w:tr>
      <w:tr>
        <w:trPr>
          <w:trHeight w:val="255"/>
        </w:trPr>
        <w:tc>
          <w:tcPr>
            <w:tcW w:w="5730"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i/>
                <w:noProof/>
                <w:color w:val="000000"/>
                <w:sz w:val="18"/>
              </w:rPr>
            </w:pPr>
            <w:r>
              <w:rPr>
                <w:rFonts w:ascii="Verdana" w:hAnsi="Verdana"/>
                <w:i/>
                <w:noProof/>
                <w:color w:val="000000"/>
                <w:sz w:val="18"/>
              </w:rPr>
              <w:t>Veiklos išlaidos</w:t>
            </w:r>
          </w:p>
        </w:tc>
        <w:tc>
          <w:tcPr>
            <w:tcW w:w="94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 xml:space="preserve"> (755 904)</w:t>
            </w: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 xml:space="preserve"> (561 761)</w:t>
            </w:r>
          </w:p>
        </w:tc>
      </w:tr>
      <w:tr>
        <w:trPr>
          <w:trHeight w:val="255"/>
        </w:trPr>
        <w:tc>
          <w:tcPr>
            <w:tcW w:w="5730"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i/>
                <w:noProof/>
                <w:color w:val="000000"/>
                <w:sz w:val="18"/>
              </w:rPr>
            </w:pPr>
            <w:r>
              <w:rPr>
                <w:rFonts w:ascii="Verdana" w:hAnsi="Verdana"/>
                <w:i/>
                <w:noProof/>
                <w:color w:val="000000"/>
                <w:sz w:val="18"/>
              </w:rPr>
              <w:t>Finansinės išlaidos</w:t>
            </w:r>
          </w:p>
        </w:tc>
        <w:tc>
          <w:tcPr>
            <w:tcW w:w="94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 xml:space="preserve">  (9)</w:t>
            </w: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573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rPr>
                <w:rFonts w:ascii="Verdana" w:eastAsia="Verdana" w:hAnsi="Verdana" w:cs="Verdana"/>
                <w:i/>
                <w:noProof/>
                <w:color w:val="000000"/>
                <w:sz w:val="18"/>
              </w:rPr>
            </w:pPr>
            <w:r>
              <w:rPr>
                <w:rFonts w:ascii="Verdana" w:hAnsi="Verdana"/>
                <w:i/>
                <w:noProof/>
                <w:color w:val="000000"/>
                <w:sz w:val="18"/>
              </w:rPr>
              <w:t>Kitos išlaidos</w:t>
            </w:r>
          </w:p>
        </w:tc>
        <w:tc>
          <w:tcPr>
            <w:tcW w:w="94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 xml:space="preserve"> (20 492)</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 xml:space="preserve"> (15 047)</w:t>
            </w:r>
          </w:p>
        </w:tc>
      </w:tr>
      <w:tr>
        <w:trPr>
          <w:trHeight w:val="255"/>
        </w:trPr>
        <w:tc>
          <w:tcPr>
            <w:tcW w:w="5730"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b/>
                <w:noProof/>
                <w:color w:val="000000"/>
                <w:sz w:val="18"/>
              </w:rPr>
            </w:pPr>
            <w:r>
              <w:rPr>
                <w:rFonts w:ascii="Verdana" w:hAnsi="Verdana"/>
                <w:b/>
                <w:noProof/>
                <w:color w:val="000000"/>
                <w:sz w:val="18"/>
              </w:rPr>
              <w:t>Iš viso išlaidų</w:t>
            </w:r>
          </w:p>
        </w:tc>
        <w:tc>
          <w:tcPr>
            <w:tcW w:w="94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hAnsi="Verdana"/>
                <w:b/>
                <w:noProof/>
                <w:color w:val="000000"/>
                <w:sz w:val="18"/>
              </w:rPr>
              <w:t xml:space="preserve"> (776 405)</w:t>
            </w: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hAnsi="Verdana"/>
                <w:b/>
                <w:noProof/>
                <w:color w:val="000000"/>
                <w:sz w:val="18"/>
              </w:rPr>
              <w:t xml:space="preserve"> (576 808)</w:t>
            </w:r>
          </w:p>
        </w:tc>
      </w:tr>
      <w:tr>
        <w:trPr>
          <w:trHeight w:val="255"/>
        </w:trPr>
        <w:tc>
          <w:tcPr>
            <w:tcW w:w="5730" w:type="dxa"/>
            <w:tcBorders>
              <w:top w:val="nil"/>
              <w:left w:val="nil"/>
              <w:bottom w:val="nil"/>
              <w:right w:val="nil"/>
              <w:tl2br w:val="nil"/>
              <w:tr2bl w:val="nil"/>
            </w:tcBorders>
            <w:shd w:val="solid" w:color="CCE1EA" w:fill="FFFFFF"/>
            <w:tcMar>
              <w:left w:w="60" w:type="dxa"/>
              <w:right w:w="60" w:type="dxa"/>
            </w:tcMar>
            <w:vAlign w:val="bottom"/>
          </w:tcPr>
          <w:p>
            <w:pPr>
              <w:pStyle w:val="DMETW17933BIPFP"/>
              <w:rPr>
                <w:rFonts w:ascii="Verdana" w:eastAsia="Verdana" w:hAnsi="Verdana" w:cs="Verdana"/>
                <w:b/>
                <w:noProof/>
                <w:color w:val="000000"/>
                <w:sz w:val="18"/>
              </w:rPr>
            </w:pPr>
            <w:r>
              <w:rPr>
                <w:rFonts w:ascii="Verdana" w:hAnsi="Verdana"/>
                <w:b/>
                <w:noProof/>
                <w:color w:val="000000"/>
                <w:sz w:val="18"/>
              </w:rPr>
              <w:t>EKONOMINIS METŲ REZULTATAS</w:t>
            </w:r>
          </w:p>
        </w:tc>
        <w:tc>
          <w:tcPr>
            <w:tcW w:w="940" w:type="dxa"/>
            <w:tcBorders>
              <w:top w:val="nil"/>
              <w:left w:val="nil"/>
              <w:bottom w:val="nil"/>
              <w:right w:val="nil"/>
              <w:tl2br w:val="nil"/>
              <w:tr2bl w:val="nil"/>
            </w:tcBorders>
            <w:shd w:val="solid" w:color="CCE1EA" w:fill="FFFFFF"/>
            <w:tcMar>
              <w:left w:w="60" w:type="dxa"/>
              <w:right w:w="60" w:type="dxa"/>
            </w:tcMar>
            <w:vAlign w:val="bottom"/>
          </w:tcPr>
          <w:p>
            <w:pPr>
              <w:pStyle w:val="DMETW17933BIPFP"/>
              <w:jc w:val="center"/>
              <w:rPr>
                <w:rFonts w:ascii="Verdana" w:eastAsia="Verdana" w:hAnsi="Verdana" w:cs="Verdana"/>
                <w:noProof/>
                <w:color w:val="000000"/>
                <w:sz w:val="18"/>
              </w:rPr>
            </w:pPr>
          </w:p>
        </w:tc>
        <w:tc>
          <w:tcPr>
            <w:tcW w:w="1768" w:type="dxa"/>
            <w:tcBorders>
              <w:top w:val="nil"/>
              <w:left w:val="nil"/>
              <w:bottom w:val="nil"/>
              <w:right w:val="nil"/>
              <w:tl2br w:val="nil"/>
              <w:tr2bl w:val="nil"/>
            </w:tcBorders>
            <w:shd w:val="solid" w:color="CCE1EA" w:fill="FFFFFF"/>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hAnsi="Verdana"/>
                <w:b/>
                <w:noProof/>
                <w:color w:val="000000"/>
                <w:sz w:val="18"/>
              </w:rPr>
              <w:t>–</w:t>
            </w:r>
          </w:p>
        </w:tc>
        <w:tc>
          <w:tcPr>
            <w:tcW w:w="1320" w:type="dxa"/>
            <w:tcBorders>
              <w:top w:val="nil"/>
              <w:left w:val="nil"/>
              <w:bottom w:val="nil"/>
              <w:right w:val="nil"/>
              <w:tl2br w:val="nil"/>
              <w:tr2bl w:val="nil"/>
            </w:tcBorders>
            <w:shd w:val="solid" w:color="CCE1EA" w:fill="FFFFFF"/>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hAnsi="Verdana"/>
                <w:b/>
                <w:noProof/>
                <w:color w:val="000000"/>
                <w:sz w:val="18"/>
              </w:rPr>
              <w:t>–</w:t>
            </w:r>
          </w:p>
        </w:tc>
      </w:tr>
    </w:tbl>
    <w:p>
      <w:pPr>
        <w:pStyle w:val="HEADERTITLE1"/>
      </w:pPr>
    </w:p>
    <w:p>
      <w:pPr>
        <w:pStyle w:val="TOPHEADERNOTE"/>
        <w:rPr>
          <w:noProof/>
        </w:rPr>
      </w:pPr>
    </w:p>
    <w:p>
      <w:pPr>
        <w:pStyle w:val="HEADERTITLE1"/>
        <w:sectPr>
          <w:headerReference w:type="even" r:id="rId269"/>
          <w:headerReference w:type="default" r:id="rId270"/>
          <w:footerReference w:type="even" r:id="rId271"/>
          <w:footerReference w:type="default" r:id="rId272"/>
          <w:headerReference w:type="first" r:id="rId273"/>
          <w:footerReference w:type="first" r:id="rId274"/>
          <w:pgSz w:w="11906" w:h="16838" w:code="9"/>
          <w:pgMar w:top="1134" w:right="1134" w:bottom="1134" w:left="1134" w:header="709" w:footer="709" w:gutter="0"/>
          <w:cols w:space="708"/>
          <w:docGrid w:linePitch="360"/>
        </w:sectPr>
      </w:pPr>
    </w:p>
    <w:p>
      <w:pPr>
        <w:pStyle w:val="HEADERTITLE1"/>
      </w:pPr>
      <w:bookmarkStart w:id="118" w:name="_Toc41982829"/>
      <w:bookmarkStart w:id="119" w:name="_Toc48834999"/>
      <w:r>
        <w:t>PINIGŲ SRAUTŲ ATASKAITA</w:t>
      </w:r>
      <w:bookmarkEnd w:id="118"/>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8"/>
        <w:gridCol w:w="1417"/>
        <w:gridCol w:w="1193"/>
      </w:tblGrid>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cs="Calibri"/>
                <w:noProof/>
                <w:color w:val="000000"/>
              </w:rPr>
            </w:pPr>
            <w:bookmarkStart w:id="120" w:name="DOC_TBL00052_1_1"/>
            <w:bookmarkEnd w:id="120"/>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cs="Calibri"/>
                <w:i/>
                <w:noProof/>
                <w:color w:val="000000"/>
              </w:rPr>
            </w:pP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6"/>
              </w:rPr>
            </w:pPr>
            <w:r>
              <w:rPr>
                <w:rFonts w:ascii="Verdana" w:hAnsi="Verdana"/>
                <w:i/>
                <w:noProof/>
                <w:color w:val="000000"/>
                <w:sz w:val="16"/>
              </w:rPr>
              <w:t>tūkst. EUR</w:t>
            </w:r>
          </w:p>
        </w:tc>
      </w:tr>
      <w:tr>
        <w:trPr>
          <w:trHeight w:val="255"/>
        </w:trPr>
        <w:tc>
          <w:tcPr>
            <w:tcW w:w="7148" w:type="dxa"/>
            <w:tcBorders>
              <w:top w:val="nil"/>
              <w:left w:val="nil"/>
              <w:bottom w:val="nil"/>
              <w:right w:val="nil"/>
              <w:tl2br w:val="nil"/>
              <w:tr2bl w:val="nil"/>
            </w:tcBorders>
            <w:shd w:val="solid" w:color="016794" w:fill="FFFFFF"/>
            <w:tcMar>
              <w:left w:w="60" w:type="dxa"/>
              <w:right w:w="60" w:type="dxa"/>
            </w:tcMar>
            <w:vAlign w:val="bottom"/>
          </w:tcPr>
          <w:p>
            <w:pPr>
              <w:pStyle w:val="DMETW17933BIPCF"/>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bottom"/>
          </w:tcPr>
          <w:p>
            <w:pPr>
              <w:pStyle w:val="DMETW17933BIPCF"/>
              <w:jc w:val="right"/>
              <w:rPr>
                <w:rFonts w:ascii="Verdana" w:eastAsia="Verdana" w:hAnsi="Verdana" w:cs="Verdana"/>
                <w:noProof/>
                <w:color w:val="FFFFFF"/>
              </w:rPr>
            </w:pPr>
            <w:r>
              <w:rPr>
                <w:rFonts w:ascii="Verdana" w:hAnsi="Verdana"/>
                <w:noProof/>
                <w:color w:val="FFFFFF"/>
              </w:rPr>
              <w:t>2019</w:t>
            </w:r>
          </w:p>
        </w:tc>
        <w:tc>
          <w:tcPr>
            <w:tcW w:w="1193" w:type="dxa"/>
            <w:tcBorders>
              <w:top w:val="nil"/>
              <w:left w:val="nil"/>
              <w:bottom w:val="nil"/>
              <w:right w:val="nil"/>
              <w:tl2br w:val="nil"/>
              <w:tr2bl w:val="nil"/>
            </w:tcBorders>
            <w:shd w:val="solid" w:color="016794" w:fill="FFFFFF"/>
            <w:tcMar>
              <w:left w:w="60" w:type="dxa"/>
              <w:right w:w="60" w:type="dxa"/>
            </w:tcMar>
            <w:vAlign w:val="bottom"/>
          </w:tcPr>
          <w:p>
            <w:pPr>
              <w:pStyle w:val="DMETW17933BIPCF"/>
              <w:jc w:val="right"/>
              <w:rPr>
                <w:rFonts w:ascii="Verdana" w:eastAsia="Verdana" w:hAnsi="Verdana" w:cs="Verdana"/>
                <w:noProof/>
                <w:color w:val="FFFFFF"/>
              </w:rPr>
            </w:pPr>
            <w:r>
              <w:rPr>
                <w:rFonts w:ascii="Verdana" w:hAnsi="Verdana"/>
                <w:noProof/>
                <w:color w:val="FFFFFF"/>
              </w:rPr>
              <w:t>2018</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hAnsi="Verdana"/>
                <w:i/>
                <w:noProof/>
                <w:color w:val="000000"/>
                <w:sz w:val="18"/>
              </w:rPr>
              <w:t>Ekonominis metų rezultatas</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b/>
                <w:noProof/>
                <w:color w:val="000000"/>
                <w:sz w:val="18"/>
              </w:rPr>
            </w:pPr>
            <w:r>
              <w:rPr>
                <w:rFonts w:ascii="Verdana" w:hAnsi="Verdana"/>
                <w:b/>
                <w:noProof/>
                <w:color w:val="000000"/>
                <w:sz w:val="18"/>
              </w:rPr>
              <w:t>Pagrindinė veikla</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b/>
                <w:noProof/>
                <w:color w:val="000000"/>
                <w:sz w:val="18"/>
              </w:rPr>
            </w:pP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b/>
                <w:noProof/>
                <w:color w:val="000000"/>
                <w:sz w:val="18"/>
                <w:lang w:bidi="en-GB"/>
              </w:rPr>
            </w:pP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hAnsi="Verdana"/>
                <w:i/>
                <w:noProof/>
                <w:color w:val="000000"/>
                <w:sz w:val="18"/>
              </w:rPr>
              <w:t>Išankstinio finansavimo (padidėjimas) / sumažėjimas</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(159 750)</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(57 110)</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hAnsi="Verdana"/>
                <w:i/>
                <w:noProof/>
                <w:color w:val="000000"/>
                <w:sz w:val="18"/>
              </w:rPr>
              <w:t>Iš prekybos gautinų sumų ir neprekybinių susigrąžintinų sumų (padidėjimas) / sumažėjimas</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(1 815)</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(13 636)</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hAnsi="Verdana"/>
                <w:i/>
                <w:noProof/>
                <w:color w:val="000000"/>
                <w:sz w:val="18"/>
              </w:rPr>
              <w:t>Finansinių įsipareigojimų padidėjimas / (sumažėjimas)</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14 412</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(26 713)</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hAnsi="Verdana"/>
                <w:i/>
                <w:noProof/>
                <w:color w:val="000000"/>
                <w:sz w:val="18"/>
              </w:rPr>
              <w:t>Mokėtinų sumų padidėjimas / (sumažėjimas)</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13 236</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12 207</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hAnsi="Verdana"/>
                <w:i/>
                <w:noProof/>
                <w:color w:val="000000"/>
                <w:sz w:val="18"/>
              </w:rPr>
              <w:t>Sukauptų sąnaudų ir būsimojo laikotarpio pajamų padidėjimas / (sumažėjimas)</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13 968</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69 546</w:t>
            </w:r>
          </w:p>
        </w:tc>
      </w:tr>
      <w:tr>
        <w:trPr>
          <w:trHeight w:val="255"/>
        </w:trPr>
        <w:tc>
          <w:tcPr>
            <w:tcW w:w="7148" w:type="dxa"/>
            <w:tcBorders>
              <w:top w:val="nil"/>
              <w:left w:val="nil"/>
              <w:bottom w:val="nil"/>
              <w:right w:val="nil"/>
              <w:tl2br w:val="nil"/>
              <w:tr2bl w:val="nil"/>
            </w:tcBorders>
            <w:shd w:val="solid" w:color="CCE1EA" w:fill="FFFFFF"/>
            <w:tcMar>
              <w:left w:w="60" w:type="dxa"/>
              <w:right w:w="60" w:type="dxa"/>
            </w:tcMar>
            <w:vAlign w:val="bottom"/>
          </w:tcPr>
          <w:p>
            <w:pPr>
              <w:pStyle w:val="DMETW17933BIPCF"/>
              <w:rPr>
                <w:rFonts w:ascii="Verdana" w:eastAsia="Verdana" w:hAnsi="Verdana" w:cs="Verdana"/>
                <w:b/>
                <w:noProof/>
                <w:color w:val="000000"/>
                <w:sz w:val="18"/>
              </w:rPr>
            </w:pPr>
            <w:r>
              <w:rPr>
                <w:rFonts w:ascii="Verdana" w:hAnsi="Verdana"/>
                <w:b/>
                <w:noProof/>
                <w:color w:val="000000"/>
                <w:sz w:val="18"/>
              </w:rPr>
              <w:t>GRYNIEJI PINIGŲ SRAUTAI</w:t>
            </w:r>
          </w:p>
        </w:tc>
        <w:tc>
          <w:tcPr>
            <w:tcW w:w="1417" w:type="dxa"/>
            <w:tcBorders>
              <w:top w:val="nil"/>
              <w:left w:val="nil"/>
              <w:bottom w:val="nil"/>
              <w:right w:val="nil"/>
              <w:tl2br w:val="nil"/>
              <w:tr2bl w:val="nil"/>
            </w:tcBorders>
            <w:shd w:val="solid" w:color="CCE1EA" w:fill="FFFFFF"/>
            <w:tcMar>
              <w:left w:w="60" w:type="dxa"/>
              <w:right w:w="60" w:type="dxa"/>
            </w:tcMar>
            <w:vAlign w:val="bottom"/>
          </w:tcPr>
          <w:p>
            <w:pPr>
              <w:pStyle w:val="DMETW17933BIPCF"/>
              <w:jc w:val="right"/>
              <w:rPr>
                <w:rFonts w:ascii="Verdana" w:eastAsia="Verdana" w:hAnsi="Verdana" w:cs="Verdana"/>
                <w:b/>
                <w:noProof/>
                <w:color w:val="000000"/>
                <w:sz w:val="18"/>
              </w:rPr>
            </w:pPr>
            <w:r>
              <w:rPr>
                <w:rFonts w:ascii="Verdana" w:hAnsi="Verdana"/>
                <w:b/>
                <w:noProof/>
                <w:color w:val="000000"/>
                <w:sz w:val="18"/>
              </w:rPr>
              <w:t xml:space="preserve"> (119 949)</w:t>
            </w:r>
          </w:p>
        </w:tc>
        <w:tc>
          <w:tcPr>
            <w:tcW w:w="1193" w:type="dxa"/>
            <w:tcBorders>
              <w:top w:val="nil"/>
              <w:left w:val="nil"/>
              <w:bottom w:val="nil"/>
              <w:right w:val="nil"/>
              <w:tl2br w:val="nil"/>
              <w:tr2bl w:val="nil"/>
            </w:tcBorders>
            <w:shd w:val="solid" w:color="CCE1EA" w:fill="FFFFFF"/>
            <w:tcMar>
              <w:left w:w="60" w:type="dxa"/>
              <w:right w:w="60" w:type="dxa"/>
            </w:tcMar>
            <w:vAlign w:val="bottom"/>
          </w:tcPr>
          <w:p>
            <w:pPr>
              <w:pStyle w:val="DMETW17933BIPCF"/>
              <w:jc w:val="right"/>
              <w:rPr>
                <w:rFonts w:ascii="Verdana" w:eastAsia="Verdana" w:hAnsi="Verdana" w:cs="Verdana"/>
                <w:b/>
                <w:noProof/>
                <w:color w:val="000000"/>
                <w:sz w:val="18"/>
              </w:rPr>
            </w:pPr>
            <w:r>
              <w:rPr>
                <w:rFonts w:ascii="Verdana" w:hAnsi="Verdana"/>
                <w:b/>
                <w:noProof/>
                <w:color w:val="000000"/>
                <w:sz w:val="18"/>
              </w:rPr>
              <w:t xml:space="preserve"> (15 706)</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cs="Calibri"/>
                <w:b/>
                <w:noProof/>
                <w:color w:val="000000"/>
              </w:rPr>
            </w:pP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cs="Calibri"/>
                <w:noProof/>
                <w:color w:val="000000"/>
              </w:rPr>
            </w:pP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cs="Calibri"/>
                <w:noProof/>
                <w:color w:val="000000"/>
                <w:lang w:bidi="en-GB"/>
              </w:rPr>
            </w:pP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hAnsi="Verdana"/>
                <w:i/>
                <w:noProof/>
                <w:color w:val="000000"/>
                <w:sz w:val="18"/>
              </w:rPr>
              <w:t>Pinigų ir pinigų ekvivalentų grynasis padidėjimas / (sumažėjimas)</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(119 949)</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(15 706)</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hAnsi="Verdana"/>
                <w:i/>
                <w:noProof/>
                <w:color w:val="000000"/>
                <w:sz w:val="18"/>
              </w:rPr>
              <w:t>Pinigai ir pinigų ekvivalentai metų pradžioje</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146 864</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162 571</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hAnsi="Verdana"/>
                <w:i/>
                <w:noProof/>
                <w:color w:val="000000"/>
                <w:sz w:val="18"/>
              </w:rPr>
              <w:t>Pinigai ir pinigų ekvivalentai metų pabaigoje</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26 915</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146 864</w:t>
            </w:r>
          </w:p>
        </w:tc>
      </w:tr>
    </w:tbl>
    <w:p>
      <w:pPr>
        <w:pStyle w:val="HEADERTITLE1"/>
      </w:pPr>
    </w:p>
    <w:p>
      <w:pPr>
        <w:pStyle w:val="TOPHEADERNOTE"/>
        <w:rPr>
          <w:noProof/>
        </w:rPr>
        <w:sectPr>
          <w:headerReference w:type="even" r:id="rId275"/>
          <w:headerReference w:type="default" r:id="rId276"/>
          <w:footerReference w:type="even" r:id="rId277"/>
          <w:footerReference w:type="default" r:id="rId278"/>
          <w:headerReference w:type="first" r:id="rId279"/>
          <w:footerReference w:type="first" r:id="rId280"/>
          <w:pgSz w:w="11906" w:h="16838" w:code="9"/>
          <w:pgMar w:top="1134" w:right="1134" w:bottom="1134" w:left="1134" w:header="709" w:footer="709" w:gutter="0"/>
          <w:cols w:space="708"/>
          <w:docGrid w:linePitch="360"/>
        </w:sectPr>
      </w:pPr>
    </w:p>
    <w:p>
      <w:pPr>
        <w:pStyle w:val="FIRSTCHAPTERPAGE1"/>
      </w:pPr>
    </w:p>
    <w:p>
      <w:pPr>
        <w:pStyle w:val="FIRSTCHAPTERPAGE1"/>
      </w:pPr>
    </w:p>
    <w:p>
      <w:pPr>
        <w:pStyle w:val="FIRSTCHAPTERPAGE1"/>
      </w:pPr>
    </w:p>
    <w:p>
      <w:pPr>
        <w:pStyle w:val="FIRSTCHAPTERPAGE1"/>
      </w:pPr>
    </w:p>
    <w:p>
      <w:pPr>
        <w:pStyle w:val="FIRSTCHAPTERPAGE1"/>
      </w:pPr>
    </w:p>
    <w:p>
      <w:pPr>
        <w:pStyle w:val="FIRSTCHAPTERPAGE1"/>
      </w:pPr>
      <w:bookmarkStart w:id="121" w:name="_Toc48835000"/>
      <w:bookmarkStart w:id="122" w:name="_Toc49242752"/>
      <w:r>
        <w:t>EPF IR ES PATIKOS FONDŲ KONSOLIDUOTOSIOS FINANSINĖS ATASKAITOS</w:t>
      </w:r>
      <w:bookmarkEnd w:id="121"/>
      <w:bookmarkEnd w:id="122"/>
    </w:p>
    <w:p>
      <w:pPr>
        <w:pStyle w:val="FIRSTCHAPTERPAGE1"/>
      </w:pPr>
    </w:p>
    <w:p>
      <w:pPr>
        <w:pStyle w:val="FIRSTCHAPTERPAGE1"/>
      </w:pPr>
    </w:p>
    <w:p>
      <w:pPr>
        <w:pStyle w:val="FIRSTCHAPTERPAGE1"/>
      </w:pPr>
    </w:p>
    <w:p>
      <w:pPr>
        <w:pStyle w:val="FIRSTCHAPTERPAGE1"/>
      </w:pPr>
    </w:p>
    <w:p>
      <w:pPr>
        <w:pStyle w:val="FIRSTCHAPTERPAGE1"/>
      </w:pPr>
    </w:p>
    <w:p>
      <w:pPr>
        <w:pStyle w:val="TOPHEADERNOTE"/>
        <w:rPr>
          <w:noProof/>
        </w:rPr>
      </w:pPr>
      <w:r>
        <w:rPr>
          <w:noProof/>
        </w:rPr>
        <w:t>Reikėtų atkreipti dėmesį, kad skaičius suapvalinant iki milijonų eurų kai kurių lentelėse pateikiamų finansinių duomenų suma gali būti netiksli.</w:t>
      </w:r>
    </w:p>
    <w:p>
      <w:pPr>
        <w:pStyle w:val="TOPHEADERNOTE"/>
        <w:rPr>
          <w:noProof/>
        </w:rPr>
        <w:sectPr>
          <w:headerReference w:type="even" r:id="rId281"/>
          <w:headerReference w:type="default" r:id="rId282"/>
          <w:footerReference w:type="even" r:id="rId283"/>
          <w:footerReference w:type="default" r:id="rId284"/>
          <w:headerReference w:type="first" r:id="rId285"/>
          <w:footerReference w:type="first" r:id="rId286"/>
          <w:pgSz w:w="11906" w:h="16838" w:code="9"/>
          <w:pgMar w:top="1134" w:right="1134" w:bottom="1134" w:left="1134" w:header="708" w:footer="708" w:gutter="0"/>
          <w:cols w:space="708"/>
          <w:docGrid w:linePitch="360"/>
        </w:sectPr>
      </w:pPr>
    </w:p>
    <w:p>
      <w:pPr>
        <w:pStyle w:val="HEADERTITLE1"/>
      </w:pPr>
      <w:bookmarkStart w:id="123" w:name="_Toc48835001"/>
      <w:r>
        <w:t>KONSOLIDUOTASIS BALANSAS</w:t>
      </w:r>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4"/>
        <w:gridCol w:w="1442"/>
        <w:gridCol w:w="1442"/>
      </w:tblGrid>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noProof/>
                <w:color w:val="000000"/>
                <w:sz w:val="18"/>
              </w:rPr>
            </w:pPr>
            <w:bookmarkStart w:id="124" w:name="DOC_TBL00053_1_1"/>
            <w:bookmarkEnd w:id="124"/>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6"/>
              </w:rPr>
            </w:pPr>
            <w:r>
              <w:rPr>
                <w:rFonts w:ascii="Verdana" w:hAnsi="Verdana"/>
                <w:i/>
                <w:noProof/>
                <w:color w:val="000000"/>
                <w:sz w:val="16"/>
              </w:rPr>
              <w:t xml:space="preserve"> mln. EUR</w:t>
            </w:r>
          </w:p>
        </w:tc>
      </w:tr>
      <w:tr>
        <w:trPr>
          <w:trHeight w:hRule="exact" w:val="255"/>
        </w:trPr>
        <w:tc>
          <w:tcPr>
            <w:tcW w:w="6874" w:type="dxa"/>
            <w:tcBorders>
              <w:top w:val="nil"/>
              <w:left w:val="nil"/>
              <w:bottom w:val="nil"/>
              <w:right w:val="nil"/>
              <w:tl2br w:val="nil"/>
              <w:tr2bl w:val="nil"/>
            </w:tcBorders>
            <w:shd w:val="solid" w:color="016794" w:fill="FFFFFF"/>
            <w:tcMar>
              <w:left w:w="60" w:type="dxa"/>
              <w:right w:w="60" w:type="dxa"/>
            </w:tcMar>
            <w:vAlign w:val="bottom"/>
          </w:tcPr>
          <w:p>
            <w:pPr>
              <w:pStyle w:val="DMETW18992BIPCONSBS"/>
              <w:rPr>
                <w:rFonts w:ascii="Verdana" w:eastAsia="Verdana" w:hAnsi="Verdana" w:cs="Verdana"/>
                <w:noProof/>
                <w:color w:val="FFFFFF"/>
              </w:rPr>
            </w:pPr>
          </w:p>
        </w:tc>
        <w:tc>
          <w:tcPr>
            <w:tcW w:w="1442" w:type="dxa"/>
            <w:tcBorders>
              <w:top w:val="nil"/>
              <w:left w:val="nil"/>
              <w:bottom w:val="nil"/>
              <w:right w:val="nil"/>
              <w:tl2br w:val="nil"/>
              <w:tr2bl w:val="nil"/>
            </w:tcBorders>
            <w:shd w:val="solid" w:color="016794" w:fill="FFFFFF"/>
            <w:tcMar>
              <w:left w:w="60" w:type="dxa"/>
              <w:right w:w="60" w:type="dxa"/>
            </w:tcMar>
            <w:vAlign w:val="bottom"/>
          </w:tcPr>
          <w:p>
            <w:pPr>
              <w:pStyle w:val="DMETW18992BIPCONSBS"/>
              <w:jc w:val="center"/>
              <w:rPr>
                <w:rFonts w:ascii="Verdana" w:eastAsia="Verdana" w:hAnsi="Verdana" w:cs="Verdana"/>
                <w:noProof/>
                <w:color w:val="FFFFFF"/>
              </w:rPr>
            </w:pPr>
            <w:r>
              <w:rPr>
                <w:rFonts w:ascii="Verdana" w:hAnsi="Verdana"/>
                <w:noProof/>
                <w:color w:val="FFFFFF"/>
              </w:rPr>
              <w:t>2019 12 31</w:t>
            </w:r>
          </w:p>
        </w:tc>
        <w:tc>
          <w:tcPr>
            <w:tcW w:w="1442" w:type="dxa"/>
            <w:tcBorders>
              <w:top w:val="nil"/>
              <w:left w:val="nil"/>
              <w:bottom w:val="nil"/>
              <w:right w:val="nil"/>
              <w:tl2br w:val="nil"/>
              <w:tr2bl w:val="nil"/>
            </w:tcBorders>
            <w:shd w:val="solid" w:color="016794" w:fill="FFFFFF"/>
            <w:tcMar>
              <w:left w:w="60" w:type="dxa"/>
              <w:right w:w="60" w:type="dxa"/>
            </w:tcMar>
            <w:vAlign w:val="bottom"/>
          </w:tcPr>
          <w:p>
            <w:pPr>
              <w:pStyle w:val="DMETW18992BIPCONSBS"/>
              <w:jc w:val="right"/>
              <w:rPr>
                <w:rFonts w:ascii="Verdana" w:eastAsia="Verdana" w:hAnsi="Verdana" w:cs="Verdana"/>
                <w:noProof/>
                <w:color w:val="FFFFFF"/>
              </w:rPr>
            </w:pPr>
            <w:r>
              <w:rPr>
                <w:rFonts w:ascii="Verdana" w:hAnsi="Verdana"/>
                <w:noProof/>
                <w:color w:val="FFFFFF"/>
              </w:rPr>
              <w:t>2018 12 31</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hAnsi="Verdana"/>
                <w:b/>
                <w:noProof/>
                <w:color w:val="000000"/>
                <w:sz w:val="18"/>
              </w:rPr>
              <w:t>ILGALAIKIS TURTAS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noProof/>
                <w:color w:val="000000"/>
                <w:sz w:val="18"/>
                <w:lan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Finansinis turtas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 xml:space="preserve"> 36</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Išankstinis finansavimas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 xml:space="preserve"> 962</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 xml:space="preserve"> 924</w:t>
            </w:r>
          </w:p>
        </w:tc>
      </w:tr>
      <w:tr>
        <w:trPr>
          <w:trHeight w:hRule="exact" w:val="225"/>
        </w:trPr>
        <w:tc>
          <w:tcPr>
            <w:tcW w:w="68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92BIPCONSBS"/>
              <w:rPr>
                <w:rFonts w:ascii="Verdana" w:eastAsia="Verdana" w:hAnsi="Verdana" w:cs="Verdana"/>
                <w:noProof/>
                <w:color w:val="000000"/>
                <w:sz w:val="18"/>
              </w:rPr>
            </w:pPr>
          </w:p>
        </w:tc>
        <w:tc>
          <w:tcPr>
            <w:tcW w:w="14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 xml:space="preserve"> 998</w:t>
            </w:r>
          </w:p>
        </w:tc>
        <w:tc>
          <w:tcPr>
            <w:tcW w:w="14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 xml:space="preserve"> 924</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hAnsi="Verdana"/>
                <w:b/>
                <w:noProof/>
                <w:color w:val="000000"/>
                <w:sz w:val="18"/>
              </w:rPr>
              <w:t>TRUMPALAIKIS TURTAS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lan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Išankstinis finansavimas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1 725</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1 751</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Iš prekybos gautinos sumos ir neprekybinės susigrąžintinos sumos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 xml:space="preserve"> 143</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 xml:space="preserve"> 156</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 xml:space="preserve">Pinigai ir pinigų ekvivalentai </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1 223</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 xml:space="preserve"> 548</w:t>
            </w:r>
          </w:p>
        </w:tc>
      </w:tr>
      <w:tr>
        <w:trPr>
          <w:trHeight w:hRule="exact" w:val="225"/>
        </w:trPr>
        <w:tc>
          <w:tcPr>
            <w:tcW w:w="6874"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BS"/>
              <w:rPr>
                <w:rFonts w:ascii="Verdana" w:eastAsia="Verdana" w:hAnsi="Verdana" w:cs="Verdana"/>
                <w:noProof/>
                <w:color w:val="000000"/>
                <w:sz w:val="18"/>
              </w:rPr>
            </w:pP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3 092</w:t>
            </w: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2 455</w:t>
            </w:r>
          </w:p>
        </w:tc>
      </w:tr>
      <w:tr>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hAnsi="Verdana"/>
                <w:b/>
                <w:noProof/>
                <w:color w:val="000000"/>
                <w:sz w:val="18"/>
              </w:rPr>
              <w:t>IŠ VISO TURTO</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 xml:space="preserve"> 4 090</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 xml:space="preserve"> 3 379</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lan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hAnsi="Verdana"/>
                <w:b/>
                <w:noProof/>
                <w:color w:val="000000"/>
                <w:sz w:val="18"/>
              </w:rPr>
              <w:t>ILGALAIKIAI ĮSIPAREIGOJIMAI</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lan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Finansiniai įsipareigojimai</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 xml:space="preserve"> (167)</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 xml:space="preserve"> (229)</w:t>
            </w:r>
          </w:p>
        </w:tc>
      </w:tr>
      <w:tr>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 xml:space="preserve">  (167)</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 xml:space="preserve">  (229)</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hAnsi="Verdana"/>
                <w:b/>
                <w:noProof/>
                <w:color w:val="000000"/>
                <w:sz w:val="18"/>
              </w:rPr>
              <w:t>TRUMPALAIKIAI ĮSIPAREIGOJIMAI</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lan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Mokėtinos sumos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 xml:space="preserve"> (542)</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 xml:space="preserve"> (255)</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Sukauptos sąnaudos ir būsimojo laikotarpio pajamos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(1 432)</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(1 374)</w:t>
            </w:r>
          </w:p>
        </w:tc>
      </w:tr>
      <w:tr>
        <w:trPr>
          <w:trHeight w:hRule="exact" w:val="225"/>
        </w:trPr>
        <w:tc>
          <w:tcPr>
            <w:tcW w:w="6874"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BS"/>
              <w:rPr>
                <w:rFonts w:ascii="Verdana" w:eastAsia="Verdana" w:hAnsi="Verdana" w:cs="Verdana"/>
                <w:noProof/>
                <w:color w:val="000000"/>
                <w:sz w:val="18"/>
              </w:rPr>
            </w:pP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(1 974)</w:t>
            </w: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(1 629)</w:t>
            </w:r>
          </w:p>
        </w:tc>
      </w:tr>
      <w:tr>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hAnsi="Verdana"/>
                <w:b/>
                <w:noProof/>
                <w:color w:val="000000"/>
                <w:sz w:val="18"/>
              </w:rPr>
              <w:t>IŠ VISO ĮSIPAREIGOJIMŲ</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 xml:space="preserve"> (2 141)</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 xml:space="preserve"> (1 857)</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lang w:bidi="en-GB"/>
              </w:rPr>
            </w:pPr>
          </w:p>
        </w:tc>
      </w:tr>
      <w:tr>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hAnsi="Verdana"/>
                <w:b/>
                <w:noProof/>
                <w:color w:val="000000"/>
                <w:sz w:val="18"/>
              </w:rPr>
              <w:t>GRYNASIS TURTAS</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 xml:space="preserve"> 1 948</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 xml:space="preserve"> 1 521</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lan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hAnsi="Verdana"/>
                <w:b/>
                <w:noProof/>
                <w:color w:val="000000"/>
                <w:sz w:val="18"/>
              </w:rPr>
              <w:t>FONDAI IR REZERVAI</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lan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Tikrosios vertės rezervas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 xml:space="preserve"> (2)</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Pareikalautasis fondo kapitalas – aktyvūs EPF</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54 809</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50 423</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Iš veiklą užbaigusių EPF perkeltas pareikalautasis fondo kapitalas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2 252</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2 252</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Iš ankstesnių metų perkeltas ekonominis rezultatas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(51 155)</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(47 037)</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Ekonominis metų rezultatas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(3 956)</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(4 118)</w:t>
            </w:r>
          </w:p>
        </w:tc>
      </w:tr>
      <w:tr>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hAnsi="Verdana"/>
                <w:b/>
                <w:noProof/>
                <w:color w:val="000000"/>
                <w:sz w:val="18"/>
              </w:rPr>
              <w:t>GRYNASIS TURTAS</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 xml:space="preserve"> 1 948</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 xml:space="preserve"> 1 521</w:t>
            </w:r>
          </w:p>
        </w:tc>
      </w:tr>
    </w:tbl>
    <w:p>
      <w:pPr>
        <w:pStyle w:val="HEADERTITLE1"/>
      </w:pPr>
    </w:p>
    <w:p>
      <w:pPr>
        <w:pStyle w:val="HEADERTITLE1"/>
      </w:pPr>
    </w:p>
    <w:p>
      <w:pPr>
        <w:pStyle w:val="HEADERTITLE1"/>
        <w:sectPr>
          <w:headerReference w:type="even" r:id="rId287"/>
          <w:headerReference w:type="default" r:id="rId288"/>
          <w:footerReference w:type="even" r:id="rId289"/>
          <w:footerReference w:type="default" r:id="rId290"/>
          <w:headerReference w:type="first" r:id="rId291"/>
          <w:footerReference w:type="first" r:id="rId292"/>
          <w:pgSz w:w="11906" w:h="16838" w:code="9"/>
          <w:pgMar w:top="1134" w:right="1134" w:bottom="1134" w:left="1134" w:header="708" w:footer="708" w:gutter="0"/>
          <w:cols w:space="708"/>
          <w:docGrid w:linePitch="360"/>
        </w:sectPr>
      </w:pPr>
    </w:p>
    <w:p>
      <w:pPr>
        <w:pStyle w:val="HEADERTITLE1"/>
      </w:pPr>
      <w:bookmarkStart w:id="125" w:name="_Toc9948407"/>
      <w:bookmarkStart w:id="126" w:name="_Toc48835002"/>
      <w:r>
        <w:t>KONSOLIDUOTOJI FINANSINĖS VEIKLOS ATASKAITA</w:t>
      </w:r>
      <w:bookmarkEnd w:id="125"/>
      <w:bookmarkEnd w:id="126"/>
    </w:p>
    <w:tbl>
      <w:tblPr>
        <w:tblW w:w="922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0"/>
        <w:gridCol w:w="1830"/>
        <w:gridCol w:w="1365"/>
      </w:tblGrid>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noProof/>
                <w:color w:val="000000"/>
                <w:sz w:val="18"/>
              </w:rPr>
            </w:pPr>
            <w:bookmarkStart w:id="127" w:name="DOC_TBL00054_1_1"/>
            <w:bookmarkEnd w:id="127"/>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6"/>
              </w:rPr>
            </w:pPr>
            <w:r>
              <w:rPr>
                <w:rFonts w:ascii="Verdana" w:hAnsi="Verdana"/>
                <w:i/>
                <w:noProof/>
                <w:color w:val="000000"/>
                <w:sz w:val="16"/>
              </w:rPr>
              <w:t>mln. EUR</w:t>
            </w:r>
          </w:p>
        </w:tc>
      </w:tr>
      <w:tr>
        <w:trPr>
          <w:trHeight w:val="255"/>
        </w:trPr>
        <w:tc>
          <w:tcPr>
            <w:tcW w:w="6030" w:type="dxa"/>
            <w:tcBorders>
              <w:top w:val="nil"/>
              <w:left w:val="nil"/>
              <w:bottom w:val="nil"/>
              <w:right w:val="nil"/>
              <w:tl2br w:val="nil"/>
              <w:tr2bl w:val="nil"/>
            </w:tcBorders>
            <w:shd w:val="solid" w:color="016794" w:fill="FFFFFF"/>
            <w:tcMar>
              <w:left w:w="60" w:type="dxa"/>
              <w:right w:w="60" w:type="dxa"/>
            </w:tcMar>
            <w:vAlign w:val="bottom"/>
          </w:tcPr>
          <w:p>
            <w:pPr>
              <w:pStyle w:val="DMETW18992BIPCONSPL"/>
              <w:rPr>
                <w:rFonts w:ascii="Verdana" w:eastAsia="Verdana" w:hAnsi="Verdana" w:cs="Verdana"/>
                <w:noProof/>
                <w:color w:val="FFFFFF"/>
              </w:rPr>
            </w:pPr>
          </w:p>
        </w:tc>
        <w:tc>
          <w:tcPr>
            <w:tcW w:w="1830" w:type="dxa"/>
            <w:tcBorders>
              <w:top w:val="nil"/>
              <w:left w:val="nil"/>
              <w:bottom w:val="nil"/>
              <w:right w:val="nil"/>
              <w:tl2br w:val="nil"/>
              <w:tr2bl w:val="nil"/>
            </w:tcBorders>
            <w:shd w:val="solid" w:color="016794" w:fill="FFFFFF"/>
            <w:tcMar>
              <w:left w:w="60" w:type="dxa"/>
              <w:right w:w="60" w:type="dxa"/>
            </w:tcMar>
            <w:vAlign w:val="bottom"/>
          </w:tcPr>
          <w:p>
            <w:pPr>
              <w:pStyle w:val="DMETW18992BIPCONSPL"/>
              <w:jc w:val="center"/>
              <w:rPr>
                <w:rFonts w:ascii="Verdana" w:eastAsia="Verdana" w:hAnsi="Verdana" w:cs="Verdana"/>
                <w:noProof/>
                <w:color w:val="FFFFFF"/>
              </w:rPr>
            </w:pPr>
            <w:r>
              <w:rPr>
                <w:rFonts w:ascii="Verdana" w:hAnsi="Verdana"/>
                <w:noProof/>
                <w:color w:val="FFFFFF"/>
              </w:rPr>
              <w:t>2019</w:t>
            </w:r>
          </w:p>
        </w:tc>
        <w:tc>
          <w:tcPr>
            <w:tcW w:w="1365" w:type="dxa"/>
            <w:tcBorders>
              <w:top w:val="nil"/>
              <w:left w:val="nil"/>
              <w:bottom w:val="nil"/>
              <w:right w:val="nil"/>
              <w:tl2br w:val="nil"/>
              <w:tr2bl w:val="nil"/>
            </w:tcBorders>
            <w:shd w:val="solid" w:color="016794" w:fill="FFFFFF"/>
            <w:tcMar>
              <w:left w:w="60" w:type="dxa"/>
              <w:right w:w="60" w:type="dxa"/>
            </w:tcMar>
            <w:vAlign w:val="bottom"/>
          </w:tcPr>
          <w:p>
            <w:pPr>
              <w:pStyle w:val="DMETW18992BIPCONSPL"/>
              <w:jc w:val="right"/>
              <w:rPr>
                <w:rFonts w:ascii="Verdana" w:eastAsia="Verdana" w:hAnsi="Verdana" w:cs="Verdana"/>
                <w:noProof/>
                <w:color w:val="FFFFFF"/>
              </w:rPr>
            </w:pPr>
            <w:r>
              <w:rPr>
                <w:rFonts w:ascii="Verdana" w:hAnsi="Verdana"/>
                <w:noProof/>
                <w:color w:val="FFFFFF"/>
              </w:rPr>
              <w:t>2018</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b/>
                <w:noProof/>
                <w:color w:val="000000"/>
                <w:sz w:val="18"/>
              </w:rPr>
            </w:pPr>
            <w:r>
              <w:rPr>
                <w:rFonts w:ascii="Verdana" w:hAnsi="Verdana"/>
                <w:b/>
                <w:noProof/>
                <w:color w:val="000000"/>
                <w:sz w:val="18"/>
              </w:rPr>
              <w:t>PAJAMOS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noProof/>
                <w:color w:val="000000"/>
                <w:sz w:val="18"/>
                <w:lang w:bidi="en-GB"/>
              </w:rPr>
            </w:pP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b/>
                <w:noProof/>
                <w:color w:val="000000"/>
                <w:sz w:val="18"/>
              </w:rPr>
            </w:pPr>
            <w:r>
              <w:rPr>
                <w:rFonts w:ascii="Verdana" w:hAnsi="Verdana"/>
                <w:b/>
                <w:noProof/>
                <w:color w:val="000000"/>
                <w:sz w:val="18"/>
              </w:rPr>
              <w:t>Pajamos iš neprekybinių operacijų</w:t>
            </w:r>
          </w:p>
        </w:tc>
        <w:tc>
          <w:tcPr>
            <w:tcW w:w="1830" w:type="dxa"/>
            <w:tcBorders>
              <w:top w:val="nil"/>
              <w:left w:val="nil"/>
              <w:bottom w:val="nil"/>
              <w:right w:val="nil"/>
              <w:tl2br w:val="nil"/>
              <w:tr2bl w:val="nil"/>
            </w:tcBorders>
            <w:shd w:val="clear" w:color="auto" w:fill="auto"/>
            <w:tcMar>
              <w:left w:w="60" w:type="dxa"/>
              <w:right w:w="60" w:type="dxa"/>
            </w:tcMar>
            <w:vAlign w:val="bottom"/>
          </w:tcPr>
          <w:p>
            <w:pPr>
              <w:pStyle w:val="DMETW18992BIPCONSPL"/>
              <w:jc w:val="right"/>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bottom"/>
          </w:tcPr>
          <w:p>
            <w:pPr>
              <w:pStyle w:val="DMETW18992BIPCONSPL"/>
              <w:jc w:val="right"/>
              <w:rPr>
                <w:rFonts w:ascii="Verdana" w:eastAsia="Verdana" w:hAnsi="Verdana" w:cs="Verdana"/>
                <w:noProof/>
                <w:color w:val="000000"/>
                <w:sz w:val="18"/>
                <w:lang w:bidi="en-GB"/>
              </w:rPr>
            </w:pP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hAnsi="Verdana"/>
                <w:i/>
                <w:noProof/>
                <w:color w:val="000000"/>
                <w:sz w:val="18"/>
              </w:rPr>
              <w:t>Susigrąžinimo veikla</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28</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4</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hAnsi="Verdana"/>
                <w:i/>
                <w:noProof/>
                <w:color w:val="000000"/>
                <w:sz w:val="18"/>
              </w:rPr>
              <w:t>Pajamos iš patikos fondų paramos teikėjų</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287</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303</w:t>
            </w:r>
          </w:p>
        </w:tc>
      </w:tr>
      <w:tr>
        <w:trPr>
          <w:trHeigh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92BIPCONSPL"/>
              <w:jc w:val="center"/>
              <w:rPr>
                <w:rFonts w:ascii="Verdana" w:eastAsia="Verdana" w:hAnsi="Verdana" w:cs="Verdana"/>
                <w:i/>
                <w:noProof/>
                <w:color w:val="000000"/>
                <w:sz w:val="18"/>
              </w:rPr>
            </w:pP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b/>
                <w:noProof/>
                <w:color w:val="000000"/>
                <w:sz w:val="18"/>
              </w:rPr>
            </w:pPr>
            <w:r>
              <w:rPr>
                <w:rFonts w:ascii="Verdana" w:hAnsi="Verdana"/>
                <w:b/>
                <w:noProof/>
                <w:color w:val="000000"/>
                <w:sz w:val="18"/>
              </w:rPr>
              <w:t xml:space="preserve">  316</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b/>
                <w:noProof/>
                <w:color w:val="000000"/>
                <w:sz w:val="18"/>
              </w:rPr>
            </w:pPr>
            <w:r>
              <w:rPr>
                <w:rFonts w:ascii="Verdana" w:hAnsi="Verdana"/>
                <w:b/>
                <w:noProof/>
                <w:color w:val="000000"/>
                <w:sz w:val="18"/>
              </w:rPr>
              <w:t xml:space="preserve">  307</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b/>
                <w:noProof/>
                <w:color w:val="000000"/>
                <w:sz w:val="18"/>
              </w:rPr>
            </w:pPr>
            <w:r>
              <w:rPr>
                <w:rFonts w:ascii="Verdana" w:hAnsi="Verdana"/>
                <w:b/>
                <w:noProof/>
                <w:color w:val="000000"/>
                <w:sz w:val="18"/>
              </w:rPr>
              <w:t>Pajamos iš prekybos operacijų</w:t>
            </w:r>
          </w:p>
        </w:tc>
        <w:tc>
          <w:tcPr>
            <w:tcW w:w="1830" w:type="dxa"/>
            <w:tcBorders>
              <w:top w:val="nil"/>
              <w:left w:val="nil"/>
              <w:bottom w:val="nil"/>
              <w:right w:val="nil"/>
              <w:tl2br w:val="nil"/>
              <w:tr2bl w:val="nil"/>
            </w:tcBorders>
            <w:shd w:val="clear" w:color="auto" w:fill="auto"/>
            <w:tcMar>
              <w:left w:w="60" w:type="dxa"/>
              <w:right w:w="60" w:type="dxa"/>
            </w:tcMar>
            <w:vAlign w:val="bottom"/>
          </w:tcPr>
          <w:p>
            <w:pPr>
              <w:pStyle w:val="DMETW18992BIPCONSPL"/>
              <w:jc w:val="right"/>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bottom"/>
          </w:tcPr>
          <w:p>
            <w:pPr>
              <w:pStyle w:val="DMETW18992BIPCONSPL"/>
              <w:jc w:val="right"/>
              <w:rPr>
                <w:rFonts w:ascii="Verdana" w:eastAsia="Verdana" w:hAnsi="Verdana" w:cs="Verdana"/>
                <w:noProof/>
                <w:color w:val="000000"/>
                <w:sz w:val="18"/>
                <w:lang w:bidi="en-GB"/>
              </w:rPr>
            </w:pP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hAnsi="Verdana"/>
                <w:i/>
                <w:noProof/>
                <w:color w:val="000000"/>
                <w:sz w:val="18"/>
              </w:rPr>
              <w:t>Finansinės pajamos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7</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10</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hAnsi="Verdana"/>
                <w:i/>
                <w:noProof/>
                <w:color w:val="000000"/>
                <w:sz w:val="18"/>
              </w:rPr>
              <w:t>Kitos pajamos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41</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46</w:t>
            </w:r>
          </w:p>
        </w:tc>
      </w:tr>
      <w:tr>
        <w:trPr>
          <w:trHeigh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92BIPCONSPL"/>
              <w:jc w:val="center"/>
              <w:rPr>
                <w:rFonts w:ascii="Verdana" w:eastAsia="Verdana" w:hAnsi="Verdana" w:cs="Verdana"/>
                <w:i/>
                <w:noProof/>
                <w:color w:val="000000"/>
                <w:sz w:val="18"/>
              </w:rPr>
            </w:pP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b/>
                <w:noProof/>
                <w:color w:val="000000"/>
                <w:sz w:val="18"/>
              </w:rPr>
            </w:pPr>
            <w:r>
              <w:rPr>
                <w:rFonts w:ascii="Verdana" w:hAnsi="Verdana"/>
                <w:b/>
                <w:noProof/>
                <w:color w:val="000000"/>
                <w:sz w:val="18"/>
              </w:rPr>
              <w:t xml:space="preserve">  48</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b/>
                <w:noProof/>
                <w:color w:val="000000"/>
                <w:sz w:val="18"/>
              </w:rPr>
            </w:pPr>
            <w:r>
              <w:rPr>
                <w:rFonts w:ascii="Verdana" w:hAnsi="Verdana"/>
                <w:b/>
                <w:noProof/>
                <w:color w:val="000000"/>
                <w:sz w:val="18"/>
              </w:rPr>
              <w:t xml:space="preserve">  57</w:t>
            </w:r>
          </w:p>
        </w:tc>
      </w:tr>
      <w:tr>
        <w:trPr>
          <w:trHeigh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92BIPCONSPL"/>
              <w:rPr>
                <w:rFonts w:ascii="Verdana" w:eastAsia="Verdana" w:hAnsi="Verdana" w:cs="Verdana"/>
                <w:b/>
                <w:noProof/>
                <w:color w:val="000000"/>
                <w:sz w:val="18"/>
              </w:rPr>
            </w:pPr>
            <w:r>
              <w:rPr>
                <w:rFonts w:ascii="Verdana" w:hAnsi="Verdana"/>
                <w:b/>
                <w:noProof/>
                <w:color w:val="000000"/>
                <w:sz w:val="18"/>
              </w:rPr>
              <w:t>Iš viso pajamų</w:t>
            </w: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b/>
                <w:noProof/>
                <w:color w:val="000000"/>
                <w:sz w:val="18"/>
              </w:rPr>
            </w:pPr>
            <w:r>
              <w:rPr>
                <w:rFonts w:ascii="Verdana" w:hAnsi="Verdana"/>
                <w:b/>
                <w:noProof/>
                <w:color w:val="000000"/>
                <w:sz w:val="18"/>
              </w:rPr>
              <w:t xml:space="preserve">  364</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b/>
                <w:noProof/>
                <w:color w:val="000000"/>
                <w:sz w:val="18"/>
              </w:rPr>
            </w:pPr>
            <w:r>
              <w:rPr>
                <w:rFonts w:ascii="Verdana" w:hAnsi="Verdana"/>
                <w:b/>
                <w:noProof/>
                <w:color w:val="000000"/>
                <w:sz w:val="18"/>
              </w:rPr>
              <w:t xml:space="preserve">  364</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b/>
                <w:noProof/>
                <w:color w:val="000000"/>
                <w:sz w:val="18"/>
              </w:rPr>
            </w:pPr>
            <w:r>
              <w:rPr>
                <w:rFonts w:ascii="Verdana" w:hAnsi="Verdana"/>
                <w:b/>
                <w:noProof/>
                <w:color w:val="000000"/>
                <w:sz w:val="18"/>
              </w:rPr>
              <w:t>IŠLAIDOS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noProof/>
                <w:color w:val="000000"/>
                <w:sz w:val="18"/>
                <w:lang w:bidi="en-GB"/>
              </w:rPr>
            </w:pP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hAnsi="Verdana"/>
                <w:i/>
                <w:noProof/>
                <w:color w:val="000000"/>
                <w:sz w:val="18"/>
              </w:rPr>
              <w:t>Pagalbos priemonės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(3 220)</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(3 747)</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hAnsi="Verdana"/>
                <w:i/>
                <w:noProof/>
                <w:color w:val="000000"/>
                <w:sz w:val="18"/>
              </w:rPr>
              <w:t>Patikos fondų patirtos išlaidos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(804)</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(595)</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hAnsi="Verdana"/>
                <w:i/>
                <w:noProof/>
                <w:color w:val="000000"/>
                <w:sz w:val="18"/>
              </w:rPr>
              <w:t>Bendro finansavimo išlaidos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(14)</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17</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hAnsi="Verdana"/>
                <w:i/>
                <w:noProof/>
                <w:color w:val="000000"/>
                <w:sz w:val="18"/>
              </w:rPr>
              <w:t>Finansinės išlaidos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(1)</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7</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hAnsi="Verdana"/>
                <w:i/>
                <w:noProof/>
                <w:color w:val="000000"/>
                <w:sz w:val="18"/>
              </w:rPr>
              <w:t>Kitos išlaidos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(282)</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(164)</w:t>
            </w:r>
          </w:p>
        </w:tc>
      </w:tr>
      <w:tr>
        <w:trPr>
          <w:trHeight w:val="255"/>
        </w:trPr>
        <w:tc>
          <w:tcPr>
            <w:tcW w:w="6030"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PL"/>
              <w:rPr>
                <w:rFonts w:ascii="Verdana" w:eastAsia="Verdana" w:hAnsi="Verdana" w:cs="Verdana"/>
                <w:b/>
                <w:noProof/>
                <w:color w:val="000000"/>
                <w:sz w:val="18"/>
              </w:rPr>
            </w:pPr>
            <w:r>
              <w:rPr>
                <w:rFonts w:ascii="Verdana" w:hAnsi="Verdana"/>
                <w:b/>
                <w:noProof/>
                <w:color w:val="000000"/>
                <w:sz w:val="18"/>
              </w:rPr>
              <w:t>Iš viso išlaidų</w:t>
            </w:r>
          </w:p>
        </w:tc>
        <w:tc>
          <w:tcPr>
            <w:tcW w:w="1830"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PL"/>
              <w:jc w:val="right"/>
              <w:rPr>
                <w:rFonts w:ascii="Verdana" w:eastAsia="Verdana" w:hAnsi="Verdana" w:cs="Verdana"/>
                <w:b/>
                <w:noProof/>
                <w:color w:val="000000"/>
                <w:sz w:val="18"/>
              </w:rPr>
            </w:pPr>
            <w:r>
              <w:rPr>
                <w:rFonts w:ascii="Verdana" w:hAnsi="Verdana"/>
                <w:b/>
                <w:noProof/>
                <w:color w:val="000000"/>
                <w:sz w:val="18"/>
              </w:rPr>
              <w:t xml:space="preserve"> (4 320)</w:t>
            </w:r>
          </w:p>
        </w:tc>
        <w:tc>
          <w:tcPr>
            <w:tcW w:w="1365"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PL"/>
              <w:jc w:val="right"/>
              <w:rPr>
                <w:rFonts w:ascii="Verdana" w:eastAsia="Verdana" w:hAnsi="Verdana" w:cs="Verdana"/>
                <w:b/>
                <w:noProof/>
                <w:color w:val="000000"/>
                <w:sz w:val="18"/>
              </w:rPr>
            </w:pPr>
            <w:r>
              <w:rPr>
                <w:rFonts w:ascii="Verdana" w:hAnsi="Verdana"/>
                <w:b/>
                <w:noProof/>
                <w:color w:val="000000"/>
                <w:sz w:val="18"/>
              </w:rPr>
              <w:t xml:space="preserve"> (4 482)</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b/>
                <w:noProof/>
                <w:color w:val="000000"/>
                <w:sz w:val="18"/>
              </w:rPr>
            </w:pP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noProof/>
                <w:color w:val="000000"/>
                <w:sz w:val="18"/>
                <w:lang w:bidi="en-GB"/>
              </w:rPr>
            </w:pPr>
          </w:p>
        </w:tc>
      </w:tr>
      <w:tr>
        <w:trPr>
          <w:trHeight w:val="255"/>
        </w:trPr>
        <w:tc>
          <w:tcPr>
            <w:tcW w:w="6030" w:type="dxa"/>
            <w:tcBorders>
              <w:top w:val="nil"/>
              <w:left w:val="nil"/>
              <w:bottom w:val="nil"/>
              <w:right w:val="nil"/>
              <w:tl2br w:val="nil"/>
              <w:tr2bl w:val="nil"/>
            </w:tcBorders>
            <w:shd w:val="solid" w:color="CCE1EA" w:fill="FFFFFF"/>
            <w:tcMar>
              <w:left w:w="60" w:type="dxa"/>
              <w:right w:w="60" w:type="dxa"/>
            </w:tcMar>
            <w:vAlign w:val="bottom"/>
          </w:tcPr>
          <w:p>
            <w:pPr>
              <w:pStyle w:val="DMETW18992BIPCONSPL"/>
              <w:rPr>
                <w:rFonts w:ascii="Verdana" w:eastAsia="Verdana" w:hAnsi="Verdana" w:cs="Verdana"/>
                <w:b/>
                <w:noProof/>
                <w:color w:val="000000"/>
                <w:sz w:val="18"/>
              </w:rPr>
            </w:pPr>
            <w:r>
              <w:rPr>
                <w:rFonts w:ascii="Verdana" w:hAnsi="Verdana"/>
                <w:b/>
                <w:noProof/>
                <w:color w:val="000000"/>
                <w:sz w:val="18"/>
              </w:rPr>
              <w:t>EKONOMINIS METŲ REZULTATAS</w:t>
            </w:r>
          </w:p>
        </w:tc>
        <w:tc>
          <w:tcPr>
            <w:tcW w:w="1830" w:type="dxa"/>
            <w:tcBorders>
              <w:top w:val="nil"/>
              <w:left w:val="nil"/>
              <w:bottom w:val="nil"/>
              <w:right w:val="nil"/>
              <w:tl2br w:val="nil"/>
              <w:tr2bl w:val="nil"/>
            </w:tcBorders>
            <w:shd w:val="solid" w:color="CCE1EA" w:fill="FFFFFF"/>
            <w:tcMar>
              <w:left w:w="60" w:type="dxa"/>
              <w:right w:w="60" w:type="dxa"/>
            </w:tcMar>
            <w:vAlign w:val="center"/>
          </w:tcPr>
          <w:p>
            <w:pPr>
              <w:pStyle w:val="DMETW18992BIPCONSPL"/>
              <w:jc w:val="right"/>
              <w:rPr>
                <w:rFonts w:ascii="Verdana" w:eastAsia="Verdana" w:hAnsi="Verdana" w:cs="Verdana"/>
                <w:b/>
                <w:noProof/>
                <w:color w:val="000000"/>
                <w:sz w:val="18"/>
              </w:rPr>
            </w:pPr>
            <w:r>
              <w:rPr>
                <w:rFonts w:ascii="Verdana" w:hAnsi="Verdana"/>
                <w:b/>
                <w:noProof/>
                <w:color w:val="000000"/>
                <w:sz w:val="18"/>
              </w:rPr>
              <w:t xml:space="preserve"> (3 956)</w:t>
            </w:r>
          </w:p>
        </w:tc>
        <w:tc>
          <w:tcPr>
            <w:tcW w:w="1365" w:type="dxa"/>
            <w:tcBorders>
              <w:top w:val="nil"/>
              <w:left w:val="nil"/>
              <w:bottom w:val="nil"/>
              <w:right w:val="nil"/>
              <w:tl2br w:val="nil"/>
              <w:tr2bl w:val="nil"/>
            </w:tcBorders>
            <w:shd w:val="solid" w:color="CCE1EA" w:fill="FFFFFF"/>
            <w:tcMar>
              <w:left w:w="60" w:type="dxa"/>
              <w:right w:w="60" w:type="dxa"/>
            </w:tcMar>
            <w:vAlign w:val="center"/>
          </w:tcPr>
          <w:p>
            <w:pPr>
              <w:pStyle w:val="DMETW18992BIPCONSPL"/>
              <w:jc w:val="right"/>
              <w:rPr>
                <w:rFonts w:ascii="Verdana" w:eastAsia="Verdana" w:hAnsi="Verdana" w:cs="Verdana"/>
                <w:b/>
                <w:noProof/>
                <w:color w:val="000000"/>
                <w:sz w:val="18"/>
              </w:rPr>
            </w:pPr>
            <w:r>
              <w:rPr>
                <w:rFonts w:ascii="Verdana" w:hAnsi="Verdana"/>
                <w:b/>
                <w:noProof/>
                <w:color w:val="000000"/>
                <w:sz w:val="18"/>
              </w:rPr>
              <w:t xml:space="preserve"> (4 118)</w:t>
            </w:r>
          </w:p>
        </w:tc>
      </w:tr>
    </w:tbl>
    <w:p>
      <w:pPr>
        <w:pStyle w:val="HEADERTITLE1"/>
      </w:pPr>
    </w:p>
    <w:p>
      <w:pPr>
        <w:pStyle w:val="HEADERTITLE1"/>
      </w:pPr>
    </w:p>
    <w:p>
      <w:pPr>
        <w:pStyle w:val="HEADERTITLE1"/>
        <w:sectPr>
          <w:headerReference w:type="even" r:id="rId293"/>
          <w:headerReference w:type="default" r:id="rId294"/>
          <w:footerReference w:type="even" r:id="rId295"/>
          <w:footerReference w:type="default" r:id="rId296"/>
          <w:headerReference w:type="first" r:id="rId297"/>
          <w:footerReference w:type="first" r:id="rId298"/>
          <w:pgSz w:w="11906" w:h="16838" w:code="9"/>
          <w:pgMar w:top="1134" w:right="1134" w:bottom="1134" w:left="1134" w:header="708" w:footer="708" w:gutter="0"/>
          <w:cols w:space="708"/>
          <w:docGrid w:linePitch="360"/>
        </w:sectPr>
      </w:pPr>
    </w:p>
    <w:p>
      <w:pPr>
        <w:pStyle w:val="HEADERTITLE1"/>
      </w:pPr>
      <w:bookmarkStart w:id="128" w:name="_Toc48835003"/>
      <w:r>
        <w:t>KONSOLIDUOTOJI PINIGŲ SRAUTŲ ATASKAITA</w:t>
      </w:r>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1"/>
        <w:gridCol w:w="851"/>
        <w:gridCol w:w="1476"/>
      </w:tblGrid>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rPr>
            </w:pPr>
            <w:bookmarkStart w:id="129" w:name="DOC_TBL00055_1_1"/>
            <w:bookmarkEnd w:id="129"/>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6"/>
              </w:rPr>
            </w:pPr>
            <w:r>
              <w:rPr>
                <w:rFonts w:ascii="Verdana" w:hAnsi="Verdana"/>
                <w:i/>
                <w:noProof/>
                <w:color w:val="000000"/>
                <w:sz w:val="16"/>
              </w:rPr>
              <w:t>mln. EUR</w:t>
            </w:r>
          </w:p>
        </w:tc>
      </w:tr>
      <w:tr>
        <w:trPr>
          <w:trHeight w:val="255"/>
        </w:trPr>
        <w:tc>
          <w:tcPr>
            <w:tcW w:w="7431" w:type="dxa"/>
            <w:tcBorders>
              <w:top w:val="nil"/>
              <w:left w:val="nil"/>
              <w:bottom w:val="nil"/>
              <w:right w:val="nil"/>
              <w:tl2br w:val="nil"/>
              <w:tr2bl w:val="nil"/>
            </w:tcBorders>
            <w:shd w:val="solid" w:color="016794" w:fill="FFFFFF"/>
            <w:tcMar>
              <w:left w:w="60" w:type="dxa"/>
              <w:right w:w="60" w:type="dxa"/>
            </w:tcMar>
            <w:vAlign w:val="bottom"/>
          </w:tcPr>
          <w:p>
            <w:pPr>
              <w:pStyle w:val="DMETW18992BIPCONSCF"/>
              <w:jc w:val="right"/>
              <w:rPr>
                <w:rFonts w:ascii="Verdana" w:eastAsia="Verdana" w:hAnsi="Verdana" w:cs="Verdana"/>
                <w:noProof/>
                <w:color w:val="FFFFFF"/>
              </w:rPr>
            </w:pPr>
          </w:p>
        </w:tc>
        <w:tc>
          <w:tcPr>
            <w:tcW w:w="851" w:type="dxa"/>
            <w:tcBorders>
              <w:top w:val="nil"/>
              <w:left w:val="nil"/>
              <w:bottom w:val="nil"/>
              <w:right w:val="nil"/>
              <w:tl2br w:val="nil"/>
              <w:tr2bl w:val="nil"/>
            </w:tcBorders>
            <w:shd w:val="solid" w:color="016794" w:fill="FFFFFF"/>
            <w:tcMar>
              <w:left w:w="60" w:type="dxa"/>
              <w:right w:w="60" w:type="dxa"/>
            </w:tcMar>
            <w:vAlign w:val="bottom"/>
          </w:tcPr>
          <w:p>
            <w:pPr>
              <w:pStyle w:val="DMETW18992BIPCONSCF"/>
              <w:jc w:val="right"/>
              <w:rPr>
                <w:rFonts w:ascii="Verdana" w:eastAsia="Verdana" w:hAnsi="Verdana" w:cs="Verdana"/>
                <w:noProof/>
                <w:color w:val="FFFFFF"/>
              </w:rPr>
            </w:pPr>
            <w:r>
              <w:rPr>
                <w:rFonts w:ascii="Verdana" w:hAnsi="Verdana"/>
                <w:noProof/>
                <w:color w:val="FFFFFF"/>
              </w:rPr>
              <w:t>2019</w:t>
            </w:r>
          </w:p>
        </w:tc>
        <w:tc>
          <w:tcPr>
            <w:tcW w:w="1476" w:type="dxa"/>
            <w:tcBorders>
              <w:top w:val="nil"/>
              <w:left w:val="nil"/>
              <w:bottom w:val="nil"/>
              <w:right w:val="nil"/>
              <w:tl2br w:val="nil"/>
              <w:tr2bl w:val="nil"/>
            </w:tcBorders>
            <w:shd w:val="solid" w:color="016794" w:fill="FFFFFF"/>
            <w:tcMar>
              <w:left w:w="60" w:type="dxa"/>
              <w:right w:w="60" w:type="dxa"/>
            </w:tcMar>
            <w:vAlign w:val="bottom"/>
          </w:tcPr>
          <w:p>
            <w:pPr>
              <w:pStyle w:val="DMETW18992BIPCONSCF"/>
              <w:jc w:val="right"/>
              <w:rPr>
                <w:rFonts w:ascii="Verdana" w:eastAsia="Verdana" w:hAnsi="Verdana" w:cs="Verdana"/>
                <w:noProof/>
                <w:color w:val="FFFFFF"/>
              </w:rPr>
            </w:pPr>
            <w:r>
              <w:rPr>
                <w:rFonts w:ascii="Verdana" w:hAnsi="Verdana"/>
                <w:noProof/>
                <w:color w:val="FFFFFF"/>
              </w:rPr>
              <w:t>2018</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hAnsi="Verdana"/>
                <w:i/>
                <w:noProof/>
                <w:color w:val="000000"/>
                <w:sz w:val="18"/>
              </w:rPr>
              <w:t>Ekonominis metų rezultatas</w:t>
            </w: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i/>
                <w:noProof/>
                <w:color w:val="000000"/>
                <w:sz w:val="18"/>
              </w:rPr>
            </w:pPr>
            <w:r>
              <w:rPr>
                <w:rFonts w:ascii="Verdana" w:hAnsi="Verdana"/>
                <w:i/>
                <w:noProof/>
                <w:color w:val="000000"/>
                <w:sz w:val="18"/>
              </w:rPr>
              <w:t>(3 956)</w:t>
            </w:r>
          </w:p>
        </w:tc>
        <w:tc>
          <w:tcPr>
            <w:tcW w:w="1476"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(4 118)</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b/>
                <w:noProof/>
                <w:color w:val="000000"/>
                <w:sz w:val="18"/>
              </w:rPr>
            </w:pPr>
            <w:r>
              <w:rPr>
                <w:rFonts w:ascii="Verdana" w:hAnsi="Verdana"/>
                <w:b/>
                <w:noProof/>
                <w:color w:val="000000"/>
                <w:sz w:val="18"/>
              </w:rPr>
              <w:t>Pagrindinė veikla</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lang w:bidi="en-GB"/>
              </w:rPr>
            </w:pP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hAnsi="Verdana"/>
                <w:i/>
                <w:noProof/>
                <w:color w:val="000000"/>
                <w:sz w:val="18"/>
              </w:rPr>
              <w:t>Kapitalo padidėjimas – įnašai</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4 385</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4 250</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hAnsi="Verdana"/>
                <w:i/>
                <w:noProof/>
                <w:color w:val="000000"/>
                <w:sz w:val="18"/>
              </w:rPr>
              <w:t>Išankstinio finansavimo (padidėjimas) / sumažėjimas</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(12)</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(317)</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hAnsi="Verdana"/>
                <w:i/>
                <w:noProof/>
                <w:color w:val="000000"/>
                <w:sz w:val="18"/>
              </w:rPr>
              <w:t>Iš prekybos gautinų sumų ir neprekybinių susigrąžintinų sumų (padidėjimas) / sumažėjimas</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13</w:t>
            </w:r>
          </w:p>
        </w:tc>
        <w:tc>
          <w:tcPr>
            <w:tcW w:w="1476"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(60)</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hAnsi="Verdana"/>
                <w:i/>
                <w:noProof/>
                <w:color w:val="000000"/>
                <w:sz w:val="18"/>
              </w:rPr>
              <w:t>Atidėjinių padidėjimas / (sumažėjimas)</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(4)</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hAnsi="Verdana"/>
                <w:i/>
                <w:noProof/>
                <w:color w:val="000000"/>
                <w:sz w:val="18"/>
              </w:rPr>
              <w:t>Finansinių įsipareigojimų padidėjimas / (sumažėjimas)</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(62)</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(63)</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hAnsi="Verdana"/>
                <w:i/>
                <w:noProof/>
                <w:color w:val="000000"/>
                <w:sz w:val="18"/>
              </w:rPr>
              <w:t>Mokėtinų sumų padidėjimas / (sumažėjimas)</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288</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(309)</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hAnsi="Verdana"/>
                <w:i/>
                <w:noProof/>
                <w:color w:val="000000"/>
                <w:sz w:val="18"/>
              </w:rPr>
              <w:t>Sukauptų sąnaudų ir būsimojo laikotarpio pajamų padidėjimas / (sumažėjimas)</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58</w:t>
            </w:r>
          </w:p>
        </w:tc>
        <w:tc>
          <w:tcPr>
            <w:tcW w:w="1476"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618</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hAnsi="Verdana"/>
                <w:i/>
                <w:noProof/>
                <w:color w:val="000000"/>
                <w:sz w:val="18"/>
              </w:rPr>
              <w:t>Kiti nepiniginiai pokyčiai</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(2)</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b/>
                <w:noProof/>
                <w:color w:val="000000"/>
                <w:sz w:val="18"/>
              </w:rPr>
            </w:pPr>
            <w:r>
              <w:rPr>
                <w:rFonts w:ascii="Verdana" w:hAnsi="Verdana"/>
                <w:b/>
                <w:noProof/>
                <w:color w:val="000000"/>
                <w:sz w:val="18"/>
              </w:rPr>
              <w:t>Investicinė veikla</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lang w:bidi="en-GB"/>
              </w:rPr>
            </w:pP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hAnsi="Verdana"/>
                <w:i/>
                <w:noProof/>
                <w:color w:val="000000"/>
                <w:sz w:val="18"/>
              </w:rPr>
              <w:t xml:space="preserve">Parduoti laikomo finansinio turto (padidėjimas) / sumažėjimas </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(36)</w:t>
            </w:r>
          </w:p>
        </w:tc>
        <w:tc>
          <w:tcPr>
            <w:tcW w:w="1476"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lang w:bidi="en-GB"/>
              </w:rPr>
            </w:pPr>
          </w:p>
        </w:tc>
      </w:tr>
      <w:tr>
        <w:trPr>
          <w:trHeight w:val="255"/>
        </w:trPr>
        <w:tc>
          <w:tcPr>
            <w:tcW w:w="7431" w:type="dxa"/>
            <w:tcBorders>
              <w:top w:val="nil"/>
              <w:left w:val="nil"/>
              <w:bottom w:val="nil"/>
              <w:right w:val="nil"/>
              <w:tl2br w:val="nil"/>
              <w:tr2bl w:val="nil"/>
            </w:tcBorders>
            <w:shd w:val="solid" w:color="CCE1EA" w:fill="FFFFFF"/>
            <w:tcMar>
              <w:left w:w="60" w:type="dxa"/>
              <w:right w:w="60" w:type="dxa"/>
            </w:tcMar>
            <w:vAlign w:val="bottom"/>
          </w:tcPr>
          <w:p>
            <w:pPr>
              <w:pStyle w:val="DMETW18992BIPCONSCF"/>
              <w:rPr>
                <w:rFonts w:ascii="Verdana" w:eastAsia="Verdana" w:hAnsi="Verdana" w:cs="Verdana"/>
                <w:b/>
                <w:noProof/>
                <w:color w:val="000000"/>
                <w:sz w:val="18"/>
              </w:rPr>
            </w:pPr>
            <w:r>
              <w:rPr>
                <w:rFonts w:ascii="Verdana" w:hAnsi="Verdana"/>
                <w:b/>
                <w:noProof/>
                <w:color w:val="000000"/>
                <w:sz w:val="18"/>
              </w:rPr>
              <w:t>GRYNIEJI PINIGŲ SRAUTAI</w:t>
            </w:r>
          </w:p>
        </w:tc>
        <w:tc>
          <w:tcPr>
            <w:tcW w:w="851" w:type="dxa"/>
            <w:tcBorders>
              <w:top w:val="nil"/>
              <w:left w:val="nil"/>
              <w:bottom w:val="nil"/>
              <w:right w:val="nil"/>
              <w:tl2br w:val="nil"/>
              <w:tr2bl w:val="nil"/>
            </w:tcBorders>
            <w:shd w:val="solid" w:color="CCE1EA" w:fill="FFFFFF"/>
            <w:tcMar>
              <w:left w:w="60" w:type="dxa"/>
              <w:right w:w="60" w:type="dxa"/>
            </w:tcMar>
            <w:vAlign w:val="bottom"/>
          </w:tcPr>
          <w:p>
            <w:pPr>
              <w:pStyle w:val="DMETW18992BIPCONSCF"/>
              <w:jc w:val="right"/>
              <w:rPr>
                <w:rFonts w:ascii="Verdana" w:eastAsia="Verdana" w:hAnsi="Verdana" w:cs="Verdana"/>
                <w:b/>
                <w:noProof/>
                <w:color w:val="000000"/>
                <w:sz w:val="18"/>
              </w:rPr>
            </w:pPr>
            <w:r>
              <w:rPr>
                <w:rFonts w:ascii="Verdana" w:hAnsi="Verdana"/>
                <w:b/>
                <w:noProof/>
                <w:color w:val="000000"/>
                <w:sz w:val="18"/>
              </w:rPr>
              <w:t xml:space="preserve">  676</w:t>
            </w:r>
          </w:p>
        </w:tc>
        <w:tc>
          <w:tcPr>
            <w:tcW w:w="1476" w:type="dxa"/>
            <w:tcBorders>
              <w:top w:val="nil"/>
              <w:left w:val="nil"/>
              <w:bottom w:val="nil"/>
              <w:right w:val="nil"/>
              <w:tl2br w:val="nil"/>
              <w:tr2bl w:val="nil"/>
            </w:tcBorders>
            <w:shd w:val="solid" w:color="CCE1EA" w:fill="FFFFFF"/>
            <w:tcMar>
              <w:left w:w="60" w:type="dxa"/>
              <w:right w:w="60" w:type="dxa"/>
            </w:tcMar>
            <w:vAlign w:val="center"/>
          </w:tcPr>
          <w:p>
            <w:pPr>
              <w:pStyle w:val="DMETW18992BIPCONSCF"/>
              <w:jc w:val="right"/>
              <w:rPr>
                <w:rFonts w:ascii="Verdana" w:eastAsia="Verdana" w:hAnsi="Verdana" w:cs="Verdana"/>
                <w:b/>
                <w:noProof/>
                <w:color w:val="000000"/>
                <w:sz w:val="18"/>
              </w:rPr>
            </w:pPr>
            <w:r>
              <w:rPr>
                <w:rFonts w:ascii="Verdana" w:hAnsi="Verdana"/>
                <w:b/>
                <w:noProof/>
                <w:color w:val="000000"/>
                <w:sz w:val="18"/>
              </w:rPr>
              <w:t xml:space="preserve">  (2)</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b/>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lang w:bidi="en-GB"/>
              </w:rPr>
            </w:pP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noProof/>
                <w:color w:val="000000"/>
                <w:sz w:val="18"/>
              </w:rPr>
            </w:pPr>
            <w:r>
              <w:rPr>
                <w:rFonts w:ascii="Verdana" w:hAnsi="Verdana"/>
                <w:noProof/>
                <w:color w:val="000000"/>
                <w:sz w:val="18"/>
              </w:rPr>
              <w:t>Pinigų ir pinigų ekvivalentų grynasis padidėjimas / (sumažėjimas)</w:t>
            </w: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noProof/>
                <w:color w:val="000000"/>
                <w:sz w:val="18"/>
              </w:rPr>
            </w:pPr>
            <w:r>
              <w:rPr>
                <w:rFonts w:ascii="Verdana" w:hAnsi="Verdana"/>
                <w:noProof/>
                <w:color w:val="000000"/>
                <w:sz w:val="18"/>
              </w:rPr>
              <w:t xml:space="preserve"> 676</w:t>
            </w:r>
          </w:p>
        </w:tc>
        <w:tc>
          <w:tcPr>
            <w:tcW w:w="1476"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noProof/>
                <w:color w:val="000000"/>
                <w:sz w:val="18"/>
              </w:rPr>
            </w:pPr>
            <w:r>
              <w:rPr>
                <w:rFonts w:ascii="Verdana" w:hAnsi="Verdana"/>
                <w:noProof/>
                <w:color w:val="000000"/>
                <w:sz w:val="18"/>
              </w:rPr>
              <w:t xml:space="preserve"> (2)</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noProof/>
                <w:color w:val="000000"/>
                <w:sz w:val="18"/>
              </w:rPr>
            </w:pPr>
            <w:r>
              <w:rPr>
                <w:rFonts w:ascii="Verdana" w:hAnsi="Verdana"/>
                <w:noProof/>
                <w:color w:val="000000"/>
                <w:sz w:val="18"/>
              </w:rPr>
              <w:t>Pinigai ir pinigų ekvivalentai metų pradžioje</w:t>
            </w: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noProof/>
                <w:color w:val="000000"/>
                <w:sz w:val="18"/>
              </w:rPr>
            </w:pPr>
            <w:r>
              <w:rPr>
                <w:rFonts w:ascii="Verdana" w:hAnsi="Verdana"/>
                <w:noProof/>
                <w:color w:val="000000"/>
                <w:sz w:val="18"/>
              </w:rPr>
              <w:t xml:space="preserve">  548</w:t>
            </w:r>
          </w:p>
        </w:tc>
        <w:tc>
          <w:tcPr>
            <w:tcW w:w="1476"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noProof/>
                <w:color w:val="000000"/>
                <w:sz w:val="18"/>
              </w:rPr>
            </w:pPr>
            <w:r>
              <w:rPr>
                <w:rFonts w:ascii="Verdana" w:hAnsi="Verdana"/>
                <w:noProof/>
                <w:color w:val="000000"/>
                <w:sz w:val="18"/>
              </w:rPr>
              <w:t xml:space="preserve">  550</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noProof/>
                <w:color w:val="000000"/>
                <w:sz w:val="18"/>
              </w:rPr>
            </w:pPr>
            <w:r>
              <w:rPr>
                <w:rFonts w:ascii="Verdana" w:hAnsi="Verdana"/>
                <w:noProof/>
                <w:color w:val="000000"/>
                <w:sz w:val="18"/>
              </w:rPr>
              <w:t>Pinigai ir pinigų ekvivalentai metų pabaigoje</w:t>
            </w: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noProof/>
                <w:color w:val="000000"/>
                <w:sz w:val="18"/>
              </w:rPr>
            </w:pPr>
            <w:r>
              <w:rPr>
                <w:rFonts w:ascii="Verdana" w:hAnsi="Verdana"/>
                <w:noProof/>
                <w:color w:val="000000"/>
                <w:sz w:val="18"/>
              </w:rPr>
              <w:t xml:space="preserve"> 1 223</w:t>
            </w:r>
          </w:p>
        </w:tc>
        <w:tc>
          <w:tcPr>
            <w:tcW w:w="1476"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noProof/>
                <w:color w:val="000000"/>
                <w:sz w:val="18"/>
              </w:rPr>
            </w:pPr>
            <w:r>
              <w:rPr>
                <w:rFonts w:ascii="Verdana" w:hAnsi="Verdana"/>
                <w:noProof/>
                <w:color w:val="000000"/>
                <w:sz w:val="18"/>
              </w:rPr>
              <w:t xml:space="preserve">  548</w:t>
            </w:r>
          </w:p>
        </w:tc>
      </w:tr>
    </w:tbl>
    <w:p>
      <w:pPr>
        <w:pStyle w:val="HEADERTITLE1"/>
      </w:pPr>
    </w:p>
    <w:p>
      <w:pPr>
        <w:rPr>
          <w:noProof/>
        </w:rPr>
        <w:sectPr>
          <w:headerReference w:type="even" r:id="rId299"/>
          <w:headerReference w:type="default" r:id="rId300"/>
          <w:footerReference w:type="even" r:id="rId301"/>
          <w:footerReference w:type="default" r:id="rId302"/>
          <w:headerReference w:type="first" r:id="rId303"/>
          <w:footerReference w:type="first" r:id="rId304"/>
          <w:pgSz w:w="11906" w:h="16838" w:code="9"/>
          <w:pgMar w:top="1134" w:right="1134" w:bottom="1134" w:left="1134" w:header="708" w:footer="708" w:gutter="0"/>
          <w:cols w:space="708"/>
          <w:docGrid w:linePitch="360"/>
        </w:sectPr>
      </w:pPr>
      <w:r>
        <w:rPr>
          <w:noProof/>
        </w:rPr>
        <w:t xml:space="preserve">  </w:t>
      </w:r>
      <w:bookmarkEnd w:id="92"/>
    </w:p>
    <w:p>
      <w:pPr>
        <w:pStyle w:val="HEADERTITLE1"/>
      </w:pPr>
      <w:bookmarkStart w:id="130" w:name="_Toc48835004"/>
      <w:bookmarkStart w:id="131" w:name="_DMBM_19000"/>
      <w:r>
        <w:t>KONSOLIDUOTOJI GRYNOJO TURTO POKYČIŲ ATASKAITA</w:t>
      </w:r>
      <w:bookmarkEnd w:id="130"/>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0"/>
        <w:gridCol w:w="1336"/>
        <w:gridCol w:w="1440"/>
        <w:gridCol w:w="1677"/>
        <w:gridCol w:w="1441"/>
        <w:gridCol w:w="2126"/>
        <w:gridCol w:w="1134"/>
        <w:gridCol w:w="1715"/>
      </w:tblGrid>
      <w:tr>
        <w:trPr>
          <w:trHeight w:hRule="exact" w:val="225"/>
        </w:trPr>
        <w:tc>
          <w:tcPr>
            <w:tcW w:w="3380"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noProof/>
                <w:color w:val="000000"/>
                <w:sz w:val="18"/>
              </w:rPr>
            </w:pPr>
            <w:bookmarkStart w:id="132" w:name="DOC_TBL00056_1_1"/>
            <w:bookmarkEnd w:id="132"/>
          </w:p>
        </w:tc>
        <w:tc>
          <w:tcPr>
            <w:tcW w:w="1336"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noProof/>
                <w:color w:val="000000"/>
                <w:sz w:val="18"/>
              </w:rPr>
            </w:pPr>
          </w:p>
        </w:tc>
        <w:tc>
          <w:tcPr>
            <w:tcW w:w="1440"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noProof/>
                <w:color w:val="000000"/>
                <w:sz w:val="18"/>
              </w:rPr>
            </w:pPr>
          </w:p>
        </w:tc>
        <w:tc>
          <w:tcPr>
            <w:tcW w:w="1677"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noProof/>
                <w:color w:val="000000"/>
                <w:sz w:val="18"/>
              </w:rPr>
            </w:pPr>
          </w:p>
        </w:tc>
        <w:tc>
          <w:tcPr>
            <w:tcW w:w="1441"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noProof/>
                <w:color w:val="000000"/>
                <w:sz w:val="18"/>
              </w:rPr>
            </w:pPr>
          </w:p>
        </w:tc>
        <w:tc>
          <w:tcPr>
            <w:tcW w:w="2126"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noProof/>
                <w:color w:val="000000"/>
                <w:sz w:val="18"/>
              </w:rPr>
            </w:pP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noProof/>
                <w:color w:val="000000"/>
                <w:sz w:val="18"/>
              </w:rPr>
            </w:pPr>
          </w:p>
        </w:tc>
        <w:tc>
          <w:tcPr>
            <w:tcW w:w="1715"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6"/>
              </w:rPr>
            </w:pPr>
            <w:r>
              <w:rPr>
                <w:rFonts w:ascii="Verdana" w:hAnsi="Verdana"/>
                <w:i/>
                <w:noProof/>
                <w:color w:val="000000"/>
                <w:sz w:val="16"/>
              </w:rPr>
              <w:t>mln. EUR</w:t>
            </w:r>
          </w:p>
        </w:tc>
      </w:tr>
      <w:tr>
        <w:trPr>
          <w:trHeight w:hRule="exact" w:val="1260"/>
        </w:trPr>
        <w:tc>
          <w:tcPr>
            <w:tcW w:w="3380" w:type="dxa"/>
            <w:tcBorders>
              <w:top w:val="nil"/>
              <w:left w:val="nil"/>
              <w:bottom w:val="nil"/>
              <w:right w:val="nil"/>
              <w:tl2br w:val="nil"/>
              <w:tr2bl w:val="nil"/>
            </w:tcBorders>
            <w:shd w:val="solid" w:color="016794" w:fill="FFFFFF"/>
            <w:tcMar>
              <w:left w:w="60" w:type="dxa"/>
              <w:right w:w="60" w:type="dxa"/>
            </w:tcMar>
            <w:vAlign w:val="bottom"/>
          </w:tcPr>
          <w:p>
            <w:pPr>
              <w:pStyle w:val="DMETW18992BIPCONSNA"/>
              <w:jc w:val="center"/>
              <w:rPr>
                <w:rFonts w:ascii="Verdana" w:eastAsia="Verdana" w:hAnsi="Verdana" w:cs="Verdana"/>
                <w:noProof/>
                <w:color w:val="FFFFFF"/>
              </w:rPr>
            </w:pPr>
          </w:p>
        </w:tc>
        <w:tc>
          <w:tcPr>
            <w:tcW w:w="1336" w:type="dxa"/>
            <w:tcBorders>
              <w:top w:val="nil"/>
              <w:left w:val="nil"/>
              <w:bottom w:val="nil"/>
              <w:right w:val="nil"/>
              <w:tl2br w:val="nil"/>
              <w:tr2bl w:val="nil"/>
            </w:tcBorders>
            <w:shd w:val="solid" w:color="016794" w:fill="FFFFFF"/>
            <w:tcMar>
              <w:left w:w="60" w:type="dxa"/>
              <w:right w:w="60" w:type="dxa"/>
            </w:tcMar>
            <w:vAlign w:val="bottom"/>
          </w:tcPr>
          <w:p>
            <w:pPr>
              <w:pStyle w:val="DMETW18992BIPCONSNA"/>
              <w:jc w:val="center"/>
              <w:rPr>
                <w:rFonts w:ascii="Verdana" w:eastAsia="Verdana" w:hAnsi="Verdana" w:cs="Verdana"/>
                <w:noProof/>
                <w:color w:val="FFFFFF"/>
              </w:rPr>
            </w:pPr>
            <w:r>
              <w:rPr>
                <w:rFonts w:ascii="Verdana" w:hAnsi="Verdana"/>
                <w:noProof/>
                <w:color w:val="FFFFFF"/>
              </w:rPr>
              <w:t>Fondo kapitalas – aktyvūs EPF (A)</w:t>
            </w:r>
          </w:p>
        </w:tc>
        <w:tc>
          <w:tcPr>
            <w:tcW w:w="1440" w:type="dxa"/>
            <w:tcBorders>
              <w:top w:val="nil"/>
              <w:left w:val="nil"/>
              <w:bottom w:val="nil"/>
              <w:right w:val="nil"/>
              <w:tl2br w:val="nil"/>
              <w:tr2bl w:val="nil"/>
            </w:tcBorders>
            <w:shd w:val="solid" w:color="016794" w:fill="FFFFFF"/>
            <w:tcMar>
              <w:left w:w="60" w:type="dxa"/>
              <w:right w:w="60" w:type="dxa"/>
            </w:tcMar>
            <w:vAlign w:val="bottom"/>
          </w:tcPr>
          <w:p>
            <w:pPr>
              <w:pStyle w:val="DMETW18992BIPCONSNA"/>
              <w:jc w:val="center"/>
              <w:rPr>
                <w:rFonts w:ascii="Verdana" w:eastAsia="Verdana" w:hAnsi="Verdana" w:cs="Verdana"/>
                <w:noProof/>
                <w:color w:val="FFFFFF"/>
              </w:rPr>
            </w:pPr>
            <w:r>
              <w:rPr>
                <w:rFonts w:ascii="Verdana" w:hAnsi="Verdana"/>
                <w:noProof/>
                <w:color w:val="FFFFFF"/>
              </w:rPr>
              <w:t>Nepareikalautosios lėšos – aktyvūs EPF (B)</w:t>
            </w:r>
          </w:p>
        </w:tc>
        <w:tc>
          <w:tcPr>
            <w:tcW w:w="1677" w:type="dxa"/>
            <w:tcBorders>
              <w:top w:val="nil"/>
              <w:left w:val="nil"/>
              <w:bottom w:val="nil"/>
              <w:right w:val="nil"/>
              <w:tl2br w:val="nil"/>
              <w:tr2bl w:val="nil"/>
            </w:tcBorders>
            <w:shd w:val="solid" w:color="016794" w:fill="FFFFFF"/>
            <w:tcMar>
              <w:left w:w="60" w:type="dxa"/>
              <w:right w:w="60" w:type="dxa"/>
            </w:tcMar>
            <w:vAlign w:val="bottom"/>
          </w:tcPr>
          <w:p>
            <w:pPr>
              <w:pStyle w:val="DMETW18992BIPCONSNA"/>
              <w:jc w:val="center"/>
              <w:rPr>
                <w:rFonts w:ascii="Verdana" w:eastAsia="Verdana" w:hAnsi="Verdana" w:cs="Verdana"/>
                <w:noProof/>
                <w:color w:val="FFFFFF"/>
              </w:rPr>
            </w:pPr>
            <w:r>
              <w:rPr>
                <w:rFonts w:ascii="Verdana" w:hAnsi="Verdana"/>
                <w:noProof/>
                <w:color w:val="FFFFFF"/>
              </w:rPr>
              <w:t>Pareikalautasis fondo kapitalas – aktyvūs EPF (C) = (A) − (B)</w:t>
            </w:r>
          </w:p>
        </w:tc>
        <w:tc>
          <w:tcPr>
            <w:tcW w:w="1441" w:type="dxa"/>
            <w:tcBorders>
              <w:top w:val="nil"/>
              <w:left w:val="nil"/>
              <w:bottom w:val="nil"/>
              <w:right w:val="nil"/>
              <w:tl2br w:val="nil"/>
              <w:tr2bl w:val="nil"/>
            </w:tcBorders>
            <w:shd w:val="solid" w:color="016794" w:fill="FFFFFF"/>
            <w:tcMar>
              <w:left w:w="60" w:type="dxa"/>
              <w:right w:w="60" w:type="dxa"/>
            </w:tcMar>
            <w:vAlign w:val="bottom"/>
          </w:tcPr>
          <w:p>
            <w:pPr>
              <w:pStyle w:val="DMETW18992BIPCONSNA"/>
              <w:jc w:val="center"/>
              <w:rPr>
                <w:rFonts w:ascii="Verdana" w:eastAsia="Verdana" w:hAnsi="Verdana" w:cs="Verdana"/>
                <w:noProof/>
                <w:color w:val="FFFFFF"/>
              </w:rPr>
            </w:pPr>
            <w:r>
              <w:rPr>
                <w:rFonts w:ascii="Verdana" w:hAnsi="Verdana"/>
                <w:noProof/>
                <w:color w:val="FFFFFF"/>
              </w:rPr>
              <w:t>Sukaupti rezervai (D)</w:t>
            </w:r>
          </w:p>
        </w:tc>
        <w:tc>
          <w:tcPr>
            <w:tcW w:w="2126" w:type="dxa"/>
            <w:tcBorders>
              <w:top w:val="nil"/>
              <w:left w:val="nil"/>
              <w:bottom w:val="nil"/>
              <w:right w:val="nil"/>
              <w:tl2br w:val="nil"/>
              <w:tr2bl w:val="nil"/>
            </w:tcBorders>
            <w:shd w:val="solid" w:color="016794" w:fill="FFFFFF"/>
            <w:tcMar>
              <w:left w:w="60" w:type="dxa"/>
              <w:right w:w="60" w:type="dxa"/>
            </w:tcMar>
            <w:vAlign w:val="bottom"/>
          </w:tcPr>
          <w:p>
            <w:pPr>
              <w:pStyle w:val="DMETW18992BIPCONSNA"/>
              <w:jc w:val="center"/>
              <w:rPr>
                <w:rFonts w:ascii="Verdana" w:eastAsia="Verdana" w:hAnsi="Verdana" w:cs="Verdana"/>
                <w:noProof/>
                <w:color w:val="FFFFFF"/>
              </w:rPr>
            </w:pPr>
            <w:r>
              <w:rPr>
                <w:rFonts w:ascii="Verdana" w:hAnsi="Verdana"/>
                <w:noProof/>
                <w:color w:val="FFFFFF"/>
              </w:rPr>
              <w:t>Iš veiklą užbaigusių EPF perkeltas pareikalautasis fondo kapitalas (E)</w:t>
            </w:r>
          </w:p>
        </w:tc>
        <w:tc>
          <w:tcPr>
            <w:tcW w:w="1134" w:type="dxa"/>
            <w:tcBorders>
              <w:top w:val="nil"/>
              <w:left w:val="nil"/>
              <w:bottom w:val="nil"/>
              <w:right w:val="nil"/>
              <w:tl2br w:val="nil"/>
              <w:tr2bl w:val="nil"/>
            </w:tcBorders>
            <w:shd w:val="solid" w:color="016794" w:fill="FFFFFF"/>
            <w:tcMar>
              <w:left w:w="60" w:type="dxa"/>
              <w:right w:w="60" w:type="dxa"/>
            </w:tcMar>
            <w:vAlign w:val="center"/>
          </w:tcPr>
          <w:p>
            <w:pPr>
              <w:pStyle w:val="DMETW18992BIPCONSNA"/>
              <w:jc w:val="center"/>
              <w:rPr>
                <w:rFonts w:ascii="Verdana" w:eastAsia="Verdana" w:hAnsi="Verdana" w:cs="Verdana"/>
                <w:noProof/>
                <w:color w:val="FFFFFF"/>
              </w:rPr>
            </w:pPr>
            <w:r>
              <w:rPr>
                <w:rFonts w:ascii="Verdana" w:hAnsi="Verdana"/>
                <w:noProof/>
                <w:color w:val="FFFFFF"/>
              </w:rPr>
              <w:t>Tikrosios vertės rezervas (F)</w:t>
            </w:r>
          </w:p>
        </w:tc>
        <w:tc>
          <w:tcPr>
            <w:tcW w:w="1715" w:type="dxa"/>
            <w:tcBorders>
              <w:top w:val="nil"/>
              <w:left w:val="nil"/>
              <w:bottom w:val="nil"/>
              <w:right w:val="nil"/>
              <w:tl2br w:val="nil"/>
              <w:tr2bl w:val="nil"/>
            </w:tcBorders>
            <w:shd w:val="solid" w:color="016794" w:fill="FFFFFF"/>
            <w:tcMar>
              <w:left w:w="60" w:type="dxa"/>
              <w:right w:w="60" w:type="dxa"/>
            </w:tcMar>
            <w:vAlign w:val="bottom"/>
          </w:tcPr>
          <w:p>
            <w:pPr>
              <w:pStyle w:val="DMETW18992BIPCONSNA"/>
              <w:jc w:val="center"/>
              <w:rPr>
                <w:rFonts w:ascii="Verdana" w:eastAsia="Verdana" w:hAnsi="Verdana" w:cs="Verdana"/>
                <w:noProof/>
                <w:color w:val="FFFFFF"/>
              </w:rPr>
            </w:pPr>
            <w:r>
              <w:rPr>
                <w:rFonts w:ascii="Verdana" w:hAnsi="Verdana"/>
                <w:noProof/>
                <w:color w:val="FFFFFF"/>
              </w:rPr>
              <w:t>Iš viso grynojo turto (C) + (D) + (E) + (F)</w:t>
            </w:r>
          </w:p>
        </w:tc>
      </w:tr>
      <w:tr>
        <w:trPr>
          <w:trHeight w:hRule="exact" w:val="225"/>
        </w:trPr>
        <w:tc>
          <w:tcPr>
            <w:tcW w:w="3380"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rPr>
                <w:rFonts w:ascii="Verdana" w:eastAsia="Verdana" w:hAnsi="Verdana" w:cs="Verdana"/>
                <w:b/>
                <w:noProof/>
                <w:color w:val="000000"/>
                <w:sz w:val="18"/>
              </w:rPr>
            </w:pPr>
            <w:r>
              <w:rPr>
                <w:rFonts w:ascii="Verdana" w:hAnsi="Verdana"/>
                <w:b/>
                <w:noProof/>
                <w:color w:val="000000"/>
                <w:sz w:val="18"/>
              </w:rPr>
              <w:t>LIKUTIS 2017 m. gruodžio 31 d.</w:t>
            </w:r>
          </w:p>
        </w:tc>
        <w:tc>
          <w:tcPr>
            <w:tcW w:w="1336"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73 264</w:t>
            </w:r>
          </w:p>
        </w:tc>
        <w:tc>
          <w:tcPr>
            <w:tcW w:w="1440"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27 090</w:t>
            </w:r>
          </w:p>
        </w:tc>
        <w:tc>
          <w:tcPr>
            <w:tcW w:w="1677"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46 173</w:t>
            </w:r>
          </w:p>
        </w:tc>
        <w:tc>
          <w:tcPr>
            <w:tcW w:w="1441"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(47 037)</w:t>
            </w:r>
          </w:p>
        </w:tc>
        <w:tc>
          <w:tcPr>
            <w:tcW w:w="2126"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134"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w:t>
            </w:r>
          </w:p>
        </w:tc>
        <w:tc>
          <w:tcPr>
            <w:tcW w:w="1715"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1 389</w:t>
            </w:r>
          </w:p>
        </w:tc>
      </w:tr>
      <w:tr>
        <w:trPr>
          <w:trHeight w:hRule="exact" w:val="345"/>
        </w:trPr>
        <w:tc>
          <w:tcPr>
            <w:tcW w:w="3380"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i/>
                <w:noProof/>
                <w:color w:val="000000"/>
                <w:sz w:val="18"/>
              </w:rPr>
            </w:pPr>
            <w:r>
              <w:rPr>
                <w:rFonts w:ascii="Verdana" w:hAnsi="Verdana"/>
                <w:i/>
                <w:noProof/>
                <w:color w:val="000000"/>
                <w:sz w:val="18"/>
              </w:rPr>
              <w:t>Kapitalo padidėjimas – įnašai</w:t>
            </w:r>
          </w:p>
        </w:tc>
        <w:tc>
          <w:tcPr>
            <w:tcW w:w="1336"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440"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(4 250)</w:t>
            </w:r>
          </w:p>
        </w:tc>
        <w:tc>
          <w:tcPr>
            <w:tcW w:w="1677"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4 250</w:t>
            </w:r>
          </w:p>
        </w:tc>
        <w:tc>
          <w:tcPr>
            <w:tcW w:w="1441"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w:t>
            </w:r>
          </w:p>
        </w:tc>
        <w:tc>
          <w:tcPr>
            <w:tcW w:w="2126"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715"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4 250</w:t>
            </w:r>
          </w:p>
        </w:tc>
      </w:tr>
      <w:tr>
        <w:trPr>
          <w:trHeight w:hRule="exact" w:val="225"/>
        </w:trPr>
        <w:tc>
          <w:tcPr>
            <w:tcW w:w="3380"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i/>
                <w:noProof/>
                <w:color w:val="000000"/>
                <w:sz w:val="18"/>
              </w:rPr>
            </w:pPr>
            <w:r>
              <w:rPr>
                <w:rFonts w:ascii="Verdana" w:hAnsi="Verdana"/>
                <w:i/>
                <w:noProof/>
                <w:color w:val="000000"/>
                <w:sz w:val="18"/>
              </w:rPr>
              <w:t>Ekonominis metų rezultatas</w:t>
            </w:r>
          </w:p>
        </w:tc>
        <w:tc>
          <w:tcPr>
            <w:tcW w:w="1336"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w:t>
            </w:r>
          </w:p>
        </w:tc>
        <w:tc>
          <w:tcPr>
            <w:tcW w:w="1440"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w:t>
            </w:r>
          </w:p>
        </w:tc>
        <w:tc>
          <w:tcPr>
            <w:tcW w:w="1677"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w:t>
            </w:r>
          </w:p>
        </w:tc>
        <w:tc>
          <w:tcPr>
            <w:tcW w:w="1441"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(4 118)</w:t>
            </w:r>
          </w:p>
        </w:tc>
        <w:tc>
          <w:tcPr>
            <w:tcW w:w="2126"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715"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(4 118)</w:t>
            </w:r>
          </w:p>
        </w:tc>
      </w:tr>
      <w:tr>
        <w:trPr>
          <w:trHeight w:hRule="exact" w:val="225"/>
        </w:trPr>
        <w:tc>
          <w:tcPr>
            <w:tcW w:w="3380"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rPr>
                <w:rFonts w:ascii="Verdana" w:eastAsia="Verdana" w:hAnsi="Verdana" w:cs="Verdana"/>
                <w:b/>
                <w:noProof/>
                <w:color w:val="000000"/>
                <w:sz w:val="18"/>
              </w:rPr>
            </w:pPr>
            <w:r>
              <w:rPr>
                <w:rFonts w:ascii="Verdana" w:hAnsi="Verdana"/>
                <w:b/>
                <w:noProof/>
                <w:color w:val="000000"/>
                <w:sz w:val="18"/>
              </w:rPr>
              <w:t>LIKUTIS 2018 m. gruodžio 31 d.</w:t>
            </w:r>
          </w:p>
        </w:tc>
        <w:tc>
          <w:tcPr>
            <w:tcW w:w="1336"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73 264</w:t>
            </w:r>
          </w:p>
        </w:tc>
        <w:tc>
          <w:tcPr>
            <w:tcW w:w="1440"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22 840</w:t>
            </w:r>
          </w:p>
        </w:tc>
        <w:tc>
          <w:tcPr>
            <w:tcW w:w="1677"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50 423</w:t>
            </w:r>
          </w:p>
        </w:tc>
        <w:tc>
          <w:tcPr>
            <w:tcW w:w="1441"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(51 155)</w:t>
            </w:r>
          </w:p>
        </w:tc>
        <w:tc>
          <w:tcPr>
            <w:tcW w:w="2126"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134"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w:t>
            </w:r>
          </w:p>
        </w:tc>
        <w:tc>
          <w:tcPr>
            <w:tcW w:w="1715"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1 521</w:t>
            </w:r>
          </w:p>
        </w:tc>
      </w:tr>
      <w:tr>
        <w:trPr>
          <w:trHeight w:hRule="exact" w:val="225"/>
        </w:trPr>
        <w:tc>
          <w:tcPr>
            <w:tcW w:w="3380"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i/>
                <w:noProof/>
                <w:color w:val="000000"/>
                <w:sz w:val="18"/>
              </w:rPr>
            </w:pPr>
            <w:r>
              <w:rPr>
                <w:rFonts w:ascii="Verdana" w:hAnsi="Verdana"/>
                <w:i/>
                <w:noProof/>
                <w:color w:val="000000"/>
                <w:sz w:val="18"/>
              </w:rPr>
              <w:t>Tikrosios vertės pokyčiai</w:t>
            </w:r>
          </w:p>
        </w:tc>
        <w:tc>
          <w:tcPr>
            <w:tcW w:w="1336"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440"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677"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441"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2126"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 xml:space="preserve"> (2)</w:t>
            </w:r>
          </w:p>
        </w:tc>
        <w:tc>
          <w:tcPr>
            <w:tcW w:w="1715"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 xml:space="preserve"> (2)</w:t>
            </w:r>
          </w:p>
        </w:tc>
      </w:tr>
      <w:tr>
        <w:trPr>
          <w:trHeight w:hRule="exact" w:val="225"/>
        </w:trPr>
        <w:tc>
          <w:tcPr>
            <w:tcW w:w="3380"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i/>
                <w:noProof/>
                <w:color w:val="000000"/>
                <w:sz w:val="18"/>
              </w:rPr>
            </w:pPr>
            <w:r>
              <w:rPr>
                <w:rFonts w:ascii="Verdana" w:hAnsi="Verdana"/>
                <w:i/>
                <w:noProof/>
                <w:color w:val="000000"/>
                <w:sz w:val="18"/>
              </w:rPr>
              <w:t>Kapitalo padidėjimas – įnašai</w:t>
            </w:r>
          </w:p>
        </w:tc>
        <w:tc>
          <w:tcPr>
            <w:tcW w:w="1336"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440"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(4 385)</w:t>
            </w:r>
          </w:p>
        </w:tc>
        <w:tc>
          <w:tcPr>
            <w:tcW w:w="1677"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4 385</w:t>
            </w:r>
          </w:p>
        </w:tc>
        <w:tc>
          <w:tcPr>
            <w:tcW w:w="1441"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2126"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715"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4 385</w:t>
            </w:r>
          </w:p>
        </w:tc>
      </w:tr>
      <w:tr>
        <w:trPr>
          <w:trHeight w:hRule="exact" w:val="225"/>
        </w:trPr>
        <w:tc>
          <w:tcPr>
            <w:tcW w:w="3380"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i/>
                <w:noProof/>
                <w:color w:val="000000"/>
                <w:sz w:val="18"/>
              </w:rPr>
            </w:pPr>
            <w:r>
              <w:rPr>
                <w:rFonts w:ascii="Verdana" w:hAnsi="Verdana"/>
                <w:i/>
                <w:noProof/>
                <w:color w:val="000000"/>
                <w:sz w:val="18"/>
              </w:rPr>
              <w:t>Ekonominis metų rezultatas</w:t>
            </w:r>
          </w:p>
        </w:tc>
        <w:tc>
          <w:tcPr>
            <w:tcW w:w="1336"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440"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677"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w:t>
            </w:r>
          </w:p>
        </w:tc>
        <w:tc>
          <w:tcPr>
            <w:tcW w:w="1441"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(3 956)</w:t>
            </w:r>
          </w:p>
        </w:tc>
        <w:tc>
          <w:tcPr>
            <w:tcW w:w="2126"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715"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(3 956)</w:t>
            </w:r>
          </w:p>
        </w:tc>
      </w:tr>
      <w:tr>
        <w:trPr>
          <w:trHeight w:hRule="exact" w:val="225"/>
        </w:trPr>
        <w:tc>
          <w:tcPr>
            <w:tcW w:w="3380"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rPr>
                <w:rFonts w:ascii="Verdana" w:eastAsia="Verdana" w:hAnsi="Verdana" w:cs="Verdana"/>
                <w:b/>
                <w:noProof/>
                <w:color w:val="000000"/>
                <w:sz w:val="18"/>
              </w:rPr>
            </w:pPr>
            <w:r>
              <w:rPr>
                <w:rFonts w:ascii="Verdana" w:hAnsi="Verdana"/>
                <w:b/>
                <w:noProof/>
                <w:color w:val="000000"/>
                <w:sz w:val="18"/>
              </w:rPr>
              <w:t>LIKUTIS 2019 m. gruodžio 31 d.</w:t>
            </w:r>
          </w:p>
        </w:tc>
        <w:tc>
          <w:tcPr>
            <w:tcW w:w="1336"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73 264</w:t>
            </w:r>
          </w:p>
        </w:tc>
        <w:tc>
          <w:tcPr>
            <w:tcW w:w="1440"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18 455</w:t>
            </w:r>
          </w:p>
        </w:tc>
        <w:tc>
          <w:tcPr>
            <w:tcW w:w="1677"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54 809</w:t>
            </w:r>
          </w:p>
        </w:tc>
        <w:tc>
          <w:tcPr>
            <w:tcW w:w="1441"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(55 111)</w:t>
            </w:r>
          </w:p>
        </w:tc>
        <w:tc>
          <w:tcPr>
            <w:tcW w:w="2126"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134"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(2)</w:t>
            </w:r>
          </w:p>
        </w:tc>
        <w:tc>
          <w:tcPr>
            <w:tcW w:w="1715"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1 948</w:t>
            </w:r>
          </w:p>
        </w:tc>
      </w:tr>
      <w:bookmarkEnd w:id="131"/>
    </w:tbl>
    <w:p>
      <w:pPr>
        <w:pStyle w:val="HEADERTITLE1"/>
        <w:sectPr>
          <w:headerReference w:type="even" r:id="rId305"/>
          <w:headerReference w:type="default" r:id="rId306"/>
          <w:footerReference w:type="even" r:id="rId307"/>
          <w:footerReference w:type="default" r:id="rId308"/>
          <w:headerReference w:type="first" r:id="rId309"/>
          <w:footerReference w:type="first" r:id="rId310"/>
          <w:pgSz w:w="16838" w:h="11906" w:orient="landscape" w:code="9"/>
          <w:pgMar w:top="1134" w:right="1134" w:bottom="1134" w:left="1134" w:header="709" w:footer="709" w:gutter="0"/>
          <w:cols w:space="708"/>
          <w:docGrid w:linePitch="360"/>
        </w:sectPr>
      </w:pPr>
    </w:p>
    <w:p>
      <w:pPr>
        <w:pStyle w:val="FIRSTCHAPTERPAGE1"/>
      </w:pPr>
      <w:bookmarkStart w:id="133" w:name="_Toc9948410"/>
      <w:bookmarkStart w:id="134" w:name="_Toc9959666"/>
      <w:bookmarkStart w:id="135" w:name="_DMBM_19005"/>
    </w:p>
    <w:p>
      <w:pPr>
        <w:pStyle w:val="FIRSTCHAPTERPAGE1"/>
      </w:pPr>
    </w:p>
    <w:p>
      <w:pPr>
        <w:pStyle w:val="FIRSTCHAPTERPAGE1"/>
      </w:pPr>
    </w:p>
    <w:p>
      <w:pPr>
        <w:pStyle w:val="FIRSTCHAPTERPAGE1"/>
      </w:pPr>
    </w:p>
    <w:p>
      <w:pPr>
        <w:pStyle w:val="FIRSTCHAPTERPAGE1"/>
      </w:pPr>
    </w:p>
    <w:p>
      <w:pPr>
        <w:pStyle w:val="FIRSTCHAPTERPAGE1"/>
      </w:pPr>
      <w:bookmarkStart w:id="136" w:name="_Toc48835005"/>
      <w:bookmarkStart w:id="137" w:name="_Toc49242753"/>
      <w:r>
        <w:t>EPF FINANSINIO VYKDYMO ATASKAITA</w:t>
      </w:r>
      <w:bookmarkEnd w:id="133"/>
      <w:bookmarkEnd w:id="134"/>
      <w:bookmarkEnd w:id="136"/>
      <w:bookmarkEnd w:id="137"/>
    </w:p>
    <w:p>
      <w:pPr>
        <w:pStyle w:val="FIRSTCHAPTERPAGE1"/>
        <w:sectPr>
          <w:headerReference w:type="even" r:id="rId311"/>
          <w:headerReference w:type="default" r:id="rId312"/>
          <w:footerReference w:type="even" r:id="rId313"/>
          <w:footerReference w:type="default" r:id="rId314"/>
          <w:headerReference w:type="first" r:id="rId315"/>
          <w:footerReference w:type="first" r:id="rId316"/>
          <w:pgSz w:w="11906" w:h="16838" w:code="9"/>
          <w:pgMar w:top="1134" w:right="1134" w:bottom="1134" w:left="1134" w:header="709" w:footer="709" w:gutter="0"/>
          <w:cols w:space="708"/>
          <w:docGrid w:linePitch="360"/>
        </w:sectPr>
      </w:pPr>
    </w:p>
    <w:p>
      <w:pPr>
        <w:pStyle w:val="HEADERTITLE0"/>
      </w:pPr>
      <w:r>
        <w:t>ĮVADINĖ PASTABA</w:t>
      </w:r>
    </w:p>
    <w:p>
      <w:pPr>
        <w:pStyle w:val="HEADER1Part1"/>
        <w:rPr>
          <w:noProof/>
        </w:rPr>
      </w:pPr>
      <w:r>
        <w:rPr>
          <w:noProof/>
        </w:rPr>
        <w:t>Ankstesni EPF</w:t>
      </w:r>
    </w:p>
    <w:p>
      <w:pPr>
        <w:pStyle w:val="Textstand-alone"/>
      </w:pPr>
      <w:r>
        <w:t>Kadangi 6-ojo EPF veikla užbaigta 2006 m., o 7-ojo EPF veikla užbaigta 2008 m., į metines ataskaitas nebeįtrauktos šių EPF vykdymo lentelės. Tačiau su pervestais likučiais susijęs vykdymas nurodytas 9-ajame EPF.</w:t>
      </w:r>
    </w:p>
    <w:p>
      <w:pPr>
        <w:pStyle w:val="Textstand-alone"/>
      </w:pPr>
      <w:r>
        <w:t>Kaip ir ankstesniais metais, siekiant užtikrinti skaidrumą pateikiant 2019 m. ataskaitas, lentelėse atskirai nurodomos 8-ojo EPF pagal Lomės konvencijoje numatytą programavimą ir pagal Kotonu susitarime numatytą programavimą panaudotos dalys.</w:t>
      </w:r>
    </w:p>
    <w:p>
      <w:pPr>
        <w:pStyle w:val="Textstand-alone"/>
      </w:pPr>
      <w:r>
        <w:t>Pagal 9-ojo EPF vidaus susitarimo 1 straipsnio 2 dalies b punktą ankstesnių EPF likučiai ir panaikinti įsipareigojimai perkelti į 9-ąjį EPF ir 9-ojo EPF gyvavimo laikotarpiu skiriami kaip 9-ojo EPF lėšos.</w:t>
      </w:r>
    </w:p>
    <w:p>
      <w:pPr>
        <w:pStyle w:val="Textstand-alone"/>
      </w:pPr>
      <w:r>
        <w:t>2019 m. Komisija sėkmingai įvykdė specialias priemones dėl likusių projektų pagal 8-ąjį EPF užbaigimo. Galutinė 8-ojo EPF finansinio įgyvendinimo ataskaita pateikiama kartu su šiomis 2019 m. metinėmis finansinėmis ataskaitomis. Komisija siekia šį darbą tęsti ir 2020 m. pabaigoje užbaigti 9-ojo EPF veiklą.</w:t>
      </w:r>
    </w:p>
    <w:p>
      <w:pPr>
        <w:pStyle w:val="HEADER1Part1"/>
        <w:rPr>
          <w:noProof/>
        </w:rPr>
      </w:pPr>
      <w:r>
        <w:rPr>
          <w:noProof/>
        </w:rPr>
        <w:t>11-asis EPF</w:t>
      </w:r>
    </w:p>
    <w:p>
      <w:pPr>
        <w:spacing w:before="120" w:after="120"/>
        <w:jc w:val="both"/>
        <w:rPr>
          <w:rFonts w:ascii="Verdana" w:hAnsi="Verdana"/>
          <w:noProof/>
          <w:sz w:val="18"/>
          <w:szCs w:val="18"/>
        </w:rPr>
      </w:pPr>
      <w:r>
        <w:rPr>
          <w:rFonts w:ascii="Verdana" w:hAnsi="Verdana"/>
          <w:noProof/>
          <w:sz w:val="18"/>
          <w:szCs w:val="18"/>
        </w:rPr>
        <w:t>2000 m. birželio 23 d. Europos bendrijos valstybių narių ir Afrikos, Karibų ir Ramiojo vandenyno valstybių Kotonu pasirašytas AKR ir EB partnerystės susitarimas įsigaliojo 2003 m. balandžio 1 d. Kotonu susitarimas buvo iš dalies pakeistas du kartus, pirmą kartą – 2005 m. birželio 25 d. Liuksemburge pasirašytu susitarimu, antrą kartą – 2010 m. birželio 22 d. Uagadugu pasirašytu susitarimu.</w:t>
      </w:r>
    </w:p>
    <w:p>
      <w:pPr>
        <w:spacing w:before="120" w:after="120"/>
        <w:jc w:val="both"/>
        <w:rPr>
          <w:rFonts w:ascii="Verdana" w:hAnsi="Verdana"/>
          <w:noProof/>
          <w:sz w:val="18"/>
          <w:szCs w:val="18"/>
        </w:rPr>
      </w:pPr>
      <w:r>
        <w:rPr>
          <w:rFonts w:ascii="Verdana" w:hAnsi="Verdana"/>
          <w:noProof/>
          <w:sz w:val="18"/>
          <w:szCs w:val="18"/>
        </w:rPr>
        <w:t>2001 m. lapkričio 27 d. ES Tarybos sprendimas (2001/822/EB) dėl užjūrio šalių bei teritorijų (UŠT) ir Europos Sąjungos asociacijos įsigaliojo 2001 m. gruodžio 2 d. Šis sprendimas iš dalies pakeistas 2007 m. kovo 19 d. (Sprendimas 2007/249/EB).</w:t>
      </w:r>
    </w:p>
    <w:p>
      <w:pPr>
        <w:spacing w:before="120" w:after="120"/>
        <w:jc w:val="both"/>
        <w:rPr>
          <w:rFonts w:ascii="Verdana" w:hAnsi="Verdana"/>
          <w:noProof/>
          <w:sz w:val="18"/>
          <w:szCs w:val="18"/>
        </w:rPr>
      </w:pPr>
      <w:r>
        <w:rPr>
          <w:rFonts w:ascii="Verdana" w:hAnsi="Verdana"/>
          <w:noProof/>
          <w:sz w:val="18"/>
          <w:szCs w:val="18"/>
        </w:rPr>
        <w:t>2013 m. rugpjūčio mėn. Europos bendrijos valstybių narių vyriausybių atstovų priimtas Vidaus susitarimas dėl Bendrijos pagalbos finansavimo pagal 2014–2020 m. daugiametę finansinę programą remiantis peržiūrėtu Kotonu susitarimu įsigaliojo 2015 m. kovo mėn.</w:t>
      </w:r>
    </w:p>
    <w:p>
      <w:pPr>
        <w:spacing w:before="120" w:after="120"/>
        <w:jc w:val="both"/>
        <w:rPr>
          <w:rFonts w:ascii="Verdana" w:hAnsi="Verdana"/>
          <w:noProof/>
          <w:sz w:val="18"/>
          <w:szCs w:val="18"/>
        </w:rPr>
      </w:pPr>
      <w:r>
        <w:rPr>
          <w:rFonts w:ascii="Verdana" w:hAnsi="Verdana"/>
          <w:noProof/>
          <w:sz w:val="18"/>
          <w:szCs w:val="18"/>
        </w:rPr>
        <w:t>Remiantis Kotonu susitarimu, trečiasis Bendrijos pagalbos AKR šalims ir UŠT laikotarpis (2014–2020 m.) finansuojamas iš 11-ojo EPF, kurio lėšos sudaro 30 506 mln. EUR, iš jų:</w:t>
      </w:r>
    </w:p>
    <w:p>
      <w:pPr>
        <w:pStyle w:val="ListBullet1"/>
        <w:numPr>
          <w:ilvl w:val="0"/>
          <w:numId w:val="22"/>
        </w:numPr>
        <w:rPr>
          <w:rFonts w:ascii="Verdana" w:eastAsia="Calibri" w:hAnsi="Verdana"/>
          <w:noProof/>
          <w:sz w:val="18"/>
          <w:szCs w:val="18"/>
        </w:rPr>
      </w:pPr>
      <w:r>
        <w:rPr>
          <w:rFonts w:ascii="Verdana" w:hAnsi="Verdana"/>
          <w:noProof/>
          <w:sz w:val="18"/>
          <w:szCs w:val="18"/>
        </w:rPr>
        <w:t>29 089 mln. EUR skirta AKR šalims remiantis vidaus susitarimo 1 straipsnio 2 dalies a punktu ir 2 straipsnio d punktu, iš jų 27 955 mln. EUR valdo Europos Komisija;</w:t>
      </w:r>
    </w:p>
    <w:p>
      <w:pPr>
        <w:pStyle w:val="ListBullet1"/>
        <w:numPr>
          <w:ilvl w:val="0"/>
          <w:numId w:val="22"/>
        </w:numPr>
        <w:rPr>
          <w:rFonts w:ascii="Verdana" w:eastAsia="Calibri" w:hAnsi="Verdana"/>
          <w:noProof/>
          <w:sz w:val="18"/>
          <w:szCs w:val="18"/>
        </w:rPr>
      </w:pPr>
      <w:r>
        <w:rPr>
          <w:rFonts w:ascii="Verdana" w:hAnsi="Verdana"/>
          <w:noProof/>
          <w:sz w:val="18"/>
          <w:szCs w:val="18"/>
        </w:rPr>
        <w:t>364,5 mln. EUR skirta UŠT šalims remiantis vidaus susitarimo 1 straipsnio 2 dalies a punktu ir 3 straipsnio 1 dalimi, iš jų 359,5 mln. EUR valdo Europos Komisija;</w:t>
      </w:r>
    </w:p>
    <w:p>
      <w:pPr>
        <w:pStyle w:val="ListBullet1"/>
        <w:numPr>
          <w:ilvl w:val="0"/>
          <w:numId w:val="22"/>
        </w:numPr>
        <w:rPr>
          <w:rFonts w:ascii="Verdana" w:eastAsia="Calibri" w:hAnsi="Verdana"/>
          <w:noProof/>
          <w:sz w:val="18"/>
          <w:szCs w:val="18"/>
        </w:rPr>
      </w:pPr>
      <w:r>
        <w:rPr>
          <w:rFonts w:ascii="Verdana" w:hAnsi="Verdana"/>
          <w:noProof/>
          <w:sz w:val="18"/>
          <w:szCs w:val="18"/>
        </w:rPr>
        <w:t>1 052,5 mln. EUR skirta Komisijai padengti išlaidoms, susidarančioms dėl 11-ojo EPF išteklių programavimo ir įgyvendinimo, remiantis vidaus susitarimo 1 straipsnio 2 dalies a punktu.</w:t>
      </w:r>
    </w:p>
    <w:p>
      <w:pPr>
        <w:pStyle w:val="Text9pBoldLeft"/>
      </w:pPr>
    </w:p>
    <w:p>
      <w:pPr>
        <w:pStyle w:val="ListDash"/>
        <w:numPr>
          <w:ilvl w:val="0"/>
          <w:numId w:val="0"/>
        </w:numPr>
        <w:tabs>
          <w:tab w:val="left" w:pos="720"/>
        </w:tabs>
        <w:rPr>
          <w:rFonts w:ascii="Verdana" w:hAnsi="Verdana"/>
          <w:b/>
          <w:i/>
          <w:noProof/>
          <w:sz w:val="18"/>
          <w:szCs w:val="18"/>
        </w:rPr>
      </w:pPr>
      <w:r>
        <w:rPr>
          <w:rFonts w:ascii="Verdana" w:hAnsi="Verdana"/>
          <w:b/>
          <w:i/>
          <w:noProof/>
          <w:sz w:val="18"/>
          <w:szCs w:val="18"/>
        </w:rPr>
        <w:t>Likusios lėšos nemobilizuojamuose veiklos lėšų rezervuose 2019 12 31</w:t>
      </w:r>
    </w:p>
    <w:p>
      <w:pPr>
        <w:spacing w:before="120" w:after="120"/>
        <w:jc w:val="both"/>
        <w:rPr>
          <w:rFonts w:ascii="Verdana" w:hAnsi="Verdana"/>
          <w:noProof/>
          <w:sz w:val="18"/>
          <w:szCs w:val="18"/>
        </w:rPr>
      </w:pPr>
      <w:r>
        <w:rPr>
          <w:rFonts w:ascii="Verdana" w:hAnsi="Verdana"/>
          <w:noProof/>
          <w:sz w:val="18"/>
          <w:szCs w:val="18"/>
        </w:rPr>
        <w:t>Nepanaudotos projektų sumos pagal 9-ąjį EPF ir ankstesnius EPF pervedamos į 10-ojo EPF veiklos lėšų rezervą, išskyrus „Stabex“ lėšas.</w:t>
      </w:r>
    </w:p>
    <w:p>
      <w:pPr>
        <w:spacing w:before="120" w:after="120"/>
        <w:jc w:val="both"/>
        <w:rPr>
          <w:rFonts w:ascii="Verdana" w:hAnsi="Verdana"/>
          <w:noProof/>
          <w:sz w:val="18"/>
          <w:szCs w:val="18"/>
        </w:rPr>
      </w:pPr>
      <w:r>
        <w:rPr>
          <w:rFonts w:ascii="Verdana" w:hAnsi="Verdana"/>
          <w:noProof/>
          <w:sz w:val="18"/>
          <w:szCs w:val="18"/>
        </w:rPr>
        <w:t>Nepanaudotos projektų sumos pagal 10-ąjį EPF pervedamos į 11-ojo EPF veiklos lėšų rezervą.</w:t>
      </w:r>
    </w:p>
    <w:p>
      <w:pPr>
        <w:spacing w:before="120" w:after="120"/>
        <w:jc w:val="both"/>
        <w:rPr>
          <w:rFonts w:ascii="Verdana" w:hAnsi="Verdana"/>
          <w:noProof/>
          <w:sz w:val="18"/>
          <w:szCs w:val="18"/>
        </w:rPr>
      </w:pPr>
      <w:r>
        <w:rPr>
          <w:rFonts w:ascii="Verdana" w:hAnsi="Verdana"/>
          <w:noProof/>
          <w:sz w:val="18"/>
          <w:szCs w:val="18"/>
        </w:rPr>
        <w:t xml:space="preserve">Per 2019 m. visos ankstesniųjų EPF nepanaudotos lėšos pervestos į atitinkamus rezervus. </w:t>
      </w:r>
    </w:p>
    <w:p>
      <w:pPr>
        <w:spacing w:before="120" w:after="120"/>
        <w:jc w:val="both"/>
        <w:rPr>
          <w:rFonts w:ascii="Verdana" w:hAnsi="Verdana"/>
          <w:noProof/>
          <w:sz w:val="18"/>
          <w:szCs w:val="18"/>
        </w:rPr>
      </w:pPr>
      <w:r>
        <w:rPr>
          <w:rFonts w:ascii="Verdana" w:hAnsi="Verdana"/>
          <w:noProof/>
          <w:sz w:val="18"/>
          <w:szCs w:val="18"/>
        </w:rPr>
        <w:t xml:space="preserve">Remiantis vidaus susitarimo dėl 11-ojo EPF 1 straipsnio 4 dalimi ir 2019 m. balandžio 15 d. Tarybos sprendimu (2019/640), 10-ojo EPF nepanaudotų lėšų suma, neviršijanti 445 860 000 EUR (iš jų – 14 860 000 EUR skiriama išlaidų rėmimui) skirta Afrikos taikos priemonei papildyti 2019–2020 m. </w:t>
      </w:r>
    </w:p>
    <w:p>
      <w:pPr>
        <w:spacing w:before="120" w:after="120"/>
        <w:jc w:val="both"/>
        <w:rPr>
          <w:rFonts w:ascii="Verdana" w:hAnsi="Verdana"/>
          <w:noProof/>
          <w:sz w:val="18"/>
          <w:szCs w:val="18"/>
        </w:rPr>
      </w:pPr>
    </w:p>
    <w:p>
      <w:pPr>
        <w:ind w:left="5760" w:right="140" w:firstLine="720"/>
        <w:jc w:val="center"/>
        <w:rPr>
          <w:rFonts w:ascii="Verdana" w:hAnsi="Verdana"/>
          <w:noProof/>
          <w:sz w:val="18"/>
          <w:szCs w:val="18"/>
        </w:rPr>
      </w:pPr>
      <w:r>
        <w:rPr>
          <w:rFonts w:ascii="Verdana" w:hAnsi="Verdana"/>
          <w:noProof/>
          <w:sz w:val="18"/>
          <w:szCs w:val="18"/>
        </w:rPr>
        <w:t xml:space="preserve">        mln. EUR</w:t>
      </w:r>
    </w:p>
    <w:tbl>
      <w:tblPr>
        <w:tblW w:w="8895" w:type="dxa"/>
        <w:tblInd w:w="93" w:type="dxa"/>
        <w:tblLook w:val="04A0" w:firstRow="1" w:lastRow="0" w:firstColumn="1" w:lastColumn="0" w:noHBand="0" w:noVBand="1"/>
      </w:tblPr>
      <w:tblGrid>
        <w:gridCol w:w="7335"/>
        <w:gridCol w:w="1560"/>
      </w:tblGrid>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cs="Arial"/>
                <w:noProof/>
                <w:sz w:val="18"/>
                <w:szCs w:val="18"/>
              </w:rPr>
            </w:pPr>
            <w:r>
              <w:rPr>
                <w:rFonts w:ascii="Verdana" w:hAnsi="Verdana"/>
                <w:noProof/>
                <w:sz w:val="18"/>
                <w:szCs w:val="18"/>
              </w:rPr>
              <w:t>Iš viso lėšų nemobilizuojamuose veiklos rezervuose 2019 12 31</w:t>
            </w:r>
          </w:p>
        </w:tc>
        <w:tc>
          <w:tcPr>
            <w:tcW w:w="1560"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cs="Arial"/>
                <w:noProof/>
                <w:sz w:val="18"/>
                <w:szCs w:val="18"/>
              </w:rPr>
            </w:pP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cs="Arial"/>
                <w:noProof/>
                <w:sz w:val="18"/>
                <w:szCs w:val="18"/>
              </w:rPr>
            </w:pPr>
            <w:r>
              <w:rPr>
                <w:rFonts w:ascii="Verdana" w:hAnsi="Verdana"/>
                <w:noProof/>
                <w:sz w:val="18"/>
                <w:szCs w:val="18"/>
              </w:rPr>
              <w:t>Nemobilizuojamas rezervas iš nepanaudotų 8-ojo ir 9-ojo EPF lėšų</w:t>
            </w:r>
          </w:p>
        </w:tc>
        <w:tc>
          <w:tcPr>
            <w:tcW w:w="1560"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cs="Arial"/>
                <w:noProof/>
                <w:sz w:val="18"/>
                <w:szCs w:val="18"/>
              </w:rPr>
            </w:pPr>
            <w:r>
              <w:rPr>
                <w:rFonts w:ascii="Verdana" w:hAnsi="Verdana"/>
                <w:noProof/>
                <w:sz w:val="18"/>
                <w:szCs w:val="18"/>
              </w:rPr>
              <w:t>197,3</w:t>
            </w: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cs="Arial"/>
                <w:noProof/>
                <w:sz w:val="18"/>
                <w:szCs w:val="18"/>
              </w:rPr>
            </w:pPr>
            <w:r>
              <w:rPr>
                <w:rFonts w:ascii="Verdana" w:hAnsi="Verdana"/>
                <w:noProof/>
                <w:sz w:val="18"/>
                <w:szCs w:val="18"/>
              </w:rPr>
              <w:t xml:space="preserve">Nemobilizuojamas rezervas iš nepanaudotų 10-ojo EPF lėšų </w:t>
            </w:r>
          </w:p>
        </w:tc>
        <w:tc>
          <w:tcPr>
            <w:tcW w:w="1560"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cs="Arial"/>
                <w:noProof/>
                <w:sz w:val="18"/>
                <w:szCs w:val="18"/>
              </w:rPr>
            </w:pPr>
            <w:r>
              <w:rPr>
                <w:rFonts w:ascii="Verdana" w:hAnsi="Verdana"/>
                <w:noProof/>
                <w:sz w:val="18"/>
                <w:szCs w:val="18"/>
              </w:rPr>
              <w:t>142,6</w:t>
            </w: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rPr>
                <w:rFonts w:ascii="Verdana" w:hAnsi="Verdana" w:cs="Arial"/>
                <w:b/>
                <w:noProof/>
                <w:sz w:val="18"/>
                <w:szCs w:val="18"/>
              </w:rPr>
            </w:pPr>
            <w:r>
              <w:rPr>
                <w:rFonts w:ascii="Verdana" w:hAnsi="Verdana"/>
                <w:b/>
                <w:noProof/>
                <w:sz w:val="18"/>
                <w:szCs w:val="18"/>
              </w:rPr>
              <w:t>Iš viso lėšų nemobilizuojamuose veiklos rezervuose 2019 12 31</w:t>
            </w:r>
          </w:p>
        </w:tc>
        <w:tc>
          <w:tcPr>
            <w:tcW w:w="1560" w:type="dxa"/>
            <w:tcBorders>
              <w:top w:val="single" w:sz="4" w:space="0" w:color="auto"/>
              <w:left w:val="nil"/>
              <w:bottom w:val="single" w:sz="4" w:space="0" w:color="auto"/>
              <w:right w:val="single" w:sz="4" w:space="0" w:color="auto"/>
            </w:tcBorders>
            <w:noWrap/>
            <w:vAlign w:val="bottom"/>
          </w:tcPr>
          <w:p>
            <w:pPr>
              <w:jc w:val="right"/>
              <w:rPr>
                <w:rFonts w:ascii="Verdana" w:hAnsi="Verdana" w:cs="Arial"/>
                <w:b/>
                <w:noProof/>
                <w:sz w:val="18"/>
                <w:szCs w:val="18"/>
              </w:rPr>
            </w:pPr>
            <w:r>
              <w:rPr>
                <w:rFonts w:ascii="Verdana" w:hAnsi="Verdana"/>
                <w:b/>
                <w:noProof/>
                <w:sz w:val="18"/>
                <w:szCs w:val="18"/>
              </w:rPr>
              <w:t>339,9</w:t>
            </w:r>
          </w:p>
        </w:tc>
      </w:tr>
    </w:tbl>
    <w:p>
      <w:pPr>
        <w:spacing w:before="120" w:after="120"/>
        <w:rPr>
          <w:rFonts w:ascii="Verdana" w:hAnsi="Verdana"/>
          <w:noProof/>
          <w:sz w:val="18"/>
          <w:szCs w:val="18"/>
        </w:rPr>
      </w:pPr>
    </w:p>
    <w:p>
      <w:pPr>
        <w:jc w:val="both"/>
        <w:rPr>
          <w:rFonts w:ascii="Verdana" w:hAnsi="Verdana"/>
          <w:noProof/>
          <w:sz w:val="18"/>
          <w:szCs w:val="18"/>
        </w:rPr>
      </w:pPr>
      <w:r>
        <w:rPr>
          <w:rFonts w:ascii="Verdana" w:hAnsi="Verdana"/>
          <w:noProof/>
          <w:sz w:val="18"/>
          <w:szCs w:val="18"/>
        </w:rPr>
        <w:t xml:space="preserve">Kalbant apie EPF bendrą finansavimą pagal 10-ąjį ir 11-ąjį EPF, pasirašyti pervedimo susitarimai dėl valstybių narių bendro finansavimo ir iš viso panaudota 275,2 mln. EUR. vertės įsipareigojimų asignavimų. Panaudota mokėjimų asignavimų suma iš viso sudaro 258,4 mln. EUR. </w:t>
      </w:r>
    </w:p>
    <w:p>
      <w:pPr>
        <w:rPr>
          <w:rFonts w:ascii="Verdana" w:hAnsi="Verdana"/>
          <w:noProof/>
          <w:sz w:val="18"/>
          <w:szCs w:val="18"/>
        </w:rPr>
      </w:pPr>
      <w:r>
        <w:rPr>
          <w:rFonts w:ascii="Verdana" w:hAnsi="Verdana"/>
          <w:noProof/>
          <w:sz w:val="18"/>
          <w:szCs w:val="18"/>
        </w:rPr>
        <w:t xml:space="preserve">Toliau lentelėje parodyta bendro finansavimo asignavimų padėtis 2019 12 31. </w:t>
      </w:r>
    </w:p>
    <w:p>
      <w:pPr>
        <w:ind w:left="5760" w:right="424" w:firstLine="720"/>
        <w:jc w:val="center"/>
        <w:rPr>
          <w:rFonts w:ascii="Verdana" w:hAnsi="Verdana"/>
          <w:noProof/>
          <w:sz w:val="18"/>
          <w:szCs w:val="18"/>
        </w:rPr>
      </w:pPr>
      <w:r>
        <w:rPr>
          <w:rFonts w:ascii="Verdana" w:hAnsi="Verdana"/>
          <w:noProof/>
          <w:sz w:val="18"/>
          <w:szCs w:val="18"/>
        </w:rPr>
        <w:t xml:space="preserve">          mln. EUR</w:t>
      </w:r>
    </w:p>
    <w:tbl>
      <w:tblPr>
        <w:tblW w:w="8804" w:type="dxa"/>
        <w:tblInd w:w="93" w:type="dxa"/>
        <w:tblLook w:val="04A0" w:firstRow="1" w:lastRow="0" w:firstColumn="1" w:lastColumn="0" w:noHBand="0" w:noVBand="1"/>
      </w:tblPr>
      <w:tblGrid>
        <w:gridCol w:w="3540"/>
        <w:gridCol w:w="2854"/>
        <w:gridCol w:w="2410"/>
      </w:tblGrid>
      <w:tr>
        <w:trPr>
          <w:trHeight w:val="510"/>
        </w:trPr>
        <w:tc>
          <w:tcPr>
            <w:tcW w:w="3540" w:type="dxa"/>
            <w:tcBorders>
              <w:top w:val="single" w:sz="8" w:space="0" w:color="auto"/>
              <w:left w:val="single" w:sz="4" w:space="0" w:color="000000"/>
              <w:bottom w:val="single" w:sz="4" w:space="0" w:color="000000"/>
              <w:right w:val="single" w:sz="4" w:space="0" w:color="000000"/>
            </w:tcBorders>
            <w:vAlign w:val="center"/>
          </w:tcPr>
          <w:p>
            <w:pPr>
              <w:rPr>
                <w:rFonts w:ascii="Verdana" w:hAnsi="Verdana" w:cs="Arial"/>
                <w:noProof/>
                <w:sz w:val="18"/>
                <w:szCs w:val="18"/>
              </w:rPr>
            </w:pPr>
          </w:p>
        </w:tc>
        <w:tc>
          <w:tcPr>
            <w:tcW w:w="2854" w:type="dxa"/>
            <w:tcBorders>
              <w:top w:val="single" w:sz="8" w:space="0" w:color="auto"/>
              <w:left w:val="nil"/>
              <w:bottom w:val="single" w:sz="4" w:space="0" w:color="000000"/>
              <w:right w:val="single" w:sz="4" w:space="0" w:color="000000"/>
            </w:tcBorders>
            <w:vAlign w:val="center"/>
            <w:hideMark/>
          </w:tcPr>
          <w:p>
            <w:pPr>
              <w:rPr>
                <w:rFonts w:ascii="Verdana" w:hAnsi="Verdana" w:cs="Arial"/>
                <w:noProof/>
                <w:sz w:val="18"/>
                <w:szCs w:val="18"/>
              </w:rPr>
            </w:pPr>
            <w:r>
              <w:rPr>
                <w:rFonts w:ascii="Verdana" w:hAnsi="Verdana"/>
                <w:noProof/>
                <w:sz w:val="18"/>
                <w:szCs w:val="18"/>
              </w:rPr>
              <w:t>Įsipareigojimų asignavimai</w:t>
            </w:r>
          </w:p>
        </w:tc>
        <w:tc>
          <w:tcPr>
            <w:tcW w:w="2410" w:type="dxa"/>
            <w:tcBorders>
              <w:top w:val="single" w:sz="8" w:space="0" w:color="auto"/>
              <w:left w:val="nil"/>
              <w:bottom w:val="single" w:sz="4" w:space="0" w:color="000000"/>
              <w:right w:val="single" w:sz="8" w:space="0" w:color="auto"/>
            </w:tcBorders>
            <w:vAlign w:val="center"/>
            <w:hideMark/>
          </w:tcPr>
          <w:p>
            <w:pPr>
              <w:rPr>
                <w:rFonts w:ascii="Verdana" w:hAnsi="Verdana" w:cs="Arial"/>
                <w:noProof/>
                <w:sz w:val="18"/>
                <w:szCs w:val="18"/>
              </w:rPr>
            </w:pPr>
            <w:r>
              <w:rPr>
                <w:rFonts w:ascii="Verdana" w:hAnsi="Verdana"/>
                <w:noProof/>
                <w:sz w:val="18"/>
                <w:szCs w:val="18"/>
              </w:rPr>
              <w:t>Mokėjimų asignavimai</w:t>
            </w:r>
          </w:p>
        </w:tc>
      </w:tr>
      <w:tr>
        <w:trPr>
          <w:trHeight w:val="255"/>
        </w:trPr>
        <w:tc>
          <w:tcPr>
            <w:tcW w:w="3540" w:type="dxa"/>
            <w:tcBorders>
              <w:top w:val="nil"/>
              <w:left w:val="single" w:sz="4" w:space="0" w:color="000000"/>
              <w:bottom w:val="single" w:sz="4" w:space="0" w:color="000000"/>
              <w:right w:val="single" w:sz="4" w:space="0" w:color="000000"/>
            </w:tcBorders>
            <w:noWrap/>
            <w:vAlign w:val="center"/>
            <w:hideMark/>
          </w:tcPr>
          <w:p>
            <w:pPr>
              <w:rPr>
                <w:rFonts w:ascii="Verdana" w:hAnsi="Verdana" w:cs="Arial"/>
                <w:noProof/>
                <w:sz w:val="18"/>
                <w:szCs w:val="18"/>
              </w:rPr>
            </w:pPr>
            <w:r>
              <w:rPr>
                <w:rFonts w:ascii="Verdana" w:hAnsi="Verdana"/>
                <w:noProof/>
                <w:sz w:val="18"/>
                <w:szCs w:val="18"/>
              </w:rPr>
              <w:t>Bendras finansavimas, A paketas</w:t>
            </w:r>
          </w:p>
        </w:tc>
        <w:tc>
          <w:tcPr>
            <w:tcW w:w="2854" w:type="dxa"/>
            <w:tcBorders>
              <w:top w:val="nil"/>
              <w:left w:val="nil"/>
              <w:bottom w:val="single" w:sz="4" w:space="0" w:color="000000"/>
              <w:right w:val="single" w:sz="4" w:space="0" w:color="000000"/>
            </w:tcBorders>
            <w:noWrap/>
            <w:vAlign w:val="center"/>
            <w:hideMark/>
          </w:tcPr>
          <w:p>
            <w:pPr>
              <w:jc w:val="right"/>
              <w:rPr>
                <w:rFonts w:ascii="Verdana" w:hAnsi="Verdana" w:cs="Arial"/>
                <w:noProof/>
                <w:sz w:val="18"/>
                <w:szCs w:val="18"/>
              </w:rPr>
            </w:pPr>
            <w:r>
              <w:rPr>
                <w:rFonts w:ascii="Verdana" w:hAnsi="Verdana"/>
                <w:noProof/>
                <w:sz w:val="18"/>
                <w:szCs w:val="18"/>
              </w:rPr>
              <w:t>230,8</w:t>
            </w:r>
          </w:p>
        </w:tc>
        <w:tc>
          <w:tcPr>
            <w:tcW w:w="2410" w:type="dxa"/>
            <w:tcBorders>
              <w:top w:val="nil"/>
              <w:left w:val="nil"/>
              <w:bottom w:val="single" w:sz="4" w:space="0" w:color="000000"/>
              <w:right w:val="single" w:sz="8" w:space="0" w:color="auto"/>
            </w:tcBorders>
            <w:noWrap/>
            <w:vAlign w:val="center"/>
            <w:hideMark/>
          </w:tcPr>
          <w:p>
            <w:pPr>
              <w:jc w:val="right"/>
              <w:rPr>
                <w:rFonts w:ascii="Verdana" w:hAnsi="Verdana" w:cs="Arial"/>
                <w:noProof/>
                <w:sz w:val="18"/>
                <w:szCs w:val="18"/>
              </w:rPr>
            </w:pPr>
            <w:r>
              <w:rPr>
                <w:rFonts w:ascii="Verdana" w:hAnsi="Verdana"/>
                <w:noProof/>
                <w:sz w:val="18"/>
                <w:szCs w:val="18"/>
              </w:rPr>
              <w:t>214,4</w:t>
            </w:r>
          </w:p>
        </w:tc>
      </w:tr>
      <w:tr>
        <w:trPr>
          <w:trHeight w:val="255"/>
        </w:trPr>
        <w:tc>
          <w:tcPr>
            <w:tcW w:w="3540" w:type="dxa"/>
            <w:tcBorders>
              <w:top w:val="nil"/>
              <w:left w:val="single" w:sz="4" w:space="0" w:color="000000"/>
              <w:bottom w:val="single" w:sz="4" w:space="0" w:color="000000"/>
              <w:right w:val="single" w:sz="4" w:space="0" w:color="000000"/>
            </w:tcBorders>
            <w:noWrap/>
            <w:vAlign w:val="center"/>
            <w:hideMark/>
          </w:tcPr>
          <w:p>
            <w:pPr>
              <w:rPr>
                <w:rFonts w:ascii="Verdana" w:hAnsi="Verdana" w:cs="Arial"/>
                <w:noProof/>
                <w:sz w:val="18"/>
                <w:szCs w:val="18"/>
              </w:rPr>
            </w:pPr>
            <w:r>
              <w:rPr>
                <w:rFonts w:ascii="Verdana" w:hAnsi="Verdana"/>
                <w:noProof/>
                <w:sz w:val="18"/>
                <w:szCs w:val="18"/>
              </w:rPr>
              <w:t>Bendras finansavimas, AKR vidaus projektai</w:t>
            </w:r>
          </w:p>
        </w:tc>
        <w:tc>
          <w:tcPr>
            <w:tcW w:w="2854" w:type="dxa"/>
            <w:tcBorders>
              <w:top w:val="nil"/>
              <w:left w:val="nil"/>
              <w:bottom w:val="single" w:sz="4" w:space="0" w:color="000000"/>
              <w:right w:val="single" w:sz="4" w:space="0" w:color="000000"/>
            </w:tcBorders>
            <w:noWrap/>
            <w:vAlign w:val="center"/>
            <w:hideMark/>
          </w:tcPr>
          <w:p>
            <w:pPr>
              <w:jc w:val="right"/>
              <w:rPr>
                <w:rFonts w:ascii="Verdana" w:hAnsi="Verdana" w:cs="Arial"/>
                <w:noProof/>
                <w:sz w:val="18"/>
                <w:szCs w:val="18"/>
              </w:rPr>
            </w:pPr>
            <w:r>
              <w:rPr>
                <w:rFonts w:ascii="Verdana" w:hAnsi="Verdana"/>
                <w:noProof/>
                <w:sz w:val="18"/>
                <w:szCs w:val="18"/>
              </w:rPr>
              <w:t>36,2</w:t>
            </w:r>
          </w:p>
        </w:tc>
        <w:tc>
          <w:tcPr>
            <w:tcW w:w="2410" w:type="dxa"/>
            <w:tcBorders>
              <w:top w:val="nil"/>
              <w:left w:val="nil"/>
              <w:bottom w:val="single" w:sz="4" w:space="0" w:color="000000"/>
              <w:right w:val="single" w:sz="8" w:space="0" w:color="auto"/>
            </w:tcBorders>
            <w:noWrap/>
            <w:vAlign w:val="center"/>
            <w:hideMark/>
          </w:tcPr>
          <w:p>
            <w:pPr>
              <w:jc w:val="right"/>
              <w:rPr>
                <w:rFonts w:ascii="Verdana" w:hAnsi="Verdana" w:cs="Arial"/>
                <w:noProof/>
                <w:sz w:val="18"/>
                <w:szCs w:val="18"/>
              </w:rPr>
            </w:pPr>
            <w:r>
              <w:rPr>
                <w:rFonts w:ascii="Verdana" w:hAnsi="Verdana"/>
                <w:noProof/>
                <w:sz w:val="18"/>
                <w:szCs w:val="18"/>
              </w:rPr>
              <w:t>36,2</w:t>
            </w:r>
          </w:p>
        </w:tc>
      </w:tr>
      <w:tr>
        <w:trPr>
          <w:trHeight w:val="467"/>
        </w:trPr>
        <w:tc>
          <w:tcPr>
            <w:tcW w:w="3540" w:type="dxa"/>
            <w:tcBorders>
              <w:top w:val="nil"/>
              <w:left w:val="single" w:sz="4" w:space="0" w:color="000000"/>
              <w:bottom w:val="single" w:sz="8" w:space="0" w:color="auto"/>
              <w:right w:val="single" w:sz="4" w:space="0" w:color="000000"/>
            </w:tcBorders>
            <w:noWrap/>
            <w:vAlign w:val="center"/>
            <w:hideMark/>
          </w:tcPr>
          <w:p>
            <w:pPr>
              <w:rPr>
                <w:rFonts w:ascii="Verdana" w:hAnsi="Verdana" w:cs="Arial"/>
                <w:noProof/>
                <w:sz w:val="18"/>
                <w:szCs w:val="18"/>
              </w:rPr>
            </w:pPr>
            <w:r>
              <w:rPr>
                <w:rFonts w:ascii="Verdana" w:hAnsi="Verdana"/>
                <w:noProof/>
                <w:sz w:val="18"/>
                <w:szCs w:val="18"/>
              </w:rPr>
              <w:t>Bendras finansavimas, administracinės išlaidos</w:t>
            </w:r>
          </w:p>
        </w:tc>
        <w:tc>
          <w:tcPr>
            <w:tcW w:w="2854" w:type="dxa"/>
            <w:tcBorders>
              <w:top w:val="nil"/>
              <w:left w:val="nil"/>
              <w:bottom w:val="single" w:sz="8" w:space="0" w:color="auto"/>
              <w:right w:val="single" w:sz="4" w:space="0" w:color="000000"/>
            </w:tcBorders>
            <w:noWrap/>
            <w:vAlign w:val="center"/>
            <w:hideMark/>
          </w:tcPr>
          <w:p>
            <w:pPr>
              <w:jc w:val="right"/>
              <w:rPr>
                <w:rFonts w:ascii="Verdana" w:hAnsi="Verdana" w:cs="Arial"/>
                <w:noProof/>
                <w:sz w:val="18"/>
                <w:szCs w:val="18"/>
              </w:rPr>
            </w:pPr>
            <w:r>
              <w:rPr>
                <w:rFonts w:ascii="Verdana" w:hAnsi="Verdana"/>
                <w:noProof/>
                <w:sz w:val="18"/>
                <w:szCs w:val="18"/>
              </w:rPr>
              <w:t>8,3</w:t>
            </w:r>
          </w:p>
          <w:p>
            <w:pPr>
              <w:jc w:val="right"/>
              <w:rPr>
                <w:rFonts w:ascii="Verdana" w:hAnsi="Verdana" w:cs="Arial"/>
                <w:noProof/>
                <w:sz w:val="18"/>
                <w:szCs w:val="18"/>
              </w:rPr>
            </w:pPr>
          </w:p>
        </w:tc>
        <w:tc>
          <w:tcPr>
            <w:tcW w:w="2410" w:type="dxa"/>
            <w:tcBorders>
              <w:top w:val="nil"/>
              <w:left w:val="nil"/>
              <w:bottom w:val="single" w:sz="8" w:space="0" w:color="auto"/>
              <w:right w:val="single" w:sz="8" w:space="0" w:color="auto"/>
            </w:tcBorders>
            <w:noWrap/>
            <w:vAlign w:val="center"/>
            <w:hideMark/>
          </w:tcPr>
          <w:p>
            <w:pPr>
              <w:jc w:val="right"/>
              <w:rPr>
                <w:rFonts w:ascii="Verdana" w:hAnsi="Verdana" w:cs="Arial"/>
                <w:noProof/>
                <w:sz w:val="18"/>
                <w:szCs w:val="18"/>
              </w:rPr>
            </w:pPr>
            <w:r>
              <w:rPr>
                <w:rFonts w:ascii="Verdana" w:hAnsi="Verdana"/>
                <w:noProof/>
                <w:sz w:val="18"/>
                <w:szCs w:val="18"/>
              </w:rPr>
              <w:t>7,8</w:t>
            </w:r>
          </w:p>
        </w:tc>
      </w:tr>
      <w:tr>
        <w:trPr>
          <w:trHeight w:val="270"/>
        </w:trPr>
        <w:tc>
          <w:tcPr>
            <w:tcW w:w="3540" w:type="dxa"/>
            <w:noWrap/>
            <w:vAlign w:val="bottom"/>
          </w:tcPr>
          <w:p>
            <w:pPr>
              <w:rPr>
                <w:rFonts w:ascii="Verdana" w:hAnsi="Verdana" w:cs="Arial"/>
                <w:noProof/>
                <w:sz w:val="18"/>
                <w:szCs w:val="18"/>
              </w:rPr>
            </w:pPr>
          </w:p>
        </w:tc>
        <w:tc>
          <w:tcPr>
            <w:tcW w:w="2854" w:type="dxa"/>
            <w:tcBorders>
              <w:top w:val="nil"/>
              <w:left w:val="single" w:sz="8" w:space="0" w:color="auto"/>
              <w:bottom w:val="single" w:sz="8" w:space="0" w:color="auto"/>
              <w:right w:val="single" w:sz="4" w:space="0" w:color="auto"/>
            </w:tcBorders>
            <w:noWrap/>
            <w:vAlign w:val="bottom"/>
            <w:hideMark/>
          </w:tcPr>
          <w:p>
            <w:pPr>
              <w:jc w:val="right"/>
              <w:rPr>
                <w:rFonts w:ascii="Verdana" w:hAnsi="Verdana" w:cs="Arial"/>
                <w:b/>
                <w:bCs/>
                <w:noProof/>
                <w:sz w:val="18"/>
                <w:szCs w:val="18"/>
              </w:rPr>
            </w:pPr>
            <w:r>
              <w:rPr>
                <w:rFonts w:ascii="Verdana" w:hAnsi="Verdana"/>
                <w:b/>
                <w:bCs/>
                <w:noProof/>
                <w:sz w:val="18"/>
                <w:szCs w:val="18"/>
              </w:rPr>
              <w:t>275,2</w:t>
            </w:r>
          </w:p>
        </w:tc>
        <w:tc>
          <w:tcPr>
            <w:tcW w:w="2410" w:type="dxa"/>
            <w:tcBorders>
              <w:top w:val="nil"/>
              <w:left w:val="nil"/>
              <w:bottom w:val="single" w:sz="8" w:space="0" w:color="auto"/>
              <w:right w:val="single" w:sz="8" w:space="0" w:color="auto"/>
            </w:tcBorders>
            <w:noWrap/>
            <w:vAlign w:val="bottom"/>
            <w:hideMark/>
          </w:tcPr>
          <w:p>
            <w:pPr>
              <w:jc w:val="right"/>
              <w:rPr>
                <w:rFonts w:ascii="Verdana" w:hAnsi="Verdana" w:cs="Arial"/>
                <w:b/>
                <w:noProof/>
                <w:sz w:val="18"/>
                <w:szCs w:val="18"/>
              </w:rPr>
            </w:pPr>
            <w:r>
              <w:rPr>
                <w:rFonts w:ascii="Verdana" w:hAnsi="Verdana"/>
                <w:b/>
                <w:noProof/>
                <w:sz w:val="18"/>
                <w:szCs w:val="18"/>
              </w:rPr>
              <w:t>258,4</w:t>
            </w:r>
          </w:p>
        </w:tc>
      </w:tr>
    </w:tbl>
    <w:p>
      <w:pPr>
        <w:rPr>
          <w:rFonts w:ascii="Verdana" w:hAnsi="Verdana"/>
          <w:noProof/>
          <w:sz w:val="18"/>
          <w:szCs w:val="18"/>
        </w:rPr>
      </w:pPr>
    </w:p>
    <w:p>
      <w:pPr>
        <w:rPr>
          <w:noProof/>
        </w:rPr>
      </w:pPr>
      <w:r>
        <w:rPr>
          <w:rFonts w:ascii="Verdana" w:hAnsi="Verdana"/>
          <w:noProof/>
          <w:sz w:val="18"/>
          <w:szCs w:val="18"/>
        </w:rPr>
        <w:t xml:space="preserve">Toliau pateikiamose lentelėse nurodomos </w:t>
      </w:r>
      <w:r>
        <w:rPr>
          <w:rFonts w:ascii="Verdana" w:hAnsi="Verdana"/>
          <w:noProof/>
          <w:sz w:val="18"/>
          <w:szCs w:val="18"/>
          <w:u w:val="single"/>
        </w:rPr>
        <w:t>grynosios sumos</w:t>
      </w:r>
      <w:r>
        <w:rPr>
          <w:rFonts w:ascii="Verdana" w:hAnsi="Verdana"/>
          <w:noProof/>
          <w:sz w:val="18"/>
          <w:szCs w:val="18"/>
        </w:rPr>
        <w:t>, susijusios su sumomis, kurios buvo patvirtintos, dėl kurių sudarytos sutartys ir kurios buvo išmokėtos.</w:t>
      </w:r>
      <w:r>
        <w:rPr>
          <w:rFonts w:ascii="Verdana" w:hAnsi="Verdana"/>
          <w:noProof/>
          <w:sz w:val="18"/>
          <w:szCs w:val="18"/>
          <w:u w:val="single"/>
        </w:rPr>
        <w:t xml:space="preserve"> </w:t>
      </w:r>
      <w:r>
        <w:rPr>
          <w:rFonts w:ascii="Verdana" w:hAnsi="Verdana"/>
          <w:noProof/>
          <w:sz w:val="18"/>
          <w:szCs w:val="18"/>
          <w:u w:val="single"/>
        </w:rPr>
        <w:br/>
      </w:r>
      <w:r>
        <w:rPr>
          <w:rFonts w:ascii="Verdana" w:hAnsi="Verdana"/>
          <w:noProof/>
          <w:sz w:val="18"/>
          <w:szCs w:val="18"/>
        </w:rPr>
        <w:t>Priede pateikiamose lentelėse nurodyta informacija pagal priemones.</w:t>
      </w:r>
    </w:p>
    <w:bookmarkEnd w:id="135"/>
    <w:p>
      <w:pPr>
        <w:pStyle w:val="HEADER2Part1"/>
        <w:numPr>
          <w:ilvl w:val="0"/>
          <w:numId w:val="0"/>
        </w:numPr>
        <w:rPr>
          <w:noProof/>
          <w:color w:val="auto"/>
          <w:sz w:val="18"/>
          <w:szCs w:val="18"/>
          <w:lang w:eastAsia="en-US"/>
        </w:rPr>
        <w:sectPr>
          <w:headerReference w:type="even" r:id="rId317"/>
          <w:headerReference w:type="default" r:id="rId318"/>
          <w:footerReference w:type="even" r:id="rId319"/>
          <w:footerReference w:type="default" r:id="rId320"/>
          <w:headerReference w:type="first" r:id="rId321"/>
          <w:footerReference w:type="first" r:id="rId322"/>
          <w:pgSz w:w="11906" w:h="16838" w:code="9"/>
          <w:pgMar w:top="1440" w:right="1134" w:bottom="1440" w:left="1134" w:header="709" w:footer="709" w:gutter="0"/>
          <w:cols w:space="708"/>
          <w:docGrid w:linePitch="360"/>
        </w:sectPr>
      </w:pPr>
    </w:p>
    <w:p>
      <w:pPr>
        <w:rPr>
          <w:noProof/>
          <w:sz w:val="16"/>
          <w:szCs w:val="16"/>
        </w:rPr>
      </w:pPr>
      <w:bookmarkStart w:id="138" w:name="_DMBM_19006"/>
      <w:r>
        <w:rPr>
          <w:noProof/>
          <w:sz w:val="16"/>
          <w:szCs w:val="16"/>
        </w:rPr>
        <w:t>1.1 lentelė</w:t>
      </w:r>
      <w:r>
        <w:rPr>
          <w:noProof/>
          <w:sz w:val="16"/>
          <w:szCs w:val="16"/>
        </w:rPr>
        <w:tab/>
      </w:r>
    </w:p>
    <w:p>
      <w:pPr>
        <w:jc w:val="center"/>
        <w:rPr>
          <w:rFonts w:ascii="Arial" w:hAnsi="Arial" w:cs="Arial"/>
          <w:b/>
          <w:bCs/>
          <w:noProof/>
          <w:color w:val="000000"/>
          <w:sz w:val="14"/>
          <w:szCs w:val="14"/>
        </w:rPr>
      </w:pPr>
      <w:r>
        <w:rPr>
          <w:rFonts w:ascii="Arial" w:hAnsi="Arial"/>
          <w:b/>
          <w:bCs/>
          <w:noProof/>
          <w:color w:val="000000"/>
          <w:sz w:val="14"/>
          <w:szCs w:val="14"/>
        </w:rPr>
        <w:t>8-asis EPF</w:t>
      </w:r>
      <w:r>
        <w:rPr>
          <w:rFonts w:ascii="Arial" w:hAnsi="Arial"/>
          <w:b/>
          <w:bCs/>
          <w:noProof/>
          <w:color w:val="000000"/>
          <w:sz w:val="14"/>
          <w:szCs w:val="14"/>
        </w:rPr>
        <w:br/>
        <w:t>ASIGNAVIMŲ POKYČIAI  2019 m. gruodžio 31 d.</w:t>
      </w:r>
      <w:r>
        <w:rPr>
          <w:rFonts w:ascii="Arial" w:hAnsi="Arial"/>
          <w:b/>
          <w:bCs/>
          <w:noProof/>
          <w:color w:val="000000"/>
          <w:sz w:val="14"/>
          <w:szCs w:val="14"/>
        </w:rPr>
        <w:br/>
        <w:t>ASIGNAVIMŲ ANALIZĖ PAGAL PRIEMONES</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4901"/>
        <w:gridCol w:w="2132"/>
        <w:gridCol w:w="2132"/>
        <w:gridCol w:w="2132"/>
        <w:gridCol w:w="754"/>
        <w:gridCol w:w="1982"/>
      </w:tblGrid>
      <w:tr>
        <w:trPr>
          <w:trHeight w:hRule="exact" w:val="272"/>
        </w:trPr>
        <w:tc>
          <w:tcPr>
            <w:tcW w:w="486"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bookmarkStart w:id="139" w:name="DOC_TBL00057_1_1"/>
            <w:bookmarkEnd w:id="139"/>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754"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jc w:val="right"/>
              <w:rPr>
                <w:rFonts w:ascii="Arial" w:eastAsia="Arial" w:hAnsi="Arial" w:cs="Arial"/>
                <w:noProof/>
                <w:color w:val="000000"/>
                <w:sz w:val="14"/>
              </w:rPr>
            </w:pPr>
            <w:r>
              <w:rPr>
                <w:rFonts w:ascii="Arial" w:hAnsi="Arial"/>
                <w:noProof/>
                <w:color w:val="000000"/>
                <w:sz w:val="14"/>
              </w:rPr>
              <w:t>(mln. EUR)</w:t>
            </w:r>
          </w:p>
        </w:tc>
      </w:tr>
      <w:tr>
        <w:trPr>
          <w:trHeight w:hRule="exact" w:val="731"/>
        </w:trPr>
        <w:tc>
          <w:tcPr>
            <w:tcW w:w="486"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b/>
                <w:noProof/>
                <w:color w:val="000000"/>
                <w:sz w:val="14"/>
              </w:rPr>
            </w:pPr>
            <w:r>
              <w:rPr>
                <w:rFonts w:ascii="Arial" w:hAnsi="Arial"/>
                <w:b/>
                <w:noProof/>
                <w:color w:val="000000"/>
                <w:sz w:val="14"/>
              </w:rPr>
              <w:t>PRIEMONĖ</w:t>
            </w:r>
          </w:p>
        </w:tc>
        <w:tc>
          <w:tcPr>
            <w:tcW w:w="2132"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b/>
                <w:noProof/>
                <w:color w:val="000000"/>
                <w:sz w:val="14"/>
              </w:rPr>
            </w:pPr>
            <w:r>
              <w:rPr>
                <w:rFonts w:ascii="Arial" w:hAnsi="Arial"/>
                <w:b/>
                <w:noProof/>
                <w:color w:val="000000"/>
                <w:sz w:val="14"/>
              </w:rPr>
              <w:t>PRADINIS ASIGNAVIMAS</w:t>
            </w:r>
          </w:p>
        </w:tc>
        <w:tc>
          <w:tcPr>
            <w:tcW w:w="2132"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b/>
                <w:noProof/>
                <w:color w:val="000000"/>
                <w:sz w:val="14"/>
              </w:rPr>
            </w:pPr>
            <w:r>
              <w:rPr>
                <w:rFonts w:ascii="Arial" w:hAnsi="Arial"/>
                <w:b/>
                <w:noProof/>
                <w:color w:val="000000"/>
                <w:sz w:val="14"/>
              </w:rPr>
              <w:t>SUKAUPTŲ IŠTEKLIŲ PADIDĖJIMAS / SUMAŽĖJIMAS 2018 M. GRUODŽIO 31 D.</w:t>
            </w:r>
          </w:p>
        </w:tc>
        <w:tc>
          <w:tcPr>
            <w:tcW w:w="2132"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b/>
                <w:noProof/>
                <w:color w:val="000000"/>
                <w:sz w:val="14"/>
              </w:rPr>
            </w:pPr>
            <w:r>
              <w:rPr>
                <w:rFonts w:ascii="Arial" w:hAnsi="Arial"/>
                <w:b/>
                <w:noProof/>
                <w:color w:val="000000"/>
                <w:sz w:val="14"/>
              </w:rPr>
              <w:t>IŠTEKLIŲ PADIDĖJIMAS ARBA SUMAŽĖJIMAS 2019 M.</w:t>
            </w:r>
          </w:p>
        </w:tc>
        <w:tc>
          <w:tcPr>
            <w:tcW w:w="754"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rPr>
                <w:rFonts w:ascii="Arial" w:eastAsia="Arial" w:hAnsi="Arial" w:cs="Arial"/>
                <w:b/>
                <w:noProof/>
                <w:color w:val="000000"/>
                <w:sz w:val="14"/>
              </w:rPr>
            </w:pPr>
            <w:r>
              <w:rPr>
                <w:rFonts w:ascii="Arial" w:hAnsi="Arial"/>
                <w:b/>
                <w:noProof/>
                <w:color w:val="000000"/>
                <w:sz w:val="14"/>
              </w:rPr>
              <w:t>Pastabos</w:t>
            </w:r>
          </w:p>
        </w:tc>
        <w:tc>
          <w:tcPr>
            <w:tcW w:w="1982"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b/>
                <w:noProof/>
                <w:color w:val="000000"/>
                <w:sz w:val="14"/>
              </w:rPr>
            </w:pPr>
            <w:r>
              <w:rPr>
                <w:rFonts w:ascii="Arial" w:hAnsi="Arial"/>
                <w:b/>
                <w:noProof/>
                <w:color w:val="000000"/>
                <w:sz w:val="14"/>
              </w:rPr>
              <w:t>DABARTINIS ASIGNAVIMŲ LYGIS</w:t>
            </w:r>
          </w:p>
        </w:tc>
      </w:tr>
      <w:tr>
        <w:trPr>
          <w:trHeight w:hRule="exact" w:val="208"/>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noProof/>
                <w:color w:val="FFFFFF"/>
                <w:sz w:val="14"/>
              </w:rPr>
            </w:pPr>
          </w:p>
        </w:tc>
        <w:tc>
          <w:tcPr>
            <w:tcW w:w="490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r>
              <w:rPr>
                <w:rFonts w:ascii="Arial" w:hAnsi="Arial"/>
                <w:b/>
                <w:noProof/>
                <w:color w:val="000000"/>
                <w:sz w:val="14"/>
              </w:rPr>
              <w:t>Lomė</w:t>
            </w: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754"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198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lang w:bidi="en-GB"/>
              </w:rPr>
            </w:pPr>
          </w:p>
        </w:tc>
      </w:tr>
      <w:tr>
        <w:trPr>
          <w:trHeight w:hRule="exact" w:val="208"/>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noProof/>
                <w:color w:val="FFFFFF"/>
                <w:sz w:val="14"/>
              </w:rPr>
            </w:pPr>
          </w:p>
        </w:tc>
        <w:tc>
          <w:tcPr>
            <w:tcW w:w="490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i/>
                <w:noProof/>
                <w:color w:val="000000"/>
                <w:sz w:val="14"/>
              </w:rPr>
            </w:pPr>
            <w:r>
              <w:rPr>
                <w:rFonts w:ascii="Arial" w:hAnsi="Arial"/>
                <w:b/>
                <w:i/>
                <w:noProof/>
                <w:color w:val="000000"/>
                <w:sz w:val="14"/>
              </w:rPr>
              <w:t>Įprasti VN įnašai</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hAnsi="Arial"/>
                <w:b/>
                <w:i/>
                <w:noProof/>
                <w:color w:val="000000"/>
                <w:sz w:val="14"/>
              </w:rPr>
              <w:t>–</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hAnsi="Arial"/>
                <w:b/>
                <w:i/>
                <w:noProof/>
                <w:color w:val="000000"/>
                <w:sz w:val="14"/>
              </w:rPr>
              <w:t>47</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p>
        </w:tc>
        <w:tc>
          <w:tcPr>
            <w:tcW w:w="754"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i/>
                <w:noProof/>
                <w:color w:val="000000"/>
                <w:sz w:val="14"/>
              </w:rPr>
            </w:pPr>
          </w:p>
        </w:tc>
        <w:tc>
          <w:tcPr>
            <w:tcW w:w="1982"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hAnsi="Arial"/>
                <w:b/>
                <w:i/>
                <w:noProof/>
                <w:color w:val="000000"/>
                <w:sz w:val="14"/>
              </w:rPr>
              <w:t>47</w:t>
            </w:r>
          </w:p>
        </w:tc>
      </w:tr>
      <w:tr>
        <w:trPr>
          <w:trHeight w:hRule="exact" w:val="208"/>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r>
              <w:rPr>
                <w:rFonts w:ascii="Arial" w:hAnsi="Arial"/>
                <w:noProof/>
                <w:color w:val="000000"/>
                <w:sz w:val="14"/>
              </w:rPr>
              <w:t>AKR</w:t>
            </w: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Struktūrinis koregavimas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18</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18</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Iš viso orientacinėms programoms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29</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29</w:t>
            </w:r>
          </w:p>
        </w:tc>
      </w:tr>
      <w:tr>
        <w:trPr>
          <w:trHeight w:hRule="exact" w:val="57"/>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FFFFFF"/>
                <w:sz w:val="14"/>
              </w:rPr>
            </w:pPr>
            <w:r>
              <w:rPr>
                <w:rFonts w:ascii="Arial" w:hAnsi="Arial"/>
                <w:noProof/>
                <w:color w:val="FFFFFF"/>
                <w:sz w:val="14"/>
              </w:rPr>
              <w:t>AKR</w:t>
            </w:r>
          </w:p>
        </w:tc>
        <w:tc>
          <w:tcPr>
            <w:tcW w:w="490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jc w:val="right"/>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75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198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lang w:bidi="en-GB"/>
              </w:rPr>
            </w:pPr>
          </w:p>
        </w:tc>
      </w:tr>
      <w:tr>
        <w:trPr>
          <w:trHeight w:hRule="exact" w:val="208"/>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490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rPr>
                <w:rFonts w:ascii="Arial" w:eastAsia="Arial" w:hAnsi="Arial" w:cs="Arial"/>
                <w:b/>
                <w:noProof/>
                <w:color w:val="FFFFFF"/>
                <w:sz w:val="16"/>
              </w:rPr>
            </w:pPr>
            <w:r>
              <w:rPr>
                <w:rFonts w:ascii="Arial" w:hAnsi="Arial"/>
                <w:b/>
                <w:noProof/>
                <w:color w:val="FFFFFF"/>
                <w:sz w:val="16"/>
              </w:rPr>
              <w:t>TARPINĖ SUMA. AKR</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hAnsi="Arial"/>
                <w:b/>
                <w:noProof/>
                <w:color w:val="FFFFFF"/>
                <w:sz w:val="16"/>
              </w:rPr>
              <w:t>–</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hAnsi="Arial"/>
                <w:b/>
                <w:noProof/>
                <w:color w:val="FFFFFF"/>
                <w:sz w:val="16"/>
              </w:rPr>
              <w:t>47</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p>
        </w:tc>
        <w:tc>
          <w:tcPr>
            <w:tcW w:w="75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1"/>
              <w:rPr>
                <w:rFonts w:ascii="Arial" w:eastAsia="Arial" w:hAnsi="Arial" w:cs="Arial"/>
                <w:b/>
                <w:noProof/>
                <w:color w:val="FFFFFF"/>
                <w:sz w:val="16"/>
              </w:rPr>
            </w:pPr>
          </w:p>
        </w:tc>
        <w:tc>
          <w:tcPr>
            <w:tcW w:w="1982"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hAnsi="Arial"/>
                <w:b/>
                <w:noProof/>
                <w:color w:val="FFFFFF"/>
                <w:sz w:val="16"/>
              </w:rPr>
              <w:t>47</w:t>
            </w:r>
          </w:p>
        </w:tc>
      </w:tr>
      <w:tr>
        <w:trPr>
          <w:trHeight w:hRule="exact" w:val="105"/>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490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754"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198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lang w:bidi="en-GB"/>
              </w:rPr>
            </w:pPr>
          </w:p>
        </w:tc>
      </w:tr>
      <w:tr>
        <w:trPr>
          <w:trHeight w:hRule="exact" w:val="208"/>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noProof/>
                <w:color w:val="FFFFFF"/>
                <w:sz w:val="14"/>
              </w:rPr>
            </w:pPr>
          </w:p>
        </w:tc>
        <w:tc>
          <w:tcPr>
            <w:tcW w:w="490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r>
              <w:rPr>
                <w:rFonts w:ascii="Arial" w:hAnsi="Arial"/>
                <w:b/>
                <w:noProof/>
                <w:color w:val="000000"/>
                <w:sz w:val="14"/>
              </w:rPr>
              <w:t>Lomė</w:t>
            </w: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754"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198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lang w:bidi="en-GB"/>
              </w:rPr>
            </w:pPr>
          </w:p>
        </w:tc>
      </w:tr>
      <w:tr>
        <w:trPr>
          <w:trHeight w:hRule="exact" w:val="208"/>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noProof/>
                <w:color w:val="FFFFFF"/>
                <w:sz w:val="14"/>
              </w:rPr>
            </w:pPr>
          </w:p>
        </w:tc>
        <w:tc>
          <w:tcPr>
            <w:tcW w:w="490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i/>
                <w:noProof/>
                <w:color w:val="000000"/>
                <w:sz w:val="14"/>
              </w:rPr>
            </w:pPr>
            <w:r>
              <w:rPr>
                <w:rFonts w:ascii="Arial" w:hAnsi="Arial"/>
                <w:b/>
                <w:i/>
                <w:noProof/>
                <w:color w:val="000000"/>
                <w:sz w:val="14"/>
              </w:rPr>
              <w:t>Įprasti VN įnašai</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hAnsi="Arial"/>
                <w:b/>
                <w:i/>
                <w:noProof/>
                <w:color w:val="000000"/>
                <w:sz w:val="14"/>
              </w:rPr>
              <w:t>12 967</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FF0000"/>
                <w:sz w:val="14"/>
              </w:rPr>
            </w:pPr>
            <w:r>
              <w:rPr>
                <w:rFonts w:ascii="Arial" w:hAnsi="Arial"/>
                <w:b/>
                <w:i/>
                <w:noProof/>
                <w:color w:val="FF0000"/>
                <w:sz w:val="14"/>
              </w:rPr>
              <w:t>(3 332)</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FF0000"/>
                <w:sz w:val="14"/>
              </w:rPr>
            </w:pPr>
            <w:r>
              <w:rPr>
                <w:rFonts w:ascii="Arial" w:hAnsi="Arial"/>
                <w:b/>
                <w:i/>
                <w:noProof/>
                <w:color w:val="FF0000"/>
                <w:sz w:val="14"/>
              </w:rPr>
              <w:t>(1)</w:t>
            </w:r>
          </w:p>
        </w:tc>
        <w:tc>
          <w:tcPr>
            <w:tcW w:w="754"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i/>
                <w:noProof/>
                <w:color w:val="000000"/>
                <w:sz w:val="14"/>
              </w:rPr>
            </w:pPr>
            <w:r>
              <w:rPr>
                <w:rFonts w:ascii="Arial" w:hAnsi="Arial"/>
                <w:b/>
                <w:i/>
                <w:noProof/>
                <w:color w:val="000000"/>
                <w:sz w:val="14"/>
              </w:rPr>
              <w:t>*1</w:t>
            </w:r>
          </w:p>
        </w:tc>
        <w:tc>
          <w:tcPr>
            <w:tcW w:w="1982"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hAnsi="Arial"/>
                <w:b/>
                <w:i/>
                <w:noProof/>
                <w:color w:val="000000"/>
                <w:sz w:val="14"/>
              </w:rPr>
              <w:t>9 635</w:t>
            </w:r>
          </w:p>
        </w:tc>
      </w:tr>
      <w:tr>
        <w:trPr>
          <w:trHeight w:hRule="exact" w:val="208"/>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r>
              <w:rPr>
                <w:rFonts w:ascii="Arial" w:hAnsi="Arial"/>
                <w:noProof/>
                <w:color w:val="000000"/>
                <w:sz w:val="14"/>
              </w:rPr>
              <w:t xml:space="preserve">AKR </w:t>
            </w: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Pagalba pabėgėliams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120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FF0000"/>
                <w:sz w:val="14"/>
              </w:rPr>
            </w:pPr>
            <w:r>
              <w:rPr>
                <w:rFonts w:ascii="Arial" w:hAnsi="Arial"/>
                <w:noProof/>
                <w:color w:val="FF0000"/>
                <w:sz w:val="14"/>
              </w:rPr>
              <w:t>(20)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100</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Neatidėliotina pagalba (Lomė)</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140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FF0000"/>
                <w:sz w:val="14"/>
              </w:rPr>
            </w:pPr>
            <w:r>
              <w:rPr>
                <w:rFonts w:ascii="Arial" w:hAnsi="Arial"/>
                <w:noProof/>
                <w:color w:val="FF0000"/>
                <w:sz w:val="14"/>
              </w:rPr>
              <w:t>(4)</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136</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Labai įsiskolinusios neturtingos šalys (Lomė)</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1 060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1 060</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Palūkanų subsidijos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370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FF0000"/>
                <w:sz w:val="14"/>
              </w:rPr>
            </w:pPr>
            <w:r>
              <w:rPr>
                <w:rFonts w:ascii="Arial" w:hAnsi="Arial"/>
                <w:noProof/>
                <w:color w:val="FF0000"/>
                <w:sz w:val="14"/>
              </w:rPr>
              <w:t>(301)</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69</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Rizikos kapitalas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1 000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12</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1 012</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„Stabex“</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1 800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FF0000"/>
                <w:sz w:val="14"/>
              </w:rPr>
            </w:pPr>
            <w:r>
              <w:rPr>
                <w:rFonts w:ascii="Arial" w:hAnsi="Arial"/>
                <w:noProof/>
                <w:color w:val="FF0000"/>
                <w:sz w:val="14"/>
              </w:rPr>
              <w:t>(1 077)</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723</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Struktūrinis koregavimas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1 400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79</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FF0000"/>
                <w:sz w:val="14"/>
              </w:rPr>
            </w:pPr>
            <w:r>
              <w:rPr>
                <w:rFonts w:ascii="Arial" w:hAnsi="Arial"/>
                <w:noProof/>
                <w:color w:val="FF0000"/>
                <w:sz w:val="14"/>
              </w:rPr>
              <w:t>–</w:t>
            </w: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1 479</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„Sysmin“</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575</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FF0000"/>
                <w:sz w:val="14"/>
              </w:rPr>
            </w:pPr>
            <w:r>
              <w:rPr>
                <w:rFonts w:ascii="Arial" w:hAnsi="Arial"/>
                <w:noProof/>
                <w:color w:val="FF0000"/>
                <w:sz w:val="14"/>
              </w:rPr>
              <w:t>(474)</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101</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Iš viso orientacinėms programoms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7 562</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FF0000"/>
                <w:sz w:val="14"/>
              </w:rPr>
            </w:pPr>
            <w:r>
              <w:rPr>
                <w:rFonts w:ascii="Arial" w:hAnsi="Arial"/>
                <w:noProof/>
                <w:color w:val="FF0000"/>
                <w:sz w:val="14"/>
              </w:rPr>
              <w:t>(2 640)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FF0000"/>
                <w:sz w:val="14"/>
              </w:rPr>
            </w:pPr>
            <w:r>
              <w:rPr>
                <w:rFonts w:ascii="Arial" w:hAnsi="Arial"/>
                <w:noProof/>
                <w:color w:val="FF0000"/>
                <w:sz w:val="14"/>
              </w:rPr>
              <w:t>(1)</w:t>
            </w: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4 921</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Pajamų iš palūkanų panaudojimas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35</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35</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r>
              <w:rPr>
                <w:rFonts w:ascii="Arial" w:hAnsi="Arial"/>
                <w:b/>
                <w:noProof/>
                <w:color w:val="000000"/>
                <w:sz w:val="14"/>
              </w:rPr>
              <w:t>Kotonu</w:t>
            </w: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754"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198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lang w:bidi="en-GB"/>
              </w:rPr>
            </w:pP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i/>
                <w:noProof/>
                <w:color w:val="000000"/>
                <w:sz w:val="14"/>
              </w:rPr>
            </w:pPr>
            <w:r>
              <w:rPr>
                <w:rFonts w:ascii="Arial" w:hAnsi="Arial"/>
                <w:b/>
                <w:i/>
                <w:noProof/>
                <w:color w:val="000000"/>
                <w:sz w:val="14"/>
              </w:rPr>
              <w:t>Įprasti VN įnašai</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hAnsi="Arial"/>
                <w:b/>
                <w:i/>
                <w:noProof/>
                <w:color w:val="000000"/>
                <w:sz w:val="14"/>
              </w:rPr>
              <w:t>–</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hAnsi="Arial"/>
                <w:b/>
                <w:i/>
                <w:noProof/>
                <w:color w:val="000000"/>
                <w:sz w:val="14"/>
              </w:rPr>
              <w:t>650</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p>
        </w:tc>
        <w:tc>
          <w:tcPr>
            <w:tcW w:w="754"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i/>
                <w:noProof/>
                <w:color w:val="000000"/>
                <w:sz w:val="14"/>
              </w:rPr>
            </w:pPr>
          </w:p>
        </w:tc>
        <w:tc>
          <w:tcPr>
            <w:tcW w:w="1982"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hAnsi="Arial"/>
                <w:b/>
                <w:i/>
                <w:noProof/>
                <w:color w:val="000000"/>
                <w:sz w:val="14"/>
              </w:rPr>
              <w:t>650</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A paketas. Nacionaliniai asignavimai</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417</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417</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B paketas. Nacionaliniai asignavimai</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233</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233</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Palūkanos ir kitos pajamos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r>
      <w:tr>
        <w:trPr>
          <w:trHeight w:hRule="exact" w:val="57"/>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FFFFFF"/>
                <w:sz w:val="14"/>
              </w:rPr>
            </w:pPr>
            <w:r>
              <w:rPr>
                <w:rFonts w:ascii="Arial" w:hAnsi="Arial"/>
                <w:noProof/>
                <w:color w:val="FFFFFF"/>
                <w:sz w:val="14"/>
              </w:rPr>
              <w:t xml:space="preserve">AKR </w:t>
            </w:r>
          </w:p>
        </w:tc>
        <w:tc>
          <w:tcPr>
            <w:tcW w:w="490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jc w:val="right"/>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75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198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lang w:bidi="en-GB"/>
              </w:rPr>
            </w:pPr>
          </w:p>
        </w:tc>
      </w:tr>
      <w:tr>
        <w:trPr>
          <w:trHeight w:hRule="exact" w:val="208"/>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490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rPr>
                <w:rFonts w:ascii="Arial" w:eastAsia="Arial" w:hAnsi="Arial" w:cs="Arial"/>
                <w:b/>
                <w:noProof/>
                <w:color w:val="FFFFFF"/>
                <w:sz w:val="16"/>
              </w:rPr>
            </w:pPr>
            <w:r>
              <w:rPr>
                <w:rFonts w:ascii="Arial" w:hAnsi="Arial"/>
                <w:b/>
                <w:noProof/>
                <w:color w:val="FFFFFF"/>
                <w:sz w:val="16"/>
              </w:rPr>
              <w:t xml:space="preserve">TARPINĖ SUMA. AKR </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hAnsi="Arial"/>
                <w:b/>
                <w:noProof/>
                <w:color w:val="FFFFFF"/>
                <w:sz w:val="16"/>
              </w:rPr>
              <w:t>12 967</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0000"/>
                <w:sz w:val="16"/>
              </w:rPr>
            </w:pPr>
            <w:r>
              <w:rPr>
                <w:rFonts w:ascii="Arial" w:hAnsi="Arial"/>
                <w:b/>
                <w:noProof/>
                <w:color w:val="FF0000"/>
                <w:sz w:val="16"/>
              </w:rPr>
              <w:t>(2 681)</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0000"/>
                <w:sz w:val="16"/>
              </w:rPr>
            </w:pPr>
            <w:r>
              <w:rPr>
                <w:rFonts w:ascii="Arial" w:hAnsi="Arial"/>
                <w:b/>
                <w:noProof/>
                <w:color w:val="FF0000"/>
                <w:sz w:val="16"/>
              </w:rPr>
              <w:t>(1)</w:t>
            </w:r>
          </w:p>
        </w:tc>
        <w:tc>
          <w:tcPr>
            <w:tcW w:w="75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1"/>
              <w:rPr>
                <w:rFonts w:ascii="Arial" w:eastAsia="Arial" w:hAnsi="Arial" w:cs="Arial"/>
                <w:b/>
                <w:noProof/>
                <w:color w:val="FFFFFF"/>
                <w:sz w:val="16"/>
              </w:rPr>
            </w:pPr>
            <w:r>
              <w:rPr>
                <w:rFonts w:ascii="Arial" w:hAnsi="Arial"/>
                <w:b/>
                <w:noProof/>
                <w:color w:val="FFFFFF"/>
                <w:sz w:val="16"/>
              </w:rPr>
              <w:t>*1</w:t>
            </w:r>
          </w:p>
        </w:tc>
        <w:tc>
          <w:tcPr>
            <w:tcW w:w="1982"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hAnsi="Arial"/>
                <w:b/>
                <w:noProof/>
                <w:color w:val="FFFFFF"/>
                <w:sz w:val="16"/>
              </w:rPr>
              <w:t>10 285</w:t>
            </w:r>
          </w:p>
        </w:tc>
      </w:tr>
      <w:tr>
        <w:trPr>
          <w:trHeight w:hRule="exact" w:val="105"/>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490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754"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198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lang w:bidi="en-GB"/>
              </w:rPr>
            </w:pPr>
          </w:p>
        </w:tc>
      </w:tr>
      <w:tr>
        <w:trPr>
          <w:trHeight w:hRule="exact" w:val="208"/>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noProof/>
                <w:color w:val="FFFFFF"/>
                <w:sz w:val="14"/>
              </w:rPr>
            </w:pPr>
          </w:p>
        </w:tc>
        <w:tc>
          <w:tcPr>
            <w:tcW w:w="490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r>
              <w:rPr>
                <w:rFonts w:ascii="Arial" w:hAnsi="Arial"/>
                <w:b/>
                <w:noProof/>
                <w:color w:val="000000"/>
                <w:sz w:val="14"/>
              </w:rPr>
              <w:t>Lomė</w:t>
            </w: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754"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198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lang w:bidi="en-GB"/>
              </w:rPr>
            </w:pPr>
          </w:p>
        </w:tc>
      </w:tr>
      <w:tr>
        <w:trPr>
          <w:trHeight w:hRule="exact" w:val="208"/>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noProof/>
                <w:color w:val="FFFFFF"/>
                <w:sz w:val="14"/>
              </w:rPr>
            </w:pPr>
          </w:p>
        </w:tc>
        <w:tc>
          <w:tcPr>
            <w:tcW w:w="490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i/>
                <w:noProof/>
                <w:color w:val="000000"/>
                <w:sz w:val="14"/>
              </w:rPr>
            </w:pPr>
            <w:r>
              <w:rPr>
                <w:rFonts w:ascii="Arial" w:hAnsi="Arial"/>
                <w:b/>
                <w:i/>
                <w:noProof/>
                <w:color w:val="000000"/>
                <w:sz w:val="14"/>
              </w:rPr>
              <w:t>Įprasti VN įnašai</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hAnsi="Arial"/>
                <w:b/>
                <w:i/>
                <w:noProof/>
                <w:color w:val="000000"/>
                <w:sz w:val="14"/>
              </w:rPr>
              <w:t>–</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hAnsi="Arial"/>
                <w:b/>
                <w:i/>
                <w:noProof/>
                <w:color w:val="000000"/>
                <w:sz w:val="14"/>
              </w:rPr>
              <w:t>46</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p>
        </w:tc>
        <w:tc>
          <w:tcPr>
            <w:tcW w:w="754"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i/>
                <w:noProof/>
                <w:color w:val="000000"/>
                <w:sz w:val="14"/>
              </w:rPr>
            </w:pPr>
          </w:p>
        </w:tc>
        <w:tc>
          <w:tcPr>
            <w:tcW w:w="1982"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hAnsi="Arial"/>
                <w:b/>
                <w:i/>
                <w:noProof/>
                <w:color w:val="000000"/>
                <w:sz w:val="14"/>
              </w:rPr>
              <w:t>46</w:t>
            </w:r>
          </w:p>
        </w:tc>
      </w:tr>
      <w:tr>
        <w:trPr>
          <w:trHeight w:hRule="exact" w:val="208"/>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r>
              <w:rPr>
                <w:rFonts w:ascii="Arial" w:hAnsi="Arial"/>
                <w:noProof/>
                <w:color w:val="000000"/>
                <w:sz w:val="14"/>
              </w:rPr>
              <w:t>UŠT</w:t>
            </w: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Palūkanų subsidijos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Rizikos kapitalas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6</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6</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„Stabex“</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„Sysmin“</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2</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2</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Iš viso orientacinėms programoms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35</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35</w:t>
            </w:r>
          </w:p>
        </w:tc>
      </w:tr>
      <w:tr>
        <w:trPr>
          <w:trHeight w:hRule="exact" w:val="57"/>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FFFFFF"/>
                <w:sz w:val="14"/>
              </w:rPr>
            </w:pPr>
            <w:r>
              <w:rPr>
                <w:rFonts w:ascii="Arial" w:hAnsi="Arial"/>
                <w:noProof/>
                <w:color w:val="FFFFFF"/>
                <w:sz w:val="14"/>
              </w:rPr>
              <w:t>UŠT</w:t>
            </w:r>
          </w:p>
        </w:tc>
        <w:tc>
          <w:tcPr>
            <w:tcW w:w="490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jc w:val="right"/>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75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198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lang w:bidi="en-GB"/>
              </w:rPr>
            </w:pPr>
          </w:p>
        </w:tc>
      </w:tr>
      <w:tr>
        <w:trPr>
          <w:trHeight w:hRule="exact" w:val="208"/>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490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rPr>
                <w:rFonts w:ascii="Arial" w:eastAsia="Arial" w:hAnsi="Arial" w:cs="Arial"/>
                <w:b/>
                <w:noProof/>
                <w:color w:val="FFFFFF"/>
                <w:sz w:val="16"/>
              </w:rPr>
            </w:pPr>
            <w:r>
              <w:rPr>
                <w:rFonts w:ascii="Arial" w:hAnsi="Arial"/>
                <w:b/>
                <w:noProof/>
                <w:color w:val="FFFFFF"/>
                <w:sz w:val="16"/>
              </w:rPr>
              <w:t>TARPINĖ SUMA. UŠT</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hAnsi="Arial"/>
                <w:b/>
                <w:noProof/>
                <w:color w:val="FFFFFF"/>
                <w:sz w:val="16"/>
              </w:rPr>
              <w:t>–</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hAnsi="Arial"/>
                <w:b/>
                <w:noProof/>
                <w:color w:val="FFFFFF"/>
                <w:sz w:val="16"/>
              </w:rPr>
              <w:t>46</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p>
        </w:tc>
        <w:tc>
          <w:tcPr>
            <w:tcW w:w="75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1"/>
              <w:rPr>
                <w:rFonts w:ascii="Arial" w:eastAsia="Arial" w:hAnsi="Arial" w:cs="Arial"/>
                <w:b/>
                <w:noProof/>
                <w:color w:val="FFFFFF"/>
                <w:sz w:val="16"/>
              </w:rPr>
            </w:pPr>
          </w:p>
        </w:tc>
        <w:tc>
          <w:tcPr>
            <w:tcW w:w="1982"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hAnsi="Arial"/>
                <w:b/>
                <w:noProof/>
                <w:color w:val="FFFFFF"/>
                <w:sz w:val="16"/>
              </w:rPr>
              <w:t>46</w:t>
            </w:r>
          </w:p>
        </w:tc>
      </w:tr>
      <w:tr>
        <w:trPr>
          <w:trHeight w:hRule="exact" w:val="105"/>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490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754"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198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lang w:bidi="en-GB"/>
              </w:rPr>
            </w:pPr>
          </w:p>
        </w:tc>
      </w:tr>
      <w:tr>
        <w:trPr>
          <w:trHeight w:hRule="exact" w:val="208"/>
        </w:trPr>
        <w:tc>
          <w:tcPr>
            <w:tcW w:w="486"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9004BIPTable11"/>
              <w:rPr>
                <w:rFonts w:ascii="Arial" w:eastAsia="Arial" w:hAnsi="Arial" w:cs="Arial"/>
                <w:noProof/>
                <w:color w:val="000000"/>
                <w:sz w:val="14"/>
              </w:rPr>
            </w:pPr>
          </w:p>
        </w:tc>
        <w:tc>
          <w:tcPr>
            <w:tcW w:w="4901"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1"/>
              <w:rPr>
                <w:rFonts w:ascii="Arial" w:eastAsia="Arial" w:hAnsi="Arial" w:cs="Arial"/>
                <w:b/>
                <w:noProof/>
                <w:color w:val="FFFFFF"/>
                <w:sz w:val="16"/>
              </w:rPr>
            </w:pPr>
            <w:r>
              <w:rPr>
                <w:rFonts w:ascii="Arial" w:hAnsi="Arial"/>
                <w:b/>
                <w:noProof/>
                <w:color w:val="FFFFFF"/>
                <w:sz w:val="16"/>
              </w:rPr>
              <w:t>IŠ VISO. 8-asis EPF</w:t>
            </w:r>
          </w:p>
        </w:tc>
        <w:tc>
          <w:tcPr>
            <w:tcW w:w="2132"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hAnsi="Arial"/>
                <w:b/>
                <w:noProof/>
                <w:color w:val="FFFFFF"/>
                <w:sz w:val="16"/>
              </w:rPr>
              <w:t>12 967</w:t>
            </w:r>
          </w:p>
        </w:tc>
        <w:tc>
          <w:tcPr>
            <w:tcW w:w="2132"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1"/>
              <w:jc w:val="right"/>
              <w:rPr>
                <w:rFonts w:ascii="Arial" w:eastAsia="Arial" w:hAnsi="Arial" w:cs="Arial"/>
                <w:b/>
                <w:noProof/>
                <w:color w:val="FF0000"/>
                <w:sz w:val="16"/>
              </w:rPr>
            </w:pPr>
            <w:r>
              <w:rPr>
                <w:rFonts w:ascii="Arial" w:hAnsi="Arial"/>
                <w:b/>
                <w:noProof/>
                <w:color w:val="FF0000"/>
                <w:sz w:val="16"/>
              </w:rPr>
              <w:t>(2 588)</w:t>
            </w:r>
          </w:p>
        </w:tc>
        <w:tc>
          <w:tcPr>
            <w:tcW w:w="2132"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1"/>
              <w:jc w:val="right"/>
              <w:rPr>
                <w:rFonts w:ascii="Arial" w:eastAsia="Arial" w:hAnsi="Arial" w:cs="Arial"/>
                <w:b/>
                <w:noProof/>
                <w:color w:val="FF0000"/>
                <w:sz w:val="16"/>
              </w:rPr>
            </w:pPr>
            <w:r>
              <w:rPr>
                <w:rFonts w:ascii="Arial" w:hAnsi="Arial"/>
                <w:b/>
                <w:noProof/>
                <w:color w:val="FF0000"/>
                <w:sz w:val="16"/>
              </w:rPr>
              <w:t>(1)</w:t>
            </w:r>
          </w:p>
        </w:tc>
        <w:tc>
          <w:tcPr>
            <w:tcW w:w="754"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11"/>
              <w:rPr>
                <w:rFonts w:ascii="Arial" w:eastAsia="Arial" w:hAnsi="Arial" w:cs="Arial"/>
                <w:noProof/>
                <w:color w:val="FFFFFF"/>
                <w:sz w:val="14"/>
              </w:rPr>
            </w:pPr>
            <w:r>
              <w:rPr>
                <w:rFonts w:ascii="Arial" w:hAnsi="Arial"/>
                <w:noProof/>
                <w:color w:val="FFFFFF"/>
                <w:sz w:val="14"/>
              </w:rPr>
              <w:t>*1</w:t>
            </w:r>
          </w:p>
        </w:tc>
        <w:tc>
          <w:tcPr>
            <w:tcW w:w="1982"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hAnsi="Arial"/>
                <w:b/>
                <w:noProof/>
                <w:color w:val="FFFFFF"/>
                <w:sz w:val="16"/>
              </w:rPr>
              <w:t>10 378</w:t>
            </w:r>
          </w:p>
        </w:tc>
      </w:tr>
    </w:tbl>
    <w:p>
      <w:pPr>
        <w:rPr>
          <w:rFonts w:ascii="Arial" w:hAnsi="Arial" w:cs="Arial"/>
          <w:noProof/>
          <w:color w:val="000000"/>
          <w:sz w:val="14"/>
          <w:szCs w:val="14"/>
        </w:rPr>
      </w:pPr>
      <w:r>
        <w:rPr>
          <w:rFonts w:ascii="Arial" w:hAnsi="Arial"/>
          <w:noProof/>
          <w:color w:val="000000"/>
          <w:sz w:val="14"/>
          <w:szCs w:val="14"/>
        </w:rPr>
        <w:t>*1 Visi sumažėjimai yra nepanaudotos lėšos, pervestos į 10-ojo EPF nemobilizuojamą veiklos lėšų rezervą.</w:t>
      </w:r>
    </w:p>
    <w:p>
      <w:pPr>
        <w:jc w:val="center"/>
        <w:rPr>
          <w:rFonts w:ascii="Arial" w:hAnsi="Arial" w:cs="Arial"/>
          <w:b/>
          <w:bCs/>
          <w:noProof/>
          <w:color w:val="000000"/>
          <w:sz w:val="14"/>
          <w:szCs w:val="14"/>
        </w:rPr>
      </w:pPr>
    </w:p>
    <w:p>
      <w:pPr>
        <w:jc w:val="center"/>
        <w:rPr>
          <w:rFonts w:ascii="Arial" w:hAnsi="Arial" w:cs="Arial"/>
          <w:b/>
          <w:bCs/>
          <w:noProof/>
          <w:color w:val="000000"/>
          <w:sz w:val="14"/>
          <w:szCs w:val="14"/>
        </w:rPr>
      </w:pPr>
    </w:p>
    <w:p>
      <w:pPr>
        <w:jc w:val="center"/>
        <w:rPr>
          <w:rFonts w:ascii="Arial" w:hAnsi="Arial" w:cs="Arial"/>
          <w:b/>
          <w:bCs/>
          <w:noProof/>
          <w:color w:val="000000"/>
          <w:sz w:val="14"/>
          <w:szCs w:val="14"/>
        </w:rPr>
        <w:sectPr>
          <w:headerReference w:type="even" r:id="rId323"/>
          <w:headerReference w:type="default" r:id="rId324"/>
          <w:footerReference w:type="even" r:id="rId325"/>
          <w:footerReference w:type="default" r:id="rId326"/>
          <w:headerReference w:type="first" r:id="rId327"/>
          <w:footerReference w:type="first" r:id="rId328"/>
          <w:pgSz w:w="16840" w:h="11907" w:orient="landscape" w:code="9"/>
          <w:pgMar w:top="1134" w:right="1134" w:bottom="1134" w:left="1134" w:header="709" w:footer="709" w:gutter="0"/>
          <w:cols w:space="708"/>
          <w:docGrid w:linePitch="360"/>
        </w:sectPr>
      </w:pPr>
    </w:p>
    <w:p>
      <w:pPr>
        <w:rPr>
          <w:noProof/>
          <w:sz w:val="16"/>
          <w:szCs w:val="16"/>
        </w:rPr>
      </w:pPr>
      <w:r>
        <w:rPr>
          <w:noProof/>
          <w:sz w:val="16"/>
          <w:szCs w:val="16"/>
        </w:rPr>
        <w:t>1.2 lentelė</w:t>
      </w:r>
    </w:p>
    <w:p>
      <w:pPr>
        <w:jc w:val="center"/>
        <w:rPr>
          <w:rFonts w:ascii="Arial" w:hAnsi="Arial" w:cs="Arial"/>
          <w:b/>
          <w:bCs/>
          <w:noProof/>
          <w:color w:val="000000"/>
          <w:sz w:val="16"/>
          <w:szCs w:val="16"/>
        </w:rPr>
      </w:pPr>
      <w:r>
        <w:rPr>
          <w:rFonts w:ascii="Arial" w:hAnsi="Arial"/>
          <w:b/>
          <w:bCs/>
          <w:noProof/>
          <w:color w:val="000000"/>
          <w:sz w:val="16"/>
          <w:szCs w:val="16"/>
        </w:rPr>
        <w:t>9-sis EPF</w:t>
      </w:r>
    </w:p>
    <w:p>
      <w:pPr>
        <w:jc w:val="center"/>
        <w:rPr>
          <w:rFonts w:ascii="Arial" w:hAnsi="Arial" w:cs="Arial"/>
          <w:b/>
          <w:bCs/>
          <w:noProof/>
          <w:color w:val="000000"/>
          <w:sz w:val="16"/>
          <w:szCs w:val="16"/>
        </w:rPr>
      </w:pPr>
      <w:r>
        <w:rPr>
          <w:rFonts w:ascii="Arial" w:hAnsi="Arial"/>
          <w:b/>
          <w:bCs/>
          <w:noProof/>
          <w:color w:val="000000"/>
          <w:sz w:val="16"/>
          <w:szCs w:val="16"/>
        </w:rPr>
        <w:t>ASIGNAVIMŲ POKYČIAI  2019 m. gruodžio 31 d.</w:t>
      </w:r>
    </w:p>
    <w:p>
      <w:pPr>
        <w:jc w:val="center"/>
        <w:rPr>
          <w:rFonts w:ascii="Arial" w:hAnsi="Arial" w:cs="Arial"/>
          <w:b/>
          <w:bCs/>
          <w:noProof/>
          <w:color w:val="000000"/>
          <w:sz w:val="16"/>
          <w:szCs w:val="16"/>
        </w:rPr>
      </w:pPr>
      <w:r>
        <w:rPr>
          <w:rFonts w:ascii="Arial" w:hAnsi="Arial"/>
          <w:b/>
          <w:bCs/>
          <w:noProof/>
          <w:color w:val="000000"/>
          <w:sz w:val="16"/>
          <w:szCs w:val="16"/>
        </w:rPr>
        <w:t>ASIGNAVIMŲ ANALIZĖ PAGAL PRIEMONES</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4911"/>
        <w:gridCol w:w="2136"/>
        <w:gridCol w:w="2136"/>
        <w:gridCol w:w="2136"/>
        <w:gridCol w:w="756"/>
        <w:gridCol w:w="2105"/>
      </w:tblGrid>
      <w:tr>
        <w:trPr>
          <w:trHeight w:hRule="exact" w:val="133"/>
        </w:trPr>
        <w:tc>
          <w:tcPr>
            <w:tcW w:w="481"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bookmarkStart w:id="140" w:name="DOC_TBL00058_1_1"/>
            <w:bookmarkEnd w:id="140"/>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jc w:val="right"/>
              <w:rPr>
                <w:rFonts w:ascii="Arial" w:eastAsia="Arial" w:hAnsi="Arial" w:cs="Arial"/>
                <w:noProof/>
                <w:color w:val="000000"/>
                <w:sz w:val="14"/>
              </w:rPr>
            </w:pPr>
            <w:r>
              <w:rPr>
                <w:rFonts w:ascii="Arial" w:hAnsi="Arial"/>
                <w:noProof/>
                <w:color w:val="000000"/>
                <w:sz w:val="14"/>
              </w:rPr>
              <w:t>(mln. EUR)</w:t>
            </w:r>
          </w:p>
        </w:tc>
      </w:tr>
      <w:tr>
        <w:trPr>
          <w:trHeight w:hRule="exact" w:val="844"/>
        </w:trPr>
        <w:tc>
          <w:tcPr>
            <w:tcW w:w="481"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b/>
                <w:noProof/>
                <w:color w:val="000000"/>
                <w:sz w:val="14"/>
              </w:rPr>
            </w:pPr>
            <w:r>
              <w:rPr>
                <w:rFonts w:ascii="Arial" w:hAnsi="Arial"/>
                <w:b/>
                <w:noProof/>
                <w:color w:val="000000"/>
                <w:sz w:val="14"/>
              </w:rPr>
              <w:t>PRIEMONĖ</w:t>
            </w:r>
          </w:p>
        </w:tc>
        <w:tc>
          <w:tcPr>
            <w:tcW w:w="213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b/>
                <w:noProof/>
                <w:color w:val="000000"/>
                <w:sz w:val="14"/>
              </w:rPr>
            </w:pPr>
            <w:r>
              <w:rPr>
                <w:rFonts w:ascii="Arial" w:hAnsi="Arial"/>
                <w:b/>
                <w:noProof/>
                <w:color w:val="000000"/>
                <w:sz w:val="14"/>
              </w:rPr>
              <w:t>PRADINIS ASIGNAVIMAS</w:t>
            </w:r>
          </w:p>
        </w:tc>
        <w:tc>
          <w:tcPr>
            <w:tcW w:w="213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b/>
                <w:noProof/>
                <w:color w:val="000000"/>
                <w:sz w:val="14"/>
              </w:rPr>
            </w:pPr>
            <w:r>
              <w:rPr>
                <w:rFonts w:ascii="Arial" w:hAnsi="Arial"/>
                <w:b/>
                <w:noProof/>
                <w:color w:val="000000"/>
                <w:sz w:val="14"/>
              </w:rPr>
              <w:t>SUKAUPTŲ IŠTEKLIŲ PADIDĖJIMAS / SUMAŽĖJIMAS 2018 M. GRUODŽIO 31 D.</w:t>
            </w:r>
          </w:p>
        </w:tc>
        <w:tc>
          <w:tcPr>
            <w:tcW w:w="213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b/>
                <w:noProof/>
                <w:color w:val="000000"/>
                <w:sz w:val="14"/>
              </w:rPr>
            </w:pPr>
            <w:r>
              <w:rPr>
                <w:rFonts w:ascii="Arial" w:hAnsi="Arial"/>
                <w:b/>
                <w:noProof/>
                <w:color w:val="000000"/>
                <w:sz w:val="14"/>
              </w:rPr>
              <w:t>IŠTEKLIŲ PADIDĖJIMAS ARBA SUMAŽĖJIMAS 2019 M.</w:t>
            </w:r>
          </w:p>
        </w:tc>
        <w:tc>
          <w:tcPr>
            <w:tcW w:w="75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b/>
                <w:noProof/>
                <w:color w:val="000000"/>
                <w:sz w:val="14"/>
              </w:rPr>
            </w:pPr>
            <w:r>
              <w:rPr>
                <w:rFonts w:ascii="Arial" w:hAnsi="Arial"/>
                <w:b/>
                <w:noProof/>
                <w:color w:val="000000"/>
                <w:sz w:val="14"/>
              </w:rPr>
              <w:t>Pastabos</w:t>
            </w:r>
          </w:p>
        </w:tc>
        <w:tc>
          <w:tcPr>
            <w:tcW w:w="210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b/>
                <w:noProof/>
                <w:color w:val="000000"/>
                <w:sz w:val="14"/>
              </w:rPr>
            </w:pPr>
            <w:r>
              <w:rPr>
                <w:rFonts w:ascii="Arial" w:hAnsi="Arial"/>
                <w:b/>
                <w:noProof/>
                <w:color w:val="000000"/>
                <w:sz w:val="14"/>
              </w:rPr>
              <w:t>DABARTINIS ASIGNAVIMŲ LYGIS</w:t>
            </w:r>
          </w:p>
        </w:tc>
      </w:tr>
      <w:tr>
        <w:trPr>
          <w:trHeight w:hRule="exact" w:val="170"/>
        </w:trPr>
        <w:tc>
          <w:tcPr>
            <w:tcW w:w="481"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noProof/>
                <w:color w:val="FFFFFF"/>
                <w:sz w:val="14"/>
              </w:rPr>
            </w:pPr>
          </w:p>
        </w:tc>
        <w:tc>
          <w:tcPr>
            <w:tcW w:w="491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r>
              <w:rPr>
                <w:rFonts w:ascii="Arial" w:hAnsi="Arial"/>
                <w:b/>
                <w:noProof/>
                <w:color w:val="000000"/>
                <w:sz w:val="14"/>
              </w:rPr>
              <w:t>Lomė</w:t>
            </w: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75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0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lang w:bidi="en-GB"/>
              </w:rPr>
            </w:pPr>
          </w:p>
        </w:tc>
      </w:tr>
      <w:tr>
        <w:trPr>
          <w:trHeight w:hRule="exact" w:val="219"/>
        </w:trPr>
        <w:tc>
          <w:tcPr>
            <w:tcW w:w="481"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noProof/>
                <w:color w:val="FFFFFF"/>
                <w:sz w:val="14"/>
              </w:rPr>
            </w:pPr>
          </w:p>
        </w:tc>
        <w:tc>
          <w:tcPr>
            <w:tcW w:w="491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hAnsi="Arial"/>
                <w:b/>
                <w:i/>
                <w:noProof/>
                <w:color w:val="000000"/>
                <w:sz w:val="14"/>
              </w:rPr>
              <w:t>Įprasti VN įnašai</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p>
        </w:tc>
        <w:tc>
          <w:tcPr>
            <w:tcW w:w="75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p>
        </w:tc>
        <w:tc>
          <w:tcPr>
            <w:tcW w:w="2105"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w:t>
            </w:r>
          </w:p>
        </w:tc>
      </w:tr>
      <w:tr>
        <w:trPr>
          <w:trHeight w:hRule="exact" w:val="170"/>
        </w:trPr>
        <w:tc>
          <w:tcPr>
            <w:tcW w:w="481"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r>
              <w:rPr>
                <w:rFonts w:ascii="Arial" w:hAnsi="Arial"/>
                <w:noProof/>
                <w:color w:val="000000"/>
                <w:sz w:val="14"/>
              </w:rPr>
              <w:t>AKR</w:t>
            </w: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Iš 7-ojo EPF perkeltos sumos. Lomė</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r>
              <w:rPr>
                <w:rFonts w:ascii="Arial" w:hAnsi="Arial"/>
                <w:b/>
                <w:noProof/>
                <w:color w:val="000000"/>
                <w:sz w:val="14"/>
              </w:rPr>
              <w:t>Kotonu</w:t>
            </w: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75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0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hAnsi="Arial"/>
                <w:b/>
                <w:i/>
                <w:noProof/>
                <w:color w:val="000000"/>
                <w:sz w:val="14"/>
              </w:rPr>
              <w:t>Įprasti VN įnašai</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50</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p>
        </w:tc>
        <w:tc>
          <w:tcPr>
            <w:tcW w:w="75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p>
        </w:tc>
        <w:tc>
          <w:tcPr>
            <w:tcW w:w="2105"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50</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A paketas. Nacionaliniai asignavimai</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44</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44</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B paketas. Nacionaliniai asignavimai</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6</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6</w:t>
            </w:r>
          </w:p>
        </w:tc>
      </w:tr>
      <w:tr>
        <w:trPr>
          <w:trHeight w:hRule="exact" w:val="57"/>
        </w:trPr>
        <w:tc>
          <w:tcPr>
            <w:tcW w:w="481"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FFFFFF"/>
                <w:sz w:val="14"/>
              </w:rPr>
            </w:pPr>
            <w:r>
              <w:rPr>
                <w:rFonts w:ascii="Arial" w:hAnsi="Arial"/>
                <w:noProof/>
                <w:color w:val="FFFFFF"/>
                <w:sz w:val="14"/>
              </w:rPr>
              <w:t>AKR</w:t>
            </w:r>
          </w:p>
        </w:tc>
        <w:tc>
          <w:tcPr>
            <w:tcW w:w="491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jc w:val="right"/>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75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0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lang w:bidi="en-GB"/>
              </w:rPr>
            </w:pPr>
          </w:p>
        </w:tc>
      </w:tr>
      <w:tr>
        <w:trPr>
          <w:trHeight w:hRule="exact" w:val="170"/>
        </w:trPr>
        <w:tc>
          <w:tcPr>
            <w:tcW w:w="481"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491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rPr>
                <w:rFonts w:ascii="Arial" w:eastAsia="Arial" w:hAnsi="Arial" w:cs="Arial"/>
                <w:b/>
                <w:noProof/>
                <w:color w:val="FFFFFF"/>
                <w:sz w:val="16"/>
              </w:rPr>
            </w:pPr>
            <w:r>
              <w:rPr>
                <w:rFonts w:ascii="Arial" w:hAnsi="Arial"/>
                <w:b/>
                <w:noProof/>
                <w:color w:val="FFFFFF"/>
                <w:sz w:val="16"/>
              </w:rPr>
              <w:t>TARPINĖ SUMA. AKR</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hAnsi="Arial"/>
                <w:b/>
                <w:noProof/>
                <w:color w:val="FFFFFF"/>
                <w:sz w:val="16"/>
              </w:rPr>
              <w:t>–</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hAnsi="Arial"/>
                <w:b/>
                <w:noProof/>
                <w:color w:val="FFFFFF"/>
                <w:sz w:val="16"/>
              </w:rPr>
              <w:t>50</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p>
        </w:tc>
        <w:tc>
          <w:tcPr>
            <w:tcW w:w="75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2"/>
              <w:rPr>
                <w:rFonts w:ascii="Arial" w:eastAsia="Arial" w:hAnsi="Arial" w:cs="Arial"/>
                <w:b/>
                <w:noProof/>
                <w:color w:val="FFFFFF"/>
                <w:sz w:val="16"/>
              </w:rPr>
            </w:pPr>
          </w:p>
        </w:tc>
        <w:tc>
          <w:tcPr>
            <w:tcW w:w="2105"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hAnsi="Arial"/>
                <w:b/>
                <w:noProof/>
                <w:color w:val="FFFFFF"/>
                <w:sz w:val="16"/>
              </w:rPr>
              <w:t>50</w:t>
            </w:r>
          </w:p>
        </w:tc>
      </w:tr>
      <w:tr>
        <w:trPr>
          <w:trHeight w:hRule="exact" w:val="57"/>
        </w:trPr>
        <w:tc>
          <w:tcPr>
            <w:tcW w:w="48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491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0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lang w:bidi="en-GB"/>
              </w:rPr>
            </w:pPr>
          </w:p>
        </w:tc>
      </w:tr>
      <w:tr>
        <w:trPr>
          <w:trHeight w:hRule="exact" w:val="170"/>
        </w:trPr>
        <w:tc>
          <w:tcPr>
            <w:tcW w:w="481"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noProof/>
                <w:color w:val="FFFFFF"/>
                <w:sz w:val="14"/>
              </w:rPr>
            </w:pPr>
          </w:p>
        </w:tc>
        <w:tc>
          <w:tcPr>
            <w:tcW w:w="491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r>
              <w:rPr>
                <w:rFonts w:ascii="Arial" w:hAnsi="Arial"/>
                <w:b/>
                <w:noProof/>
                <w:color w:val="000000"/>
                <w:sz w:val="14"/>
              </w:rPr>
              <w:t>Lomė</w:t>
            </w: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75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0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lang w:bidi="en-GB"/>
              </w:rPr>
            </w:pPr>
          </w:p>
        </w:tc>
      </w:tr>
      <w:tr>
        <w:trPr>
          <w:trHeight w:hRule="exact" w:val="170"/>
        </w:trPr>
        <w:tc>
          <w:tcPr>
            <w:tcW w:w="481"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noProof/>
                <w:color w:val="FFFFFF"/>
                <w:sz w:val="14"/>
              </w:rPr>
            </w:pPr>
          </w:p>
        </w:tc>
        <w:tc>
          <w:tcPr>
            <w:tcW w:w="491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hAnsi="Arial"/>
                <w:b/>
                <w:i/>
                <w:noProof/>
                <w:color w:val="000000"/>
                <w:sz w:val="14"/>
              </w:rPr>
              <w:t>Įprasti VN įnašai</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667</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FF0000"/>
                <w:sz w:val="14"/>
              </w:rPr>
            </w:pPr>
            <w:r>
              <w:rPr>
                <w:rFonts w:ascii="Arial" w:hAnsi="Arial"/>
                <w:b/>
                <w:i/>
                <w:noProof/>
                <w:color w:val="FF0000"/>
                <w:sz w:val="14"/>
              </w:rPr>
              <w:t>–</w:t>
            </w:r>
          </w:p>
        </w:tc>
        <w:tc>
          <w:tcPr>
            <w:tcW w:w="75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hAnsi="Arial"/>
                <w:b/>
                <w:i/>
                <w:noProof/>
                <w:color w:val="000000"/>
                <w:sz w:val="14"/>
              </w:rPr>
              <w:t>*1</w:t>
            </w:r>
          </w:p>
        </w:tc>
        <w:tc>
          <w:tcPr>
            <w:tcW w:w="2105"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667</w:t>
            </w:r>
          </w:p>
        </w:tc>
      </w:tr>
      <w:tr>
        <w:trPr>
          <w:trHeight w:hRule="exact" w:val="170"/>
        </w:trPr>
        <w:tc>
          <w:tcPr>
            <w:tcW w:w="481"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r>
              <w:rPr>
                <w:rFonts w:ascii="Arial" w:hAnsi="Arial"/>
                <w:noProof/>
                <w:color w:val="000000"/>
                <w:sz w:val="14"/>
              </w:rPr>
              <w:t xml:space="preserve">AKR </w:t>
            </w: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Iš 6-ojo EPF perkeltos sumos. Lomė</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20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20</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Iš 7-ojo EPF perkeltos sumos. Lomė</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647</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hAnsi="Arial"/>
                <w:noProof/>
                <w:color w:val="FF0000"/>
                <w:sz w:val="14"/>
              </w:rPr>
              <w:t>–</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647</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r>
              <w:rPr>
                <w:rFonts w:ascii="Arial" w:hAnsi="Arial"/>
                <w:b/>
                <w:noProof/>
                <w:color w:val="000000"/>
                <w:sz w:val="14"/>
              </w:rPr>
              <w:t>Kotonu</w:t>
            </w: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75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0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hAnsi="Arial"/>
                <w:b/>
                <w:i/>
                <w:noProof/>
                <w:color w:val="000000"/>
                <w:sz w:val="14"/>
              </w:rPr>
              <w:t>Įprasti VN įnašai</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8 919</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5 464</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FF0000"/>
                <w:sz w:val="14"/>
              </w:rPr>
            </w:pPr>
            <w:r>
              <w:rPr>
                <w:rFonts w:ascii="Arial" w:hAnsi="Arial"/>
                <w:b/>
                <w:i/>
                <w:noProof/>
                <w:color w:val="FF0000"/>
                <w:sz w:val="14"/>
              </w:rPr>
              <w:t>(41)</w:t>
            </w:r>
          </w:p>
        </w:tc>
        <w:tc>
          <w:tcPr>
            <w:tcW w:w="75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hAnsi="Arial"/>
                <w:b/>
                <w:i/>
                <w:noProof/>
                <w:color w:val="000000"/>
                <w:sz w:val="14"/>
              </w:rPr>
              <w:t>*1</w:t>
            </w:r>
          </w:p>
        </w:tc>
        <w:tc>
          <w:tcPr>
            <w:tcW w:w="2105"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14 342</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A paketas. Nacionaliniai asignavimai</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5 318</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3 246</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hAnsi="Arial"/>
                <w:noProof/>
                <w:color w:val="FF0000"/>
                <w:sz w:val="14"/>
              </w:rPr>
              <w:t>(10)</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8 554</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B paketas. Nacionaliniai asignavimai</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2 108</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hAnsi="Arial"/>
                <w:noProof/>
                <w:color w:val="FF0000"/>
                <w:sz w:val="14"/>
              </w:rPr>
              <w:t>(905)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hAnsi="Arial"/>
                <w:noProof/>
                <w:color w:val="FF0000"/>
                <w:sz w:val="14"/>
              </w:rPr>
              <w:t>–</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1 203</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ĮPC, CTA ir Parlamentinė Asamblėja</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164</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hAnsi="Arial"/>
                <w:noProof/>
                <w:color w:val="FF0000"/>
                <w:sz w:val="14"/>
              </w:rPr>
              <w:t>(10)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154</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Įgyvendinimo išlaidos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125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52</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hAnsi="Arial"/>
                <w:noProof/>
                <w:color w:val="FF0000"/>
                <w:sz w:val="14"/>
              </w:rPr>
              <w:t>(1)</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177</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Palūkanos ir kitos pajamos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63</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63</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Kiti AKR vidaus asignavimai</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300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2 289</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hAnsi="Arial"/>
                <w:noProof/>
                <w:color w:val="FF0000"/>
                <w:sz w:val="14"/>
              </w:rPr>
              <w:t>(5)</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2 584</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Taikos priemonė</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353</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353</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Regioniniai asignavimai</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904</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hAnsi="Arial"/>
                <w:noProof/>
                <w:color w:val="FF0000"/>
                <w:sz w:val="14"/>
              </w:rPr>
              <w:t>(145)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hAnsi="Arial"/>
                <w:noProof/>
                <w:color w:val="FF0000"/>
                <w:sz w:val="14"/>
              </w:rPr>
              <w:t>(11)</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749</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Specialusis asignavimas Kongo DR</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105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105</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Specialusis asignavimas Pietų Sudanui</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267</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*3</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267</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Specialusis asignavimas Sudanui</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110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*2</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110</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Taikos priemonės savanoriški įnašai</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39</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hAnsi="Arial"/>
                <w:noProof/>
                <w:color w:val="FF0000"/>
                <w:sz w:val="14"/>
              </w:rPr>
              <w:t>(15)</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*4</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24</w:t>
            </w:r>
          </w:p>
        </w:tc>
      </w:tr>
      <w:tr>
        <w:trPr>
          <w:trHeight w:hRule="exact" w:val="57"/>
        </w:trPr>
        <w:tc>
          <w:tcPr>
            <w:tcW w:w="481"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FFFFFF"/>
                <w:sz w:val="14"/>
              </w:rPr>
            </w:pPr>
            <w:r>
              <w:rPr>
                <w:rFonts w:ascii="Arial" w:hAnsi="Arial"/>
                <w:noProof/>
                <w:color w:val="FFFFFF"/>
                <w:sz w:val="14"/>
              </w:rPr>
              <w:t xml:space="preserve">AKR </w:t>
            </w:r>
          </w:p>
        </w:tc>
        <w:tc>
          <w:tcPr>
            <w:tcW w:w="491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jc w:val="right"/>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75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0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lang w:bidi="en-GB"/>
              </w:rPr>
            </w:pPr>
          </w:p>
        </w:tc>
      </w:tr>
      <w:tr>
        <w:trPr>
          <w:trHeight w:hRule="exact" w:val="170"/>
        </w:trPr>
        <w:tc>
          <w:tcPr>
            <w:tcW w:w="481"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491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rPr>
                <w:rFonts w:ascii="Arial" w:eastAsia="Arial" w:hAnsi="Arial" w:cs="Arial"/>
                <w:b/>
                <w:noProof/>
                <w:color w:val="FFFFFF"/>
                <w:sz w:val="16"/>
              </w:rPr>
            </w:pPr>
            <w:r>
              <w:rPr>
                <w:rFonts w:ascii="Arial" w:hAnsi="Arial"/>
                <w:b/>
                <w:noProof/>
                <w:color w:val="FFFFFF"/>
                <w:sz w:val="16"/>
              </w:rPr>
              <w:t xml:space="preserve">TARPINĖ SUMA. AKR </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hAnsi="Arial"/>
                <w:b/>
                <w:noProof/>
                <w:color w:val="FFFFFF"/>
                <w:sz w:val="16"/>
              </w:rPr>
              <w:t>8 919</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hAnsi="Arial"/>
                <w:b/>
                <w:noProof/>
                <w:color w:val="FFFFFF"/>
                <w:sz w:val="16"/>
              </w:rPr>
              <w:t>6 131</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0000"/>
                <w:sz w:val="16"/>
              </w:rPr>
            </w:pPr>
            <w:r>
              <w:rPr>
                <w:rFonts w:ascii="Arial" w:hAnsi="Arial"/>
                <w:b/>
                <w:noProof/>
                <w:color w:val="FF0000"/>
                <w:sz w:val="16"/>
              </w:rPr>
              <w:t>(42)</w:t>
            </w:r>
          </w:p>
        </w:tc>
        <w:tc>
          <w:tcPr>
            <w:tcW w:w="75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2"/>
              <w:rPr>
                <w:rFonts w:ascii="Arial" w:eastAsia="Arial" w:hAnsi="Arial" w:cs="Arial"/>
                <w:b/>
                <w:noProof/>
                <w:color w:val="FFFFFF"/>
                <w:sz w:val="16"/>
              </w:rPr>
            </w:pPr>
            <w:r>
              <w:rPr>
                <w:rFonts w:ascii="Arial" w:hAnsi="Arial"/>
                <w:b/>
                <w:noProof/>
                <w:color w:val="FFFFFF"/>
                <w:sz w:val="16"/>
              </w:rPr>
              <w:t>*1 *4</w:t>
            </w:r>
          </w:p>
        </w:tc>
        <w:tc>
          <w:tcPr>
            <w:tcW w:w="2105"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hAnsi="Arial"/>
                <w:b/>
                <w:noProof/>
                <w:color w:val="FFFFFF"/>
                <w:sz w:val="16"/>
              </w:rPr>
              <w:t>15 009</w:t>
            </w:r>
          </w:p>
        </w:tc>
      </w:tr>
      <w:tr>
        <w:trPr>
          <w:trHeight w:hRule="exact" w:val="57"/>
        </w:trPr>
        <w:tc>
          <w:tcPr>
            <w:tcW w:w="48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491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0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lang w:bidi="en-GB"/>
              </w:rPr>
            </w:pPr>
          </w:p>
        </w:tc>
      </w:tr>
      <w:tr>
        <w:trPr>
          <w:trHeight w:hRule="exact" w:val="170"/>
        </w:trPr>
        <w:tc>
          <w:tcPr>
            <w:tcW w:w="481"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noProof/>
                <w:color w:val="FFFFFF"/>
                <w:sz w:val="14"/>
              </w:rPr>
            </w:pPr>
          </w:p>
        </w:tc>
        <w:tc>
          <w:tcPr>
            <w:tcW w:w="491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r>
              <w:rPr>
                <w:rFonts w:ascii="Arial" w:hAnsi="Arial"/>
                <w:b/>
                <w:noProof/>
                <w:color w:val="000000"/>
                <w:sz w:val="14"/>
              </w:rPr>
              <w:t>Lomė</w:t>
            </w: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75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0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lang w:bidi="en-GB"/>
              </w:rPr>
            </w:pPr>
          </w:p>
        </w:tc>
      </w:tr>
      <w:tr>
        <w:trPr>
          <w:trHeight w:hRule="exact" w:val="170"/>
        </w:trPr>
        <w:tc>
          <w:tcPr>
            <w:tcW w:w="481"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noProof/>
                <w:color w:val="FFFFFF"/>
                <w:sz w:val="14"/>
              </w:rPr>
            </w:pPr>
          </w:p>
        </w:tc>
        <w:tc>
          <w:tcPr>
            <w:tcW w:w="491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hAnsi="Arial"/>
                <w:b/>
                <w:i/>
                <w:noProof/>
                <w:color w:val="000000"/>
                <w:sz w:val="14"/>
              </w:rPr>
              <w:t>Įprasti VN įnašai</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3</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p>
        </w:tc>
        <w:tc>
          <w:tcPr>
            <w:tcW w:w="75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p>
        </w:tc>
        <w:tc>
          <w:tcPr>
            <w:tcW w:w="2105"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3</w:t>
            </w:r>
          </w:p>
        </w:tc>
      </w:tr>
      <w:tr>
        <w:trPr>
          <w:trHeight w:hRule="exact" w:val="170"/>
        </w:trPr>
        <w:tc>
          <w:tcPr>
            <w:tcW w:w="481"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r>
              <w:rPr>
                <w:rFonts w:ascii="Arial" w:hAnsi="Arial"/>
                <w:noProof/>
                <w:color w:val="000000"/>
                <w:sz w:val="14"/>
              </w:rPr>
              <w:t>UŠT</w:t>
            </w: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Iš 6-ojo EPF perkeltos sumos. Lomė</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Iš 7-ojo EPF perkeltos sumos. Lomė</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3</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3</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r>
              <w:rPr>
                <w:rFonts w:ascii="Arial" w:hAnsi="Arial"/>
                <w:b/>
                <w:noProof/>
                <w:color w:val="000000"/>
                <w:sz w:val="14"/>
              </w:rPr>
              <w:t>Kotonu</w:t>
            </w: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75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0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hAnsi="Arial"/>
                <w:b/>
                <w:i/>
                <w:noProof/>
                <w:color w:val="000000"/>
                <w:sz w:val="14"/>
              </w:rPr>
              <w:t>Įprasti VN įnašai</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287</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FF0000"/>
                <w:sz w:val="14"/>
              </w:rPr>
            </w:pPr>
            <w:r>
              <w:rPr>
                <w:rFonts w:ascii="Arial" w:hAnsi="Arial"/>
                <w:b/>
                <w:i/>
                <w:noProof/>
                <w:color w:val="FF0000"/>
                <w:sz w:val="14"/>
              </w:rPr>
              <w:t>(1)</w:t>
            </w:r>
          </w:p>
        </w:tc>
        <w:tc>
          <w:tcPr>
            <w:tcW w:w="75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hAnsi="Arial"/>
                <w:b/>
                <w:i/>
                <w:noProof/>
                <w:color w:val="000000"/>
                <w:sz w:val="14"/>
              </w:rPr>
              <w:t>*1</w:t>
            </w:r>
          </w:p>
        </w:tc>
        <w:tc>
          <w:tcPr>
            <w:tcW w:w="2105"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286</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A paketas. Nacionaliniai asignavimai</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237</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hAnsi="Arial"/>
                <w:noProof/>
                <w:color w:val="FF0000"/>
                <w:sz w:val="14"/>
              </w:rPr>
              <w:t>–</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236</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B paketas. Nacionaliniai asignavimai</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4</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4</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Regioniniai asignavimai</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45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hAnsi="Arial"/>
                <w:noProof/>
                <w:color w:val="FF0000"/>
                <w:sz w:val="14"/>
              </w:rPr>
              <w:t>–</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45</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Tyrimai / techninė pagalba UŠT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1</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1</w:t>
            </w:r>
          </w:p>
        </w:tc>
      </w:tr>
      <w:tr>
        <w:trPr>
          <w:trHeight w:hRule="exact" w:val="57"/>
        </w:trPr>
        <w:tc>
          <w:tcPr>
            <w:tcW w:w="481"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FFFFFF"/>
                <w:sz w:val="14"/>
              </w:rPr>
            </w:pPr>
            <w:r>
              <w:rPr>
                <w:rFonts w:ascii="Arial" w:hAnsi="Arial"/>
                <w:noProof/>
                <w:color w:val="FFFFFF"/>
                <w:sz w:val="14"/>
              </w:rPr>
              <w:t>UŠT</w:t>
            </w:r>
          </w:p>
        </w:tc>
        <w:tc>
          <w:tcPr>
            <w:tcW w:w="491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jc w:val="right"/>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75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0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lang w:bidi="en-GB"/>
              </w:rPr>
            </w:pPr>
          </w:p>
        </w:tc>
      </w:tr>
      <w:tr>
        <w:trPr>
          <w:trHeight w:hRule="exact" w:val="170"/>
        </w:trPr>
        <w:tc>
          <w:tcPr>
            <w:tcW w:w="481"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491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rPr>
                <w:rFonts w:ascii="Arial" w:eastAsia="Arial" w:hAnsi="Arial" w:cs="Arial"/>
                <w:b/>
                <w:noProof/>
                <w:color w:val="FFFFFF"/>
                <w:sz w:val="16"/>
              </w:rPr>
            </w:pPr>
            <w:r>
              <w:rPr>
                <w:rFonts w:ascii="Arial" w:hAnsi="Arial"/>
                <w:b/>
                <w:noProof/>
                <w:color w:val="FFFFFF"/>
                <w:sz w:val="16"/>
              </w:rPr>
              <w:t>TARPINĖ SUMA. UŠT</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hAnsi="Arial"/>
                <w:b/>
                <w:noProof/>
                <w:color w:val="FFFFFF"/>
                <w:sz w:val="16"/>
              </w:rPr>
              <w:t>–</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hAnsi="Arial"/>
                <w:b/>
                <w:noProof/>
                <w:color w:val="FFFFFF"/>
                <w:sz w:val="16"/>
              </w:rPr>
              <w:t>290</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0000"/>
                <w:sz w:val="16"/>
              </w:rPr>
            </w:pPr>
            <w:r>
              <w:rPr>
                <w:rFonts w:ascii="Arial" w:hAnsi="Arial"/>
                <w:b/>
                <w:noProof/>
                <w:color w:val="FF0000"/>
                <w:sz w:val="16"/>
              </w:rPr>
              <w:t>(1)</w:t>
            </w:r>
          </w:p>
        </w:tc>
        <w:tc>
          <w:tcPr>
            <w:tcW w:w="75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2"/>
              <w:rPr>
                <w:rFonts w:ascii="Arial" w:eastAsia="Arial" w:hAnsi="Arial" w:cs="Arial"/>
                <w:b/>
                <w:noProof/>
                <w:color w:val="FFFFFF"/>
                <w:sz w:val="16"/>
              </w:rPr>
            </w:pPr>
            <w:r>
              <w:rPr>
                <w:rFonts w:ascii="Arial" w:hAnsi="Arial"/>
                <w:b/>
                <w:noProof/>
                <w:color w:val="FFFFFF"/>
                <w:sz w:val="16"/>
              </w:rPr>
              <w:t>*1</w:t>
            </w:r>
          </w:p>
        </w:tc>
        <w:tc>
          <w:tcPr>
            <w:tcW w:w="2105"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hAnsi="Arial"/>
                <w:b/>
                <w:noProof/>
                <w:color w:val="FFFFFF"/>
                <w:sz w:val="16"/>
              </w:rPr>
              <w:t>289</w:t>
            </w:r>
          </w:p>
        </w:tc>
      </w:tr>
      <w:tr>
        <w:trPr>
          <w:trHeight w:hRule="exact" w:val="57"/>
        </w:trPr>
        <w:tc>
          <w:tcPr>
            <w:tcW w:w="48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491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0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lang w:bidi="en-GB"/>
              </w:rPr>
            </w:pPr>
          </w:p>
        </w:tc>
      </w:tr>
      <w:tr>
        <w:trPr>
          <w:trHeight w:hRule="exact" w:val="170"/>
        </w:trPr>
        <w:tc>
          <w:tcPr>
            <w:tcW w:w="481"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9004BIPTable12"/>
              <w:rPr>
                <w:rFonts w:ascii="Arial" w:eastAsia="Arial" w:hAnsi="Arial" w:cs="Arial"/>
                <w:noProof/>
                <w:color w:val="000000"/>
                <w:sz w:val="14"/>
              </w:rPr>
            </w:pPr>
          </w:p>
        </w:tc>
        <w:tc>
          <w:tcPr>
            <w:tcW w:w="4911"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2"/>
              <w:rPr>
                <w:rFonts w:ascii="Arial" w:eastAsia="Arial" w:hAnsi="Arial" w:cs="Arial"/>
                <w:b/>
                <w:noProof/>
                <w:color w:val="FFFFFF"/>
                <w:sz w:val="16"/>
              </w:rPr>
            </w:pPr>
            <w:r>
              <w:rPr>
                <w:rFonts w:ascii="Arial" w:hAnsi="Arial"/>
                <w:b/>
                <w:noProof/>
                <w:color w:val="FFFFFF"/>
                <w:sz w:val="16"/>
              </w:rPr>
              <w:t>IŠ VISO. 9-asis EPF</w:t>
            </w:r>
          </w:p>
        </w:tc>
        <w:tc>
          <w:tcPr>
            <w:tcW w:w="213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hAnsi="Arial"/>
                <w:b/>
                <w:noProof/>
                <w:color w:val="FFFFFF"/>
                <w:sz w:val="16"/>
              </w:rPr>
              <w:t>8 919</w:t>
            </w:r>
          </w:p>
        </w:tc>
        <w:tc>
          <w:tcPr>
            <w:tcW w:w="213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hAnsi="Arial"/>
                <w:b/>
                <w:noProof/>
                <w:color w:val="FFFFFF"/>
                <w:sz w:val="16"/>
              </w:rPr>
              <w:t>6 471</w:t>
            </w:r>
          </w:p>
        </w:tc>
        <w:tc>
          <w:tcPr>
            <w:tcW w:w="213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2"/>
              <w:jc w:val="right"/>
              <w:rPr>
                <w:rFonts w:ascii="Arial" w:eastAsia="Arial" w:hAnsi="Arial" w:cs="Arial"/>
                <w:b/>
                <w:noProof/>
                <w:color w:val="FF0000"/>
                <w:sz w:val="16"/>
              </w:rPr>
            </w:pPr>
            <w:r>
              <w:rPr>
                <w:rFonts w:ascii="Arial" w:hAnsi="Arial"/>
                <w:b/>
                <w:noProof/>
                <w:color w:val="FF0000"/>
                <w:sz w:val="16"/>
              </w:rPr>
              <w:t>(42)</w:t>
            </w:r>
          </w:p>
        </w:tc>
        <w:tc>
          <w:tcPr>
            <w:tcW w:w="75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12"/>
              <w:rPr>
                <w:rFonts w:ascii="Arial" w:eastAsia="Arial" w:hAnsi="Arial" w:cs="Arial"/>
                <w:noProof/>
                <w:color w:val="FFFFFF"/>
                <w:sz w:val="14"/>
              </w:rPr>
            </w:pPr>
            <w:r>
              <w:rPr>
                <w:rFonts w:ascii="Arial" w:hAnsi="Arial"/>
                <w:noProof/>
                <w:color w:val="FFFFFF"/>
                <w:sz w:val="14"/>
              </w:rPr>
              <w:t>*1 *4</w:t>
            </w:r>
          </w:p>
        </w:tc>
        <w:tc>
          <w:tcPr>
            <w:tcW w:w="2105"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hAnsi="Arial"/>
                <w:b/>
                <w:noProof/>
                <w:color w:val="FFFFFF"/>
                <w:sz w:val="16"/>
              </w:rPr>
              <w:t>15 348</w:t>
            </w:r>
          </w:p>
        </w:tc>
      </w:tr>
    </w:tbl>
    <w:p>
      <w:pPr>
        <w:rPr>
          <w:noProof/>
        </w:rPr>
        <w:sectPr>
          <w:headerReference w:type="even" r:id="rId329"/>
          <w:headerReference w:type="default" r:id="rId330"/>
          <w:footerReference w:type="even" r:id="rId331"/>
          <w:footerReference w:type="default" r:id="rId332"/>
          <w:headerReference w:type="first" r:id="rId333"/>
          <w:footerReference w:type="first" r:id="rId334"/>
          <w:pgSz w:w="16840" w:h="11907" w:orient="landscape" w:code="9"/>
          <w:pgMar w:top="1440" w:right="1134" w:bottom="1134" w:left="1134" w:header="709" w:footer="709" w:gutter="0"/>
          <w:cols w:space="708"/>
          <w:docGrid w:linePitch="360"/>
        </w:sectPr>
      </w:pPr>
    </w:p>
    <w:p>
      <w:pPr>
        <w:rPr>
          <w:rFonts w:ascii="Arial" w:hAnsi="Arial" w:cs="Arial"/>
          <w:noProof/>
          <w:color w:val="000000"/>
          <w:sz w:val="14"/>
          <w:szCs w:val="14"/>
        </w:rPr>
      </w:pPr>
      <w:r>
        <w:rPr>
          <w:rFonts w:ascii="Arial" w:hAnsi="Arial"/>
          <w:noProof/>
          <w:color w:val="000000"/>
          <w:sz w:val="14"/>
          <w:szCs w:val="14"/>
        </w:rPr>
        <w:t>*1 Visi sumažėjimai yra nepanaudotos lėšos, pervestos į 10-ojo EPF nemobilizuojamą veiklos lėšų rezervą.</w:t>
      </w:r>
    </w:p>
    <w:p>
      <w:pPr>
        <w:rPr>
          <w:rFonts w:ascii="Arial" w:hAnsi="Arial" w:cs="Arial"/>
          <w:noProof/>
          <w:color w:val="000000"/>
          <w:sz w:val="14"/>
          <w:szCs w:val="14"/>
        </w:rPr>
      </w:pPr>
      <w:r>
        <w:rPr>
          <w:rFonts w:ascii="Arial" w:hAnsi="Arial"/>
          <w:noProof/>
          <w:color w:val="000000"/>
          <w:sz w:val="14"/>
          <w:szCs w:val="14"/>
        </w:rPr>
        <w:t>*2 Remiantis Tarybos sprendimu 2010/406/ES, iš 10-ojo EPF nemobilizuojamo veiklos lėšų rezervo 150 mln. EUR papildomai skirta Sudanui (147 mln. EUR – specialiajam asignavimui Sudanui,</w:t>
      </w:r>
      <w:r>
        <w:rPr>
          <w:rFonts w:ascii="Arial" w:hAnsi="Arial"/>
          <w:noProof/>
          <w:color w:val="000000"/>
          <w:sz w:val="14"/>
          <w:szCs w:val="14"/>
        </w:rPr>
        <w:br/>
        <w:t>3 mln. EUR – įgyvendinimo išlaidoms).</w:t>
      </w:r>
    </w:p>
    <w:p>
      <w:pPr>
        <w:rPr>
          <w:rFonts w:ascii="Arial" w:hAnsi="Arial" w:cs="Arial"/>
          <w:noProof/>
          <w:color w:val="000000"/>
          <w:sz w:val="14"/>
          <w:szCs w:val="14"/>
        </w:rPr>
      </w:pPr>
      <w:r>
        <w:rPr>
          <w:rFonts w:ascii="Arial" w:hAnsi="Arial"/>
          <w:noProof/>
          <w:color w:val="000000"/>
          <w:sz w:val="14"/>
          <w:szCs w:val="14"/>
        </w:rPr>
        <w:t>*3 Remiantis Tarybos sprendimu 2011/315/ES, iš 10-ojo EPF nemobilizuojamo veiklos lėšų rezervo 200 mln. EUR papildomai skirta Sudanui (194 mln. EUR – specialiam asignavimui Pietų Sudanui,</w:t>
      </w:r>
      <w:r>
        <w:rPr>
          <w:rFonts w:ascii="Arial" w:hAnsi="Arial"/>
          <w:noProof/>
          <w:color w:val="000000"/>
          <w:sz w:val="14"/>
          <w:szCs w:val="14"/>
        </w:rPr>
        <w:br/>
        <w:t>6 mln. EUR – įgyvendinimo išlaidoms).</w:t>
      </w:r>
    </w:p>
    <w:p>
      <w:pPr>
        <w:rPr>
          <w:rFonts w:ascii="Arial" w:hAnsi="Arial" w:cs="Arial"/>
          <w:noProof/>
          <w:color w:val="000000"/>
          <w:sz w:val="14"/>
          <w:szCs w:val="14"/>
        </w:rPr>
      </w:pPr>
      <w:r>
        <w:rPr>
          <w:rFonts w:ascii="Arial" w:hAnsi="Arial"/>
          <w:noProof/>
          <w:color w:val="000000"/>
          <w:sz w:val="14"/>
          <w:szCs w:val="14"/>
        </w:rPr>
        <w:t>*4 Visi savanoriškų įnašų sumažėjimai yra grąžinimas donorams.</w:t>
      </w:r>
    </w:p>
    <w:p>
      <w:pPr>
        <w:rPr>
          <w:noProof/>
          <w:sz w:val="16"/>
          <w:szCs w:val="16"/>
        </w:rPr>
      </w:pPr>
    </w:p>
    <w:p>
      <w:pPr>
        <w:rPr>
          <w:noProof/>
          <w:sz w:val="16"/>
          <w:szCs w:val="16"/>
        </w:rPr>
        <w:sectPr>
          <w:headerReference w:type="even" r:id="rId335"/>
          <w:headerReference w:type="default" r:id="rId336"/>
          <w:footerReference w:type="even" r:id="rId337"/>
          <w:footerReference w:type="default" r:id="rId338"/>
          <w:headerReference w:type="first" r:id="rId339"/>
          <w:footerReference w:type="first" r:id="rId340"/>
          <w:pgSz w:w="16840" w:h="11907" w:orient="landscape" w:code="9"/>
          <w:pgMar w:top="1440" w:right="1134" w:bottom="1134" w:left="1134" w:header="709" w:footer="709" w:gutter="0"/>
          <w:cols w:space="708"/>
          <w:docGrid w:linePitch="360"/>
        </w:sectPr>
      </w:pPr>
    </w:p>
    <w:p>
      <w:pPr>
        <w:rPr>
          <w:noProof/>
          <w:sz w:val="16"/>
          <w:szCs w:val="16"/>
        </w:rPr>
      </w:pPr>
      <w:r>
        <w:rPr>
          <w:noProof/>
          <w:sz w:val="16"/>
          <w:szCs w:val="16"/>
        </w:rPr>
        <w:t>1.3 lentelė</w:t>
      </w:r>
    </w:p>
    <w:p>
      <w:pPr>
        <w:jc w:val="center"/>
        <w:rPr>
          <w:rFonts w:ascii="Arial" w:hAnsi="Arial" w:cs="Arial"/>
          <w:b/>
          <w:bCs/>
          <w:noProof/>
          <w:color w:val="000000"/>
          <w:sz w:val="16"/>
          <w:szCs w:val="16"/>
        </w:rPr>
      </w:pPr>
      <w:r>
        <w:rPr>
          <w:rFonts w:ascii="Arial" w:hAnsi="Arial"/>
          <w:b/>
          <w:bCs/>
          <w:noProof/>
          <w:color w:val="000000"/>
          <w:sz w:val="16"/>
          <w:szCs w:val="16"/>
        </w:rPr>
        <w:t>10-asis EPF</w:t>
      </w:r>
    </w:p>
    <w:p>
      <w:pPr>
        <w:jc w:val="center"/>
        <w:rPr>
          <w:rFonts w:ascii="Arial" w:hAnsi="Arial" w:cs="Arial"/>
          <w:b/>
          <w:bCs/>
          <w:noProof/>
          <w:color w:val="000000"/>
          <w:sz w:val="16"/>
          <w:szCs w:val="16"/>
        </w:rPr>
      </w:pPr>
      <w:r>
        <w:rPr>
          <w:rFonts w:ascii="Arial" w:hAnsi="Arial"/>
          <w:b/>
          <w:bCs/>
          <w:noProof/>
          <w:color w:val="000000"/>
          <w:sz w:val="16"/>
          <w:szCs w:val="16"/>
        </w:rPr>
        <w:t>ASIGNAVIMŲ POKYČIAI  2019 m. gruodžio 31 d.</w:t>
      </w:r>
    </w:p>
    <w:p>
      <w:pPr>
        <w:jc w:val="center"/>
        <w:rPr>
          <w:rFonts w:ascii="Arial" w:hAnsi="Arial" w:cs="Arial"/>
          <w:b/>
          <w:bCs/>
          <w:noProof/>
          <w:color w:val="000000"/>
          <w:sz w:val="16"/>
          <w:szCs w:val="16"/>
        </w:rPr>
      </w:pPr>
      <w:r>
        <w:rPr>
          <w:rFonts w:ascii="Arial" w:hAnsi="Arial"/>
          <w:b/>
          <w:bCs/>
          <w:noProof/>
          <w:color w:val="000000"/>
          <w:sz w:val="16"/>
          <w:szCs w:val="16"/>
        </w:rPr>
        <w:t>ASIGNAVIMŲ ANALIZĖ PAGAL PRIEMONES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4907"/>
        <w:gridCol w:w="2136"/>
        <w:gridCol w:w="2136"/>
        <w:gridCol w:w="2136"/>
        <w:gridCol w:w="755"/>
        <w:gridCol w:w="2136"/>
      </w:tblGrid>
      <w:tr>
        <w:trPr>
          <w:trHeight w:hRule="exact" w:val="132"/>
        </w:trPr>
        <w:tc>
          <w:tcPr>
            <w:tcW w:w="486"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bookmarkStart w:id="141" w:name="DOC_TBL00059_1_1"/>
            <w:bookmarkEnd w:id="141"/>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75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jc w:val="right"/>
              <w:rPr>
                <w:rFonts w:ascii="Arial" w:eastAsia="Arial" w:hAnsi="Arial" w:cs="Arial"/>
                <w:noProof/>
                <w:color w:val="000000"/>
                <w:sz w:val="14"/>
              </w:rPr>
            </w:pPr>
            <w:r>
              <w:rPr>
                <w:rFonts w:ascii="Arial" w:hAnsi="Arial"/>
                <w:noProof/>
                <w:color w:val="000000"/>
                <w:sz w:val="14"/>
              </w:rPr>
              <w:t>(mln. EUR)</w:t>
            </w:r>
          </w:p>
        </w:tc>
      </w:tr>
      <w:tr>
        <w:trPr>
          <w:trHeight w:hRule="exact" w:val="561"/>
        </w:trPr>
        <w:tc>
          <w:tcPr>
            <w:tcW w:w="486"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b/>
                <w:noProof/>
                <w:color w:val="000000"/>
                <w:sz w:val="14"/>
              </w:rPr>
            </w:pPr>
            <w:r>
              <w:rPr>
                <w:rFonts w:ascii="Arial" w:hAnsi="Arial"/>
                <w:b/>
                <w:noProof/>
                <w:color w:val="000000"/>
                <w:sz w:val="14"/>
              </w:rPr>
              <w:t>PRIEMONĖ</w:t>
            </w:r>
          </w:p>
        </w:tc>
        <w:tc>
          <w:tcPr>
            <w:tcW w:w="213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b/>
                <w:noProof/>
                <w:color w:val="000000"/>
                <w:sz w:val="14"/>
              </w:rPr>
            </w:pPr>
            <w:r>
              <w:rPr>
                <w:rFonts w:ascii="Arial" w:hAnsi="Arial"/>
                <w:b/>
                <w:noProof/>
                <w:color w:val="000000"/>
                <w:sz w:val="14"/>
              </w:rPr>
              <w:t>PRADINIS ASIGNAVIMAS</w:t>
            </w:r>
          </w:p>
        </w:tc>
        <w:tc>
          <w:tcPr>
            <w:tcW w:w="213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b/>
                <w:noProof/>
                <w:color w:val="000000"/>
                <w:sz w:val="14"/>
              </w:rPr>
            </w:pPr>
            <w:r>
              <w:rPr>
                <w:rFonts w:ascii="Arial" w:hAnsi="Arial"/>
                <w:b/>
                <w:noProof/>
                <w:color w:val="000000"/>
                <w:sz w:val="14"/>
              </w:rPr>
              <w:t>SUKAUPTŲ IŠTEKLIŲ PADIDĖJIMAS / SUMAŽĖJIMAS 2018 M. GRUODŽIO 31 D.</w:t>
            </w:r>
          </w:p>
        </w:tc>
        <w:tc>
          <w:tcPr>
            <w:tcW w:w="213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b/>
                <w:noProof/>
                <w:color w:val="000000"/>
                <w:sz w:val="14"/>
              </w:rPr>
            </w:pPr>
            <w:r>
              <w:rPr>
                <w:rFonts w:ascii="Arial" w:hAnsi="Arial"/>
                <w:b/>
                <w:noProof/>
                <w:color w:val="000000"/>
                <w:sz w:val="14"/>
              </w:rPr>
              <w:t>IŠTEKLIŲ PADIDĖJIMAS ARBA SUMAŽĖJIMAS 2019 M.</w:t>
            </w:r>
          </w:p>
        </w:tc>
        <w:tc>
          <w:tcPr>
            <w:tcW w:w="75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b/>
                <w:noProof/>
                <w:color w:val="000000"/>
                <w:sz w:val="14"/>
              </w:rPr>
            </w:pPr>
            <w:r>
              <w:rPr>
                <w:rFonts w:ascii="Arial" w:hAnsi="Arial"/>
                <w:b/>
                <w:noProof/>
                <w:color w:val="000000"/>
                <w:sz w:val="14"/>
              </w:rPr>
              <w:t>Pastabos</w:t>
            </w:r>
          </w:p>
        </w:tc>
        <w:tc>
          <w:tcPr>
            <w:tcW w:w="213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b/>
                <w:noProof/>
                <w:color w:val="000000"/>
                <w:sz w:val="14"/>
              </w:rPr>
            </w:pPr>
            <w:r>
              <w:rPr>
                <w:rFonts w:ascii="Arial" w:hAnsi="Arial"/>
                <w:b/>
                <w:noProof/>
                <w:color w:val="000000"/>
                <w:sz w:val="14"/>
              </w:rPr>
              <w:t>DABARTINIS ASIGNAVIMŲ LYGIS</w:t>
            </w:r>
          </w:p>
        </w:tc>
      </w:tr>
      <w:tr>
        <w:trPr>
          <w:trHeight w:hRule="exact" w:val="170"/>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noProof/>
                <w:color w:val="FFFFFF"/>
                <w:sz w:val="14"/>
              </w:rPr>
            </w:pPr>
          </w:p>
        </w:tc>
        <w:tc>
          <w:tcPr>
            <w:tcW w:w="49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i/>
                <w:noProof/>
                <w:color w:val="000000"/>
                <w:sz w:val="14"/>
              </w:rPr>
            </w:pPr>
            <w:r>
              <w:rPr>
                <w:rFonts w:ascii="Arial" w:hAnsi="Arial"/>
                <w:b/>
                <w:i/>
                <w:noProof/>
                <w:color w:val="000000"/>
                <w:sz w:val="14"/>
              </w:rPr>
              <w:t>Įprasti VN įnašai</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hAnsi="Arial"/>
                <w:b/>
                <w:i/>
                <w:noProof/>
                <w:color w:val="000000"/>
                <w:sz w:val="14"/>
              </w:rPr>
              <w:t>–</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hAnsi="Arial"/>
                <w:b/>
                <w:i/>
                <w:noProof/>
                <w:color w:val="000000"/>
                <w:sz w:val="14"/>
              </w:rPr>
              <w:t>66</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FF0000"/>
                <w:sz w:val="14"/>
              </w:rPr>
            </w:pPr>
            <w:r>
              <w:rPr>
                <w:rFonts w:ascii="Arial" w:hAnsi="Arial"/>
                <w:b/>
                <w:i/>
                <w:noProof/>
                <w:color w:val="FF0000"/>
                <w:sz w:val="14"/>
              </w:rPr>
              <w:t>(1)</w:t>
            </w:r>
          </w:p>
        </w:tc>
        <w:tc>
          <w:tcPr>
            <w:tcW w:w="75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i/>
                <w:noProof/>
                <w:color w:val="000000"/>
                <w:sz w:val="14"/>
              </w:rPr>
            </w:pPr>
            <w:r>
              <w:rPr>
                <w:rFonts w:ascii="Arial" w:hAnsi="Arial"/>
                <w:b/>
                <w:i/>
                <w:noProof/>
                <w:color w:val="000000"/>
                <w:sz w:val="14"/>
              </w:rPr>
              <w:t>*2</w:t>
            </w:r>
          </w:p>
        </w:tc>
        <w:tc>
          <w:tcPr>
            <w:tcW w:w="2136"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hAnsi="Arial"/>
                <w:b/>
                <w:i/>
                <w:noProof/>
                <w:color w:val="000000"/>
                <w:sz w:val="14"/>
              </w:rPr>
              <w:t>65</w:t>
            </w:r>
          </w:p>
        </w:tc>
      </w:tr>
      <w:tr>
        <w:trPr>
          <w:trHeight w:hRule="exact" w:val="170"/>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r>
              <w:rPr>
                <w:rFonts w:ascii="Arial" w:hAnsi="Arial"/>
                <w:noProof/>
                <w:color w:val="000000"/>
                <w:sz w:val="14"/>
              </w:rPr>
              <w:t>AKR</w:t>
            </w: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A paketas. Nacionaliniai asignavimai</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57</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(1)</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56</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B paketas. Nacionaliniai asignavimai</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9</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9</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Nacionalinių asignavimų rezervas, A paketas, STABEX</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r>
      <w:tr>
        <w:trPr>
          <w:trHeight w:hRule="exact" w:val="57"/>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FFFFFF"/>
                <w:sz w:val="14"/>
              </w:rPr>
            </w:pPr>
            <w:r>
              <w:rPr>
                <w:rFonts w:ascii="Arial" w:hAnsi="Arial"/>
                <w:noProof/>
                <w:color w:val="FFFFFF"/>
                <w:sz w:val="14"/>
              </w:rPr>
              <w:t>AKR</w:t>
            </w:r>
          </w:p>
        </w:tc>
        <w:tc>
          <w:tcPr>
            <w:tcW w:w="49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jc w:val="right"/>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75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lang w:bidi="en-GB"/>
              </w:rPr>
            </w:pPr>
          </w:p>
        </w:tc>
      </w:tr>
      <w:tr>
        <w:trPr>
          <w:trHeight w:hRule="exact" w:val="170"/>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49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rPr>
                <w:rFonts w:ascii="Arial" w:eastAsia="Arial" w:hAnsi="Arial" w:cs="Arial"/>
                <w:b/>
                <w:noProof/>
                <w:color w:val="FFFFFF"/>
                <w:sz w:val="16"/>
              </w:rPr>
            </w:pPr>
            <w:r>
              <w:rPr>
                <w:rFonts w:ascii="Arial" w:hAnsi="Arial"/>
                <w:b/>
                <w:noProof/>
                <w:color w:val="FFFFFF"/>
                <w:sz w:val="16"/>
              </w:rPr>
              <w:t>TARPINĖ SUMA. AKR</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66</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0000"/>
                <w:sz w:val="16"/>
              </w:rPr>
            </w:pPr>
            <w:r>
              <w:rPr>
                <w:rFonts w:ascii="Arial" w:hAnsi="Arial"/>
                <w:b/>
                <w:noProof/>
                <w:color w:val="FF0000"/>
                <w:sz w:val="16"/>
              </w:rPr>
              <w:t>(1)</w:t>
            </w:r>
          </w:p>
        </w:tc>
        <w:tc>
          <w:tcPr>
            <w:tcW w:w="75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3"/>
              <w:rPr>
                <w:rFonts w:ascii="Arial" w:eastAsia="Arial" w:hAnsi="Arial" w:cs="Arial"/>
                <w:b/>
                <w:noProof/>
                <w:color w:val="FFFFFF"/>
                <w:sz w:val="16"/>
              </w:rPr>
            </w:pPr>
            <w:r>
              <w:rPr>
                <w:rFonts w:ascii="Arial" w:hAnsi="Arial"/>
                <w:b/>
                <w:noProof/>
                <w:color w:val="FFFFFF"/>
                <w:sz w:val="16"/>
              </w:rPr>
              <w:t>*2</w:t>
            </w:r>
          </w:p>
        </w:tc>
        <w:tc>
          <w:tcPr>
            <w:tcW w:w="2136"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65</w:t>
            </w:r>
          </w:p>
        </w:tc>
      </w:tr>
      <w:tr>
        <w:trPr>
          <w:trHeight w:hRule="exact" w:val="57"/>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4907"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75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lang w:bidi="en-GB"/>
              </w:rPr>
            </w:pPr>
          </w:p>
        </w:tc>
      </w:tr>
      <w:tr>
        <w:trPr>
          <w:trHeight w:hRule="exact" w:val="170"/>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noProof/>
                <w:color w:val="FFFFFF"/>
                <w:sz w:val="14"/>
              </w:rPr>
            </w:pPr>
          </w:p>
        </w:tc>
        <w:tc>
          <w:tcPr>
            <w:tcW w:w="49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i/>
                <w:noProof/>
                <w:color w:val="000000"/>
                <w:sz w:val="14"/>
              </w:rPr>
            </w:pPr>
            <w:r>
              <w:rPr>
                <w:rFonts w:ascii="Arial" w:hAnsi="Arial"/>
                <w:b/>
                <w:i/>
                <w:noProof/>
                <w:color w:val="000000"/>
                <w:sz w:val="14"/>
              </w:rPr>
              <w:t>Įprasti VN įnašai</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hAnsi="Arial"/>
                <w:b/>
                <w:i/>
                <w:noProof/>
                <w:color w:val="000000"/>
                <w:sz w:val="14"/>
              </w:rPr>
              <w:t>20 896</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FF0000"/>
                <w:sz w:val="14"/>
              </w:rPr>
            </w:pPr>
            <w:r>
              <w:rPr>
                <w:rFonts w:ascii="Arial" w:hAnsi="Arial"/>
                <w:b/>
                <w:i/>
                <w:noProof/>
                <w:color w:val="FF0000"/>
                <w:sz w:val="14"/>
              </w:rPr>
              <w:t>(19)</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hAnsi="Arial"/>
                <w:b/>
                <w:i/>
                <w:noProof/>
                <w:color w:val="000000"/>
                <w:sz w:val="14"/>
              </w:rPr>
              <w:t>213</w:t>
            </w:r>
          </w:p>
        </w:tc>
        <w:tc>
          <w:tcPr>
            <w:tcW w:w="75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i/>
                <w:noProof/>
                <w:color w:val="000000"/>
                <w:sz w:val="14"/>
              </w:rPr>
            </w:pPr>
            <w:r>
              <w:rPr>
                <w:rFonts w:ascii="Arial" w:hAnsi="Arial"/>
                <w:b/>
                <w:i/>
                <w:noProof/>
                <w:color w:val="000000"/>
                <w:sz w:val="14"/>
              </w:rPr>
              <w:t>*2 *4</w:t>
            </w:r>
          </w:p>
        </w:tc>
        <w:tc>
          <w:tcPr>
            <w:tcW w:w="2136"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hAnsi="Arial"/>
                <w:b/>
                <w:i/>
                <w:noProof/>
                <w:color w:val="000000"/>
                <w:sz w:val="14"/>
              </w:rPr>
              <w:t>20 891</w:t>
            </w:r>
          </w:p>
        </w:tc>
      </w:tr>
      <w:tr>
        <w:trPr>
          <w:trHeight w:hRule="exact" w:val="170"/>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r>
              <w:rPr>
                <w:rFonts w:ascii="Arial" w:hAnsi="Arial"/>
                <w:noProof/>
                <w:color w:val="000000"/>
                <w:sz w:val="14"/>
              </w:rPr>
              <w:t xml:space="preserve">AKR </w:t>
            </w: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A paketas. Nacionaliniai asignavimai</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12 865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(169)</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12 696</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A paketo rezervas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13 500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(13 500)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B paketas. Nacionaliniai asignavimai</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1 991</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(9)</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1 983</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B paketo rezervas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1 800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(1 800)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Įgyvendinimo išlaidos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430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15</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*4</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460</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Institucinės ir paramos išlaidos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230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(5)</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226</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Palūkanos ir kitos pajamos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85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(14)</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71</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AKR vidaus rezervas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2 700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(2 700)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Nacionalinių asignavimų rezervas, A paketas, STABEX</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NOP / ROP rezervas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683</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(683)</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Nemobilizuojamas rezervas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131</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40</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*1</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171</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Kiti AKR vidaus asignavimai</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1 868</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(13)</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1 855</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Taikos priemonė</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1 119</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408</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*4</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1 527</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Regioniniai asignavimai</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1 942</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(40)</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1 902</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Regioninių asignavimų rezervas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1 783</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(1 783)</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i/>
                <w:noProof/>
                <w:color w:val="000000"/>
                <w:sz w:val="14"/>
              </w:rPr>
            </w:pPr>
            <w:r>
              <w:rPr>
                <w:rFonts w:ascii="Arial" w:hAnsi="Arial"/>
                <w:b/>
                <w:i/>
                <w:noProof/>
                <w:color w:val="000000"/>
                <w:sz w:val="14"/>
              </w:rPr>
              <w:t>Bendras finansavimas</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hAnsi="Arial"/>
                <w:b/>
                <w:i/>
                <w:noProof/>
                <w:color w:val="000000"/>
                <w:sz w:val="14"/>
              </w:rPr>
              <w:t>–</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hAnsi="Arial"/>
                <w:b/>
                <w:i/>
                <w:noProof/>
                <w:color w:val="000000"/>
                <w:sz w:val="14"/>
              </w:rPr>
              <w:t>204</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FF0000"/>
                <w:sz w:val="14"/>
              </w:rPr>
            </w:pPr>
            <w:r>
              <w:rPr>
                <w:rFonts w:ascii="Arial" w:hAnsi="Arial"/>
                <w:b/>
                <w:i/>
                <w:noProof/>
                <w:color w:val="FF0000"/>
                <w:sz w:val="14"/>
              </w:rPr>
              <w:t>(2)</w:t>
            </w:r>
          </w:p>
        </w:tc>
        <w:tc>
          <w:tcPr>
            <w:tcW w:w="75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i/>
                <w:noProof/>
                <w:color w:val="000000"/>
                <w:sz w:val="14"/>
              </w:rPr>
            </w:pPr>
            <w:r>
              <w:rPr>
                <w:rFonts w:ascii="Arial" w:hAnsi="Arial"/>
                <w:b/>
                <w:i/>
                <w:noProof/>
                <w:color w:val="000000"/>
                <w:sz w:val="14"/>
              </w:rPr>
              <w:t>*3</w:t>
            </w:r>
          </w:p>
        </w:tc>
        <w:tc>
          <w:tcPr>
            <w:tcW w:w="2136"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hAnsi="Arial"/>
                <w:b/>
                <w:i/>
                <w:noProof/>
                <w:color w:val="000000"/>
                <w:sz w:val="14"/>
              </w:rPr>
              <w:t>203</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A paketas. Nacionaliniai asignavimai</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187</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(2)</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*3</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185</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Įgyvendinimo išlaidos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*3</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5</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Kiti AKR vidaus asignavimai</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12</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12</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Taikos priemonė</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w:t>
            </w:r>
          </w:p>
        </w:tc>
      </w:tr>
      <w:tr>
        <w:trPr>
          <w:trHeight w:hRule="exact" w:val="57"/>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FFFFFF"/>
                <w:sz w:val="14"/>
              </w:rPr>
            </w:pPr>
            <w:r>
              <w:rPr>
                <w:rFonts w:ascii="Arial" w:hAnsi="Arial"/>
                <w:noProof/>
                <w:color w:val="FFFFFF"/>
                <w:sz w:val="14"/>
              </w:rPr>
              <w:t xml:space="preserve">AKR </w:t>
            </w:r>
          </w:p>
        </w:tc>
        <w:tc>
          <w:tcPr>
            <w:tcW w:w="49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jc w:val="right"/>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75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lang w:bidi="en-GB"/>
              </w:rPr>
            </w:pPr>
          </w:p>
        </w:tc>
      </w:tr>
      <w:tr>
        <w:trPr>
          <w:trHeight w:hRule="exact" w:val="170"/>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49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rPr>
                <w:rFonts w:ascii="Arial" w:eastAsia="Arial" w:hAnsi="Arial" w:cs="Arial"/>
                <w:b/>
                <w:noProof/>
                <w:color w:val="FFFFFF"/>
                <w:sz w:val="16"/>
              </w:rPr>
            </w:pPr>
            <w:r>
              <w:rPr>
                <w:rFonts w:ascii="Arial" w:hAnsi="Arial"/>
                <w:b/>
                <w:noProof/>
                <w:color w:val="FFFFFF"/>
                <w:sz w:val="16"/>
              </w:rPr>
              <w:t xml:space="preserve">TARPINĖ SUMA. AKR </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20 896</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186</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211</w:t>
            </w:r>
          </w:p>
        </w:tc>
        <w:tc>
          <w:tcPr>
            <w:tcW w:w="75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3"/>
              <w:rPr>
                <w:rFonts w:ascii="Arial" w:eastAsia="Arial" w:hAnsi="Arial" w:cs="Arial"/>
                <w:b/>
                <w:noProof/>
                <w:color w:val="FFFFFF"/>
                <w:sz w:val="16"/>
              </w:rPr>
            </w:pPr>
            <w:r>
              <w:rPr>
                <w:rFonts w:ascii="Arial" w:hAnsi="Arial"/>
                <w:b/>
                <w:noProof/>
                <w:color w:val="FFFFFF"/>
                <w:sz w:val="16"/>
              </w:rPr>
              <w:t>*2 *4</w:t>
            </w:r>
          </w:p>
        </w:tc>
        <w:tc>
          <w:tcPr>
            <w:tcW w:w="2136"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21 093</w:t>
            </w:r>
          </w:p>
        </w:tc>
      </w:tr>
      <w:tr>
        <w:trPr>
          <w:trHeight w:hRule="exact" w:val="57"/>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4907"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75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lang w:bidi="en-GB"/>
              </w:rPr>
            </w:pPr>
          </w:p>
        </w:tc>
      </w:tr>
      <w:tr>
        <w:trPr>
          <w:trHeight w:hRule="exact" w:val="170"/>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noProof/>
                <w:color w:val="FFFFFF"/>
                <w:sz w:val="14"/>
              </w:rPr>
            </w:pPr>
          </w:p>
        </w:tc>
        <w:tc>
          <w:tcPr>
            <w:tcW w:w="49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i/>
                <w:noProof/>
                <w:color w:val="000000"/>
                <w:sz w:val="14"/>
              </w:rPr>
            </w:pPr>
            <w:r>
              <w:rPr>
                <w:rFonts w:ascii="Arial" w:hAnsi="Arial"/>
                <w:b/>
                <w:i/>
                <w:noProof/>
                <w:color w:val="000000"/>
                <w:sz w:val="14"/>
              </w:rPr>
              <w:t>Įprasti VN įnašai</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hAnsi="Arial"/>
                <w:b/>
                <w:i/>
                <w:noProof/>
                <w:color w:val="000000"/>
                <w:sz w:val="14"/>
              </w:rPr>
              <w:t>–</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hAnsi="Arial"/>
                <w:b/>
                <w:i/>
                <w:noProof/>
                <w:color w:val="000000"/>
                <w:sz w:val="14"/>
              </w:rPr>
              <w:t>275</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FF0000"/>
                <w:sz w:val="14"/>
              </w:rPr>
            </w:pPr>
            <w:r>
              <w:rPr>
                <w:rFonts w:ascii="Arial" w:hAnsi="Arial"/>
                <w:b/>
                <w:i/>
                <w:noProof/>
                <w:color w:val="FF0000"/>
                <w:sz w:val="14"/>
              </w:rPr>
              <w:t>(4)</w:t>
            </w:r>
          </w:p>
        </w:tc>
        <w:tc>
          <w:tcPr>
            <w:tcW w:w="75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i/>
                <w:noProof/>
                <w:color w:val="000000"/>
                <w:sz w:val="14"/>
              </w:rPr>
            </w:pPr>
            <w:r>
              <w:rPr>
                <w:rFonts w:ascii="Arial" w:hAnsi="Arial"/>
                <w:b/>
                <w:i/>
                <w:noProof/>
                <w:color w:val="000000"/>
                <w:sz w:val="14"/>
              </w:rPr>
              <w:t>*2</w:t>
            </w:r>
          </w:p>
        </w:tc>
        <w:tc>
          <w:tcPr>
            <w:tcW w:w="2136"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hAnsi="Arial"/>
                <w:b/>
                <w:i/>
                <w:noProof/>
                <w:color w:val="000000"/>
                <w:sz w:val="14"/>
              </w:rPr>
              <w:t>271</w:t>
            </w:r>
          </w:p>
        </w:tc>
      </w:tr>
      <w:tr>
        <w:trPr>
          <w:trHeight w:hRule="exact" w:val="170"/>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r>
              <w:rPr>
                <w:rFonts w:ascii="Arial" w:hAnsi="Arial"/>
                <w:noProof/>
                <w:color w:val="000000"/>
                <w:sz w:val="14"/>
              </w:rPr>
              <w:t>UŠT</w:t>
            </w: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A paketas. Nacionaliniai asignavimai</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190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(4)</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187</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A paketo rezervas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B paketas. Nacionaliniai asignavimai</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15</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B paketo rezervas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Nacionalinių asignavimų rezervas, A paketas, STABEX</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Nemobilizuojamas rezervas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25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*1</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26</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Regioniniai asignavimai</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40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(1)</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39</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Regioninių asignavimų rezervas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Tyrimai / techninė pagalba UŠT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5</w:t>
            </w:r>
          </w:p>
        </w:tc>
      </w:tr>
      <w:tr>
        <w:trPr>
          <w:trHeight w:hRule="exact" w:val="57"/>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FFFFFF"/>
                <w:sz w:val="14"/>
              </w:rPr>
            </w:pPr>
            <w:r>
              <w:rPr>
                <w:rFonts w:ascii="Arial" w:hAnsi="Arial"/>
                <w:noProof/>
                <w:color w:val="FFFFFF"/>
                <w:sz w:val="14"/>
              </w:rPr>
              <w:t>UŠT</w:t>
            </w:r>
          </w:p>
        </w:tc>
        <w:tc>
          <w:tcPr>
            <w:tcW w:w="49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jc w:val="right"/>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75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lang w:bidi="en-GB"/>
              </w:rPr>
            </w:pPr>
          </w:p>
        </w:tc>
      </w:tr>
      <w:tr>
        <w:trPr>
          <w:trHeight w:hRule="exact" w:val="170"/>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49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rPr>
                <w:rFonts w:ascii="Arial" w:eastAsia="Arial" w:hAnsi="Arial" w:cs="Arial"/>
                <w:b/>
                <w:noProof/>
                <w:color w:val="FFFFFF"/>
                <w:sz w:val="16"/>
              </w:rPr>
            </w:pPr>
            <w:r>
              <w:rPr>
                <w:rFonts w:ascii="Arial" w:hAnsi="Arial"/>
                <w:b/>
                <w:noProof/>
                <w:color w:val="FFFFFF"/>
                <w:sz w:val="16"/>
              </w:rPr>
              <w:t>TARPINĖ SUMA. UŠT</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275</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0000"/>
                <w:sz w:val="16"/>
              </w:rPr>
            </w:pPr>
            <w:r>
              <w:rPr>
                <w:rFonts w:ascii="Arial" w:hAnsi="Arial"/>
                <w:b/>
                <w:noProof/>
                <w:color w:val="FF0000"/>
                <w:sz w:val="16"/>
              </w:rPr>
              <w:t>(4)</w:t>
            </w:r>
          </w:p>
        </w:tc>
        <w:tc>
          <w:tcPr>
            <w:tcW w:w="75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3"/>
              <w:rPr>
                <w:rFonts w:ascii="Arial" w:eastAsia="Arial" w:hAnsi="Arial" w:cs="Arial"/>
                <w:b/>
                <w:noProof/>
                <w:color w:val="FFFFFF"/>
                <w:sz w:val="16"/>
              </w:rPr>
            </w:pPr>
            <w:r>
              <w:rPr>
                <w:rFonts w:ascii="Arial" w:hAnsi="Arial"/>
                <w:b/>
                <w:noProof/>
                <w:color w:val="FFFFFF"/>
                <w:sz w:val="16"/>
              </w:rPr>
              <w:t>*2</w:t>
            </w:r>
          </w:p>
        </w:tc>
        <w:tc>
          <w:tcPr>
            <w:tcW w:w="2136"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271</w:t>
            </w:r>
          </w:p>
        </w:tc>
      </w:tr>
      <w:tr>
        <w:trPr>
          <w:trHeight w:hRule="exact" w:val="57"/>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4907"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75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lang w:bidi="en-GB"/>
              </w:rPr>
            </w:pPr>
          </w:p>
        </w:tc>
      </w:tr>
      <w:tr>
        <w:trPr>
          <w:trHeight w:hRule="exact" w:val="170"/>
        </w:trPr>
        <w:tc>
          <w:tcPr>
            <w:tcW w:w="486"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9004BIPTable13"/>
              <w:rPr>
                <w:rFonts w:ascii="Arial" w:eastAsia="Arial" w:hAnsi="Arial" w:cs="Arial"/>
                <w:noProof/>
                <w:color w:val="000000"/>
                <w:sz w:val="14"/>
              </w:rPr>
            </w:pPr>
          </w:p>
        </w:tc>
        <w:tc>
          <w:tcPr>
            <w:tcW w:w="490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3"/>
              <w:rPr>
                <w:rFonts w:ascii="Arial" w:eastAsia="Arial" w:hAnsi="Arial" w:cs="Arial"/>
                <w:b/>
                <w:noProof/>
                <w:color w:val="FFFFFF"/>
                <w:sz w:val="16"/>
              </w:rPr>
            </w:pPr>
            <w:r>
              <w:rPr>
                <w:rFonts w:ascii="Arial" w:hAnsi="Arial"/>
                <w:b/>
                <w:noProof/>
                <w:color w:val="FFFFFF"/>
                <w:sz w:val="16"/>
              </w:rPr>
              <w:t>IŠ VISO. 10-asis EPF</w:t>
            </w:r>
          </w:p>
        </w:tc>
        <w:tc>
          <w:tcPr>
            <w:tcW w:w="213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20 896</w:t>
            </w:r>
          </w:p>
        </w:tc>
        <w:tc>
          <w:tcPr>
            <w:tcW w:w="213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527</w:t>
            </w:r>
          </w:p>
        </w:tc>
        <w:tc>
          <w:tcPr>
            <w:tcW w:w="213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206</w:t>
            </w:r>
          </w:p>
        </w:tc>
        <w:tc>
          <w:tcPr>
            <w:tcW w:w="75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13"/>
              <w:rPr>
                <w:rFonts w:ascii="Arial" w:eastAsia="Arial" w:hAnsi="Arial" w:cs="Arial"/>
                <w:noProof/>
                <w:color w:val="FFFFFF"/>
                <w:sz w:val="14"/>
              </w:rPr>
            </w:pPr>
            <w:r>
              <w:rPr>
                <w:rFonts w:ascii="Arial" w:hAnsi="Arial"/>
                <w:noProof/>
                <w:color w:val="FFFFFF"/>
                <w:sz w:val="14"/>
              </w:rPr>
              <w:t>*2 *4</w:t>
            </w:r>
          </w:p>
        </w:tc>
        <w:tc>
          <w:tcPr>
            <w:tcW w:w="2136"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21 430</w:t>
            </w:r>
          </w:p>
        </w:tc>
      </w:tr>
    </w:tbl>
    <w:p>
      <w:pPr>
        <w:rPr>
          <w:rFonts w:ascii="Arial" w:hAnsi="Arial" w:cs="Arial"/>
          <w:noProof/>
          <w:color w:val="000000"/>
          <w:sz w:val="14"/>
          <w:szCs w:val="14"/>
        </w:rPr>
      </w:pPr>
      <w:r>
        <w:rPr>
          <w:rFonts w:ascii="Arial" w:hAnsi="Arial"/>
          <w:noProof/>
          <w:color w:val="000000"/>
          <w:sz w:val="14"/>
          <w:szCs w:val="14"/>
        </w:rPr>
        <w:t>*1 Gauti perkėlimai: iš 8-ojo ir 9-ojo EPF panaikintų įsipareigojimų į 10-ojo EPF rezervus.</w:t>
      </w:r>
    </w:p>
    <w:p>
      <w:pPr>
        <w:rPr>
          <w:rFonts w:ascii="Arial" w:hAnsi="Arial" w:cs="Arial"/>
          <w:noProof/>
          <w:color w:val="000000"/>
          <w:sz w:val="14"/>
          <w:szCs w:val="14"/>
        </w:rPr>
      </w:pPr>
      <w:r>
        <w:rPr>
          <w:rFonts w:ascii="Arial" w:hAnsi="Arial"/>
          <w:noProof/>
          <w:color w:val="000000"/>
          <w:sz w:val="14"/>
          <w:szCs w:val="14"/>
        </w:rPr>
        <w:t>*2 Visi sumažėjimai yra nepanaudotos lėšos, pervestos į 11-ojo EPF nemobilizuojamą veiklos lėšų rezervą.</w:t>
      </w:r>
    </w:p>
    <w:p>
      <w:pPr>
        <w:rPr>
          <w:rFonts w:ascii="Arial" w:hAnsi="Arial" w:cs="Arial"/>
          <w:noProof/>
          <w:color w:val="000000"/>
          <w:sz w:val="14"/>
          <w:szCs w:val="14"/>
        </w:rPr>
      </w:pPr>
      <w:r>
        <w:rPr>
          <w:rFonts w:ascii="Arial" w:hAnsi="Arial"/>
          <w:noProof/>
          <w:color w:val="000000"/>
          <w:sz w:val="14"/>
          <w:szCs w:val="14"/>
        </w:rPr>
        <w:t>*3 Kiek tai susiję su bendru finansavimu, lentelėje parodyti tik įsipareigojimų asignavimai.</w:t>
      </w:r>
    </w:p>
    <w:p>
      <w:pPr>
        <w:rPr>
          <w:rFonts w:ascii="Arial" w:hAnsi="Arial" w:cs="Arial"/>
          <w:noProof/>
          <w:color w:val="000000"/>
          <w:sz w:val="14"/>
          <w:szCs w:val="14"/>
        </w:rPr>
      </w:pPr>
      <w:r>
        <w:rPr>
          <w:rFonts w:ascii="Arial" w:hAnsi="Arial"/>
          <w:noProof/>
          <w:color w:val="000000"/>
          <w:sz w:val="14"/>
          <w:szCs w:val="14"/>
        </w:rPr>
        <w:t>*4 Remiantis Tarybos sprendimu 2017/xxx/ES, iš 10-ojo EPF nemobilizuojamo veiklos lėšų rezervo xxx mln. EUR papildomai skirta Afrikos taikos priemonei.</w:t>
      </w:r>
    </w:p>
    <w:p>
      <w:pPr>
        <w:rPr>
          <w:noProof/>
          <w:sz w:val="12"/>
          <w:szCs w:val="12"/>
        </w:rPr>
      </w:pPr>
    </w:p>
    <w:p>
      <w:pPr>
        <w:rPr>
          <w:noProof/>
          <w:sz w:val="12"/>
          <w:szCs w:val="12"/>
        </w:rPr>
        <w:sectPr>
          <w:headerReference w:type="even" r:id="rId341"/>
          <w:headerReference w:type="default" r:id="rId342"/>
          <w:footerReference w:type="even" r:id="rId343"/>
          <w:footerReference w:type="default" r:id="rId344"/>
          <w:headerReference w:type="first" r:id="rId345"/>
          <w:footerReference w:type="first" r:id="rId346"/>
          <w:pgSz w:w="16840" w:h="11907" w:orient="landscape" w:code="9"/>
          <w:pgMar w:top="1440" w:right="1134" w:bottom="1134" w:left="1134" w:header="709" w:footer="709" w:gutter="0"/>
          <w:cols w:space="708"/>
          <w:docGrid w:linePitch="360"/>
        </w:sectPr>
      </w:pPr>
    </w:p>
    <w:p>
      <w:pPr>
        <w:rPr>
          <w:noProof/>
          <w:sz w:val="16"/>
          <w:szCs w:val="16"/>
        </w:rPr>
      </w:pPr>
      <w:r>
        <w:rPr>
          <w:noProof/>
          <w:sz w:val="16"/>
          <w:szCs w:val="16"/>
        </w:rPr>
        <w:t>1.4 lentelė</w:t>
      </w:r>
    </w:p>
    <w:p>
      <w:pPr>
        <w:jc w:val="center"/>
        <w:rPr>
          <w:rFonts w:ascii="Arial" w:hAnsi="Arial" w:cs="Arial"/>
          <w:b/>
          <w:bCs/>
          <w:noProof/>
          <w:color w:val="000000"/>
          <w:sz w:val="16"/>
          <w:szCs w:val="16"/>
        </w:rPr>
      </w:pPr>
      <w:r>
        <w:rPr>
          <w:rFonts w:ascii="Arial" w:hAnsi="Arial"/>
          <w:b/>
          <w:bCs/>
          <w:noProof/>
          <w:color w:val="000000"/>
          <w:sz w:val="16"/>
          <w:szCs w:val="16"/>
        </w:rPr>
        <w:t>11-asis EPF</w:t>
      </w:r>
    </w:p>
    <w:p>
      <w:pPr>
        <w:jc w:val="center"/>
        <w:rPr>
          <w:rFonts w:ascii="Arial" w:hAnsi="Arial" w:cs="Arial"/>
          <w:b/>
          <w:bCs/>
          <w:noProof/>
          <w:color w:val="000000"/>
          <w:sz w:val="16"/>
          <w:szCs w:val="16"/>
        </w:rPr>
      </w:pPr>
      <w:r>
        <w:rPr>
          <w:rFonts w:ascii="Arial" w:hAnsi="Arial"/>
          <w:b/>
          <w:bCs/>
          <w:noProof/>
          <w:color w:val="000000"/>
          <w:sz w:val="16"/>
          <w:szCs w:val="16"/>
        </w:rPr>
        <w:t>ASIGNAVIMŲ POKYČIAI  2019 m. gruodžio 31 d.</w:t>
      </w:r>
    </w:p>
    <w:p>
      <w:pPr>
        <w:jc w:val="center"/>
        <w:rPr>
          <w:rFonts w:ascii="Arial" w:hAnsi="Arial" w:cs="Arial"/>
          <w:b/>
          <w:bCs/>
          <w:noProof/>
          <w:color w:val="000000"/>
          <w:sz w:val="16"/>
          <w:szCs w:val="16"/>
        </w:rPr>
      </w:pPr>
      <w:r>
        <w:rPr>
          <w:rFonts w:ascii="Arial" w:hAnsi="Arial"/>
          <w:b/>
          <w:bCs/>
          <w:noProof/>
          <w:color w:val="000000"/>
          <w:sz w:val="16"/>
          <w:szCs w:val="16"/>
        </w:rPr>
        <w:t>ASIGNAVIMŲ ANALIZĖ PAGAL PRIEMONES</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4915"/>
        <w:gridCol w:w="2139"/>
        <w:gridCol w:w="2139"/>
        <w:gridCol w:w="2139"/>
        <w:gridCol w:w="756"/>
        <w:gridCol w:w="2139"/>
      </w:tblGrid>
      <w:tr>
        <w:trPr>
          <w:trHeight w:hRule="exact" w:val="115"/>
        </w:trPr>
        <w:tc>
          <w:tcPr>
            <w:tcW w:w="486"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bookmarkStart w:id="142" w:name="DOC_TBL00060_1_1"/>
            <w:bookmarkEnd w:id="142"/>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jc w:val="right"/>
              <w:rPr>
                <w:rFonts w:ascii="Arial" w:eastAsia="Arial" w:hAnsi="Arial" w:cs="Arial"/>
                <w:noProof/>
                <w:color w:val="000000"/>
                <w:sz w:val="14"/>
              </w:rPr>
            </w:pPr>
            <w:r>
              <w:rPr>
                <w:rFonts w:ascii="Arial" w:hAnsi="Arial"/>
                <w:noProof/>
                <w:color w:val="000000"/>
                <w:sz w:val="14"/>
              </w:rPr>
              <w:t>(mln. EUR)</w:t>
            </w:r>
          </w:p>
        </w:tc>
      </w:tr>
      <w:tr>
        <w:trPr>
          <w:trHeight w:hRule="exact" w:val="714"/>
        </w:trPr>
        <w:tc>
          <w:tcPr>
            <w:tcW w:w="486"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b/>
                <w:noProof/>
                <w:color w:val="000000"/>
                <w:sz w:val="14"/>
              </w:rPr>
            </w:pPr>
            <w:r>
              <w:rPr>
                <w:rFonts w:ascii="Arial" w:hAnsi="Arial"/>
                <w:b/>
                <w:noProof/>
                <w:color w:val="000000"/>
                <w:sz w:val="14"/>
              </w:rPr>
              <w:t>PRIEMONĖ</w:t>
            </w:r>
          </w:p>
        </w:tc>
        <w:tc>
          <w:tcPr>
            <w:tcW w:w="2139"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b/>
                <w:noProof/>
                <w:color w:val="000000"/>
                <w:sz w:val="14"/>
              </w:rPr>
            </w:pPr>
            <w:r>
              <w:rPr>
                <w:rFonts w:ascii="Arial" w:hAnsi="Arial"/>
                <w:b/>
                <w:noProof/>
                <w:color w:val="000000"/>
                <w:sz w:val="14"/>
              </w:rPr>
              <w:t>PRADINIS ASIGNAVIMAS</w:t>
            </w:r>
          </w:p>
        </w:tc>
        <w:tc>
          <w:tcPr>
            <w:tcW w:w="2139"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b/>
                <w:noProof/>
                <w:color w:val="000000"/>
                <w:sz w:val="14"/>
              </w:rPr>
            </w:pPr>
            <w:r>
              <w:rPr>
                <w:rFonts w:ascii="Arial" w:hAnsi="Arial"/>
                <w:b/>
                <w:noProof/>
                <w:color w:val="000000"/>
                <w:sz w:val="14"/>
              </w:rPr>
              <w:t>SUKAUPTŲ IŠTEKLIŲ PADIDĖJIMAS / SUMAŽĖJIMAS 2018 D. GRUODŽIO 31 D.</w:t>
            </w:r>
          </w:p>
        </w:tc>
        <w:tc>
          <w:tcPr>
            <w:tcW w:w="2139"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b/>
                <w:noProof/>
                <w:color w:val="000000"/>
                <w:sz w:val="14"/>
              </w:rPr>
            </w:pPr>
            <w:r>
              <w:rPr>
                <w:rFonts w:ascii="Arial" w:hAnsi="Arial"/>
                <w:b/>
                <w:noProof/>
                <w:color w:val="000000"/>
                <w:sz w:val="14"/>
              </w:rPr>
              <w:t>IŠTEKLIŲ PADIDĖJIMAS ARBA SUMAŽĖJIMAS 2019 M.</w:t>
            </w:r>
          </w:p>
        </w:tc>
        <w:tc>
          <w:tcPr>
            <w:tcW w:w="75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b/>
                <w:noProof/>
                <w:color w:val="000000"/>
                <w:sz w:val="14"/>
              </w:rPr>
            </w:pPr>
            <w:r>
              <w:rPr>
                <w:rFonts w:ascii="Arial" w:hAnsi="Arial"/>
                <w:b/>
                <w:noProof/>
                <w:color w:val="000000"/>
                <w:sz w:val="14"/>
              </w:rPr>
              <w:t>Pastabos</w:t>
            </w:r>
          </w:p>
        </w:tc>
        <w:tc>
          <w:tcPr>
            <w:tcW w:w="2139"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b/>
                <w:noProof/>
                <w:color w:val="000000"/>
                <w:sz w:val="14"/>
              </w:rPr>
            </w:pPr>
            <w:r>
              <w:rPr>
                <w:rFonts w:ascii="Arial" w:hAnsi="Arial"/>
                <w:b/>
                <w:noProof/>
                <w:color w:val="000000"/>
                <w:sz w:val="14"/>
              </w:rPr>
              <w:t>DABARTINIS ASIGNAVIMŲ LYGIS</w:t>
            </w:r>
          </w:p>
        </w:tc>
      </w:tr>
      <w:tr>
        <w:trPr>
          <w:trHeight w:hRule="exact" w:val="173"/>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noProof/>
                <w:color w:val="FFFFFF"/>
                <w:sz w:val="14"/>
              </w:rPr>
            </w:pPr>
          </w:p>
        </w:tc>
        <w:tc>
          <w:tcPr>
            <w:tcW w:w="4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hAnsi="Arial"/>
                <w:b/>
                <w:i/>
                <w:noProof/>
                <w:color w:val="000000"/>
                <w:sz w:val="14"/>
              </w:rPr>
              <w:t>Įprasti VN įnašai</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82</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p>
        </w:tc>
        <w:tc>
          <w:tcPr>
            <w:tcW w:w="75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p>
        </w:tc>
        <w:tc>
          <w:tcPr>
            <w:tcW w:w="213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82</w:t>
            </w:r>
          </w:p>
        </w:tc>
      </w:tr>
      <w:tr>
        <w:trPr>
          <w:trHeight w:hRule="exact" w:val="173"/>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r>
              <w:rPr>
                <w:rFonts w:ascii="Arial" w:hAnsi="Arial"/>
                <w:noProof/>
                <w:color w:val="000000"/>
                <w:sz w:val="14"/>
              </w:rPr>
              <w:t>AKR</w:t>
            </w: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A paketas. Nacionaliniai asignavimai</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65</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65</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B paketas. Nacionaliniai asignavimai</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17</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17</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Nacionalinių asignavimų rezervas, A paketas, STABEX</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r>
      <w:tr>
        <w:trPr>
          <w:trHeight w:hRule="exact" w:val="28"/>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FFFFFF"/>
                <w:sz w:val="14"/>
              </w:rPr>
            </w:pPr>
            <w:r>
              <w:rPr>
                <w:rFonts w:ascii="Arial" w:hAnsi="Arial"/>
                <w:noProof/>
                <w:color w:val="FFFFFF"/>
                <w:sz w:val="14"/>
              </w:rPr>
              <w:t>AKR</w:t>
            </w:r>
          </w:p>
        </w:tc>
        <w:tc>
          <w:tcPr>
            <w:tcW w:w="491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jc w:val="right"/>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75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lang w:bidi="en-GB"/>
              </w:rPr>
            </w:pPr>
          </w:p>
        </w:tc>
      </w:tr>
      <w:tr>
        <w:trPr>
          <w:trHeight w:hRule="exact" w:val="173"/>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491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rPr>
                <w:rFonts w:ascii="Arial" w:eastAsia="Arial" w:hAnsi="Arial" w:cs="Arial"/>
                <w:b/>
                <w:noProof/>
                <w:color w:val="FFFFFF"/>
                <w:sz w:val="16"/>
              </w:rPr>
            </w:pPr>
            <w:r>
              <w:rPr>
                <w:rFonts w:ascii="Arial" w:hAnsi="Arial"/>
                <w:b/>
                <w:noProof/>
                <w:color w:val="FFFFFF"/>
                <w:sz w:val="16"/>
              </w:rPr>
              <w:t>TARPINĖ SUMA. AKR</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hAnsi="Arial"/>
                <w:b/>
                <w:noProof/>
                <w:color w:val="FFFFFF"/>
                <w:sz w:val="16"/>
              </w:rPr>
              <w:t>–</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hAnsi="Arial"/>
                <w:b/>
                <w:noProof/>
                <w:color w:val="FFFFFF"/>
                <w:sz w:val="16"/>
              </w:rPr>
              <w:t>82</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rPr>
                <w:rFonts w:ascii="Arial" w:eastAsia="Arial" w:hAnsi="Arial" w:cs="Arial"/>
                <w:b/>
                <w:noProof/>
                <w:color w:val="FFFFFF"/>
                <w:sz w:val="16"/>
              </w:rPr>
            </w:pPr>
          </w:p>
        </w:tc>
        <w:tc>
          <w:tcPr>
            <w:tcW w:w="75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4"/>
              <w:rPr>
                <w:rFonts w:ascii="Arial" w:eastAsia="Arial" w:hAnsi="Arial" w:cs="Arial"/>
                <w:b/>
                <w:noProof/>
                <w:color w:val="FFFFFF"/>
                <w:sz w:val="16"/>
              </w:rPr>
            </w:pPr>
          </w:p>
        </w:tc>
        <w:tc>
          <w:tcPr>
            <w:tcW w:w="2139"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hAnsi="Arial"/>
                <w:b/>
                <w:noProof/>
                <w:color w:val="FFFFFF"/>
                <w:sz w:val="16"/>
              </w:rPr>
              <w:t>82</w:t>
            </w:r>
          </w:p>
        </w:tc>
      </w:tr>
      <w:tr>
        <w:trPr>
          <w:trHeight w:hRule="exact" w:val="28"/>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49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lang w:bidi="en-GB"/>
              </w:rPr>
            </w:pPr>
          </w:p>
        </w:tc>
      </w:tr>
      <w:tr>
        <w:trPr>
          <w:trHeight w:hRule="exact" w:val="173"/>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noProof/>
                <w:color w:val="FFFFFF"/>
                <w:sz w:val="14"/>
              </w:rPr>
            </w:pPr>
          </w:p>
        </w:tc>
        <w:tc>
          <w:tcPr>
            <w:tcW w:w="4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hAnsi="Arial"/>
                <w:b/>
                <w:i/>
                <w:noProof/>
                <w:color w:val="000000"/>
                <w:sz w:val="14"/>
              </w:rPr>
              <w:t>Įprasti VN įnašai</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29 008</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253</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FF0000"/>
                <w:sz w:val="14"/>
              </w:rPr>
            </w:pPr>
            <w:r>
              <w:rPr>
                <w:rFonts w:ascii="Arial" w:hAnsi="Arial"/>
                <w:b/>
                <w:i/>
                <w:noProof/>
                <w:color w:val="FF0000"/>
                <w:sz w:val="14"/>
              </w:rPr>
              <w:t>(179)</w:t>
            </w:r>
          </w:p>
        </w:tc>
        <w:tc>
          <w:tcPr>
            <w:tcW w:w="75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p>
        </w:tc>
        <w:tc>
          <w:tcPr>
            <w:tcW w:w="213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29 081</w:t>
            </w:r>
          </w:p>
        </w:tc>
      </w:tr>
      <w:tr>
        <w:trPr>
          <w:trHeight w:hRule="exact" w:val="173"/>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r>
              <w:rPr>
                <w:rFonts w:ascii="Arial" w:hAnsi="Arial"/>
                <w:noProof/>
                <w:color w:val="000000"/>
                <w:sz w:val="14"/>
              </w:rPr>
              <w:t xml:space="preserve">AKR </w:t>
            </w: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A paketas. Nacionaliniai asignavimai</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15 354</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213</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15 567</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B paketas. Nacionaliniai asignavimai</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700</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139</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838</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B paketo rezervas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Įgyvendinimo išlaidos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1 053</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1 053</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Institucinės ir paramos išlaidos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246</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FF0000"/>
                <w:sz w:val="14"/>
              </w:rPr>
            </w:pPr>
            <w:r>
              <w:rPr>
                <w:rFonts w:ascii="Arial" w:hAnsi="Arial"/>
                <w:noProof/>
                <w:color w:val="FF0000"/>
                <w:sz w:val="14"/>
              </w:rPr>
              <w:t>(49)</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197</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Palūkanos ir kitos pajamos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16</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2</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18</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AKR vidaus rezervas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3 590</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FF0000"/>
                <w:sz w:val="14"/>
              </w:rPr>
            </w:pPr>
            <w:r>
              <w:rPr>
                <w:rFonts w:ascii="Arial" w:hAnsi="Arial"/>
                <w:noProof/>
                <w:color w:val="FF0000"/>
                <w:sz w:val="14"/>
              </w:rPr>
              <w:t>(3 521)</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FF0000"/>
                <w:sz w:val="14"/>
              </w:rPr>
            </w:pPr>
            <w:r>
              <w:rPr>
                <w:rFonts w:ascii="Arial" w:hAnsi="Arial"/>
                <w:noProof/>
                <w:color w:val="FF0000"/>
                <w:sz w:val="14"/>
              </w:rPr>
              <w:t>(42)</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27</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Nacionalinių asignavimų rezervas, A paketas, STABEX</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NOP / ROP rezervas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24 365</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FF0000"/>
                <w:sz w:val="14"/>
              </w:rPr>
            </w:pPr>
            <w:r>
              <w:rPr>
                <w:rFonts w:ascii="Arial" w:hAnsi="Arial"/>
                <w:noProof/>
                <w:color w:val="FF0000"/>
                <w:sz w:val="14"/>
              </w:rPr>
              <w:t>(23 095)</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FF0000"/>
                <w:sz w:val="14"/>
              </w:rPr>
            </w:pPr>
            <w:r>
              <w:rPr>
                <w:rFonts w:ascii="Arial" w:hAnsi="Arial"/>
                <w:noProof/>
                <w:color w:val="FF0000"/>
                <w:sz w:val="14"/>
              </w:rPr>
              <w:t>(731)</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540</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Nemobilizuojamas rezervas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311</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FF0000"/>
                <w:sz w:val="14"/>
              </w:rPr>
            </w:pPr>
            <w:r>
              <w:rPr>
                <w:rFonts w:ascii="Arial" w:hAnsi="Arial"/>
                <w:noProof/>
                <w:color w:val="FF0000"/>
                <w:sz w:val="14"/>
              </w:rPr>
              <w:t>(181)</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*1</w:t>
            </w: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130</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Kiti AKR vidaus asignavimai</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2 700</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91</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2 791</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Taikos priemonė</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1 000</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1 000</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Regioniniai asignavimai</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6 541</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379</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6 920</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hAnsi="Arial"/>
                <w:b/>
                <w:i/>
                <w:noProof/>
                <w:color w:val="000000"/>
                <w:sz w:val="14"/>
              </w:rPr>
              <w:t>Bendras finansavimas</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38</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35</w:t>
            </w:r>
          </w:p>
        </w:tc>
        <w:tc>
          <w:tcPr>
            <w:tcW w:w="75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hAnsi="Arial"/>
                <w:b/>
                <w:i/>
                <w:noProof/>
                <w:color w:val="000000"/>
                <w:sz w:val="14"/>
              </w:rPr>
              <w:t>*2</w:t>
            </w:r>
          </w:p>
        </w:tc>
        <w:tc>
          <w:tcPr>
            <w:tcW w:w="213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73</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A paketas. Nacionaliniai asignavimai</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23</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19</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*2</w:t>
            </w: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42</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Įgyvendinimo išlaidos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2</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*2</w:t>
            </w: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3</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Taikos priemonė</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11</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13</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*2</w:t>
            </w: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24</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Regioniniai asignavimai</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2</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2</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*2</w:t>
            </w: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4</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hAnsi="Arial"/>
                <w:b/>
                <w:i/>
                <w:noProof/>
                <w:color w:val="000000"/>
                <w:sz w:val="14"/>
              </w:rPr>
              <w:t>EK vidaus susitarimai dėl paslaugų lygio</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1</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p>
        </w:tc>
        <w:tc>
          <w:tcPr>
            <w:tcW w:w="75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p>
        </w:tc>
        <w:tc>
          <w:tcPr>
            <w:tcW w:w="213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1</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A paketas. Nacionaliniai asignavimai</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w:t>
            </w:r>
          </w:p>
        </w:tc>
      </w:tr>
      <w:tr>
        <w:trPr>
          <w:trHeight w:hRule="exact" w:val="20"/>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FFFFFF"/>
                <w:sz w:val="14"/>
              </w:rPr>
            </w:pPr>
            <w:r>
              <w:rPr>
                <w:rFonts w:ascii="Arial" w:hAnsi="Arial"/>
                <w:noProof/>
                <w:color w:val="FFFFFF"/>
                <w:sz w:val="14"/>
              </w:rPr>
              <w:t xml:space="preserve">AKR </w:t>
            </w:r>
          </w:p>
        </w:tc>
        <w:tc>
          <w:tcPr>
            <w:tcW w:w="491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jc w:val="right"/>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75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lang w:bidi="en-GB"/>
              </w:rPr>
            </w:pPr>
          </w:p>
        </w:tc>
      </w:tr>
      <w:tr>
        <w:trPr>
          <w:trHeight w:hRule="exact" w:val="173"/>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491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rPr>
                <w:rFonts w:ascii="Arial" w:eastAsia="Arial" w:hAnsi="Arial" w:cs="Arial"/>
                <w:b/>
                <w:noProof/>
                <w:color w:val="FFFFFF"/>
                <w:sz w:val="16"/>
              </w:rPr>
            </w:pPr>
            <w:r>
              <w:rPr>
                <w:rFonts w:ascii="Arial" w:hAnsi="Arial"/>
                <w:b/>
                <w:noProof/>
                <w:color w:val="FFFFFF"/>
                <w:sz w:val="16"/>
              </w:rPr>
              <w:t xml:space="preserve">TARPINĖ SUMA. AKR </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hAnsi="Arial"/>
                <w:b/>
                <w:noProof/>
                <w:color w:val="FFFFFF"/>
                <w:sz w:val="16"/>
              </w:rPr>
              <w:t>29 008</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hAnsi="Arial"/>
                <w:b/>
                <w:noProof/>
                <w:color w:val="FFFFFF"/>
                <w:sz w:val="16"/>
              </w:rPr>
              <w:t>291</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rPr>
                <w:rFonts w:ascii="Arial" w:eastAsia="Arial" w:hAnsi="Arial" w:cs="Arial"/>
                <w:b/>
                <w:noProof/>
                <w:color w:val="FFFFFF"/>
                <w:sz w:val="16"/>
              </w:rPr>
            </w:pPr>
          </w:p>
        </w:tc>
        <w:tc>
          <w:tcPr>
            <w:tcW w:w="75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4"/>
              <w:rPr>
                <w:rFonts w:ascii="Arial" w:eastAsia="Arial" w:hAnsi="Arial" w:cs="Arial"/>
                <w:b/>
                <w:noProof/>
                <w:color w:val="FFFFFF"/>
                <w:sz w:val="16"/>
              </w:rPr>
            </w:pPr>
          </w:p>
        </w:tc>
        <w:tc>
          <w:tcPr>
            <w:tcW w:w="2139"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hAnsi="Arial"/>
                <w:b/>
                <w:noProof/>
                <w:color w:val="FFFFFF"/>
                <w:sz w:val="16"/>
              </w:rPr>
              <w:t>29 155</w:t>
            </w:r>
          </w:p>
        </w:tc>
      </w:tr>
      <w:tr>
        <w:trPr>
          <w:trHeight w:hRule="exact" w:val="28"/>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49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lang w:bidi="en-GB"/>
              </w:rPr>
            </w:pPr>
          </w:p>
        </w:tc>
      </w:tr>
      <w:tr>
        <w:trPr>
          <w:trHeight w:hRule="exact" w:val="173"/>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noProof/>
                <w:color w:val="FFFFFF"/>
                <w:sz w:val="14"/>
              </w:rPr>
            </w:pPr>
          </w:p>
        </w:tc>
        <w:tc>
          <w:tcPr>
            <w:tcW w:w="4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hAnsi="Arial"/>
                <w:b/>
                <w:i/>
                <w:noProof/>
                <w:color w:val="000000"/>
                <w:sz w:val="14"/>
              </w:rPr>
              <w:t>Įprasti VN įnašai</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350</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5</w:t>
            </w:r>
          </w:p>
        </w:tc>
        <w:tc>
          <w:tcPr>
            <w:tcW w:w="75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p>
        </w:tc>
        <w:tc>
          <w:tcPr>
            <w:tcW w:w="213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355</w:t>
            </w:r>
          </w:p>
        </w:tc>
      </w:tr>
      <w:tr>
        <w:trPr>
          <w:trHeight w:hRule="exact" w:val="173"/>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r>
              <w:rPr>
                <w:rFonts w:ascii="Arial" w:hAnsi="Arial"/>
                <w:noProof/>
                <w:color w:val="000000"/>
                <w:sz w:val="14"/>
              </w:rPr>
              <w:t>UŠT</w:t>
            </w: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A paketas. Nacionaliniai asignavimai</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196</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196</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B paketas. Nacionaliniai asignavimai</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8</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8</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NOP / ROP rezervas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49</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FF0000"/>
                <w:sz w:val="14"/>
              </w:rPr>
            </w:pPr>
            <w:r>
              <w:rPr>
                <w:rFonts w:ascii="Arial" w:hAnsi="Arial"/>
                <w:noProof/>
                <w:color w:val="FF0000"/>
                <w:sz w:val="14"/>
              </w:rPr>
              <w:t>(18)</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32</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Nemobilizuojamas rezervas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7</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5</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*1</w:t>
            </w: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12</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Regioniniai asignavimai</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81</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18</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99</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Tyrimai / techninė pagalba UŠT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9</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9</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hAnsi="Arial"/>
                <w:b/>
                <w:i/>
                <w:noProof/>
                <w:color w:val="000000"/>
                <w:sz w:val="14"/>
              </w:rPr>
              <w:t>Bendras finansavimas</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p>
        </w:tc>
        <w:tc>
          <w:tcPr>
            <w:tcW w:w="75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p>
        </w:tc>
        <w:tc>
          <w:tcPr>
            <w:tcW w:w="213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A paketas. Nacionaliniai asignavimai</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hAnsi="Arial"/>
                <w:b/>
                <w:i/>
                <w:noProof/>
                <w:color w:val="000000"/>
                <w:sz w:val="14"/>
              </w:rPr>
              <w:t>EK vidaus susitarimai dėl paslaugų lygio</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p>
        </w:tc>
        <w:tc>
          <w:tcPr>
            <w:tcW w:w="75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p>
        </w:tc>
        <w:tc>
          <w:tcPr>
            <w:tcW w:w="213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A paketas. Nacionaliniai asignavimai</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r>
      <w:tr>
        <w:trPr>
          <w:trHeight w:hRule="exact" w:val="28"/>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FFFFFF"/>
                <w:sz w:val="14"/>
              </w:rPr>
            </w:pPr>
            <w:r>
              <w:rPr>
                <w:rFonts w:ascii="Arial" w:hAnsi="Arial"/>
                <w:noProof/>
                <w:color w:val="FFFFFF"/>
                <w:sz w:val="14"/>
              </w:rPr>
              <w:t>UŠT</w:t>
            </w:r>
          </w:p>
        </w:tc>
        <w:tc>
          <w:tcPr>
            <w:tcW w:w="491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jc w:val="right"/>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75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lang w:bidi="en-GB"/>
              </w:rPr>
            </w:pPr>
          </w:p>
        </w:tc>
      </w:tr>
      <w:tr>
        <w:trPr>
          <w:trHeight w:hRule="exact" w:val="173"/>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491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rPr>
                <w:rFonts w:ascii="Arial" w:eastAsia="Arial" w:hAnsi="Arial" w:cs="Arial"/>
                <w:b/>
                <w:noProof/>
                <w:color w:val="FFFFFF"/>
                <w:sz w:val="16"/>
              </w:rPr>
            </w:pPr>
            <w:r>
              <w:rPr>
                <w:rFonts w:ascii="Arial" w:hAnsi="Arial"/>
                <w:b/>
                <w:noProof/>
                <w:color w:val="FFFFFF"/>
                <w:sz w:val="16"/>
              </w:rPr>
              <w:t>TARPINĖ SUMA. UŠT</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hAnsi="Arial"/>
                <w:b/>
                <w:noProof/>
                <w:color w:val="FFFFFF"/>
                <w:sz w:val="16"/>
              </w:rPr>
              <w:t>–</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hAnsi="Arial"/>
                <w:b/>
                <w:noProof/>
                <w:color w:val="FFFFFF"/>
                <w:sz w:val="16"/>
              </w:rPr>
              <w:t>350</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rPr>
                <w:rFonts w:ascii="Arial" w:eastAsia="Arial" w:hAnsi="Arial" w:cs="Arial"/>
                <w:b/>
                <w:noProof/>
                <w:color w:val="FFFFFF"/>
                <w:sz w:val="16"/>
              </w:rPr>
            </w:pPr>
          </w:p>
        </w:tc>
        <w:tc>
          <w:tcPr>
            <w:tcW w:w="75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4"/>
              <w:rPr>
                <w:rFonts w:ascii="Arial" w:eastAsia="Arial" w:hAnsi="Arial" w:cs="Arial"/>
                <w:b/>
                <w:noProof/>
                <w:color w:val="FFFFFF"/>
                <w:sz w:val="16"/>
              </w:rPr>
            </w:pPr>
          </w:p>
        </w:tc>
        <w:tc>
          <w:tcPr>
            <w:tcW w:w="2139"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hAnsi="Arial"/>
                <w:b/>
                <w:noProof/>
                <w:color w:val="FFFFFF"/>
                <w:sz w:val="16"/>
              </w:rPr>
              <w:t>355</w:t>
            </w:r>
          </w:p>
        </w:tc>
      </w:tr>
      <w:tr>
        <w:trPr>
          <w:trHeight w:hRule="exact" w:val="28"/>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49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lang w:bidi="en-GB"/>
              </w:rPr>
            </w:pPr>
          </w:p>
        </w:tc>
      </w:tr>
      <w:tr>
        <w:trPr>
          <w:trHeight w:hRule="exact" w:val="162"/>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noProof/>
                <w:color w:val="FFFFFF"/>
                <w:sz w:val="14"/>
              </w:rPr>
            </w:pPr>
          </w:p>
        </w:tc>
        <w:tc>
          <w:tcPr>
            <w:tcW w:w="4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hAnsi="Arial"/>
                <w:b/>
                <w:i/>
                <w:noProof/>
                <w:color w:val="000000"/>
                <w:sz w:val="14"/>
              </w:rPr>
              <w:t>Įprasti VN įnašai</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17</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p>
        </w:tc>
        <w:tc>
          <w:tcPr>
            <w:tcW w:w="75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p>
        </w:tc>
        <w:tc>
          <w:tcPr>
            <w:tcW w:w="213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17</w:t>
            </w:r>
          </w:p>
        </w:tc>
      </w:tr>
      <w:tr>
        <w:trPr>
          <w:trHeight w:hRule="exact" w:val="162"/>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A paketas. Nacionaliniai asignavimai</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10</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10</w:t>
            </w:r>
          </w:p>
        </w:tc>
      </w:tr>
      <w:tr>
        <w:trPr>
          <w:trHeight w:hRule="exact" w:val="16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B paketas. Nacionaliniai asignavimai</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7</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7</w:t>
            </w:r>
          </w:p>
        </w:tc>
      </w:tr>
      <w:tr>
        <w:trPr>
          <w:trHeight w:hRule="exact" w:val="28"/>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FFFFFF"/>
                <w:sz w:val="14"/>
              </w:rPr>
            </w:pPr>
          </w:p>
        </w:tc>
        <w:tc>
          <w:tcPr>
            <w:tcW w:w="491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jc w:val="right"/>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75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lang w:bidi="en-GB"/>
              </w:rPr>
            </w:pPr>
          </w:p>
        </w:tc>
      </w:tr>
      <w:tr>
        <w:trPr>
          <w:trHeight w:hRule="exact" w:val="162"/>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491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rPr>
                <w:rFonts w:ascii="Arial" w:eastAsia="Arial" w:hAnsi="Arial" w:cs="Arial"/>
                <w:b/>
                <w:noProof/>
                <w:color w:val="FFFFFF"/>
                <w:sz w:val="16"/>
              </w:rPr>
            </w:pPr>
            <w:r>
              <w:rPr>
                <w:rFonts w:ascii="Arial" w:hAnsi="Arial"/>
                <w:b/>
                <w:noProof/>
                <w:color w:val="FFFFFF"/>
                <w:sz w:val="16"/>
              </w:rPr>
              <w:t xml:space="preserve">TARPINĖ SUMA </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hAnsi="Arial"/>
                <w:b/>
                <w:noProof/>
                <w:color w:val="FFFFFF"/>
                <w:sz w:val="16"/>
              </w:rPr>
              <w:t>–</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hAnsi="Arial"/>
                <w:b/>
                <w:noProof/>
                <w:color w:val="FFFFFF"/>
                <w:sz w:val="16"/>
              </w:rPr>
              <w:t>17</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rPr>
                <w:rFonts w:ascii="Arial" w:eastAsia="Arial" w:hAnsi="Arial" w:cs="Arial"/>
                <w:b/>
                <w:noProof/>
                <w:color w:val="FFFFFF"/>
                <w:sz w:val="16"/>
              </w:rPr>
            </w:pPr>
          </w:p>
        </w:tc>
        <w:tc>
          <w:tcPr>
            <w:tcW w:w="75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4"/>
              <w:rPr>
                <w:rFonts w:ascii="Arial" w:eastAsia="Arial" w:hAnsi="Arial" w:cs="Arial"/>
                <w:b/>
                <w:noProof/>
                <w:color w:val="FFFFFF"/>
                <w:sz w:val="16"/>
              </w:rPr>
            </w:pPr>
          </w:p>
        </w:tc>
        <w:tc>
          <w:tcPr>
            <w:tcW w:w="2139"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hAnsi="Arial"/>
                <w:b/>
                <w:noProof/>
                <w:color w:val="FFFFFF"/>
                <w:sz w:val="16"/>
              </w:rPr>
              <w:t>17</w:t>
            </w:r>
          </w:p>
        </w:tc>
      </w:tr>
      <w:tr>
        <w:trPr>
          <w:trHeight w:hRule="exact" w:val="20"/>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49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lang w:bidi="en-GB"/>
              </w:rPr>
            </w:pPr>
          </w:p>
        </w:tc>
      </w:tr>
      <w:tr>
        <w:trPr>
          <w:trHeight w:hRule="exact" w:val="231"/>
        </w:trPr>
        <w:tc>
          <w:tcPr>
            <w:tcW w:w="486"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9004BIPTable14"/>
              <w:rPr>
                <w:rFonts w:ascii="Arial" w:eastAsia="Arial" w:hAnsi="Arial" w:cs="Arial"/>
                <w:noProof/>
                <w:color w:val="000000"/>
                <w:sz w:val="14"/>
              </w:rPr>
            </w:pPr>
          </w:p>
        </w:tc>
        <w:tc>
          <w:tcPr>
            <w:tcW w:w="491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4"/>
              <w:rPr>
                <w:rFonts w:ascii="Arial" w:eastAsia="Arial" w:hAnsi="Arial" w:cs="Arial"/>
                <w:b/>
                <w:noProof/>
                <w:color w:val="FFFFFF"/>
                <w:sz w:val="16"/>
              </w:rPr>
            </w:pPr>
            <w:r>
              <w:rPr>
                <w:rFonts w:ascii="Arial" w:hAnsi="Arial"/>
                <w:b/>
                <w:noProof/>
                <w:color w:val="FFFFFF"/>
                <w:sz w:val="16"/>
              </w:rPr>
              <w:t>IŠ VISO. 11-asis EPF</w:t>
            </w:r>
          </w:p>
        </w:tc>
        <w:tc>
          <w:tcPr>
            <w:tcW w:w="2139"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4"/>
              <w:jc w:val="right"/>
              <w:rPr>
                <w:rFonts w:ascii="Arial" w:eastAsia="Arial" w:hAnsi="Arial" w:cs="Arial"/>
                <w:noProof/>
                <w:color w:val="FFFFFF"/>
                <w:sz w:val="16"/>
              </w:rPr>
            </w:pPr>
            <w:r>
              <w:rPr>
                <w:rFonts w:ascii="Arial" w:hAnsi="Arial"/>
                <w:noProof/>
                <w:color w:val="FFFFFF"/>
                <w:sz w:val="16"/>
              </w:rPr>
              <w:t>29 008</w:t>
            </w:r>
          </w:p>
        </w:tc>
        <w:tc>
          <w:tcPr>
            <w:tcW w:w="2139"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4"/>
              <w:jc w:val="right"/>
              <w:rPr>
                <w:rFonts w:ascii="Arial" w:eastAsia="Arial" w:hAnsi="Arial" w:cs="Arial"/>
                <w:noProof/>
                <w:color w:val="FFFFFF"/>
                <w:sz w:val="16"/>
              </w:rPr>
            </w:pPr>
            <w:r>
              <w:rPr>
                <w:rFonts w:ascii="Arial" w:hAnsi="Arial"/>
                <w:noProof/>
                <w:color w:val="FFFFFF"/>
                <w:sz w:val="16"/>
              </w:rPr>
              <w:t>740</w:t>
            </w:r>
          </w:p>
        </w:tc>
        <w:tc>
          <w:tcPr>
            <w:tcW w:w="2139"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4"/>
              <w:jc w:val="right"/>
              <w:rPr>
                <w:rFonts w:ascii="Arial" w:eastAsia="Arial" w:hAnsi="Arial" w:cs="Arial"/>
                <w:noProof/>
                <w:color w:val="FF0000"/>
                <w:sz w:val="16"/>
              </w:rPr>
            </w:pPr>
            <w:r>
              <w:rPr>
                <w:rFonts w:ascii="Arial" w:hAnsi="Arial"/>
                <w:noProof/>
                <w:color w:val="FF0000"/>
                <w:sz w:val="16"/>
              </w:rPr>
              <w:t>(139)</w:t>
            </w:r>
          </w:p>
        </w:tc>
        <w:tc>
          <w:tcPr>
            <w:tcW w:w="75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14"/>
              <w:rPr>
                <w:rFonts w:ascii="Arial" w:eastAsia="Arial" w:hAnsi="Arial" w:cs="Arial"/>
                <w:noProof/>
                <w:color w:val="FFFFFF"/>
                <w:sz w:val="14"/>
              </w:rPr>
            </w:pPr>
          </w:p>
        </w:tc>
        <w:tc>
          <w:tcPr>
            <w:tcW w:w="2139"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pStyle w:val="DMETW19004BIPTable14"/>
              <w:jc w:val="right"/>
              <w:rPr>
                <w:rFonts w:ascii="Arial" w:eastAsia="Arial" w:hAnsi="Arial" w:cs="Arial"/>
                <w:noProof/>
                <w:color w:val="FFFFFF"/>
                <w:sz w:val="16"/>
              </w:rPr>
            </w:pPr>
            <w:r>
              <w:rPr>
                <w:rFonts w:ascii="Arial" w:hAnsi="Arial"/>
                <w:noProof/>
                <w:color w:val="FFFFFF"/>
                <w:sz w:val="16"/>
              </w:rPr>
              <w:t>29 608</w:t>
            </w:r>
          </w:p>
        </w:tc>
      </w:tr>
    </w:tbl>
    <w:p>
      <w:pPr>
        <w:rPr>
          <w:rFonts w:ascii="Arial" w:hAnsi="Arial" w:cs="Arial"/>
          <w:noProof/>
          <w:color w:val="000000"/>
          <w:sz w:val="14"/>
          <w:szCs w:val="14"/>
        </w:rPr>
      </w:pPr>
      <w:r>
        <w:rPr>
          <w:rFonts w:ascii="Arial" w:hAnsi="Arial"/>
          <w:noProof/>
          <w:color w:val="000000"/>
          <w:sz w:val="14"/>
          <w:szCs w:val="14"/>
        </w:rPr>
        <w:t>*1 Gauti perkėlimai: iš 10-ojo EPF panaikintų įsipareigojimų į 10-ojo EPF rezervus.</w:t>
      </w:r>
    </w:p>
    <w:p>
      <w:pPr>
        <w:rPr>
          <w:rFonts w:ascii="Arial" w:hAnsi="Arial" w:cs="Arial"/>
          <w:noProof/>
          <w:color w:val="000000"/>
          <w:sz w:val="14"/>
          <w:szCs w:val="14"/>
        </w:rPr>
        <w:sectPr>
          <w:headerReference w:type="even" r:id="rId347"/>
          <w:headerReference w:type="default" r:id="rId348"/>
          <w:footerReference w:type="even" r:id="rId349"/>
          <w:footerReference w:type="default" r:id="rId350"/>
          <w:headerReference w:type="first" r:id="rId351"/>
          <w:footerReference w:type="first" r:id="rId352"/>
          <w:pgSz w:w="16840" w:h="11907" w:orient="landscape" w:code="9"/>
          <w:pgMar w:top="1276" w:right="1134" w:bottom="1134" w:left="1134" w:header="709" w:footer="709" w:gutter="0"/>
          <w:cols w:space="708"/>
          <w:docGrid w:linePitch="360"/>
        </w:sectPr>
      </w:pPr>
      <w:r>
        <w:rPr>
          <w:rFonts w:ascii="Arial" w:hAnsi="Arial"/>
          <w:noProof/>
          <w:color w:val="000000"/>
          <w:sz w:val="14"/>
          <w:szCs w:val="14"/>
        </w:rPr>
        <w:t>*2 Kiek tai susiję su bendru finansavimu, lentelėje parodyti tik įsipareigojimų asignavimai.</w:t>
      </w:r>
      <w:bookmarkEnd w:id="138"/>
    </w:p>
    <w:p>
      <w:pPr>
        <w:rPr>
          <w:rFonts w:ascii="Arial" w:hAnsi="Arial" w:cs="Arial"/>
          <w:noProof/>
          <w:color w:val="000000"/>
          <w:sz w:val="16"/>
          <w:szCs w:val="16"/>
        </w:rPr>
      </w:pPr>
      <w:bookmarkStart w:id="143" w:name="_DMBM_19007"/>
      <w:r>
        <w:rPr>
          <w:rFonts w:ascii="Arial" w:hAnsi="Arial"/>
          <w:noProof/>
          <w:color w:val="000000"/>
          <w:sz w:val="16"/>
          <w:szCs w:val="16"/>
        </w:rPr>
        <w:t>2.1 lentelė</w:t>
      </w:r>
    </w:p>
    <w:p>
      <w:pPr>
        <w:jc w:val="center"/>
        <w:rPr>
          <w:b/>
          <w:noProof/>
          <w:sz w:val="16"/>
          <w:szCs w:val="16"/>
        </w:rPr>
      </w:pPr>
      <w:r>
        <w:rPr>
          <w:b/>
          <w:noProof/>
          <w:sz w:val="16"/>
          <w:szCs w:val="16"/>
        </w:rPr>
        <w:t>EPF SUVESTINĖS ATASKAITOS 2019 M. GRUODŽIO 31 D.</w:t>
      </w:r>
    </w:p>
    <w:p>
      <w:pPr>
        <w:jc w:val="center"/>
        <w:rPr>
          <w:b/>
          <w:noProof/>
          <w:sz w:val="16"/>
          <w:szCs w:val="16"/>
        </w:rPr>
      </w:pPr>
      <w:r>
        <w:rPr>
          <w:b/>
          <w:noProof/>
          <w:sz w:val="16"/>
          <w:szCs w:val="16"/>
        </w:rPr>
        <w:t>PAŽANGOS ATASKAITA</w:t>
      </w:r>
    </w:p>
    <w:tbl>
      <w:tblPr>
        <w:tblW w:w="8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
        <w:gridCol w:w="969"/>
        <w:gridCol w:w="865"/>
        <w:gridCol w:w="731"/>
        <w:gridCol w:w="909"/>
        <w:gridCol w:w="909"/>
        <w:gridCol w:w="909"/>
        <w:gridCol w:w="909"/>
        <w:gridCol w:w="909"/>
        <w:gridCol w:w="909"/>
      </w:tblGrid>
      <w:tr>
        <w:trPr>
          <w:trHeight w:hRule="exact" w:val="279"/>
        </w:trPr>
        <w:tc>
          <w:tcPr>
            <w:tcW w:w="1065"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4"/>
              </w:rPr>
            </w:pPr>
            <w:bookmarkStart w:id="144" w:name="DOC_TBL00061_1_1"/>
            <w:bookmarkEnd w:id="144"/>
          </w:p>
        </w:tc>
        <w:tc>
          <w:tcPr>
            <w:tcW w:w="87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4"/>
              </w:rPr>
            </w:pPr>
          </w:p>
        </w:tc>
        <w:tc>
          <w:tcPr>
            <w:tcW w:w="73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4"/>
              </w:rPr>
            </w:pPr>
          </w:p>
        </w:tc>
        <w:tc>
          <w:tcPr>
            <w:tcW w:w="9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4"/>
              </w:rPr>
            </w:pPr>
          </w:p>
        </w:tc>
        <w:tc>
          <w:tcPr>
            <w:tcW w:w="9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4"/>
              </w:rPr>
            </w:pPr>
          </w:p>
        </w:tc>
        <w:tc>
          <w:tcPr>
            <w:tcW w:w="9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4"/>
              </w:rPr>
            </w:pPr>
          </w:p>
        </w:tc>
        <w:tc>
          <w:tcPr>
            <w:tcW w:w="9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4"/>
              </w:rPr>
            </w:pPr>
          </w:p>
        </w:tc>
        <w:tc>
          <w:tcPr>
            <w:tcW w:w="183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(mln. EUR)</w:t>
            </w:r>
          </w:p>
        </w:tc>
      </w:tr>
      <w:tr>
        <w:trPr>
          <w:trHeight w:hRule="exact" w:val="279"/>
        </w:trPr>
        <w:tc>
          <w:tcPr>
            <w:tcW w:w="3585" w:type="dxa"/>
            <w:gridSpan w:val="5"/>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4"/>
              </w:rPr>
            </w:pPr>
          </w:p>
        </w:tc>
        <w:tc>
          <w:tcPr>
            <w:tcW w:w="4575" w:type="dxa"/>
            <w:gridSpan w:val="5"/>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4"/>
              </w:rPr>
            </w:pPr>
            <w:r>
              <w:rPr>
                <w:rFonts w:ascii="Arial" w:hAnsi="Arial"/>
                <w:b/>
                <w:noProof/>
                <w:color w:val="000000"/>
                <w:sz w:val="14"/>
              </w:rPr>
              <w:t>EPF</w:t>
            </w:r>
          </w:p>
        </w:tc>
      </w:tr>
      <w:tr>
        <w:trPr>
          <w:trHeight w:hRule="exact" w:val="298"/>
        </w:trPr>
        <w:tc>
          <w:tcPr>
            <w:tcW w:w="90"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noProof/>
                <w:color w:val="000000"/>
                <w:sz w:val="14"/>
              </w:rPr>
            </w:pPr>
          </w:p>
        </w:tc>
        <w:tc>
          <w:tcPr>
            <w:tcW w:w="3495" w:type="dxa"/>
            <w:gridSpan w:val="4"/>
            <w:tcBorders>
              <w:top w:val="nil"/>
              <w:left w:val="nil"/>
              <w:bottom w:val="single" w:sz="4" w:space="0" w:color="000000"/>
              <w:right w:val="nil"/>
              <w:tl2br w:val="nil"/>
              <w:tr2bl w:val="nil"/>
            </w:tcBorders>
            <w:shd w:val="solid" w:color="FFFFFF" w:fill="FFFFFF"/>
            <w:tcMar>
              <w:left w:w="60" w:type="dxa"/>
              <w:right w:w="60" w:type="dxa"/>
            </w:tcMar>
          </w:tcPr>
          <w:p>
            <w:pPr>
              <w:pStyle w:val="DMETW19004BIPTable21a"/>
              <w:rPr>
                <w:rFonts w:ascii="Arial" w:eastAsia="Arial" w:hAnsi="Arial" w:cs="Arial"/>
                <w:b/>
                <w:noProof/>
                <w:color w:val="000000"/>
                <w:sz w:val="12"/>
              </w:rPr>
            </w:pPr>
            <w:r>
              <w:rPr>
                <w:rFonts w:ascii="Arial" w:hAnsi="Arial"/>
                <w:b/>
                <w:noProof/>
                <w:color w:val="000000"/>
                <w:sz w:val="12"/>
              </w:rPr>
              <w:t xml:space="preserve">                                      ASIGNAVIMAS</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r>
              <w:rPr>
                <w:rFonts w:ascii="Arial" w:hAnsi="Arial"/>
                <w:b/>
                <w:noProof/>
                <w:color w:val="000000"/>
                <w:sz w:val="12"/>
              </w:rPr>
              <w:t>8-asis</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r>
              <w:rPr>
                <w:rFonts w:ascii="Arial" w:hAnsi="Arial"/>
                <w:b/>
                <w:noProof/>
                <w:color w:val="000000"/>
                <w:sz w:val="12"/>
              </w:rPr>
              <w:t>9-asis</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r>
              <w:rPr>
                <w:rFonts w:ascii="Arial" w:hAnsi="Arial"/>
                <w:b/>
                <w:noProof/>
                <w:color w:val="000000"/>
                <w:sz w:val="12"/>
              </w:rPr>
              <w:t>10-asis</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r>
              <w:rPr>
                <w:rFonts w:ascii="Arial" w:hAnsi="Arial"/>
                <w:b/>
                <w:noProof/>
                <w:color w:val="000000"/>
                <w:sz w:val="12"/>
              </w:rPr>
              <w:t>11-asis</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r>
              <w:rPr>
                <w:rFonts w:ascii="Arial" w:hAnsi="Arial"/>
                <w:b/>
                <w:noProof/>
                <w:color w:val="000000"/>
                <w:sz w:val="12"/>
              </w:rPr>
              <w:t>IŠ VISO</w:t>
            </w:r>
          </w:p>
        </w:tc>
      </w:tr>
      <w:tr>
        <w:trPr>
          <w:trHeight w:hRule="exact" w:val="279"/>
        </w:trPr>
        <w:tc>
          <w:tcPr>
            <w:tcW w:w="90"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r>
              <w:rPr>
                <w:rFonts w:ascii="Arial" w:hAnsi="Arial"/>
                <w:b/>
                <w:noProof/>
                <w:color w:val="000000"/>
                <w:sz w:val="12"/>
              </w:rPr>
              <w:t>Lomė</w:t>
            </w: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Įvairios pajamos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35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35</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Iš viso orientacinėms programoms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4 985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4 985</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Iš viso neprogramuojamai pagalbai</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4 707</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4 707</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Iš kitų fondų perkeltos sumos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670</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670</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r>
              <w:rPr>
                <w:rFonts w:ascii="Arial" w:hAnsi="Arial"/>
                <w:b/>
                <w:noProof/>
                <w:color w:val="000000"/>
                <w:sz w:val="12"/>
              </w:rPr>
              <w:t>TARPINĖ SUMA. ĮPRASTI VN ĮNAŠAI</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9 728</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670</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10 398</w:t>
            </w:r>
          </w:p>
        </w:tc>
      </w:tr>
      <w:tr>
        <w:trPr>
          <w:trHeight w:hRule="exact" w:val="233"/>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lang w:bidi="en-GB"/>
              </w:rPr>
            </w:pPr>
          </w:p>
        </w:tc>
      </w:tr>
      <w:tr>
        <w:trPr>
          <w:trHeight w:hRule="exact" w:val="279"/>
        </w:trPr>
        <w:tc>
          <w:tcPr>
            <w:tcW w:w="90"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r>
              <w:rPr>
                <w:rFonts w:ascii="Arial" w:hAnsi="Arial"/>
                <w:b/>
                <w:noProof/>
                <w:color w:val="000000"/>
                <w:sz w:val="12"/>
              </w:rPr>
              <w:t>Kotonu</w:t>
            </w: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A paketas. Nacionaliniai asignavimai</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417</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8 835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12 939</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15 838</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38 029</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B paketas. Nacionaliniai asignavimai</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233</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1 213</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2 006</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870</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4 322</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Pereinamojo laikotarpio priemonė</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ĮPC, CTA ir Parlamentinė Asamblėja</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154</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154</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Šalies rezervas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Įgyvendinimo išlaidos ir pajamos iš palūkanų</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240</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535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1 079</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1 855</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AKR vidaus asignavimai</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2 937</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3 608</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3 988</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10 534</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AKR vidaus rezervas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27</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27</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Nacionalinių asignavimų rezervas, A paketas, STABEX</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NOP / ROP rezervas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571</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571</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Nemobilizuojamas rezervas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197</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142</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340</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Regioniniai asignavimai</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793</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1 941</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7 018</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9 752</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Regioninių asignavimų rezervas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Specialusis asignavimas Kongo DR</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105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105</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Specialusis asignavimas Pietų Sudanui</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267</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267</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Specialusis asignavimas Sudanui</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110</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110</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Taikos priemonės savanoriški įnašai</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24</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24</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r>
              <w:rPr>
                <w:rFonts w:ascii="Arial" w:hAnsi="Arial"/>
                <w:b/>
                <w:noProof/>
                <w:color w:val="000000"/>
                <w:sz w:val="12"/>
              </w:rPr>
              <w:t>TARPINĖ SUMA. ĮPRASTI VN ĮNAŠAI</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650</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14 678</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21 227</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29 535</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66 089</w:t>
            </w:r>
          </w:p>
        </w:tc>
      </w:tr>
      <w:tr>
        <w:trPr>
          <w:trHeight w:hRule="exact" w:val="233"/>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lang w:bidi="en-GB"/>
              </w:rPr>
            </w:pP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A paketas. Nacionaliniai asignavimai</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r>
              <w:rPr>
                <w:rFonts w:ascii="Arial" w:hAnsi="Arial"/>
                <w:b/>
                <w:noProof/>
                <w:color w:val="000000"/>
                <w:sz w:val="12"/>
              </w:rPr>
              <w:t>TARPINĖ SUMA. EK VIDAUS SUSITARIMAI DĖL PASLAUGŲ LYGIO</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1</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1</w:t>
            </w:r>
          </w:p>
        </w:tc>
      </w:tr>
      <w:tr>
        <w:trPr>
          <w:trHeight w:hRule="exact" w:val="233"/>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lang w:bidi="en-GB"/>
              </w:rPr>
            </w:pP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A paketas. Nacionaliniai asignavimai</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185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42</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227</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Įgyvendinimo išlaidos ir pajamos iš palūkanų</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3</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8</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AKR vidaus asignavimai</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12</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24</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36</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Regioniniai asignavimai</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4</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4</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r>
              <w:rPr>
                <w:rFonts w:ascii="Arial" w:hAnsi="Arial"/>
                <w:b/>
                <w:noProof/>
                <w:color w:val="000000"/>
                <w:sz w:val="12"/>
              </w:rPr>
              <w:t>TARPINĖ SUMA. BENDRAS FINANSAVIMAS</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203</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73</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275</w:t>
            </w:r>
          </w:p>
        </w:tc>
      </w:tr>
      <w:tr>
        <w:trPr>
          <w:trHeight w:hRule="exact" w:val="233"/>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lang w:bidi="en-GB"/>
              </w:rPr>
            </w:pPr>
          </w:p>
        </w:tc>
      </w:tr>
      <w:tr>
        <w:trPr>
          <w:trHeight w:hRule="exact" w:val="345"/>
        </w:trPr>
        <w:tc>
          <w:tcPr>
            <w:tcW w:w="90"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8"/>
              </w:rPr>
            </w:pPr>
          </w:p>
        </w:tc>
        <w:tc>
          <w:tcPr>
            <w:tcW w:w="3495" w:type="dxa"/>
            <w:gridSpan w:val="4"/>
            <w:tcBorders>
              <w:top w:val="nil"/>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r>
              <w:rPr>
                <w:rFonts w:ascii="Arial" w:hAnsi="Arial"/>
                <w:b/>
                <w:noProof/>
                <w:color w:val="000000"/>
                <w:sz w:val="12"/>
              </w:rPr>
              <w:t>IŠ VISO</w:t>
            </w:r>
          </w:p>
        </w:tc>
        <w:tc>
          <w:tcPr>
            <w:tcW w:w="91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10 378</w:t>
            </w:r>
          </w:p>
        </w:tc>
        <w:tc>
          <w:tcPr>
            <w:tcW w:w="91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15 348</w:t>
            </w:r>
          </w:p>
        </w:tc>
        <w:tc>
          <w:tcPr>
            <w:tcW w:w="91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21 430</w:t>
            </w:r>
          </w:p>
        </w:tc>
        <w:tc>
          <w:tcPr>
            <w:tcW w:w="91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29 608</w:t>
            </w:r>
          </w:p>
        </w:tc>
        <w:tc>
          <w:tcPr>
            <w:tcW w:w="91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76 764</w:t>
            </w:r>
          </w:p>
        </w:tc>
      </w:tr>
      <w:bookmarkEnd w:id="143"/>
    </w:tbl>
    <w:p>
      <w:pPr>
        <w:rPr>
          <w:noProof/>
        </w:rPr>
        <w:sectPr>
          <w:headerReference w:type="even" r:id="rId353"/>
          <w:headerReference w:type="default" r:id="rId354"/>
          <w:footerReference w:type="even" r:id="rId355"/>
          <w:footerReference w:type="default" r:id="rId356"/>
          <w:headerReference w:type="first" r:id="rId357"/>
          <w:footerReference w:type="first" r:id="rId358"/>
          <w:pgSz w:w="11906" w:h="16838" w:code="9"/>
          <w:pgMar w:top="1134" w:right="1134" w:bottom="1134" w:left="1134" w:header="709" w:footer="709" w:gutter="0"/>
          <w:cols w:space="708"/>
          <w:docGrid w:linePitch="360"/>
        </w:sectPr>
      </w:pPr>
    </w:p>
    <w:p>
      <w:pPr>
        <w:rPr>
          <w:noProof/>
        </w:rPr>
      </w:pPr>
      <w:bookmarkStart w:id="145" w:name="_DMBM_19008"/>
    </w:p>
    <w:tbl>
      <w:tblPr>
        <w:tblW w:w="14789" w:type="dxa"/>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285"/>
        <w:gridCol w:w="870"/>
        <w:gridCol w:w="735"/>
        <w:gridCol w:w="915"/>
        <w:gridCol w:w="915"/>
        <w:gridCol w:w="915"/>
        <w:gridCol w:w="915"/>
        <w:gridCol w:w="915"/>
        <w:gridCol w:w="915"/>
        <w:gridCol w:w="915"/>
        <w:gridCol w:w="915"/>
        <w:gridCol w:w="915"/>
        <w:gridCol w:w="915"/>
        <w:gridCol w:w="915"/>
        <w:gridCol w:w="915"/>
        <w:gridCol w:w="915"/>
      </w:tblGrid>
      <w:tr>
        <w:trPr>
          <w:trHeight w:hRule="exact" w:val="195"/>
        </w:trPr>
        <w:tc>
          <w:tcPr>
            <w:tcW w:w="1004" w:type="dxa"/>
            <w:vMerge w:val="restart"/>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bookmarkStart w:id="146" w:name="DOC_TBL00062_1_1"/>
            <w:bookmarkEnd w:id="146"/>
            <w:r>
              <w:rPr>
                <w:rFonts w:ascii="Arial" w:hAnsi="Arial"/>
                <w:b/>
                <w:noProof/>
                <w:color w:val="000000"/>
                <w:sz w:val="12"/>
              </w:rPr>
              <w:t>Sprendimai</w:t>
            </w:r>
          </w:p>
        </w:tc>
        <w:tc>
          <w:tcPr>
            <w:tcW w:w="2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4"/>
              </w:rPr>
            </w:pPr>
          </w:p>
        </w:tc>
        <w:tc>
          <w:tcPr>
            <w:tcW w:w="252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Suvestinė suma</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Bendri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r>
      <w:tr>
        <w:trPr>
          <w:trHeight w:hRule="exact" w:val="150"/>
        </w:trPr>
        <w:tc>
          <w:tcPr>
            <w:tcW w:w="1004" w:type="dxa"/>
            <w:vMerge/>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EPF</w:t>
            </w:r>
          </w:p>
        </w:tc>
        <w:tc>
          <w:tcPr>
            <w:tcW w:w="87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2019 12 31</w:t>
            </w:r>
          </w:p>
        </w:tc>
        <w:tc>
          <w:tcPr>
            <w:tcW w:w="73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Neįvykdyti įsipareigojimai</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asignavimų %</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2008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2009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2012</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2013</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2015</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2016</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2017</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2019</w:t>
            </w:r>
          </w:p>
        </w:tc>
      </w:tr>
      <w:tr>
        <w:trPr>
          <w:trHeight w:hRule="exact" w:val="180"/>
        </w:trPr>
        <w:tc>
          <w:tcPr>
            <w:tcW w:w="100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8</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10 375</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100 %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10 786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(42)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(45)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(60)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(64)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(98)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(63)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(2)</w:t>
            </w:r>
          </w:p>
        </w:tc>
      </w:tr>
      <w:tr>
        <w:trPr>
          <w:trHeight w:hRule="exact" w:val="180"/>
        </w:trPr>
        <w:tc>
          <w:tcPr>
            <w:tcW w:w="100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9</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15 335</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134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100 %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16 633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(54)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(116)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(297)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(72)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(381)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(170)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(104)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(38)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(33)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(22)</w:t>
            </w:r>
          </w:p>
        </w:tc>
      </w:tr>
      <w:tr>
        <w:trPr>
          <w:trHeight w:hRule="exact" w:val="180"/>
        </w:trPr>
        <w:tc>
          <w:tcPr>
            <w:tcW w:w="100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10</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21 088</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1 803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98 %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4 766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3 501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2 349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3 118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3 524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4 131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(95)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(156)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(80)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(147)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183</w:t>
            </w:r>
          </w:p>
        </w:tc>
      </w:tr>
      <w:tr>
        <w:trPr>
          <w:trHeight w:hRule="exact" w:val="180"/>
        </w:trPr>
        <w:tc>
          <w:tcPr>
            <w:tcW w:w="100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11</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26 511</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13 959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90 %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1 160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5 372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6 688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5 807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4 332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3 153</w:t>
            </w:r>
          </w:p>
        </w:tc>
      </w:tr>
      <w:tr>
        <w:trPr>
          <w:trHeight w:hRule="exact" w:val="128"/>
        </w:trPr>
        <w:tc>
          <w:tcPr>
            <w:tcW w:w="1004"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r>
              <w:rPr>
                <w:rFonts w:ascii="Arial" w:hAnsi="Arial"/>
                <w:b/>
                <w:noProof/>
                <w:color w:val="000000"/>
                <w:sz w:val="12"/>
              </w:rPr>
              <w:t>Iš viso</w:t>
            </w:r>
          </w:p>
        </w:tc>
        <w:tc>
          <w:tcPr>
            <w:tcW w:w="28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noProof/>
                <w:color w:val="000000"/>
                <w:sz w:val="14"/>
              </w:rPr>
            </w:pPr>
          </w:p>
        </w:tc>
        <w:tc>
          <w:tcPr>
            <w:tcW w:w="87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73 309</w:t>
            </w:r>
          </w:p>
        </w:tc>
        <w:tc>
          <w:tcPr>
            <w:tcW w:w="73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15 896</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rPr>
                <w:rFonts w:ascii="Arial" w:eastAsia="Arial" w:hAnsi="Arial" w:cs="Arial"/>
                <w:noProof/>
                <w:color w:val="000000"/>
                <w:sz w:val="12"/>
              </w:rPr>
            </w:pP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32 185</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3 405</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2 187</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3 049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3 163</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3 961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621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5 034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6 491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5 754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4 147</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3 311</w:t>
            </w:r>
          </w:p>
        </w:tc>
      </w:tr>
      <w:tr>
        <w:trPr>
          <w:trHeight w:hRule="exact" w:val="158"/>
        </w:trPr>
        <w:tc>
          <w:tcPr>
            <w:tcW w:w="1004" w:type="dxa"/>
            <w:vMerge w:val="restart"/>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r>
              <w:rPr>
                <w:rFonts w:ascii="Arial" w:hAnsi="Arial"/>
                <w:b/>
                <w:noProof/>
                <w:color w:val="000000"/>
                <w:sz w:val="12"/>
              </w:rPr>
              <w:t>Asignuotosios lėšos</w:t>
            </w:r>
          </w:p>
        </w:tc>
        <w:tc>
          <w:tcPr>
            <w:tcW w:w="2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4"/>
              </w:rPr>
            </w:pPr>
          </w:p>
        </w:tc>
        <w:tc>
          <w:tcPr>
            <w:tcW w:w="252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Suvestinė suma</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Bendri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r>
      <w:tr>
        <w:trPr>
          <w:trHeight w:hRule="exact" w:val="150"/>
        </w:trPr>
        <w:tc>
          <w:tcPr>
            <w:tcW w:w="1004" w:type="dxa"/>
            <w:vMerge/>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EPF</w:t>
            </w:r>
          </w:p>
        </w:tc>
        <w:tc>
          <w:tcPr>
            <w:tcW w:w="87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2019 12 31</w:t>
            </w:r>
          </w:p>
        </w:tc>
        <w:tc>
          <w:tcPr>
            <w:tcW w:w="73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Taikymo taisyklės</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asignavimų %</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2008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2009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2012</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2013</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2015</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2016</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2017</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2019</w:t>
            </w:r>
          </w:p>
        </w:tc>
      </w:tr>
      <w:tr>
        <w:trPr>
          <w:trHeight w:hRule="exact" w:val="180"/>
        </w:trPr>
        <w:tc>
          <w:tcPr>
            <w:tcW w:w="100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8</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10 374</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100 %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10 541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(42)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(46)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(37)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w:t>
            </w:r>
          </w:p>
        </w:tc>
      </w:tr>
      <w:tr>
        <w:trPr>
          <w:trHeight w:hRule="exact" w:val="180"/>
        </w:trPr>
        <w:tc>
          <w:tcPr>
            <w:tcW w:w="100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9</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15 302</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100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100 %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14 209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997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476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(187)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(96)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(52)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(46)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(20)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(4)</w:t>
            </w:r>
          </w:p>
        </w:tc>
      </w:tr>
      <w:tr>
        <w:trPr>
          <w:trHeight w:hRule="exact" w:val="180"/>
        </w:trPr>
        <w:tc>
          <w:tcPr>
            <w:tcW w:w="100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10</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20 310</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1 025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95 %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130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3 184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2 820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2 514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3 460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3 457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2 687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783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541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550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236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(51)</w:t>
            </w:r>
          </w:p>
        </w:tc>
      </w:tr>
      <w:tr>
        <w:trPr>
          <w:trHeight w:hRule="exact" w:val="180"/>
        </w:trPr>
        <w:tc>
          <w:tcPr>
            <w:tcW w:w="100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11</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21 697</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9 144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73 %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731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3 293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3 745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5 684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4 687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3 557</w:t>
            </w:r>
          </w:p>
        </w:tc>
      </w:tr>
      <w:tr>
        <w:trPr>
          <w:trHeight w:hRule="exact" w:val="128"/>
        </w:trPr>
        <w:tc>
          <w:tcPr>
            <w:tcW w:w="1004"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r>
              <w:rPr>
                <w:rFonts w:ascii="Arial" w:hAnsi="Arial"/>
                <w:b/>
                <w:noProof/>
                <w:color w:val="000000"/>
                <w:sz w:val="12"/>
              </w:rPr>
              <w:t>Iš viso</w:t>
            </w:r>
          </w:p>
        </w:tc>
        <w:tc>
          <w:tcPr>
            <w:tcW w:w="28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noProof/>
                <w:color w:val="000000"/>
                <w:sz w:val="14"/>
              </w:rPr>
            </w:pPr>
          </w:p>
        </w:tc>
        <w:tc>
          <w:tcPr>
            <w:tcW w:w="87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67 683</w:t>
            </w:r>
          </w:p>
        </w:tc>
        <w:tc>
          <w:tcPr>
            <w:tcW w:w="73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10 269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rPr>
                <w:rFonts w:ascii="Arial" w:eastAsia="Arial" w:hAnsi="Arial" w:cs="Arial"/>
                <w:noProof/>
                <w:color w:val="000000"/>
                <w:sz w:val="12"/>
              </w:rPr>
            </w:pP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24 881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4 140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3 304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2 509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3 226</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3 350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3 380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4 008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4 234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6 211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4 940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3 501</w:t>
            </w:r>
          </w:p>
        </w:tc>
      </w:tr>
      <w:tr>
        <w:trPr>
          <w:trHeight w:hRule="exact" w:val="158"/>
        </w:trPr>
        <w:tc>
          <w:tcPr>
            <w:tcW w:w="1004" w:type="dxa"/>
            <w:vMerge w:val="restart"/>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r>
              <w:rPr>
                <w:rFonts w:ascii="Arial" w:hAnsi="Arial"/>
                <w:b/>
                <w:noProof/>
                <w:color w:val="000000"/>
                <w:sz w:val="12"/>
              </w:rPr>
              <w:t>Mokėjimai</w:t>
            </w:r>
          </w:p>
        </w:tc>
        <w:tc>
          <w:tcPr>
            <w:tcW w:w="2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4"/>
              </w:rPr>
            </w:pPr>
          </w:p>
        </w:tc>
        <w:tc>
          <w:tcPr>
            <w:tcW w:w="252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Suvestinė suma</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Bendri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Metiniai duomenys</w:t>
            </w:r>
          </w:p>
        </w:tc>
      </w:tr>
      <w:tr>
        <w:trPr>
          <w:trHeight w:hRule="exact" w:val="150"/>
        </w:trPr>
        <w:tc>
          <w:tcPr>
            <w:tcW w:w="1004" w:type="dxa"/>
            <w:vMerge/>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EPF</w:t>
            </w:r>
          </w:p>
        </w:tc>
        <w:tc>
          <w:tcPr>
            <w:tcW w:w="87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2019 12 31</w:t>
            </w:r>
          </w:p>
        </w:tc>
        <w:tc>
          <w:tcPr>
            <w:tcW w:w="73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asignavimų %</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2008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2009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2012</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2013</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2015</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2016</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2017</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2019</w:t>
            </w:r>
          </w:p>
        </w:tc>
      </w:tr>
      <w:tr>
        <w:trPr>
          <w:trHeight w:hRule="exact" w:val="180"/>
        </w:trPr>
        <w:tc>
          <w:tcPr>
            <w:tcW w:w="100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8</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10 374</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100 %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9 930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152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158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90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w:t>
            </w:r>
          </w:p>
        </w:tc>
      </w:tr>
      <w:tr>
        <w:trPr>
          <w:trHeight w:hRule="exact" w:val="180"/>
        </w:trPr>
        <w:tc>
          <w:tcPr>
            <w:tcW w:w="100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9</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15 201</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99 %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10 011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1 806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1 304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906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539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231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145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43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68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111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14</w:t>
            </w:r>
          </w:p>
        </w:tc>
      </w:tr>
      <w:tr>
        <w:trPr>
          <w:trHeight w:hRule="exact" w:val="180"/>
        </w:trPr>
        <w:tc>
          <w:tcPr>
            <w:tcW w:w="100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10</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19 285</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90 %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90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1 111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1 772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1 879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2 655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2 718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2 760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2 024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1 466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1 277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1 076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456</w:t>
            </w:r>
          </w:p>
        </w:tc>
      </w:tr>
      <w:tr>
        <w:trPr>
          <w:trHeight w:hRule="exact" w:val="180"/>
        </w:trPr>
        <w:tc>
          <w:tcPr>
            <w:tcW w:w="100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11</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12 553</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42 %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595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1 024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1 816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2 770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2 970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3 377</w:t>
            </w:r>
          </w:p>
        </w:tc>
      </w:tr>
      <w:tr>
        <w:trPr>
          <w:trHeight w:hRule="exact" w:val="128"/>
        </w:trPr>
        <w:tc>
          <w:tcPr>
            <w:tcW w:w="1004"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r>
              <w:rPr>
                <w:rFonts w:ascii="Arial" w:hAnsi="Arial"/>
                <w:b/>
                <w:noProof/>
                <w:color w:val="000000"/>
                <w:sz w:val="12"/>
              </w:rPr>
              <w:t>Iš viso</w:t>
            </w:r>
          </w:p>
        </w:tc>
        <w:tc>
          <w:tcPr>
            <w:tcW w:w="28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noProof/>
                <w:color w:val="000000"/>
                <w:sz w:val="14"/>
              </w:rPr>
            </w:pPr>
          </w:p>
        </w:tc>
        <w:tc>
          <w:tcPr>
            <w:tcW w:w="87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57 414</w:t>
            </w:r>
          </w:p>
        </w:tc>
        <w:tc>
          <w:tcPr>
            <w:tcW w:w="73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rPr>
                <w:rFonts w:ascii="Arial" w:eastAsia="Arial" w:hAnsi="Arial" w:cs="Arial"/>
                <w:noProof/>
                <w:color w:val="000000"/>
                <w:sz w:val="12"/>
              </w:rPr>
            </w:pP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20 031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3 069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3 233</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2 874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3 209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2 967</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3 516</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3 088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3 350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4 158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4 069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3 847</w:t>
            </w:r>
          </w:p>
        </w:tc>
      </w:tr>
      <w:bookmarkEnd w:id="145"/>
    </w:tbl>
    <w:p>
      <w:pPr>
        <w:rPr>
          <w:noProof/>
        </w:rPr>
        <w:sectPr>
          <w:headerReference w:type="even" r:id="rId359"/>
          <w:headerReference w:type="default" r:id="rId360"/>
          <w:footerReference w:type="even" r:id="rId361"/>
          <w:footerReference w:type="default" r:id="rId362"/>
          <w:headerReference w:type="first" r:id="rId363"/>
          <w:footerReference w:type="first" r:id="rId364"/>
          <w:pgSz w:w="16838" w:h="11906" w:orient="landscape" w:code="9"/>
          <w:pgMar w:top="1134" w:right="1134" w:bottom="1134" w:left="1134" w:header="709" w:footer="709" w:gutter="0"/>
          <w:cols w:space="708"/>
          <w:docGrid w:linePitch="360"/>
        </w:sectPr>
      </w:pPr>
    </w:p>
    <w:p>
      <w:pPr>
        <w:rPr>
          <w:rFonts w:ascii="Arial" w:hAnsi="Arial" w:cs="Arial"/>
          <w:noProof/>
          <w:color w:val="000000"/>
          <w:sz w:val="12"/>
          <w:szCs w:val="12"/>
        </w:rPr>
      </w:pPr>
      <w:bookmarkStart w:id="147" w:name="_DMBM_19009"/>
      <w:r>
        <w:rPr>
          <w:rFonts w:ascii="Arial" w:hAnsi="Arial"/>
          <w:noProof/>
          <w:color w:val="000000"/>
          <w:sz w:val="12"/>
          <w:szCs w:val="12"/>
        </w:rPr>
        <w:t>2.2 lentelė</w:t>
      </w:r>
    </w:p>
    <w:p>
      <w:pPr>
        <w:jc w:val="center"/>
        <w:rPr>
          <w:b/>
          <w:noProof/>
          <w:sz w:val="16"/>
          <w:szCs w:val="16"/>
        </w:rPr>
      </w:pPr>
      <w:r>
        <w:rPr>
          <w:b/>
          <w:noProof/>
          <w:sz w:val="16"/>
          <w:szCs w:val="16"/>
        </w:rPr>
        <w:t>EPF SUVESTINĖS ATASKAITOS 2019 M. GRUODŽIO 31 D.</w:t>
      </w:r>
    </w:p>
    <w:p>
      <w:pPr>
        <w:jc w:val="center"/>
        <w:rPr>
          <w:b/>
          <w:noProof/>
          <w:sz w:val="16"/>
          <w:szCs w:val="16"/>
        </w:rPr>
      </w:pPr>
      <w:r>
        <w:rPr>
          <w:b/>
          <w:noProof/>
          <w:sz w:val="16"/>
          <w:szCs w:val="16"/>
        </w:rPr>
        <w:t>PAGALBOS GRUPĖ</w:t>
      </w:r>
    </w:p>
    <w:p>
      <w:pPr>
        <w:rPr>
          <w:rFonts w:ascii="Arial" w:hAnsi="Arial" w:cs="Arial"/>
          <w:noProof/>
          <w:color w:val="000000"/>
          <w:sz w:val="12"/>
          <w:szCs w:val="12"/>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
        <w:gridCol w:w="693"/>
        <w:gridCol w:w="448"/>
        <w:gridCol w:w="571"/>
        <w:gridCol w:w="573"/>
        <w:gridCol w:w="574"/>
        <w:gridCol w:w="575"/>
        <w:gridCol w:w="575"/>
        <w:gridCol w:w="575"/>
        <w:gridCol w:w="575"/>
        <w:gridCol w:w="575"/>
        <w:gridCol w:w="575"/>
        <w:gridCol w:w="575"/>
        <w:gridCol w:w="575"/>
        <w:gridCol w:w="575"/>
        <w:gridCol w:w="575"/>
        <w:gridCol w:w="575"/>
        <w:gridCol w:w="576"/>
        <w:gridCol w:w="154"/>
      </w:tblGrid>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bookmarkStart w:id="148" w:name="DOC_TBL00063_1_1"/>
            <w:bookmarkEnd w:id="148"/>
          </w:p>
        </w:tc>
        <w:tc>
          <w:tcPr>
            <w:tcW w:w="674"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4"/>
              </w:rPr>
            </w:pPr>
          </w:p>
        </w:tc>
        <w:tc>
          <w:tcPr>
            <w:tcW w:w="5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4"/>
              </w:rPr>
            </w:pPr>
          </w:p>
        </w:tc>
        <w:tc>
          <w:tcPr>
            <w:tcW w:w="557" w:type="dxa"/>
            <w:tcBorders>
              <w:top w:val="nil"/>
              <w:left w:val="nil"/>
              <w:bottom w:val="nil"/>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4"/>
              </w:rPr>
            </w:pPr>
          </w:p>
        </w:tc>
        <w:tc>
          <w:tcPr>
            <w:tcW w:w="557"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4"/>
              </w:rPr>
            </w:pPr>
          </w:p>
        </w:tc>
        <w:tc>
          <w:tcPr>
            <w:tcW w:w="558" w:type="dxa"/>
            <w:gridSpan w:val="3"/>
            <w:tcBorders>
              <w:top w:val="nil"/>
              <w:left w:val="nil"/>
              <w:bottom w:val="nil"/>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4"/>
              </w:rPr>
            </w:pPr>
          </w:p>
        </w:tc>
        <w:tc>
          <w:tcPr>
            <w:tcW w:w="558"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4"/>
              </w:rPr>
            </w:pPr>
          </w:p>
        </w:tc>
        <w:tc>
          <w:tcPr>
            <w:tcW w:w="558"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noProof/>
                <w:color w:val="000000"/>
                <w:sz w:val="12"/>
              </w:rPr>
            </w:pPr>
            <w:r>
              <w:rPr>
                <w:rFonts w:ascii="Arial" w:hAnsi="Arial"/>
                <w:noProof/>
                <w:color w:val="000000"/>
                <w:sz w:val="12"/>
              </w:rPr>
              <w:t>(mln. EUR)</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0"/>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674" w:type="dxa"/>
            <w:gridSpan w:val="4"/>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4"/>
              </w:rPr>
            </w:pPr>
          </w:p>
        </w:tc>
        <w:tc>
          <w:tcPr>
            <w:tcW w:w="557" w:type="dxa"/>
            <w:gridSpan w:val="1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4"/>
              </w:rPr>
            </w:pPr>
            <w:r>
              <w:rPr>
                <w:rFonts w:ascii="Arial" w:hAnsi="Arial"/>
                <w:b/>
                <w:noProof/>
                <w:color w:val="000000"/>
                <w:sz w:val="14"/>
              </w:rPr>
              <w:t>EPF</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24"/>
              </w:rPr>
            </w:pPr>
          </w:p>
        </w:tc>
        <w:tc>
          <w:tcPr>
            <w:tcW w:w="674" w:type="dxa"/>
            <w:gridSpan w:val="4"/>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24"/>
              </w:rPr>
            </w:pPr>
          </w:p>
        </w:tc>
        <w:tc>
          <w:tcPr>
            <w:tcW w:w="557"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8-asis</w:t>
            </w: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9-asis</w:t>
            </w: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558" w:type="dxa"/>
            <w:gridSpan w:val="2"/>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10-asis</w:t>
            </w: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11-asis</w:t>
            </w: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IŠ VISO</w:t>
            </w: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24"/>
              </w:rPr>
            </w:pPr>
          </w:p>
        </w:tc>
        <w:tc>
          <w:tcPr>
            <w:tcW w:w="3270" w:type="dxa"/>
            <w:gridSpan w:val="4"/>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24"/>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50"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720" w:type="dxa"/>
            <w:gridSpan w:val="2"/>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558"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r>
              <w:rPr>
                <w:rFonts w:ascii="Arial" w:hAnsi="Arial"/>
                <w:b/>
                <w:noProof/>
                <w:color w:val="FFFFFF"/>
                <w:sz w:val="18"/>
              </w:rPr>
              <w:t>Įprasti VN įnašai</w:t>
            </w:r>
          </w:p>
        </w:tc>
        <w:tc>
          <w:tcPr>
            <w:tcW w:w="674"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Lomė</w:t>
            </w: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Įvairios pajamos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Asignavimai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Sprendimai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Asignuotosios lėšos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Mokėjimai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Iš viso orientacinėms programoms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Asignavimai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4 985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4 985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Sprendimai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4 985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4 985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Asignuotosios lėšos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4 985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4 985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Mokėjimai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4 985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4 985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Iš viso neprogramuojamai pagalbai</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Asignavimai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4 707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4 707</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Sprendimai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4 706</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4 706</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Asignuotosios lėšos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4 706</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4 706</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Mokėjimai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4 706</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4 706</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Iš kitų fondų perkeltos sumos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Asignavimai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670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670</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Sprendimai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670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670</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Asignuotosios lėšos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670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670</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Mokėjimai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670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670</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1"/>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r>
              <w:rPr>
                <w:rFonts w:ascii="Arial" w:hAnsi="Arial"/>
                <w:b/>
                <w:noProof/>
                <w:color w:val="000000"/>
                <w:sz w:val="12"/>
              </w:rPr>
              <w:t>Įprasti VN įnašai</w:t>
            </w:r>
          </w:p>
        </w:tc>
        <w:tc>
          <w:tcPr>
            <w:tcW w:w="557"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30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r>
              <w:rPr>
                <w:rFonts w:ascii="Arial" w:hAnsi="Arial"/>
                <w:b/>
                <w:noProof/>
                <w:color w:val="FFFFFF"/>
                <w:sz w:val="18"/>
              </w:rPr>
              <w:t>Įprasti VN įnašai</w:t>
            </w:r>
          </w:p>
        </w:tc>
        <w:tc>
          <w:tcPr>
            <w:tcW w:w="674"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Kotonu</w:t>
            </w: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A paketas. Nacionaliniai asignavimai</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Asignavimai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417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8 835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12 939</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15 838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38 029</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Sprendimai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417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8 834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12 837</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99 %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14 456</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91 %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36 545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96 %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Asignuotosios lėšos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417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8 822</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12 621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98 %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11 325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72 %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33 186</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87 %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Mokėjimai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417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8 800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12 011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93 %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6 248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39 %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27 477</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72 %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300"/>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B paketas. Nacionaliniai asignavimai</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Asignavimai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233</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1 213</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2 006</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870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4 322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Sprendimai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231</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99 %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1 213</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2 005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853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98 %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4 301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Asignuotosios lėšos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231</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99 %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1 209</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1 984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99 %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734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84 %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4 158</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96 %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Mokėjimai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231</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99 %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1 203</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99 %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1 964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98 %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644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74 %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4 042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94 %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Pereinamojo laikotarpio priemonė</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Asignavimai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Sprendimai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Asignuotosios lėšos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Mokėjimai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285"/>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ĮPC, CTA ir Parlamentinė Asamblėja</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Asignavimai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Sprendimai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Asignuotosios lėšos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Mokėjimai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298"/>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Įgyvendinimo išlaidos ir pajamos iš palūkanų</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Asignavimai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535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1 079</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1 855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Sprendimai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514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96 %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871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81 %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1 625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88 %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Asignuotosios lėšos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512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96 %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836</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77 %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1 588</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86 %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Mokėjimai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512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96 %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779</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72 %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1 531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83 %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AKR vidaus asignavimai</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Asignavimai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2 937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3 608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3 988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10 534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Sprendimai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2 931</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3 600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3 524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88 %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10 054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95 %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Asignuotosios lėšos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2 924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3 139</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87 %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3 020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76 %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9 083</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86 %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Mokėjimai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2 920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99 %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2 973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82 %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2 256</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57 %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8 149</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77 %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Regioniniai asignavimai</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Asignavimai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793</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1 941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7 018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9 752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Sprendimai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792</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1 935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6 748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96 %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9 475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97 %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Asignuotosios lėšos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786</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99 %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1 863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96 %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5 724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82 %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8 373</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86 %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Mokėjimai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777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98 %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1 658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85 %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2 604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37 %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5 040</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52 %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416"/>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Specialusis asignavimas Kongo DR</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Asignavimai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Sprendimai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Asignuotosios lėšos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Mokėjimai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296"/>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Specialusis asignavimas Pietų Sudanui</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Asignavimai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267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267</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Sprendimai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266</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266</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Asignuotosios lėšos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263</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99 %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263</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99 %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Mokėjimai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208</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78 %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208</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78 %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310"/>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Specialusis asignavimas Sudanui</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Asignavimai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110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110</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Sprendimai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97 %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107</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97 %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Asignuotosios lėšos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95 %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95 %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Mokėjimai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101</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91 %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91 %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295"/>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Taikos priemonės savanoriški įnašai</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Asignavimai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Sprendimai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Asignuotosios lėšos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Mokėjimai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29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r>
              <w:rPr>
                <w:rFonts w:ascii="Arial" w:hAnsi="Arial"/>
                <w:b/>
                <w:noProof/>
                <w:color w:val="000000"/>
                <w:sz w:val="12"/>
              </w:rPr>
              <w:t>Įprasti VN įnašai</w:t>
            </w:r>
          </w:p>
        </w:tc>
        <w:tc>
          <w:tcPr>
            <w:tcW w:w="557"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357"/>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r>
              <w:rPr>
                <w:rFonts w:ascii="Arial" w:hAnsi="Arial"/>
                <w:b/>
                <w:noProof/>
                <w:color w:val="FFFFFF"/>
                <w:sz w:val="18"/>
              </w:rPr>
              <w:t>Bendras finansavimas</w:t>
            </w: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A paketas. Nacionaliniai asignavimai</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Asignavimai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185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227</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Sprendimai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181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98 %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75 %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212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94 %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Asignuotosios lėšos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177</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96 %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75 %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208</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92 %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Mokėjimai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82 %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68 %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30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Įgyvendinimo išlaidos ir pajamos iš palūkanų</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Asignavimai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Sprendimai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86 %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95 %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Asignuotosios lėšos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65 %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49 %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Mokėjimai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51 %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31 %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AKR vidaus asignavimai</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Asignavimai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36</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Sprendimai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92 %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95 %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94 %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Asignuotosios lėšos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91 %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93 %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33</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92 %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Mokėjimai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91 %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17</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73 %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29</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79 %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Regioniniai asignavimai</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Asignavimai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Sprendimai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Asignuotosios lėšos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Mokėjimai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r>
              <w:rPr>
                <w:rFonts w:ascii="Arial" w:hAnsi="Arial"/>
                <w:b/>
                <w:noProof/>
                <w:color w:val="000000"/>
                <w:sz w:val="12"/>
              </w:rPr>
              <w:t>Bendras finansavimas</w:t>
            </w:r>
          </w:p>
        </w:tc>
        <w:tc>
          <w:tcPr>
            <w:tcW w:w="557"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316"/>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r>
              <w:rPr>
                <w:rFonts w:ascii="Arial" w:hAnsi="Arial"/>
                <w:b/>
                <w:noProof/>
                <w:color w:val="FFFFFF"/>
                <w:sz w:val="18"/>
              </w:rPr>
              <w:t>EK vidaus susitarimai dėl paslaugų lygio</w:t>
            </w: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A paketas. Nacionaliniai asignavimai</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Asignavimai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Sprendimai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71 %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71 %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Asignuotosios lėšos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52 %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52 %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Mokėjimai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52 %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52 %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r>
              <w:rPr>
                <w:rFonts w:ascii="Arial" w:hAnsi="Arial"/>
                <w:b/>
                <w:noProof/>
                <w:color w:val="000000"/>
                <w:sz w:val="12"/>
              </w:rPr>
              <w:t>EK vidaus susitarimai dėl paslaugų lygio</w:t>
            </w:r>
          </w:p>
        </w:tc>
        <w:tc>
          <w:tcPr>
            <w:tcW w:w="557"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674"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4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6"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7"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7"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24"/>
              </w:rPr>
            </w:pPr>
          </w:p>
        </w:tc>
        <w:tc>
          <w:tcPr>
            <w:tcW w:w="674" w:type="dxa"/>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Asignavimai</w:t>
            </w:r>
          </w:p>
        </w:tc>
        <w:tc>
          <w:tcPr>
            <w:tcW w:w="557"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8</w:t>
            </w: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9</w:t>
            </w: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558" w:type="dxa"/>
            <w:gridSpan w:val="2"/>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10</w:t>
            </w: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11</w:t>
            </w: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IŠ VISO</w:t>
            </w: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24"/>
              </w:rPr>
            </w:pPr>
          </w:p>
        </w:tc>
        <w:tc>
          <w:tcPr>
            <w:tcW w:w="327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50"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720" w:type="dxa"/>
            <w:gridSpan w:val="2"/>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558"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r>
              <w:rPr>
                <w:rFonts w:ascii="Arial" w:hAnsi="Arial"/>
                <w:b/>
                <w:noProof/>
                <w:color w:val="FFFFFF"/>
                <w:sz w:val="18"/>
              </w:rPr>
              <w:t>Mobilizuojami rezervai</w:t>
            </w:r>
          </w:p>
        </w:tc>
        <w:tc>
          <w:tcPr>
            <w:tcW w:w="674"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Kotonu</w:t>
            </w: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Šalies rezervas</w:t>
            </w:r>
          </w:p>
        </w:tc>
        <w:tc>
          <w:tcPr>
            <w:tcW w:w="557"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w:t>
            </w: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AKR vidaus rezervas</w:t>
            </w:r>
          </w:p>
        </w:tc>
        <w:tc>
          <w:tcPr>
            <w:tcW w:w="557"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27</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27</w:t>
            </w: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49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Nacionalinių asignavimų rezervas, A paketas, STABEX</w:t>
            </w:r>
          </w:p>
        </w:tc>
        <w:tc>
          <w:tcPr>
            <w:tcW w:w="557"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w:t>
            </w: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NOP / ROP rezervas</w:t>
            </w:r>
          </w:p>
        </w:tc>
        <w:tc>
          <w:tcPr>
            <w:tcW w:w="557"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571</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571</w:t>
            </w: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Regioninių asignavimų rezervas</w:t>
            </w:r>
          </w:p>
        </w:tc>
        <w:tc>
          <w:tcPr>
            <w:tcW w:w="557"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w:t>
            </w: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r>
              <w:rPr>
                <w:rFonts w:ascii="Arial" w:hAnsi="Arial"/>
                <w:b/>
                <w:noProof/>
                <w:color w:val="000000"/>
                <w:sz w:val="12"/>
              </w:rPr>
              <w:t>Mobilizuojami rezervai</w:t>
            </w:r>
          </w:p>
        </w:tc>
        <w:tc>
          <w:tcPr>
            <w:tcW w:w="557"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r>
              <w:rPr>
                <w:rFonts w:ascii="Arial" w:hAnsi="Arial"/>
                <w:b/>
                <w:noProof/>
                <w:color w:val="FFFFFF"/>
                <w:sz w:val="18"/>
              </w:rPr>
              <w:t>Nemobilizuojamas rezervas</w:t>
            </w: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Nemobilizuojamas rezervas</w:t>
            </w:r>
          </w:p>
        </w:tc>
        <w:tc>
          <w:tcPr>
            <w:tcW w:w="557"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197</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142</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340</w:t>
            </w: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r>
              <w:rPr>
                <w:rFonts w:ascii="Arial" w:hAnsi="Arial"/>
                <w:b/>
                <w:noProof/>
                <w:color w:val="000000"/>
                <w:sz w:val="12"/>
              </w:rPr>
              <w:t>Nemobilizuojamas rezervas</w:t>
            </w:r>
          </w:p>
        </w:tc>
        <w:tc>
          <w:tcPr>
            <w:tcW w:w="557"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674"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4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6"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7"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7"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24"/>
              </w:rPr>
            </w:pPr>
          </w:p>
        </w:tc>
        <w:tc>
          <w:tcPr>
            <w:tcW w:w="674" w:type="dxa"/>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24"/>
              </w:rPr>
            </w:pPr>
          </w:p>
        </w:tc>
        <w:tc>
          <w:tcPr>
            <w:tcW w:w="557"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8</w:t>
            </w: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9</w:t>
            </w: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558" w:type="dxa"/>
            <w:gridSpan w:val="2"/>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10</w:t>
            </w: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11</w:t>
            </w: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IŠ VISO</w:t>
            </w: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24"/>
              </w:rPr>
            </w:pPr>
          </w:p>
        </w:tc>
        <w:tc>
          <w:tcPr>
            <w:tcW w:w="327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24"/>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50"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720" w:type="dxa"/>
            <w:gridSpan w:val="2"/>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558"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674" w:type="dxa"/>
            <w:tcBorders>
              <w:top w:val="nil"/>
              <w:left w:val="single" w:sz="4" w:space="0" w:color="000000"/>
              <w:bottom w:val="nil"/>
              <w:right w:val="single" w:sz="4" w:space="0" w:color="CACAD9"/>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Asignavimai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10 378</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15 348</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21 630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29 608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76 964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674" w:type="dxa"/>
            <w:tcBorders>
              <w:top w:val="nil"/>
              <w:left w:val="single" w:sz="4" w:space="0" w:color="000000"/>
              <w:bottom w:val="nil"/>
              <w:right w:val="single" w:sz="4" w:space="0" w:color="CACAD9"/>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Sprendimai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10 375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15 335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21 088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97 %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26 511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73 309</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95 %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674" w:type="dxa"/>
            <w:tcBorders>
              <w:top w:val="nil"/>
              <w:left w:val="single" w:sz="4" w:space="0" w:color="000000"/>
              <w:bottom w:val="nil"/>
              <w:right w:val="single" w:sz="4" w:space="0" w:color="CACAD9"/>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Asignuotosios lėšos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10 374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15 302</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20 310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94 %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21 697</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73 %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67 683</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88 %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674"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436" w:type="dxa"/>
            <w:gridSpan w:val="3"/>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Mokėjimai</w:t>
            </w:r>
          </w:p>
        </w:tc>
        <w:tc>
          <w:tcPr>
            <w:tcW w:w="55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10 374</w:t>
            </w:r>
          </w:p>
        </w:tc>
        <w:tc>
          <w:tcPr>
            <w:tcW w:w="558" w:type="dxa"/>
            <w:gridSpan w:val="2"/>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15 201</w:t>
            </w:r>
          </w:p>
        </w:tc>
        <w:tc>
          <w:tcPr>
            <w:tcW w:w="558" w:type="dxa"/>
            <w:gridSpan w:val="2"/>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99 %</w:t>
            </w:r>
          </w:p>
        </w:tc>
        <w:tc>
          <w:tcPr>
            <w:tcW w:w="558" w:type="dxa"/>
            <w:gridSpan w:val="2"/>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19 285</w:t>
            </w: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89 %</w:t>
            </w: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12 553</w:t>
            </w: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42 %</w:t>
            </w: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57 414</w:t>
            </w:r>
          </w:p>
        </w:tc>
        <w:tc>
          <w:tcPr>
            <w:tcW w:w="55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75 %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32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674"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IŠ VISO: VISI ASIGNAVIMAI</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436" w:type="dxa"/>
            <w:gridSpan w:val="3"/>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674"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436"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7"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r>
    </w:tbl>
    <w:p>
      <w:pPr>
        <w:rPr>
          <w:rFonts w:ascii="Arial" w:hAnsi="Arial" w:cs="Arial"/>
          <w:noProof/>
          <w:color w:val="000000"/>
          <w:sz w:val="12"/>
          <w:szCs w:val="12"/>
        </w:rPr>
      </w:pPr>
      <w:r>
        <w:rPr>
          <w:rFonts w:ascii="Arial" w:hAnsi="Arial"/>
          <w:noProof/>
          <w:color w:val="000000"/>
          <w:sz w:val="12"/>
          <w:szCs w:val="12"/>
        </w:rPr>
        <w:t>(1) Asignavimų %</w:t>
      </w:r>
    </w:p>
    <w:bookmarkEnd w:id="147"/>
    <w:p>
      <w:pPr>
        <w:rPr>
          <w:noProof/>
        </w:rPr>
        <w:sectPr>
          <w:headerReference w:type="even" r:id="rId365"/>
          <w:headerReference w:type="default" r:id="rId366"/>
          <w:footerReference w:type="even" r:id="rId367"/>
          <w:footerReference w:type="default" r:id="rId368"/>
          <w:headerReference w:type="first" r:id="rId369"/>
          <w:footerReference w:type="first" r:id="rId370"/>
          <w:pgSz w:w="11906" w:h="16838" w:code="9"/>
          <w:pgMar w:top="1134" w:right="1134" w:bottom="1134" w:left="1134" w:header="709" w:footer="709" w:gutter="0"/>
          <w:cols w:space="708"/>
          <w:docGrid w:linePitch="360"/>
        </w:sectPr>
      </w:pPr>
    </w:p>
    <w:p>
      <w:pPr>
        <w:rPr>
          <w:rFonts w:ascii="Arial" w:hAnsi="Arial" w:cs="Arial"/>
          <w:noProof/>
          <w:color w:val="000000"/>
          <w:sz w:val="12"/>
          <w:szCs w:val="12"/>
        </w:rPr>
      </w:pPr>
      <w:bookmarkStart w:id="149" w:name="_DMBM_19010"/>
      <w:r>
        <w:rPr>
          <w:rFonts w:ascii="Arial" w:hAnsi="Arial"/>
          <w:noProof/>
          <w:color w:val="000000"/>
          <w:sz w:val="12"/>
          <w:szCs w:val="12"/>
        </w:rPr>
        <w:t>2.3 lentelė</w:t>
      </w:r>
    </w:p>
    <w:p>
      <w:pPr>
        <w:jc w:val="center"/>
        <w:rPr>
          <w:b/>
          <w:noProof/>
          <w:sz w:val="16"/>
          <w:szCs w:val="16"/>
        </w:rPr>
      </w:pPr>
      <w:r>
        <w:rPr>
          <w:b/>
          <w:noProof/>
          <w:sz w:val="16"/>
          <w:szCs w:val="16"/>
        </w:rPr>
        <w:t>EPF SUVESTINĖS ATASKAITOS 2019 M. GRUODŽIO 31 D.</w:t>
      </w:r>
    </w:p>
    <w:p>
      <w:pPr>
        <w:jc w:val="center"/>
        <w:rPr>
          <w:b/>
          <w:noProof/>
          <w:sz w:val="16"/>
          <w:szCs w:val="16"/>
        </w:rPr>
      </w:pPr>
      <w:r>
        <w:rPr>
          <w:b/>
          <w:noProof/>
          <w:sz w:val="16"/>
          <w:szCs w:val="16"/>
        </w:rPr>
        <w:t>PAGALBOS GRUPĖ</w:t>
      </w:r>
    </w:p>
    <w:p>
      <w:pPr>
        <w:jc w:val="center"/>
        <w:rPr>
          <w:b/>
          <w:noProof/>
          <w:sz w:val="16"/>
          <w:szCs w:val="16"/>
        </w:rPr>
      </w:pPr>
      <w:r>
        <w:rPr>
          <w:b/>
          <w:noProof/>
          <w:sz w:val="16"/>
          <w:szCs w:val="16"/>
        </w:rPr>
        <w:t>AKR + UŠT − 8-asis EPF</w:t>
      </w:r>
    </w:p>
    <w:tbl>
      <w:tblPr>
        <w:tblW w:w="10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
        <w:gridCol w:w="855"/>
        <w:gridCol w:w="1095"/>
        <w:gridCol w:w="1773"/>
        <w:gridCol w:w="708"/>
        <w:gridCol w:w="709"/>
        <w:gridCol w:w="485"/>
        <w:gridCol w:w="600"/>
        <w:gridCol w:w="758"/>
        <w:gridCol w:w="442"/>
        <w:gridCol w:w="600"/>
        <w:gridCol w:w="801"/>
        <w:gridCol w:w="567"/>
        <w:gridCol w:w="850"/>
      </w:tblGrid>
      <w:tr>
        <w:trPr>
          <w:trHeight w:hRule="exact" w:val="109"/>
        </w:trPr>
        <w:tc>
          <w:tcPr>
            <w:tcW w:w="102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bookmarkStart w:id="150" w:name="DOC_TBL00064_1_1"/>
            <w:bookmarkEnd w:id="150"/>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1773"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708"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709"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48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758"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442"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801"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1417"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right"/>
              <w:rPr>
                <w:rFonts w:ascii="Arial" w:eastAsia="Arial" w:hAnsi="Arial" w:cs="Arial"/>
                <w:noProof/>
                <w:color w:val="000000"/>
                <w:sz w:val="12"/>
              </w:rPr>
            </w:pPr>
            <w:r>
              <w:rPr>
                <w:rFonts w:ascii="Arial" w:hAnsi="Arial"/>
                <w:noProof/>
                <w:color w:val="000000"/>
                <w:sz w:val="12"/>
              </w:rPr>
              <w:t>(mln. EUR)</w:t>
            </w:r>
          </w:p>
        </w:tc>
      </w:tr>
      <w:tr>
        <w:trPr>
          <w:trHeight w:hRule="exact" w:val="304"/>
        </w:trPr>
        <w:tc>
          <w:tcPr>
            <w:tcW w:w="3888" w:type="dxa"/>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708" w:type="dxa"/>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ASIGNAVIMAI</w:t>
            </w:r>
          </w:p>
        </w:tc>
        <w:tc>
          <w:tcPr>
            <w:tcW w:w="1794"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SPRENDIMAI</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ASIGNUOTOSIOS LĖŠOS</w:t>
            </w:r>
          </w:p>
        </w:tc>
        <w:tc>
          <w:tcPr>
            <w:tcW w:w="2218"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MOKĖJIMAI</w:t>
            </w:r>
          </w:p>
        </w:tc>
      </w:tr>
      <w:tr>
        <w:trPr>
          <w:trHeight w:hRule="exact" w:val="154"/>
        </w:trPr>
        <w:tc>
          <w:tcPr>
            <w:tcW w:w="3888"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708" w:type="dxa"/>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p>
        </w:tc>
        <w:tc>
          <w:tcPr>
            <w:tcW w:w="709"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SUVEST.</w:t>
            </w:r>
          </w:p>
        </w:tc>
        <w:tc>
          <w:tcPr>
            <w:tcW w:w="48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PER METUS</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w:t>
            </w:r>
          </w:p>
        </w:tc>
        <w:tc>
          <w:tcPr>
            <w:tcW w:w="758"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SUVEST.</w:t>
            </w:r>
          </w:p>
        </w:tc>
        <w:tc>
          <w:tcPr>
            <w:tcW w:w="442"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PER METUS</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w:t>
            </w:r>
          </w:p>
        </w:tc>
        <w:tc>
          <w:tcPr>
            <w:tcW w:w="801"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SUVEST.</w:t>
            </w:r>
          </w:p>
        </w:tc>
        <w:tc>
          <w:tcPr>
            <w:tcW w:w="56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PER METUS</w:t>
            </w:r>
          </w:p>
        </w:tc>
        <w:tc>
          <w:tcPr>
            <w:tcW w:w="85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w:t>
            </w:r>
          </w:p>
        </w:tc>
      </w:tr>
      <w:tr>
        <w:trPr>
          <w:trHeight w:hRule="exact" w:val="165"/>
        </w:trPr>
        <w:tc>
          <w:tcPr>
            <w:tcW w:w="3888"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708"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(1)</w:t>
            </w:r>
          </w:p>
        </w:tc>
        <w:tc>
          <w:tcPr>
            <w:tcW w:w="709"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(2)</w:t>
            </w:r>
          </w:p>
        </w:tc>
        <w:tc>
          <w:tcPr>
            <w:tcW w:w="48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(2) : (1)</w:t>
            </w:r>
          </w:p>
        </w:tc>
        <w:tc>
          <w:tcPr>
            <w:tcW w:w="758"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(3)</w:t>
            </w:r>
          </w:p>
        </w:tc>
        <w:tc>
          <w:tcPr>
            <w:tcW w:w="442"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(3) : (2)</w:t>
            </w:r>
          </w:p>
        </w:tc>
        <w:tc>
          <w:tcPr>
            <w:tcW w:w="801"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(4)</w:t>
            </w:r>
          </w:p>
        </w:tc>
        <w:tc>
          <w:tcPr>
            <w:tcW w:w="56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p>
        </w:tc>
        <w:tc>
          <w:tcPr>
            <w:tcW w:w="85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(4) : (3)</w:t>
            </w:r>
          </w:p>
        </w:tc>
      </w:tr>
      <w:tr>
        <w:trPr>
          <w:trHeight w:hRule="exact" w:val="55"/>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000000"/>
                <w:sz w:val="12"/>
              </w:rPr>
            </w:pPr>
          </w:p>
        </w:tc>
        <w:tc>
          <w:tcPr>
            <w:tcW w:w="708"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709"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48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758"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442"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801"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567"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85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723"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3"/>
              <w:rPr>
                <w:rFonts w:ascii="Arial" w:eastAsia="Arial" w:hAnsi="Arial" w:cs="Arial"/>
                <w:b/>
                <w:noProof/>
                <w:color w:val="FFFFFF"/>
                <w:sz w:val="14"/>
              </w:rPr>
            </w:pPr>
            <w:r>
              <w:rPr>
                <w:rFonts w:ascii="Arial" w:hAnsi="Arial"/>
                <w:b/>
                <w:noProof/>
                <w:color w:val="FFFFFF"/>
                <w:sz w:val="14"/>
              </w:rPr>
              <w:t>AKR</w:t>
            </w:r>
          </w:p>
        </w:tc>
        <w:tc>
          <w:tcPr>
            <w:tcW w:w="708"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709"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485"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758"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442"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801"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567"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85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723"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3"/>
              <w:rPr>
                <w:rFonts w:ascii="Arial" w:eastAsia="Arial" w:hAnsi="Arial" w:cs="Arial"/>
                <w:b/>
                <w:noProof/>
                <w:color w:val="000000"/>
                <w:sz w:val="12"/>
              </w:rPr>
            </w:pPr>
            <w:r>
              <w:rPr>
                <w:rFonts w:ascii="Arial" w:hAnsi="Arial"/>
                <w:b/>
                <w:noProof/>
                <w:color w:val="000000"/>
                <w:sz w:val="12"/>
              </w:rPr>
              <w:t>Įprasti VN įnašai</w:t>
            </w:r>
          </w:p>
        </w:tc>
        <w:tc>
          <w:tcPr>
            <w:tcW w:w="708"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709"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485"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758"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442"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801"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567"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85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r>
              <w:rPr>
                <w:rFonts w:ascii="Arial" w:hAnsi="Arial"/>
                <w:b/>
                <w:noProof/>
                <w:color w:val="000000"/>
                <w:sz w:val="12"/>
              </w:rPr>
              <w:t>Lomė</w:t>
            </w: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Iš viso orientacinėms programoms</w:t>
            </w:r>
          </w:p>
        </w:tc>
        <w:tc>
          <w:tcPr>
            <w:tcW w:w="70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29</w:t>
            </w:r>
          </w:p>
        </w:tc>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29</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75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29</w:t>
            </w:r>
          </w:p>
        </w:tc>
        <w:tc>
          <w:tcPr>
            <w:tcW w:w="442"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80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29</w:t>
            </w:r>
          </w:p>
        </w:tc>
        <w:tc>
          <w:tcPr>
            <w:tcW w:w="56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85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hAnsi="Arial"/>
                <w:b/>
                <w:noProof/>
                <w:color w:val="000000"/>
                <w:sz w:val="12"/>
              </w:rPr>
              <w:t>TARPINĖ SUMA. IŠ VISO ORIENTACINĖMS PROGRAMOMS</w:t>
            </w:r>
          </w:p>
        </w:tc>
        <w:tc>
          <w:tcPr>
            <w:tcW w:w="70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29</w:t>
            </w:r>
          </w:p>
        </w:tc>
        <w:tc>
          <w:tcPr>
            <w:tcW w:w="70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29</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7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29</w:t>
            </w:r>
          </w:p>
        </w:tc>
        <w:tc>
          <w:tcPr>
            <w:tcW w:w="442"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29</w:t>
            </w:r>
          </w:p>
        </w:tc>
        <w:tc>
          <w:tcPr>
            <w:tcW w:w="56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85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Struktūrinis koregavimas</w:t>
            </w:r>
          </w:p>
        </w:tc>
        <w:tc>
          <w:tcPr>
            <w:tcW w:w="70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18</w:t>
            </w:r>
          </w:p>
        </w:tc>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18</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75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18</w:t>
            </w:r>
          </w:p>
        </w:tc>
        <w:tc>
          <w:tcPr>
            <w:tcW w:w="442"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80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18</w:t>
            </w:r>
          </w:p>
        </w:tc>
        <w:tc>
          <w:tcPr>
            <w:tcW w:w="56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85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hAnsi="Arial"/>
                <w:b/>
                <w:noProof/>
                <w:color w:val="000000"/>
                <w:sz w:val="12"/>
              </w:rPr>
              <w:t>TARPINĖ SUMA. IŠ VISO NEPROGRAMUOJAMAI PAGALBAI</w:t>
            </w:r>
          </w:p>
        </w:tc>
        <w:tc>
          <w:tcPr>
            <w:tcW w:w="70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18</w:t>
            </w:r>
          </w:p>
        </w:tc>
        <w:tc>
          <w:tcPr>
            <w:tcW w:w="70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18</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7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18</w:t>
            </w:r>
          </w:p>
        </w:tc>
        <w:tc>
          <w:tcPr>
            <w:tcW w:w="442"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18</w:t>
            </w:r>
          </w:p>
        </w:tc>
        <w:tc>
          <w:tcPr>
            <w:tcW w:w="56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85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r>
      <w:tr>
        <w:trPr>
          <w:trHeight w:hRule="exact" w:val="19"/>
        </w:trPr>
        <w:tc>
          <w:tcPr>
            <w:tcW w:w="1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723"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70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70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48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7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442"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801"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56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85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lang w:bidi="en-GB"/>
              </w:rPr>
            </w:pPr>
          </w:p>
        </w:tc>
      </w:tr>
      <w:tr>
        <w:trPr>
          <w:trHeight w:hRule="exact" w:val="165"/>
        </w:trPr>
        <w:tc>
          <w:tcPr>
            <w:tcW w:w="165" w:type="dxa"/>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723" w:type="dxa"/>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rPr>
                <w:rFonts w:ascii="Arial" w:eastAsia="Arial" w:hAnsi="Arial" w:cs="Arial"/>
                <w:b/>
                <w:noProof/>
                <w:color w:val="FFFFFF"/>
                <w:sz w:val="14"/>
              </w:rPr>
            </w:pPr>
            <w:r>
              <w:rPr>
                <w:rFonts w:ascii="Arial" w:hAnsi="Arial"/>
                <w:b/>
                <w:noProof/>
                <w:color w:val="FFFFFF"/>
                <w:sz w:val="14"/>
              </w:rPr>
              <w:t xml:space="preserve">IŠ VISO AKR    </w:t>
            </w:r>
          </w:p>
        </w:tc>
        <w:tc>
          <w:tcPr>
            <w:tcW w:w="708"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47</w:t>
            </w:r>
          </w:p>
        </w:tc>
        <w:tc>
          <w:tcPr>
            <w:tcW w:w="70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47</w:t>
            </w:r>
          </w:p>
        </w:tc>
        <w:tc>
          <w:tcPr>
            <w:tcW w:w="48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100 %</w:t>
            </w:r>
          </w:p>
        </w:tc>
        <w:tc>
          <w:tcPr>
            <w:tcW w:w="758"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47</w:t>
            </w:r>
          </w:p>
        </w:tc>
        <w:tc>
          <w:tcPr>
            <w:tcW w:w="44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100 %</w:t>
            </w:r>
          </w:p>
        </w:tc>
        <w:tc>
          <w:tcPr>
            <w:tcW w:w="80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47</w:t>
            </w:r>
          </w:p>
        </w:tc>
        <w:tc>
          <w:tcPr>
            <w:tcW w:w="56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p>
        </w:tc>
        <w:tc>
          <w:tcPr>
            <w:tcW w:w="85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100 %</w:t>
            </w:r>
          </w:p>
        </w:tc>
      </w:tr>
      <w:tr>
        <w:trPr>
          <w:trHeight w:hRule="exact" w:val="19"/>
        </w:trPr>
        <w:tc>
          <w:tcPr>
            <w:tcW w:w="1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723" w:type="dxa"/>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708"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70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48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758"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44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80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56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85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lang w:bidi="en-GB"/>
              </w:rPr>
            </w:pPr>
          </w:p>
        </w:tc>
      </w:tr>
      <w:tr>
        <w:trPr>
          <w:trHeight w:hRule="exact" w:val="19"/>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000000"/>
                <w:sz w:val="12"/>
              </w:rPr>
            </w:pPr>
          </w:p>
        </w:tc>
        <w:tc>
          <w:tcPr>
            <w:tcW w:w="708"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709"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48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758"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442"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801"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567"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85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723"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3"/>
              <w:rPr>
                <w:rFonts w:ascii="Arial" w:eastAsia="Arial" w:hAnsi="Arial" w:cs="Arial"/>
                <w:b/>
                <w:noProof/>
                <w:color w:val="FFFFFF"/>
                <w:sz w:val="14"/>
              </w:rPr>
            </w:pPr>
            <w:r>
              <w:rPr>
                <w:rFonts w:ascii="Arial" w:hAnsi="Arial"/>
                <w:b/>
                <w:noProof/>
                <w:color w:val="FFFFFF"/>
                <w:sz w:val="14"/>
              </w:rPr>
              <w:t xml:space="preserve">AKR </w:t>
            </w:r>
          </w:p>
        </w:tc>
        <w:tc>
          <w:tcPr>
            <w:tcW w:w="708"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709"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485"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758"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442"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801"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567"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85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723"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3"/>
              <w:rPr>
                <w:rFonts w:ascii="Arial" w:eastAsia="Arial" w:hAnsi="Arial" w:cs="Arial"/>
                <w:b/>
                <w:noProof/>
                <w:color w:val="000000"/>
                <w:sz w:val="12"/>
              </w:rPr>
            </w:pPr>
            <w:r>
              <w:rPr>
                <w:rFonts w:ascii="Arial" w:hAnsi="Arial"/>
                <w:b/>
                <w:noProof/>
                <w:color w:val="000000"/>
                <w:sz w:val="12"/>
              </w:rPr>
              <w:t>Įprasti VN įnašai</w:t>
            </w:r>
          </w:p>
        </w:tc>
        <w:tc>
          <w:tcPr>
            <w:tcW w:w="708"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709"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485"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758"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442"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801"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567"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85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r>
              <w:rPr>
                <w:rFonts w:ascii="Arial" w:hAnsi="Arial"/>
                <w:b/>
                <w:noProof/>
                <w:color w:val="000000"/>
                <w:sz w:val="12"/>
              </w:rPr>
              <w:t>Lomė</w:t>
            </w: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Pajamų iš palūkanų panaudojimas</w:t>
            </w:r>
          </w:p>
        </w:tc>
        <w:tc>
          <w:tcPr>
            <w:tcW w:w="70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35</w:t>
            </w:r>
          </w:p>
        </w:tc>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35</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75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35</w:t>
            </w:r>
          </w:p>
        </w:tc>
        <w:tc>
          <w:tcPr>
            <w:tcW w:w="442"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80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35</w:t>
            </w:r>
          </w:p>
        </w:tc>
        <w:tc>
          <w:tcPr>
            <w:tcW w:w="56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85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hAnsi="Arial"/>
                <w:b/>
                <w:noProof/>
                <w:color w:val="000000"/>
                <w:sz w:val="12"/>
              </w:rPr>
              <w:t>TARPINĖ SUMA. ĮVAIRIOS PAJAMOS</w:t>
            </w:r>
          </w:p>
        </w:tc>
        <w:tc>
          <w:tcPr>
            <w:tcW w:w="70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35</w:t>
            </w:r>
          </w:p>
        </w:tc>
        <w:tc>
          <w:tcPr>
            <w:tcW w:w="70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35</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7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35</w:t>
            </w:r>
          </w:p>
        </w:tc>
        <w:tc>
          <w:tcPr>
            <w:tcW w:w="442"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35</w:t>
            </w:r>
          </w:p>
        </w:tc>
        <w:tc>
          <w:tcPr>
            <w:tcW w:w="56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85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Iš viso orientacinėms programoms</w:t>
            </w:r>
          </w:p>
        </w:tc>
        <w:tc>
          <w:tcPr>
            <w:tcW w:w="70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4 921</w:t>
            </w:r>
          </w:p>
        </w:tc>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4 921</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75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4 921</w:t>
            </w:r>
          </w:p>
        </w:tc>
        <w:tc>
          <w:tcPr>
            <w:tcW w:w="442"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80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4 921</w:t>
            </w:r>
          </w:p>
        </w:tc>
        <w:tc>
          <w:tcPr>
            <w:tcW w:w="56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hAnsi="Arial"/>
                <w:noProof/>
                <w:color w:val="FF0000"/>
                <w:sz w:val="12"/>
              </w:rPr>
              <w:t>–</w:t>
            </w:r>
          </w:p>
        </w:tc>
        <w:tc>
          <w:tcPr>
            <w:tcW w:w="85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hAnsi="Arial"/>
                <w:b/>
                <w:noProof/>
                <w:color w:val="000000"/>
                <w:sz w:val="12"/>
              </w:rPr>
              <w:t>TARPINĖ SUMA. IŠ VISO ORIENTACINĖMS PROGRAMOMS</w:t>
            </w:r>
          </w:p>
        </w:tc>
        <w:tc>
          <w:tcPr>
            <w:tcW w:w="70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4 921</w:t>
            </w:r>
          </w:p>
        </w:tc>
        <w:tc>
          <w:tcPr>
            <w:tcW w:w="70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4 921</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7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4 921</w:t>
            </w:r>
          </w:p>
        </w:tc>
        <w:tc>
          <w:tcPr>
            <w:tcW w:w="442"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4 921</w:t>
            </w:r>
          </w:p>
        </w:tc>
        <w:tc>
          <w:tcPr>
            <w:tcW w:w="56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FF0000"/>
                <w:sz w:val="12"/>
              </w:rPr>
            </w:pPr>
            <w:r>
              <w:rPr>
                <w:rFonts w:ascii="Arial" w:hAnsi="Arial"/>
                <w:b/>
                <w:noProof/>
                <w:color w:val="FF0000"/>
                <w:sz w:val="12"/>
              </w:rPr>
              <w:t>–</w:t>
            </w:r>
          </w:p>
        </w:tc>
        <w:tc>
          <w:tcPr>
            <w:tcW w:w="85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Pagalba pabėgėliams</w:t>
            </w:r>
          </w:p>
        </w:tc>
        <w:tc>
          <w:tcPr>
            <w:tcW w:w="70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w:t>
            </w:r>
          </w:p>
        </w:tc>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75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w:t>
            </w:r>
          </w:p>
        </w:tc>
        <w:tc>
          <w:tcPr>
            <w:tcW w:w="442"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80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w:t>
            </w:r>
          </w:p>
        </w:tc>
        <w:tc>
          <w:tcPr>
            <w:tcW w:w="56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85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Neatidėliotina pagalba (Lomė)</w:t>
            </w:r>
          </w:p>
        </w:tc>
        <w:tc>
          <w:tcPr>
            <w:tcW w:w="70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136</w:t>
            </w:r>
          </w:p>
        </w:tc>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136</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75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136</w:t>
            </w:r>
          </w:p>
        </w:tc>
        <w:tc>
          <w:tcPr>
            <w:tcW w:w="442"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80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136</w:t>
            </w:r>
          </w:p>
        </w:tc>
        <w:tc>
          <w:tcPr>
            <w:tcW w:w="56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85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Labai įsiskolinusios neturtingos šalys (Lomė)</w:t>
            </w:r>
          </w:p>
        </w:tc>
        <w:tc>
          <w:tcPr>
            <w:tcW w:w="70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1 060</w:t>
            </w:r>
          </w:p>
        </w:tc>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1 060</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75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1 060</w:t>
            </w:r>
          </w:p>
        </w:tc>
        <w:tc>
          <w:tcPr>
            <w:tcW w:w="442"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80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1 060</w:t>
            </w:r>
          </w:p>
        </w:tc>
        <w:tc>
          <w:tcPr>
            <w:tcW w:w="56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85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Palūkanų subsidijos</w:t>
            </w:r>
          </w:p>
        </w:tc>
        <w:tc>
          <w:tcPr>
            <w:tcW w:w="70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69</w:t>
            </w:r>
          </w:p>
        </w:tc>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69</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75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68</w:t>
            </w:r>
          </w:p>
        </w:tc>
        <w:tc>
          <w:tcPr>
            <w:tcW w:w="442"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80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68</w:t>
            </w:r>
          </w:p>
        </w:tc>
        <w:tc>
          <w:tcPr>
            <w:tcW w:w="56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85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Rizikos kapitalas</w:t>
            </w:r>
          </w:p>
        </w:tc>
        <w:tc>
          <w:tcPr>
            <w:tcW w:w="70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1 012</w:t>
            </w:r>
          </w:p>
        </w:tc>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1 012</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75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1 012</w:t>
            </w:r>
          </w:p>
        </w:tc>
        <w:tc>
          <w:tcPr>
            <w:tcW w:w="442"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80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1 012</w:t>
            </w:r>
          </w:p>
        </w:tc>
        <w:tc>
          <w:tcPr>
            <w:tcW w:w="56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85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„Stabex“</w:t>
            </w:r>
          </w:p>
        </w:tc>
        <w:tc>
          <w:tcPr>
            <w:tcW w:w="70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723</w:t>
            </w:r>
          </w:p>
        </w:tc>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722</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75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722</w:t>
            </w:r>
          </w:p>
        </w:tc>
        <w:tc>
          <w:tcPr>
            <w:tcW w:w="442"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80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722</w:t>
            </w:r>
          </w:p>
        </w:tc>
        <w:tc>
          <w:tcPr>
            <w:tcW w:w="56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85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Struktūrinis koregavimas</w:t>
            </w:r>
          </w:p>
        </w:tc>
        <w:tc>
          <w:tcPr>
            <w:tcW w:w="70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1 479</w:t>
            </w:r>
          </w:p>
        </w:tc>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1 479</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75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1 479</w:t>
            </w:r>
          </w:p>
        </w:tc>
        <w:tc>
          <w:tcPr>
            <w:tcW w:w="442"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80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1 479</w:t>
            </w:r>
          </w:p>
        </w:tc>
        <w:tc>
          <w:tcPr>
            <w:tcW w:w="56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85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„Sysmin“</w:t>
            </w:r>
          </w:p>
        </w:tc>
        <w:tc>
          <w:tcPr>
            <w:tcW w:w="70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101</w:t>
            </w:r>
          </w:p>
        </w:tc>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101</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75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101</w:t>
            </w:r>
          </w:p>
        </w:tc>
        <w:tc>
          <w:tcPr>
            <w:tcW w:w="442"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80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101</w:t>
            </w:r>
          </w:p>
        </w:tc>
        <w:tc>
          <w:tcPr>
            <w:tcW w:w="56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85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hAnsi="Arial"/>
                <w:b/>
                <w:noProof/>
                <w:color w:val="000000"/>
                <w:sz w:val="12"/>
              </w:rPr>
              <w:t>TARPINĖ SUMA. IŠ VISO NEPROGRAMUOJAMAI PAGALBAI</w:t>
            </w:r>
          </w:p>
        </w:tc>
        <w:tc>
          <w:tcPr>
            <w:tcW w:w="70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4 679</w:t>
            </w:r>
          </w:p>
        </w:tc>
        <w:tc>
          <w:tcPr>
            <w:tcW w:w="70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4 678</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7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4 677</w:t>
            </w:r>
          </w:p>
        </w:tc>
        <w:tc>
          <w:tcPr>
            <w:tcW w:w="442"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4 677</w:t>
            </w:r>
          </w:p>
        </w:tc>
        <w:tc>
          <w:tcPr>
            <w:tcW w:w="56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85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r>
      <w:tr>
        <w:trPr>
          <w:trHeight w:hRule="exact" w:val="19"/>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000000"/>
                <w:sz w:val="12"/>
              </w:rPr>
            </w:pPr>
          </w:p>
        </w:tc>
        <w:tc>
          <w:tcPr>
            <w:tcW w:w="708"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709"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48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758"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442"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801"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567"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85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723"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3"/>
              <w:rPr>
                <w:rFonts w:ascii="Arial" w:eastAsia="Arial" w:hAnsi="Arial" w:cs="Arial"/>
                <w:b/>
                <w:noProof/>
                <w:color w:val="FFFFFF"/>
                <w:sz w:val="14"/>
              </w:rPr>
            </w:pPr>
            <w:r>
              <w:rPr>
                <w:rFonts w:ascii="Arial" w:hAnsi="Arial"/>
                <w:b/>
                <w:noProof/>
                <w:color w:val="FFFFFF"/>
                <w:sz w:val="14"/>
              </w:rPr>
              <w:t xml:space="preserve">AKR </w:t>
            </w:r>
          </w:p>
        </w:tc>
        <w:tc>
          <w:tcPr>
            <w:tcW w:w="708"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709"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485"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758"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442"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801"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567"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85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723"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3"/>
              <w:rPr>
                <w:rFonts w:ascii="Arial" w:eastAsia="Arial" w:hAnsi="Arial" w:cs="Arial"/>
                <w:b/>
                <w:noProof/>
                <w:color w:val="000000"/>
                <w:sz w:val="12"/>
              </w:rPr>
            </w:pPr>
            <w:r>
              <w:rPr>
                <w:rFonts w:ascii="Arial" w:hAnsi="Arial"/>
                <w:b/>
                <w:noProof/>
                <w:color w:val="000000"/>
                <w:sz w:val="12"/>
              </w:rPr>
              <w:t>Įprasti VN įnašai</w:t>
            </w:r>
          </w:p>
        </w:tc>
        <w:tc>
          <w:tcPr>
            <w:tcW w:w="708"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709"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485"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758"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442"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801"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567"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85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r>
              <w:rPr>
                <w:rFonts w:ascii="Arial" w:hAnsi="Arial"/>
                <w:b/>
                <w:noProof/>
                <w:color w:val="000000"/>
                <w:sz w:val="12"/>
              </w:rPr>
              <w:t>Kotonu</w:t>
            </w: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A paketas. Nacionaliniai asignavimai</w:t>
            </w:r>
          </w:p>
        </w:tc>
        <w:tc>
          <w:tcPr>
            <w:tcW w:w="70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417</w:t>
            </w:r>
          </w:p>
        </w:tc>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417</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75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417</w:t>
            </w:r>
          </w:p>
        </w:tc>
        <w:tc>
          <w:tcPr>
            <w:tcW w:w="442"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80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417</w:t>
            </w:r>
          </w:p>
        </w:tc>
        <w:tc>
          <w:tcPr>
            <w:tcW w:w="56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85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hAnsi="Arial"/>
                <w:b/>
                <w:noProof/>
                <w:color w:val="000000"/>
                <w:sz w:val="12"/>
              </w:rPr>
              <w:t>TARPINĖ SUMA. A PAKETAS. NACIONALINIAI ASIGNAVIMAI</w:t>
            </w:r>
          </w:p>
        </w:tc>
        <w:tc>
          <w:tcPr>
            <w:tcW w:w="70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417</w:t>
            </w:r>
          </w:p>
        </w:tc>
        <w:tc>
          <w:tcPr>
            <w:tcW w:w="70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417</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7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417</w:t>
            </w:r>
          </w:p>
        </w:tc>
        <w:tc>
          <w:tcPr>
            <w:tcW w:w="442"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417</w:t>
            </w:r>
          </w:p>
        </w:tc>
        <w:tc>
          <w:tcPr>
            <w:tcW w:w="56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85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B paketas. Nacionaliniai asignavimai</w:t>
            </w:r>
          </w:p>
        </w:tc>
        <w:tc>
          <w:tcPr>
            <w:tcW w:w="70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233</w:t>
            </w:r>
          </w:p>
        </w:tc>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75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442"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80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56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85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Eksporto pajamų kompensacijos</w:t>
            </w:r>
          </w:p>
        </w:tc>
        <w:tc>
          <w:tcPr>
            <w:tcW w:w="70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231</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hAnsi="Arial"/>
                <w:noProof/>
                <w:color w:val="FF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75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231</w:t>
            </w:r>
          </w:p>
        </w:tc>
        <w:tc>
          <w:tcPr>
            <w:tcW w:w="442"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80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231</w:t>
            </w:r>
          </w:p>
        </w:tc>
        <w:tc>
          <w:tcPr>
            <w:tcW w:w="56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85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hAnsi="Arial"/>
                <w:b/>
                <w:noProof/>
                <w:color w:val="000000"/>
                <w:sz w:val="12"/>
              </w:rPr>
              <w:t>TARPINĖ SUMA. B PAKETAS. NACIONALINIAI ASIGNAVIMAI</w:t>
            </w:r>
          </w:p>
        </w:tc>
        <w:tc>
          <w:tcPr>
            <w:tcW w:w="70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233</w:t>
            </w:r>
          </w:p>
        </w:tc>
        <w:tc>
          <w:tcPr>
            <w:tcW w:w="70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231</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FF0000"/>
                <w:sz w:val="12"/>
              </w:rPr>
            </w:pPr>
            <w:r>
              <w:rPr>
                <w:rFonts w:ascii="Arial" w:hAnsi="Arial"/>
                <w:b/>
                <w:noProof/>
                <w:color w:val="FF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99 %</w:t>
            </w:r>
          </w:p>
        </w:tc>
        <w:tc>
          <w:tcPr>
            <w:tcW w:w="7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231</w:t>
            </w:r>
          </w:p>
        </w:tc>
        <w:tc>
          <w:tcPr>
            <w:tcW w:w="442"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231</w:t>
            </w:r>
          </w:p>
        </w:tc>
        <w:tc>
          <w:tcPr>
            <w:tcW w:w="56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85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Palūkanos ir kitos pajamos</w:t>
            </w:r>
          </w:p>
        </w:tc>
        <w:tc>
          <w:tcPr>
            <w:tcW w:w="70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w:t>
            </w:r>
          </w:p>
        </w:tc>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75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442"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80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56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85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hAnsi="Arial"/>
                <w:b/>
                <w:noProof/>
                <w:color w:val="000000"/>
                <w:sz w:val="12"/>
              </w:rPr>
              <w:t>TARPINĖ SUMA. ĮGYVENDINIMO IŠLAIDOS IR PAJAMOS IŠ PALŪKANŲ</w:t>
            </w:r>
          </w:p>
        </w:tc>
        <w:tc>
          <w:tcPr>
            <w:tcW w:w="70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w:t>
            </w:r>
          </w:p>
        </w:tc>
        <w:tc>
          <w:tcPr>
            <w:tcW w:w="70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7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442"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801"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56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85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lang w:bidi="en-GB"/>
              </w:rPr>
            </w:pPr>
          </w:p>
        </w:tc>
      </w:tr>
      <w:tr>
        <w:trPr>
          <w:trHeight w:hRule="exact" w:val="19"/>
        </w:trPr>
        <w:tc>
          <w:tcPr>
            <w:tcW w:w="1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723"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70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70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48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7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442"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801"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56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85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lang w:bidi="en-GB"/>
              </w:rPr>
            </w:pPr>
          </w:p>
        </w:tc>
      </w:tr>
      <w:tr>
        <w:trPr>
          <w:trHeight w:hRule="exact" w:val="165"/>
        </w:trPr>
        <w:tc>
          <w:tcPr>
            <w:tcW w:w="165" w:type="dxa"/>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723" w:type="dxa"/>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rPr>
                <w:rFonts w:ascii="Arial" w:eastAsia="Arial" w:hAnsi="Arial" w:cs="Arial"/>
                <w:b/>
                <w:noProof/>
                <w:color w:val="FFFFFF"/>
                <w:sz w:val="14"/>
              </w:rPr>
            </w:pPr>
            <w:r>
              <w:rPr>
                <w:rFonts w:ascii="Arial" w:hAnsi="Arial"/>
                <w:b/>
                <w:noProof/>
                <w:color w:val="FFFFFF"/>
                <w:sz w:val="14"/>
              </w:rPr>
              <w:t>IŠ VISO AKR     (A)</w:t>
            </w:r>
          </w:p>
        </w:tc>
        <w:tc>
          <w:tcPr>
            <w:tcW w:w="708"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10 285</w:t>
            </w:r>
          </w:p>
        </w:tc>
        <w:tc>
          <w:tcPr>
            <w:tcW w:w="70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10 282</w:t>
            </w:r>
          </w:p>
        </w:tc>
        <w:tc>
          <w:tcPr>
            <w:tcW w:w="48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0000"/>
                <w:sz w:val="14"/>
              </w:rPr>
            </w:pPr>
            <w:r>
              <w:rPr>
                <w:rFonts w:ascii="Arial" w:hAnsi="Arial"/>
                <w:b/>
                <w:noProof/>
                <w:color w:val="FF0000"/>
                <w:sz w:val="14"/>
              </w:rPr>
              <w:t>(2)</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100 %</w:t>
            </w:r>
          </w:p>
        </w:tc>
        <w:tc>
          <w:tcPr>
            <w:tcW w:w="758"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10 282</w:t>
            </w:r>
          </w:p>
        </w:tc>
        <w:tc>
          <w:tcPr>
            <w:tcW w:w="44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0000"/>
                <w:sz w:val="14"/>
              </w:rPr>
            </w:pPr>
            <w:r>
              <w:rPr>
                <w:rFonts w:ascii="Arial" w:hAnsi="Arial"/>
                <w:b/>
                <w:noProof/>
                <w:color w:val="FF0000"/>
                <w:sz w:val="14"/>
              </w:rPr>
              <w:t>(1)</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100 %</w:t>
            </w:r>
          </w:p>
        </w:tc>
        <w:tc>
          <w:tcPr>
            <w:tcW w:w="80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10 282</w:t>
            </w:r>
          </w:p>
        </w:tc>
        <w:tc>
          <w:tcPr>
            <w:tcW w:w="56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0000"/>
                <w:sz w:val="14"/>
              </w:rPr>
            </w:pPr>
            <w:r>
              <w:rPr>
                <w:rFonts w:ascii="Arial" w:hAnsi="Arial"/>
                <w:b/>
                <w:noProof/>
                <w:color w:val="FF0000"/>
                <w:sz w:val="14"/>
              </w:rPr>
              <w:t>–</w:t>
            </w:r>
          </w:p>
        </w:tc>
        <w:tc>
          <w:tcPr>
            <w:tcW w:w="85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100 %</w:t>
            </w:r>
          </w:p>
        </w:tc>
      </w:tr>
      <w:tr>
        <w:trPr>
          <w:trHeight w:hRule="exact" w:val="19"/>
        </w:trPr>
        <w:tc>
          <w:tcPr>
            <w:tcW w:w="1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723" w:type="dxa"/>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708"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70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48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758"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44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80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56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85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lang w:bidi="en-GB"/>
              </w:rPr>
            </w:pPr>
          </w:p>
        </w:tc>
      </w:tr>
      <w:tr>
        <w:trPr>
          <w:trHeight w:hRule="exact" w:val="19"/>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000000"/>
                <w:sz w:val="12"/>
              </w:rPr>
            </w:pPr>
          </w:p>
        </w:tc>
        <w:tc>
          <w:tcPr>
            <w:tcW w:w="708"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709"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48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758"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442"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801"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567"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85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723"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3"/>
              <w:rPr>
                <w:rFonts w:ascii="Arial" w:eastAsia="Arial" w:hAnsi="Arial" w:cs="Arial"/>
                <w:b/>
                <w:noProof/>
                <w:color w:val="FFFFFF"/>
                <w:sz w:val="14"/>
              </w:rPr>
            </w:pPr>
            <w:r>
              <w:rPr>
                <w:rFonts w:ascii="Arial" w:hAnsi="Arial"/>
                <w:b/>
                <w:noProof/>
                <w:color w:val="FFFFFF"/>
                <w:sz w:val="14"/>
              </w:rPr>
              <w:t>UŠT</w:t>
            </w:r>
          </w:p>
        </w:tc>
        <w:tc>
          <w:tcPr>
            <w:tcW w:w="708"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709"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485"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758"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442"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801"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567"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85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723"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3"/>
              <w:rPr>
                <w:rFonts w:ascii="Arial" w:eastAsia="Arial" w:hAnsi="Arial" w:cs="Arial"/>
                <w:b/>
                <w:noProof/>
                <w:color w:val="000000"/>
                <w:sz w:val="12"/>
              </w:rPr>
            </w:pPr>
            <w:r>
              <w:rPr>
                <w:rFonts w:ascii="Arial" w:hAnsi="Arial"/>
                <w:b/>
                <w:noProof/>
                <w:color w:val="000000"/>
                <w:sz w:val="12"/>
              </w:rPr>
              <w:t>Įprasti VN įnašai</w:t>
            </w:r>
          </w:p>
        </w:tc>
        <w:tc>
          <w:tcPr>
            <w:tcW w:w="708"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709"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485"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758"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442"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801"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567"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85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r>
              <w:rPr>
                <w:rFonts w:ascii="Arial" w:hAnsi="Arial"/>
                <w:b/>
                <w:noProof/>
                <w:color w:val="000000"/>
                <w:sz w:val="12"/>
              </w:rPr>
              <w:t>Lomė</w:t>
            </w: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Iš viso orientacinėms programoms</w:t>
            </w:r>
          </w:p>
        </w:tc>
        <w:tc>
          <w:tcPr>
            <w:tcW w:w="70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35</w:t>
            </w:r>
          </w:p>
        </w:tc>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35</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75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35</w:t>
            </w:r>
          </w:p>
        </w:tc>
        <w:tc>
          <w:tcPr>
            <w:tcW w:w="442"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80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35</w:t>
            </w:r>
          </w:p>
        </w:tc>
        <w:tc>
          <w:tcPr>
            <w:tcW w:w="56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85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hAnsi="Arial"/>
                <w:b/>
                <w:noProof/>
                <w:color w:val="000000"/>
                <w:sz w:val="12"/>
              </w:rPr>
              <w:t>TARPINĖ SUMA. IŠ VISO ORIENTACINĖMS PROGRAMOMS</w:t>
            </w:r>
          </w:p>
        </w:tc>
        <w:tc>
          <w:tcPr>
            <w:tcW w:w="70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35</w:t>
            </w:r>
          </w:p>
        </w:tc>
        <w:tc>
          <w:tcPr>
            <w:tcW w:w="70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35</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7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35</w:t>
            </w:r>
          </w:p>
        </w:tc>
        <w:tc>
          <w:tcPr>
            <w:tcW w:w="442"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35</w:t>
            </w:r>
          </w:p>
        </w:tc>
        <w:tc>
          <w:tcPr>
            <w:tcW w:w="56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85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Palūkanų subsidijos</w:t>
            </w:r>
          </w:p>
        </w:tc>
        <w:tc>
          <w:tcPr>
            <w:tcW w:w="70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w:t>
            </w:r>
          </w:p>
        </w:tc>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75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w:t>
            </w:r>
          </w:p>
        </w:tc>
        <w:tc>
          <w:tcPr>
            <w:tcW w:w="442"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80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w:t>
            </w:r>
          </w:p>
        </w:tc>
        <w:tc>
          <w:tcPr>
            <w:tcW w:w="56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85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Rizikos kapitalas</w:t>
            </w:r>
          </w:p>
        </w:tc>
        <w:tc>
          <w:tcPr>
            <w:tcW w:w="70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6</w:t>
            </w:r>
          </w:p>
        </w:tc>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6</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75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6</w:t>
            </w:r>
          </w:p>
        </w:tc>
        <w:tc>
          <w:tcPr>
            <w:tcW w:w="442"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80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6</w:t>
            </w:r>
          </w:p>
        </w:tc>
        <w:tc>
          <w:tcPr>
            <w:tcW w:w="56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85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„Stabex“</w:t>
            </w:r>
          </w:p>
        </w:tc>
        <w:tc>
          <w:tcPr>
            <w:tcW w:w="70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w:t>
            </w:r>
          </w:p>
        </w:tc>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75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w:t>
            </w:r>
          </w:p>
        </w:tc>
        <w:tc>
          <w:tcPr>
            <w:tcW w:w="442"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80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w:t>
            </w:r>
          </w:p>
        </w:tc>
        <w:tc>
          <w:tcPr>
            <w:tcW w:w="56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85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„Sysmin“</w:t>
            </w:r>
          </w:p>
        </w:tc>
        <w:tc>
          <w:tcPr>
            <w:tcW w:w="70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2</w:t>
            </w:r>
          </w:p>
        </w:tc>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2</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758"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2</w:t>
            </w:r>
          </w:p>
        </w:tc>
        <w:tc>
          <w:tcPr>
            <w:tcW w:w="442"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80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2</w:t>
            </w:r>
          </w:p>
        </w:tc>
        <w:tc>
          <w:tcPr>
            <w:tcW w:w="56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85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723"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hAnsi="Arial"/>
                <w:b/>
                <w:noProof/>
                <w:color w:val="000000"/>
                <w:sz w:val="12"/>
              </w:rPr>
              <w:t>TARPINĖ SUMA. IŠ VISO NEPROGRAMUOJAMAI PAGALBAI</w:t>
            </w:r>
          </w:p>
        </w:tc>
        <w:tc>
          <w:tcPr>
            <w:tcW w:w="70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w:t>
            </w:r>
          </w:p>
        </w:tc>
        <w:tc>
          <w:tcPr>
            <w:tcW w:w="70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7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w:t>
            </w:r>
          </w:p>
        </w:tc>
        <w:tc>
          <w:tcPr>
            <w:tcW w:w="442"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w:t>
            </w:r>
          </w:p>
        </w:tc>
        <w:tc>
          <w:tcPr>
            <w:tcW w:w="56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85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r>
      <w:tr>
        <w:trPr>
          <w:trHeight w:hRule="exact" w:val="19"/>
        </w:trPr>
        <w:tc>
          <w:tcPr>
            <w:tcW w:w="1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723"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70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70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48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7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442"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801"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56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85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lang w:bidi="en-GB"/>
              </w:rPr>
            </w:pPr>
          </w:p>
        </w:tc>
      </w:tr>
      <w:tr>
        <w:trPr>
          <w:trHeight w:hRule="exact" w:val="165"/>
        </w:trPr>
        <w:tc>
          <w:tcPr>
            <w:tcW w:w="165" w:type="dxa"/>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723" w:type="dxa"/>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rPr>
                <w:rFonts w:ascii="Arial" w:eastAsia="Arial" w:hAnsi="Arial" w:cs="Arial"/>
                <w:b/>
                <w:noProof/>
                <w:color w:val="FFFFFF"/>
                <w:sz w:val="14"/>
              </w:rPr>
            </w:pPr>
            <w:r>
              <w:rPr>
                <w:rFonts w:ascii="Arial" w:hAnsi="Arial"/>
                <w:b/>
                <w:noProof/>
                <w:color w:val="FFFFFF"/>
                <w:sz w:val="14"/>
              </w:rPr>
              <w:t xml:space="preserve">IŠ VISO UŠT    </w:t>
            </w:r>
          </w:p>
        </w:tc>
        <w:tc>
          <w:tcPr>
            <w:tcW w:w="708"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46</w:t>
            </w:r>
          </w:p>
        </w:tc>
        <w:tc>
          <w:tcPr>
            <w:tcW w:w="70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46</w:t>
            </w:r>
          </w:p>
        </w:tc>
        <w:tc>
          <w:tcPr>
            <w:tcW w:w="48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100 %</w:t>
            </w:r>
          </w:p>
        </w:tc>
        <w:tc>
          <w:tcPr>
            <w:tcW w:w="758"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46</w:t>
            </w:r>
          </w:p>
        </w:tc>
        <w:tc>
          <w:tcPr>
            <w:tcW w:w="44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100 %</w:t>
            </w:r>
          </w:p>
        </w:tc>
        <w:tc>
          <w:tcPr>
            <w:tcW w:w="80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46</w:t>
            </w:r>
          </w:p>
        </w:tc>
        <w:tc>
          <w:tcPr>
            <w:tcW w:w="56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p>
        </w:tc>
        <w:tc>
          <w:tcPr>
            <w:tcW w:w="85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100 %</w:t>
            </w:r>
          </w:p>
        </w:tc>
      </w:tr>
      <w:tr>
        <w:trPr>
          <w:trHeight w:hRule="exact" w:val="55"/>
        </w:trPr>
        <w:tc>
          <w:tcPr>
            <w:tcW w:w="1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723" w:type="dxa"/>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708"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70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48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758"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44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80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56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85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lang w:bidi="en-GB"/>
              </w:rPr>
            </w:pPr>
          </w:p>
        </w:tc>
      </w:tr>
      <w:tr>
        <w:trPr>
          <w:trHeight w:hRule="exact" w:val="165"/>
        </w:trPr>
        <w:tc>
          <w:tcPr>
            <w:tcW w:w="165"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9004BIPTable23"/>
              <w:jc w:val="center"/>
              <w:rPr>
                <w:rFonts w:ascii="Arial" w:eastAsia="Arial" w:hAnsi="Arial" w:cs="Arial"/>
                <w:b/>
                <w:noProof/>
                <w:color w:val="FFFFFF"/>
                <w:sz w:val="14"/>
              </w:rPr>
            </w:pPr>
          </w:p>
        </w:tc>
        <w:tc>
          <w:tcPr>
            <w:tcW w:w="3723" w:type="dxa"/>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rPr>
                <w:rFonts w:ascii="Arial" w:eastAsia="Arial" w:hAnsi="Arial" w:cs="Arial"/>
                <w:b/>
                <w:noProof/>
                <w:color w:val="FFFFFF"/>
                <w:sz w:val="14"/>
              </w:rPr>
            </w:pPr>
            <w:r>
              <w:rPr>
                <w:rFonts w:ascii="Arial" w:hAnsi="Arial"/>
                <w:b/>
                <w:noProof/>
                <w:color w:val="FFFFFF"/>
                <w:sz w:val="14"/>
              </w:rPr>
              <w:t>IŠ VISO: AKR + UŠT (A + B)</w:t>
            </w:r>
          </w:p>
        </w:tc>
        <w:tc>
          <w:tcPr>
            <w:tcW w:w="708"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10 378</w:t>
            </w:r>
          </w:p>
        </w:tc>
        <w:tc>
          <w:tcPr>
            <w:tcW w:w="709"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10 375</w:t>
            </w:r>
          </w:p>
        </w:tc>
        <w:tc>
          <w:tcPr>
            <w:tcW w:w="48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0000"/>
                <w:sz w:val="14"/>
              </w:rPr>
            </w:pPr>
            <w:r>
              <w:rPr>
                <w:rFonts w:ascii="Arial" w:hAnsi="Arial"/>
                <w:b/>
                <w:noProof/>
                <w:color w:val="FF0000"/>
                <w:sz w:val="14"/>
              </w:rPr>
              <w:t>(2)</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100 %</w:t>
            </w:r>
          </w:p>
        </w:tc>
        <w:tc>
          <w:tcPr>
            <w:tcW w:w="758"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10 374</w:t>
            </w:r>
          </w:p>
        </w:tc>
        <w:tc>
          <w:tcPr>
            <w:tcW w:w="442"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0000"/>
                <w:sz w:val="14"/>
              </w:rPr>
            </w:pPr>
            <w:r>
              <w:rPr>
                <w:rFonts w:ascii="Arial" w:hAnsi="Arial"/>
                <w:b/>
                <w:noProof/>
                <w:color w:val="FF0000"/>
                <w:sz w:val="14"/>
              </w:rPr>
              <w:t>(1)</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100 %</w:t>
            </w:r>
          </w:p>
        </w:tc>
        <w:tc>
          <w:tcPr>
            <w:tcW w:w="801"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10 374</w:t>
            </w:r>
          </w:p>
        </w:tc>
        <w:tc>
          <w:tcPr>
            <w:tcW w:w="56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0000"/>
                <w:sz w:val="14"/>
              </w:rPr>
            </w:pPr>
            <w:r>
              <w:rPr>
                <w:rFonts w:ascii="Arial" w:hAnsi="Arial"/>
                <w:b/>
                <w:noProof/>
                <w:color w:val="FF0000"/>
                <w:sz w:val="14"/>
              </w:rPr>
              <w:t>–</w:t>
            </w:r>
          </w:p>
        </w:tc>
        <w:tc>
          <w:tcPr>
            <w:tcW w:w="85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100 %</w:t>
            </w:r>
          </w:p>
        </w:tc>
      </w:tr>
    </w:tbl>
    <w:p>
      <w:pPr>
        <w:rPr>
          <w:rFonts w:ascii="Arial" w:hAnsi="Arial" w:cs="Arial"/>
          <w:noProof/>
          <w:color w:val="000000"/>
          <w:sz w:val="12"/>
          <w:szCs w:val="12"/>
        </w:rPr>
      </w:pPr>
    </w:p>
    <w:p>
      <w:pPr>
        <w:rPr>
          <w:rFonts w:ascii="Arial" w:hAnsi="Arial" w:cs="Arial"/>
          <w:noProof/>
          <w:color w:val="000000"/>
          <w:sz w:val="12"/>
          <w:szCs w:val="12"/>
        </w:rPr>
      </w:pPr>
    </w:p>
    <w:p>
      <w:pPr>
        <w:rPr>
          <w:rFonts w:ascii="Arial" w:hAnsi="Arial" w:cs="Arial"/>
          <w:noProof/>
          <w:color w:val="000000"/>
          <w:sz w:val="12"/>
          <w:szCs w:val="12"/>
        </w:rPr>
      </w:pPr>
      <w:r>
        <w:rPr>
          <w:rFonts w:ascii="Arial" w:hAnsi="Arial"/>
          <w:noProof/>
          <w:color w:val="000000"/>
          <w:sz w:val="12"/>
          <w:szCs w:val="12"/>
        </w:rPr>
        <w:t>2.4 lentelė</w:t>
      </w:r>
    </w:p>
    <w:p>
      <w:pPr>
        <w:jc w:val="center"/>
        <w:rPr>
          <w:b/>
          <w:noProof/>
          <w:sz w:val="16"/>
          <w:szCs w:val="16"/>
        </w:rPr>
        <w:sectPr>
          <w:headerReference w:type="even" r:id="rId371"/>
          <w:headerReference w:type="default" r:id="rId372"/>
          <w:footerReference w:type="even" r:id="rId373"/>
          <w:footerReference w:type="default" r:id="rId374"/>
          <w:headerReference w:type="first" r:id="rId375"/>
          <w:footerReference w:type="first" r:id="rId376"/>
          <w:pgSz w:w="16838" w:h="11906" w:orient="landscape"/>
          <w:pgMar w:top="1134" w:right="1134" w:bottom="1134" w:left="1134" w:header="709" w:footer="709" w:gutter="0"/>
          <w:cols w:space="708"/>
          <w:docGrid w:linePitch="360"/>
        </w:sectPr>
      </w:pPr>
    </w:p>
    <w:p>
      <w:pPr>
        <w:jc w:val="center"/>
        <w:rPr>
          <w:b/>
          <w:noProof/>
          <w:sz w:val="16"/>
          <w:szCs w:val="16"/>
        </w:rPr>
      </w:pPr>
      <w:r>
        <w:rPr>
          <w:b/>
          <w:noProof/>
          <w:sz w:val="16"/>
          <w:szCs w:val="16"/>
        </w:rPr>
        <w:t>EPF SUVESTINĖS ATASKAITOS 2019 M. GRUODŽIO 31 D.</w:t>
      </w:r>
    </w:p>
    <w:p>
      <w:pPr>
        <w:jc w:val="center"/>
        <w:rPr>
          <w:b/>
          <w:noProof/>
          <w:sz w:val="16"/>
          <w:szCs w:val="16"/>
        </w:rPr>
      </w:pPr>
      <w:r>
        <w:rPr>
          <w:b/>
          <w:noProof/>
          <w:sz w:val="16"/>
          <w:szCs w:val="16"/>
        </w:rPr>
        <w:t>PAGALBOS GRUPĖ</w:t>
      </w:r>
    </w:p>
    <w:p>
      <w:pPr>
        <w:jc w:val="center"/>
        <w:rPr>
          <w:b/>
          <w:noProof/>
          <w:sz w:val="16"/>
          <w:szCs w:val="16"/>
        </w:rPr>
      </w:pPr>
      <w:r>
        <w:rPr>
          <w:b/>
          <w:noProof/>
          <w:sz w:val="16"/>
          <w:szCs w:val="16"/>
        </w:rPr>
        <w:t>AKR + UŠT − 9-asis EPF</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
        <w:gridCol w:w="855"/>
        <w:gridCol w:w="1095"/>
        <w:gridCol w:w="1631"/>
        <w:gridCol w:w="844"/>
        <w:gridCol w:w="715"/>
        <w:gridCol w:w="485"/>
        <w:gridCol w:w="600"/>
        <w:gridCol w:w="600"/>
        <w:gridCol w:w="600"/>
        <w:gridCol w:w="600"/>
        <w:gridCol w:w="600"/>
        <w:gridCol w:w="600"/>
        <w:gridCol w:w="600"/>
      </w:tblGrid>
      <w:tr>
        <w:trPr>
          <w:trHeight w:hRule="exact" w:val="179"/>
        </w:trPr>
        <w:tc>
          <w:tcPr>
            <w:tcW w:w="102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bookmarkStart w:id="151" w:name="DOC_TBL00065_1_1"/>
            <w:bookmarkEnd w:id="151"/>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1631"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844"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7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48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120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000000"/>
                <w:sz w:val="12"/>
              </w:rPr>
            </w:pPr>
            <w:r>
              <w:rPr>
                <w:rFonts w:ascii="Arial" w:hAnsi="Arial"/>
                <w:noProof/>
                <w:color w:val="000000"/>
                <w:sz w:val="12"/>
              </w:rPr>
              <w:t>(mln. EUR)</w:t>
            </w:r>
          </w:p>
        </w:tc>
      </w:tr>
      <w:tr>
        <w:trPr>
          <w:trHeight w:hRule="exact" w:val="179"/>
        </w:trPr>
        <w:tc>
          <w:tcPr>
            <w:tcW w:w="3746" w:type="dxa"/>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844" w:type="dxa"/>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ASIGNAVIMAI</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SPRENDIMAI</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ASIGNUOTOSIOS LĖŠOS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MOKĖJIMAI</w:t>
            </w:r>
          </w:p>
        </w:tc>
      </w:tr>
      <w:tr>
        <w:trPr>
          <w:trHeight w:hRule="exact" w:val="179"/>
        </w:trPr>
        <w:tc>
          <w:tcPr>
            <w:tcW w:w="3746"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844" w:type="dxa"/>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7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SUVEST.</w:t>
            </w:r>
          </w:p>
        </w:tc>
        <w:tc>
          <w:tcPr>
            <w:tcW w:w="48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PER METUS</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SUVEST.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PER METUS</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SUVEST.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PER METUS</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w:t>
            </w:r>
          </w:p>
        </w:tc>
      </w:tr>
      <w:tr>
        <w:trPr>
          <w:trHeight w:hRule="exact" w:val="179"/>
        </w:trPr>
        <w:tc>
          <w:tcPr>
            <w:tcW w:w="3746"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844"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(1)</w:t>
            </w:r>
          </w:p>
        </w:tc>
        <w:tc>
          <w:tcPr>
            <w:tcW w:w="7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(2)</w:t>
            </w:r>
          </w:p>
        </w:tc>
        <w:tc>
          <w:tcPr>
            <w:tcW w:w="48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(2) : (1)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(3)</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(3) : (2)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(4)</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(4) : (3)</w:t>
            </w:r>
          </w:p>
        </w:tc>
      </w:tr>
      <w:tr>
        <w:trPr>
          <w:trHeight w:hRule="exact" w:val="52"/>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000000"/>
                <w:sz w:val="12"/>
              </w:rPr>
            </w:pPr>
          </w:p>
        </w:tc>
        <w:tc>
          <w:tcPr>
            <w:tcW w:w="844"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7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48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581"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4"/>
              <w:rPr>
                <w:rFonts w:ascii="Arial" w:eastAsia="Arial" w:hAnsi="Arial" w:cs="Arial"/>
                <w:b/>
                <w:noProof/>
                <w:color w:val="FFFFFF"/>
                <w:sz w:val="14"/>
              </w:rPr>
            </w:pPr>
            <w:r>
              <w:rPr>
                <w:rFonts w:ascii="Arial" w:hAnsi="Arial"/>
                <w:b/>
                <w:noProof/>
                <w:color w:val="FFFFFF"/>
                <w:sz w:val="14"/>
              </w:rPr>
              <w:t>AKR</w:t>
            </w:r>
          </w:p>
        </w:tc>
        <w:tc>
          <w:tcPr>
            <w:tcW w:w="844"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715"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485"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lang w:bidi="en-GB"/>
              </w:rPr>
            </w:pPr>
          </w:p>
        </w:tc>
      </w:tr>
      <w:tr>
        <w:trPr>
          <w:trHeight w:hRule="exact" w:val="169"/>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581"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4"/>
              <w:rPr>
                <w:rFonts w:ascii="Arial" w:eastAsia="Arial" w:hAnsi="Arial" w:cs="Arial"/>
                <w:b/>
                <w:noProof/>
                <w:color w:val="000000"/>
                <w:sz w:val="12"/>
              </w:rPr>
            </w:pPr>
            <w:r>
              <w:rPr>
                <w:rFonts w:ascii="Arial" w:hAnsi="Arial"/>
                <w:b/>
                <w:noProof/>
                <w:color w:val="000000"/>
                <w:sz w:val="12"/>
              </w:rPr>
              <w:t>Įprasti VN įnašai</w:t>
            </w:r>
          </w:p>
        </w:tc>
        <w:tc>
          <w:tcPr>
            <w:tcW w:w="844"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715"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485"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r>
              <w:rPr>
                <w:rFonts w:ascii="Arial" w:hAnsi="Arial"/>
                <w:b/>
                <w:noProof/>
                <w:color w:val="000000"/>
                <w:sz w:val="12"/>
              </w:rPr>
              <w:t>Lomė</w:t>
            </w: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Iš 7-ojo EPF perkeltos sumos. Lomė</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w:t>
            </w: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TARPINĖ SUMA. IŠ KITŲ FONDŲ PERKELTOS SUMOS</w:t>
            </w:r>
          </w:p>
        </w:tc>
        <w:tc>
          <w:tcPr>
            <w:tcW w:w="84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w:t>
            </w:r>
          </w:p>
        </w:tc>
        <w:tc>
          <w:tcPr>
            <w:tcW w:w="7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52"/>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000000"/>
                <w:sz w:val="12"/>
              </w:rPr>
            </w:pPr>
          </w:p>
        </w:tc>
        <w:tc>
          <w:tcPr>
            <w:tcW w:w="844"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7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48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581"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4"/>
              <w:rPr>
                <w:rFonts w:ascii="Arial" w:eastAsia="Arial" w:hAnsi="Arial" w:cs="Arial"/>
                <w:b/>
                <w:noProof/>
                <w:color w:val="FFFFFF"/>
                <w:sz w:val="14"/>
              </w:rPr>
            </w:pPr>
            <w:r>
              <w:rPr>
                <w:rFonts w:ascii="Arial" w:hAnsi="Arial"/>
                <w:b/>
                <w:noProof/>
                <w:color w:val="FFFFFF"/>
                <w:sz w:val="14"/>
              </w:rPr>
              <w:t>AKR</w:t>
            </w:r>
          </w:p>
        </w:tc>
        <w:tc>
          <w:tcPr>
            <w:tcW w:w="844"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715"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485"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lang w:bidi="en-GB"/>
              </w:rPr>
            </w:pPr>
          </w:p>
        </w:tc>
      </w:tr>
      <w:tr>
        <w:trPr>
          <w:trHeight w:hRule="exact" w:val="169"/>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581"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4"/>
              <w:rPr>
                <w:rFonts w:ascii="Arial" w:eastAsia="Arial" w:hAnsi="Arial" w:cs="Arial"/>
                <w:b/>
                <w:noProof/>
                <w:color w:val="000000"/>
                <w:sz w:val="12"/>
              </w:rPr>
            </w:pPr>
            <w:r>
              <w:rPr>
                <w:rFonts w:ascii="Arial" w:hAnsi="Arial"/>
                <w:b/>
                <w:noProof/>
                <w:color w:val="000000"/>
                <w:sz w:val="12"/>
              </w:rPr>
              <w:t>Įprasti VN įnašai</w:t>
            </w:r>
          </w:p>
        </w:tc>
        <w:tc>
          <w:tcPr>
            <w:tcW w:w="844"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715"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485"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r>
              <w:rPr>
                <w:rFonts w:ascii="Arial" w:hAnsi="Arial"/>
                <w:b/>
                <w:noProof/>
                <w:color w:val="000000"/>
                <w:sz w:val="12"/>
              </w:rPr>
              <w:t>Kotonu</w:t>
            </w: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A paketas. Nacionaliniai asignavimai</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44</w:t>
            </w: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44</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TARPINĖ SUMA. A PAKETAS. NACIONALINIAI ASIGNAVIMAI</w:t>
            </w:r>
          </w:p>
        </w:tc>
        <w:tc>
          <w:tcPr>
            <w:tcW w:w="84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44</w:t>
            </w:r>
          </w:p>
        </w:tc>
        <w:tc>
          <w:tcPr>
            <w:tcW w:w="7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44</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B paketas. Nacionaliniai asignavimai</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6</w:t>
            </w: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Neatidėliotina pagalba</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6</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TARPINĖ SUMA. B PAKETAS. NACIONALINIAI ASIGNAVIMAI</w:t>
            </w:r>
          </w:p>
        </w:tc>
        <w:tc>
          <w:tcPr>
            <w:tcW w:w="84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6</w:t>
            </w:r>
          </w:p>
        </w:tc>
        <w:tc>
          <w:tcPr>
            <w:tcW w:w="7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6</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86"/>
        </w:trPr>
        <w:tc>
          <w:tcPr>
            <w:tcW w:w="1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000000"/>
                <w:sz w:val="12"/>
              </w:rPr>
            </w:pPr>
          </w:p>
        </w:tc>
        <w:tc>
          <w:tcPr>
            <w:tcW w:w="3581"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844"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7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48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9004BIPTable24"/>
              <w:jc w:val="right"/>
              <w:rPr>
                <w:rFonts w:ascii="Arial" w:eastAsia="Arial" w:hAnsi="Arial" w:cs="Arial"/>
                <w:noProof/>
                <w:color w:val="FFFFFF"/>
                <w:sz w:val="14"/>
              </w:rPr>
            </w:pPr>
          </w:p>
        </w:tc>
        <w:tc>
          <w:tcPr>
            <w:tcW w:w="3581" w:type="dxa"/>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rPr>
                <w:rFonts w:ascii="Arial" w:eastAsia="Arial" w:hAnsi="Arial" w:cs="Arial"/>
                <w:b/>
                <w:noProof/>
                <w:color w:val="FFFFFF"/>
                <w:sz w:val="14"/>
              </w:rPr>
            </w:pPr>
            <w:r>
              <w:rPr>
                <w:rFonts w:ascii="Arial" w:hAnsi="Arial"/>
                <w:b/>
                <w:noProof/>
                <w:color w:val="FFFFFF"/>
                <w:sz w:val="14"/>
              </w:rPr>
              <w:t xml:space="preserve">IŠ VISO: AKR    </w:t>
            </w:r>
          </w:p>
        </w:tc>
        <w:tc>
          <w:tcPr>
            <w:tcW w:w="84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50</w:t>
            </w:r>
          </w:p>
        </w:tc>
        <w:tc>
          <w:tcPr>
            <w:tcW w:w="71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50</w:t>
            </w:r>
          </w:p>
        </w:tc>
        <w:tc>
          <w:tcPr>
            <w:tcW w:w="48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50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50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100 %</w:t>
            </w:r>
          </w:p>
        </w:tc>
      </w:tr>
      <w:tr>
        <w:trPr>
          <w:trHeight w:hRule="exact" w:val="56"/>
        </w:trPr>
        <w:tc>
          <w:tcPr>
            <w:tcW w:w="1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000000"/>
                <w:sz w:val="12"/>
              </w:rPr>
            </w:pPr>
          </w:p>
        </w:tc>
        <w:tc>
          <w:tcPr>
            <w:tcW w:w="3581" w:type="dxa"/>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84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71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48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lang w:bidi="en-GB"/>
              </w:rPr>
            </w:pPr>
          </w:p>
        </w:tc>
      </w:tr>
      <w:tr>
        <w:trPr>
          <w:trHeight w:hRule="exact" w:val="52"/>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000000"/>
                <w:sz w:val="12"/>
              </w:rPr>
            </w:pPr>
          </w:p>
        </w:tc>
        <w:tc>
          <w:tcPr>
            <w:tcW w:w="844"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7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48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581"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4"/>
              <w:rPr>
                <w:rFonts w:ascii="Arial" w:eastAsia="Arial" w:hAnsi="Arial" w:cs="Arial"/>
                <w:b/>
                <w:noProof/>
                <w:color w:val="FFFFFF"/>
                <w:sz w:val="14"/>
              </w:rPr>
            </w:pPr>
            <w:r>
              <w:rPr>
                <w:rFonts w:ascii="Arial" w:hAnsi="Arial"/>
                <w:b/>
                <w:noProof/>
                <w:color w:val="FFFFFF"/>
                <w:sz w:val="14"/>
              </w:rPr>
              <w:t xml:space="preserve">AKR </w:t>
            </w:r>
          </w:p>
        </w:tc>
        <w:tc>
          <w:tcPr>
            <w:tcW w:w="844"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715"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485"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lang w:bidi="en-GB"/>
              </w:rPr>
            </w:pPr>
          </w:p>
        </w:tc>
      </w:tr>
      <w:tr>
        <w:trPr>
          <w:trHeight w:hRule="exact" w:val="169"/>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581"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4"/>
              <w:rPr>
                <w:rFonts w:ascii="Arial" w:eastAsia="Arial" w:hAnsi="Arial" w:cs="Arial"/>
                <w:b/>
                <w:noProof/>
                <w:color w:val="000000"/>
                <w:sz w:val="12"/>
              </w:rPr>
            </w:pPr>
            <w:r>
              <w:rPr>
                <w:rFonts w:ascii="Arial" w:hAnsi="Arial"/>
                <w:b/>
                <w:noProof/>
                <w:color w:val="000000"/>
                <w:sz w:val="12"/>
              </w:rPr>
              <w:t>Įprasti VN įnašai</w:t>
            </w:r>
          </w:p>
        </w:tc>
        <w:tc>
          <w:tcPr>
            <w:tcW w:w="844"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715"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485"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r>
              <w:rPr>
                <w:rFonts w:ascii="Arial" w:hAnsi="Arial"/>
                <w:b/>
                <w:noProof/>
                <w:color w:val="000000"/>
                <w:sz w:val="12"/>
              </w:rPr>
              <w:t>Lomė</w:t>
            </w: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Iš 6-ojo EPF perkeltos sumos. Lomė</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20</w:t>
            </w: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20</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Iš 7-ojo EPF perkeltos sumos. Lomė</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647</w:t>
            </w: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647</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646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646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FFFF"/>
                <w:sz w:val="12"/>
              </w:rPr>
            </w:pPr>
            <w:r>
              <w:rPr>
                <w:rFonts w:ascii="Arial" w:hAnsi="Arial"/>
                <w:noProof/>
                <w:color w:val="FFFFFF"/>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TARPINĖ SUMA. IŠ KITŲ FONDŲ PERKELTOS SUMOS</w:t>
            </w:r>
          </w:p>
        </w:tc>
        <w:tc>
          <w:tcPr>
            <w:tcW w:w="84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667</w:t>
            </w:r>
          </w:p>
        </w:tc>
        <w:tc>
          <w:tcPr>
            <w:tcW w:w="7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667</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667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667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FFFFFF"/>
                <w:sz w:val="12"/>
              </w:rPr>
            </w:pPr>
            <w:r>
              <w:rPr>
                <w:rFonts w:ascii="Arial" w:hAnsi="Arial"/>
                <w:noProof/>
                <w:color w:val="FFFFFF"/>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52"/>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000000"/>
                <w:sz w:val="12"/>
              </w:rPr>
            </w:pPr>
          </w:p>
        </w:tc>
        <w:tc>
          <w:tcPr>
            <w:tcW w:w="844"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7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48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581"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4"/>
              <w:rPr>
                <w:rFonts w:ascii="Arial" w:eastAsia="Arial" w:hAnsi="Arial" w:cs="Arial"/>
                <w:b/>
                <w:noProof/>
                <w:color w:val="FFFFFF"/>
                <w:sz w:val="14"/>
              </w:rPr>
            </w:pPr>
            <w:r>
              <w:rPr>
                <w:rFonts w:ascii="Arial" w:hAnsi="Arial"/>
                <w:b/>
                <w:noProof/>
                <w:color w:val="FFFFFF"/>
                <w:sz w:val="14"/>
              </w:rPr>
              <w:t xml:space="preserve">AKR </w:t>
            </w:r>
          </w:p>
        </w:tc>
        <w:tc>
          <w:tcPr>
            <w:tcW w:w="844"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715"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485"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lang w:bidi="en-GB"/>
              </w:rPr>
            </w:pPr>
          </w:p>
        </w:tc>
      </w:tr>
      <w:tr>
        <w:trPr>
          <w:trHeight w:hRule="exact" w:val="169"/>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581"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4"/>
              <w:rPr>
                <w:rFonts w:ascii="Arial" w:eastAsia="Arial" w:hAnsi="Arial" w:cs="Arial"/>
                <w:b/>
                <w:noProof/>
                <w:color w:val="000000"/>
                <w:sz w:val="12"/>
              </w:rPr>
            </w:pPr>
            <w:r>
              <w:rPr>
                <w:rFonts w:ascii="Arial" w:hAnsi="Arial"/>
                <w:b/>
                <w:noProof/>
                <w:color w:val="000000"/>
                <w:sz w:val="12"/>
              </w:rPr>
              <w:t>Įprasti VN įnašai</w:t>
            </w:r>
          </w:p>
        </w:tc>
        <w:tc>
          <w:tcPr>
            <w:tcW w:w="844"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715"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485"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r>
              <w:rPr>
                <w:rFonts w:ascii="Arial" w:hAnsi="Arial"/>
                <w:b/>
                <w:noProof/>
                <w:color w:val="000000"/>
                <w:sz w:val="12"/>
              </w:rPr>
              <w:t>Kotonu</w:t>
            </w: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A paketas. Nacionaliniai asignavimai</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8 554</w:t>
            </w: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8 553</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8 543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8 521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TARPINĖ SUMA. A PAKETAS. NACIONALINIAI ASIGNAVIMAI</w:t>
            </w:r>
          </w:p>
        </w:tc>
        <w:tc>
          <w:tcPr>
            <w:tcW w:w="84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8 554</w:t>
            </w:r>
          </w:p>
        </w:tc>
        <w:tc>
          <w:tcPr>
            <w:tcW w:w="7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8 553</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8 543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8 521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B paketas. Nacionaliniai asignavimai</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1 203</w:t>
            </w: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Eksporto pajamų kompensacijos</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148</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148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148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Neatidėliotina pagalba</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1 044</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1 040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1 034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99 %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Labai įsiskolinusios neturtingos šalys</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11</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TARPINĖ SUMA. B PAKETAS. NACIONALINIAI ASIGNAVIMAI</w:t>
            </w:r>
          </w:p>
        </w:tc>
        <w:tc>
          <w:tcPr>
            <w:tcW w:w="84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1 203</w:t>
            </w:r>
          </w:p>
        </w:tc>
        <w:tc>
          <w:tcPr>
            <w:tcW w:w="7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1 203</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1 199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1 193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ĮPC, CTA ir Parlamentinė Asamblėja</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154</w:t>
            </w: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154</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154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154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TARPINĖ SUMA. ĮPC, CTA IR PARLAMENTINĖ ASAMBLĖJA</w:t>
            </w:r>
          </w:p>
        </w:tc>
        <w:tc>
          <w:tcPr>
            <w:tcW w:w="84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154</w:t>
            </w:r>
          </w:p>
        </w:tc>
        <w:tc>
          <w:tcPr>
            <w:tcW w:w="7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154</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154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154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Įgyvendinimo išlaidos</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177</w:t>
            </w: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177</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Palūkanos ir kitos pajamos</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63</w:t>
            </w: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63</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63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63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TARPINĖ SUMA. ĮGYVENDINIMO IŠLAIDOS IR PAJAMOS IŠ PALŪKANŲ</w:t>
            </w:r>
          </w:p>
        </w:tc>
        <w:tc>
          <w:tcPr>
            <w:tcW w:w="84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239</w:t>
            </w:r>
          </w:p>
        </w:tc>
        <w:tc>
          <w:tcPr>
            <w:tcW w:w="7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239</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Kiti AKR vidaus asignavimai</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2 584</w:t>
            </w: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2 578</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2 571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2 567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(1)</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Taikos priemonė</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353</w:t>
            </w: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353</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353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353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TARPINĖ SUMA. AKR VIDAUS ASIGNAVIMAI</w:t>
            </w:r>
          </w:p>
        </w:tc>
        <w:tc>
          <w:tcPr>
            <w:tcW w:w="84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2 937</w:t>
            </w:r>
          </w:p>
        </w:tc>
        <w:tc>
          <w:tcPr>
            <w:tcW w:w="7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2 931</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2 924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2 920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Regioniniai asignavimai</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749</w:t>
            </w: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748</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741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732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99 %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TARPINĖ SUMA. REGIONINIAI ASIGNAVIMAI</w:t>
            </w:r>
          </w:p>
        </w:tc>
        <w:tc>
          <w:tcPr>
            <w:tcW w:w="84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749</w:t>
            </w:r>
          </w:p>
        </w:tc>
        <w:tc>
          <w:tcPr>
            <w:tcW w:w="7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748</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741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732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99 %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Specialusis asignavimas Kongo DR</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105</w:t>
            </w: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105</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TARPINĖ SUMA. SPECIALUSIS ASIGNAVIMAS KONGO DR</w:t>
            </w:r>
          </w:p>
        </w:tc>
        <w:tc>
          <w:tcPr>
            <w:tcW w:w="84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105</w:t>
            </w:r>
          </w:p>
        </w:tc>
        <w:tc>
          <w:tcPr>
            <w:tcW w:w="7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105</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Specialusis asignavimas Pietų Sudanui</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267</w:t>
            </w: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266</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263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208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8</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79 %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TARPINĖ SUMA. SPECIALUSIS ASIGNAVIMAS PIETŲ SUDANUI</w:t>
            </w:r>
          </w:p>
        </w:tc>
        <w:tc>
          <w:tcPr>
            <w:tcW w:w="84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267</w:t>
            </w:r>
          </w:p>
        </w:tc>
        <w:tc>
          <w:tcPr>
            <w:tcW w:w="7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266</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263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208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79 %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Specialusis asignavimas Sudanui</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110</w:t>
            </w: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107</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FFFF"/>
                <w:sz w:val="12"/>
              </w:rPr>
            </w:pPr>
            <w:r>
              <w:rPr>
                <w:rFonts w:ascii="Arial" w:hAnsi="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97 %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3</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96 %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TARPINĖ SUMA. SPECIALUSIS ASIGNAVIMAS SUDANUI</w:t>
            </w:r>
          </w:p>
        </w:tc>
        <w:tc>
          <w:tcPr>
            <w:tcW w:w="84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110</w:t>
            </w:r>
          </w:p>
        </w:tc>
        <w:tc>
          <w:tcPr>
            <w:tcW w:w="7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107</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FFFFFF"/>
                <w:sz w:val="12"/>
              </w:rPr>
            </w:pPr>
            <w:r>
              <w:rPr>
                <w:rFonts w:ascii="Arial" w:hAnsi="Arial"/>
                <w:noProof/>
                <w:color w:val="FFFFFF"/>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97 %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98 %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96 %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Taikos priemonės savanoriški įnašai</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24</w:t>
            </w: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24</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TARPINĖ SUMA. TAIKOS PRIEMONĖS SAVANORIŠKI ĮNAŠAI</w:t>
            </w:r>
          </w:p>
        </w:tc>
        <w:tc>
          <w:tcPr>
            <w:tcW w:w="84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24</w:t>
            </w:r>
          </w:p>
        </w:tc>
        <w:tc>
          <w:tcPr>
            <w:tcW w:w="7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24</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86"/>
        </w:trPr>
        <w:tc>
          <w:tcPr>
            <w:tcW w:w="1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000000"/>
                <w:sz w:val="12"/>
              </w:rPr>
            </w:pPr>
          </w:p>
        </w:tc>
        <w:tc>
          <w:tcPr>
            <w:tcW w:w="3581"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844"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7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48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9004BIPTable24"/>
              <w:jc w:val="right"/>
              <w:rPr>
                <w:rFonts w:ascii="Arial" w:eastAsia="Arial" w:hAnsi="Arial" w:cs="Arial"/>
                <w:noProof/>
                <w:color w:val="FFFFFF"/>
                <w:sz w:val="14"/>
              </w:rPr>
            </w:pPr>
          </w:p>
        </w:tc>
        <w:tc>
          <w:tcPr>
            <w:tcW w:w="3581" w:type="dxa"/>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rPr>
                <w:rFonts w:ascii="Arial" w:eastAsia="Arial" w:hAnsi="Arial" w:cs="Arial"/>
                <w:b/>
                <w:noProof/>
                <w:color w:val="FFFFFF"/>
                <w:sz w:val="14"/>
              </w:rPr>
            </w:pPr>
            <w:r>
              <w:rPr>
                <w:rFonts w:ascii="Arial" w:hAnsi="Arial"/>
                <w:b/>
                <w:noProof/>
                <w:color w:val="FFFFFF"/>
                <w:sz w:val="14"/>
              </w:rPr>
              <w:t>IŠ VISO: AKR (A)</w:t>
            </w:r>
          </w:p>
        </w:tc>
        <w:tc>
          <w:tcPr>
            <w:tcW w:w="84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15 009</w:t>
            </w:r>
          </w:p>
        </w:tc>
        <w:tc>
          <w:tcPr>
            <w:tcW w:w="71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14 996</w:t>
            </w:r>
          </w:p>
        </w:tc>
        <w:tc>
          <w:tcPr>
            <w:tcW w:w="48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0000"/>
                <w:sz w:val="14"/>
              </w:rPr>
            </w:pPr>
            <w:r>
              <w:rPr>
                <w:rFonts w:ascii="Arial" w:hAnsi="Arial"/>
                <w:b/>
                <w:noProof/>
                <w:color w:val="FF0000"/>
                <w:sz w:val="14"/>
              </w:rPr>
              <w:t>(21)</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14 964</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0000"/>
                <w:sz w:val="14"/>
              </w:rPr>
            </w:pPr>
            <w:r>
              <w:rPr>
                <w:rFonts w:ascii="Arial" w:hAnsi="Arial"/>
                <w:b/>
                <w:noProof/>
                <w:color w:val="FF0000"/>
                <w:sz w:val="14"/>
              </w:rPr>
              <w:t>(4)</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14 864</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14</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99 %</w:t>
            </w:r>
          </w:p>
        </w:tc>
      </w:tr>
      <w:tr>
        <w:trPr>
          <w:trHeight w:hRule="exact" w:val="127"/>
        </w:trPr>
        <w:tc>
          <w:tcPr>
            <w:tcW w:w="1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000000"/>
                <w:sz w:val="12"/>
              </w:rPr>
            </w:pPr>
          </w:p>
        </w:tc>
        <w:tc>
          <w:tcPr>
            <w:tcW w:w="3581" w:type="dxa"/>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84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71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48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lang w:bidi="en-GB"/>
              </w:rPr>
            </w:pPr>
          </w:p>
        </w:tc>
      </w:tr>
      <w:tr>
        <w:trPr>
          <w:trHeight w:hRule="exact" w:val="52"/>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000000"/>
                <w:sz w:val="12"/>
              </w:rPr>
            </w:pPr>
          </w:p>
        </w:tc>
        <w:tc>
          <w:tcPr>
            <w:tcW w:w="844"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7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48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581"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4"/>
              <w:rPr>
                <w:rFonts w:ascii="Arial" w:eastAsia="Arial" w:hAnsi="Arial" w:cs="Arial"/>
                <w:b/>
                <w:noProof/>
                <w:color w:val="FFFFFF"/>
                <w:sz w:val="14"/>
              </w:rPr>
            </w:pPr>
            <w:r>
              <w:rPr>
                <w:rFonts w:ascii="Arial" w:hAnsi="Arial"/>
                <w:b/>
                <w:noProof/>
                <w:color w:val="FFFFFF"/>
                <w:sz w:val="14"/>
              </w:rPr>
              <w:t>UŠT</w:t>
            </w:r>
          </w:p>
        </w:tc>
        <w:tc>
          <w:tcPr>
            <w:tcW w:w="844"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715"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485"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lang w:bidi="en-GB"/>
              </w:rPr>
            </w:pPr>
          </w:p>
        </w:tc>
      </w:tr>
      <w:tr>
        <w:trPr>
          <w:trHeight w:hRule="exact" w:val="169"/>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581"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4"/>
              <w:rPr>
                <w:rFonts w:ascii="Arial" w:eastAsia="Arial" w:hAnsi="Arial" w:cs="Arial"/>
                <w:b/>
                <w:noProof/>
                <w:color w:val="000000"/>
                <w:sz w:val="12"/>
              </w:rPr>
            </w:pPr>
            <w:r>
              <w:rPr>
                <w:rFonts w:ascii="Arial" w:hAnsi="Arial"/>
                <w:b/>
                <w:noProof/>
                <w:color w:val="000000"/>
                <w:sz w:val="12"/>
              </w:rPr>
              <w:t>Įprasti VN įnašai</w:t>
            </w:r>
          </w:p>
        </w:tc>
        <w:tc>
          <w:tcPr>
            <w:tcW w:w="844"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715"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485"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r>
              <w:rPr>
                <w:rFonts w:ascii="Arial" w:hAnsi="Arial"/>
                <w:b/>
                <w:noProof/>
                <w:color w:val="000000"/>
                <w:sz w:val="12"/>
              </w:rPr>
              <w:t>Lomė</w:t>
            </w: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Iš 6-ojo EPF perkeltos sumos. Lomė</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w:t>
            </w: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Iš 7-ojo EPF perkeltos sumos. Lomė</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3</w:t>
            </w: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3</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TARPINĖ SUMA. IŠ KITŲ FONDŲ PERKELTOS SUMOS</w:t>
            </w:r>
          </w:p>
        </w:tc>
        <w:tc>
          <w:tcPr>
            <w:tcW w:w="84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3</w:t>
            </w:r>
          </w:p>
        </w:tc>
        <w:tc>
          <w:tcPr>
            <w:tcW w:w="7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3</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52"/>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000000"/>
                <w:sz w:val="12"/>
              </w:rPr>
            </w:pPr>
          </w:p>
        </w:tc>
        <w:tc>
          <w:tcPr>
            <w:tcW w:w="844"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7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48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581"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4"/>
              <w:rPr>
                <w:rFonts w:ascii="Arial" w:eastAsia="Arial" w:hAnsi="Arial" w:cs="Arial"/>
                <w:b/>
                <w:noProof/>
                <w:color w:val="FFFFFF"/>
                <w:sz w:val="14"/>
              </w:rPr>
            </w:pPr>
            <w:r>
              <w:rPr>
                <w:rFonts w:ascii="Arial" w:hAnsi="Arial"/>
                <w:b/>
                <w:noProof/>
                <w:color w:val="FFFFFF"/>
                <w:sz w:val="14"/>
              </w:rPr>
              <w:t>UŠT</w:t>
            </w:r>
          </w:p>
        </w:tc>
        <w:tc>
          <w:tcPr>
            <w:tcW w:w="844"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715"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485"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lang w:bidi="en-GB"/>
              </w:rPr>
            </w:pPr>
          </w:p>
        </w:tc>
      </w:tr>
      <w:tr>
        <w:trPr>
          <w:trHeight w:hRule="exact" w:val="169"/>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581"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4"/>
              <w:rPr>
                <w:rFonts w:ascii="Arial" w:eastAsia="Arial" w:hAnsi="Arial" w:cs="Arial"/>
                <w:b/>
                <w:noProof/>
                <w:color w:val="000000"/>
                <w:sz w:val="12"/>
              </w:rPr>
            </w:pPr>
            <w:r>
              <w:rPr>
                <w:rFonts w:ascii="Arial" w:hAnsi="Arial"/>
                <w:b/>
                <w:noProof/>
                <w:color w:val="000000"/>
                <w:sz w:val="12"/>
              </w:rPr>
              <w:t>Įprasti VN įnašai</w:t>
            </w:r>
          </w:p>
        </w:tc>
        <w:tc>
          <w:tcPr>
            <w:tcW w:w="844"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715"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485"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r>
              <w:rPr>
                <w:rFonts w:ascii="Arial" w:hAnsi="Arial"/>
                <w:b/>
                <w:noProof/>
                <w:color w:val="000000"/>
                <w:sz w:val="12"/>
              </w:rPr>
              <w:t>Kotonu</w:t>
            </w: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A paketas. Nacionaliniai asignavimai</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236</w:t>
            </w: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236</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TARPINĖ SUMA. A PAKETAS. NACIONALINIAI ASIGNAVIMAI</w:t>
            </w:r>
          </w:p>
        </w:tc>
        <w:tc>
          <w:tcPr>
            <w:tcW w:w="84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236</w:t>
            </w:r>
          </w:p>
        </w:tc>
        <w:tc>
          <w:tcPr>
            <w:tcW w:w="7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236</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B paketas. Nacionaliniai asignavimai</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w:t>
            </w: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Neatidėliotina pagalba</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TARPINĖ SUMA. B PAKETAS. NACIONALINIAI ASIGNAVIMAI</w:t>
            </w:r>
          </w:p>
        </w:tc>
        <w:tc>
          <w:tcPr>
            <w:tcW w:w="84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w:t>
            </w:r>
          </w:p>
        </w:tc>
        <w:tc>
          <w:tcPr>
            <w:tcW w:w="7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Tyrimai / techninė pagalba UŠT</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w:t>
            </w: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TARPINĖ SUMA. ĮGYVENDINIMO IŠLAIDOS IR PAJAMOS IŠ PALŪKANŲ</w:t>
            </w:r>
          </w:p>
        </w:tc>
        <w:tc>
          <w:tcPr>
            <w:tcW w:w="84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w:t>
            </w:r>
          </w:p>
        </w:tc>
        <w:tc>
          <w:tcPr>
            <w:tcW w:w="7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Regioniniai asignavimai</w:t>
            </w:r>
          </w:p>
        </w:tc>
        <w:tc>
          <w:tcPr>
            <w:tcW w:w="844"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45</w:t>
            </w:r>
          </w:p>
        </w:tc>
        <w:tc>
          <w:tcPr>
            <w:tcW w:w="71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45</w:t>
            </w:r>
          </w:p>
        </w:tc>
        <w:tc>
          <w:tcPr>
            <w:tcW w:w="485"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581"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TARPINĖ SUMA. REGIONINIAI ASIGNAVIMAI</w:t>
            </w:r>
          </w:p>
        </w:tc>
        <w:tc>
          <w:tcPr>
            <w:tcW w:w="84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45</w:t>
            </w:r>
          </w:p>
        </w:tc>
        <w:tc>
          <w:tcPr>
            <w:tcW w:w="7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45</w:t>
            </w:r>
          </w:p>
        </w:tc>
        <w:tc>
          <w:tcPr>
            <w:tcW w:w="4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86"/>
        </w:trPr>
        <w:tc>
          <w:tcPr>
            <w:tcW w:w="1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000000"/>
                <w:sz w:val="12"/>
              </w:rPr>
            </w:pPr>
          </w:p>
        </w:tc>
        <w:tc>
          <w:tcPr>
            <w:tcW w:w="3581"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844"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7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48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9004BIPTable24"/>
              <w:jc w:val="right"/>
              <w:rPr>
                <w:rFonts w:ascii="Arial" w:eastAsia="Arial" w:hAnsi="Arial" w:cs="Arial"/>
                <w:noProof/>
                <w:color w:val="FFFFFF"/>
                <w:sz w:val="14"/>
              </w:rPr>
            </w:pPr>
          </w:p>
        </w:tc>
        <w:tc>
          <w:tcPr>
            <w:tcW w:w="3581" w:type="dxa"/>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rPr>
                <w:rFonts w:ascii="Arial" w:eastAsia="Arial" w:hAnsi="Arial" w:cs="Arial"/>
                <w:b/>
                <w:noProof/>
                <w:color w:val="FFFFFF"/>
                <w:sz w:val="14"/>
              </w:rPr>
            </w:pPr>
            <w:r>
              <w:rPr>
                <w:rFonts w:ascii="Arial" w:hAnsi="Arial"/>
                <w:b/>
                <w:noProof/>
                <w:color w:val="FFFFFF"/>
                <w:sz w:val="14"/>
              </w:rPr>
              <w:t xml:space="preserve">IŠ VISO: UŠT    </w:t>
            </w:r>
          </w:p>
        </w:tc>
        <w:tc>
          <w:tcPr>
            <w:tcW w:w="84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289</w:t>
            </w:r>
          </w:p>
        </w:tc>
        <w:tc>
          <w:tcPr>
            <w:tcW w:w="71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289</w:t>
            </w:r>
          </w:p>
        </w:tc>
        <w:tc>
          <w:tcPr>
            <w:tcW w:w="48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0000"/>
                <w:sz w:val="14"/>
              </w:rPr>
            </w:pPr>
            <w:r>
              <w:rPr>
                <w:rFonts w:ascii="Arial" w:hAnsi="Arial"/>
                <w:b/>
                <w:noProof/>
                <w:color w:val="FF0000"/>
                <w:sz w:val="14"/>
              </w:rPr>
              <w:t>(1)</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288</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0000"/>
                <w:sz w:val="14"/>
              </w:rPr>
            </w:pPr>
            <w:r>
              <w:rPr>
                <w:rFonts w:ascii="Arial" w:hAnsi="Arial"/>
                <w:b/>
                <w:noProof/>
                <w:color w:val="FF0000"/>
                <w:sz w:val="14"/>
              </w:rPr>
              <w:t>–</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99 %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288</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100 %</w:t>
            </w:r>
          </w:p>
        </w:tc>
      </w:tr>
      <w:tr>
        <w:trPr>
          <w:trHeight w:hRule="exact" w:val="127"/>
        </w:trPr>
        <w:tc>
          <w:tcPr>
            <w:tcW w:w="1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000000"/>
                <w:sz w:val="12"/>
              </w:rPr>
            </w:pPr>
          </w:p>
        </w:tc>
        <w:tc>
          <w:tcPr>
            <w:tcW w:w="3581" w:type="dxa"/>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84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71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48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lang w:bidi="en-GB"/>
              </w:rPr>
            </w:pPr>
          </w:p>
        </w:tc>
      </w:tr>
      <w:tr>
        <w:trPr>
          <w:trHeight w:hRule="exact" w:val="169"/>
        </w:trPr>
        <w:tc>
          <w:tcPr>
            <w:tcW w:w="165"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9004BIPTable24"/>
              <w:jc w:val="center"/>
              <w:rPr>
                <w:rFonts w:ascii="Arial" w:eastAsia="Arial" w:hAnsi="Arial" w:cs="Arial"/>
                <w:b/>
                <w:noProof/>
                <w:color w:val="FFFFFF"/>
                <w:sz w:val="14"/>
              </w:rPr>
            </w:pPr>
          </w:p>
        </w:tc>
        <w:tc>
          <w:tcPr>
            <w:tcW w:w="3581" w:type="dxa"/>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rPr>
                <w:rFonts w:ascii="Arial" w:eastAsia="Arial" w:hAnsi="Arial" w:cs="Arial"/>
                <w:b/>
                <w:noProof/>
                <w:color w:val="FFFFFF"/>
                <w:sz w:val="14"/>
              </w:rPr>
            </w:pPr>
            <w:r>
              <w:rPr>
                <w:rFonts w:ascii="Arial" w:hAnsi="Arial"/>
                <w:b/>
                <w:noProof/>
                <w:color w:val="FFFFFF"/>
                <w:sz w:val="14"/>
              </w:rPr>
              <w:t>IŠ VISO: AKR + UŠT (A + B)</w:t>
            </w:r>
          </w:p>
        </w:tc>
        <w:tc>
          <w:tcPr>
            <w:tcW w:w="844"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15 348</w:t>
            </w:r>
          </w:p>
        </w:tc>
        <w:tc>
          <w:tcPr>
            <w:tcW w:w="71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15 335</w:t>
            </w:r>
          </w:p>
        </w:tc>
        <w:tc>
          <w:tcPr>
            <w:tcW w:w="48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0000"/>
                <w:sz w:val="14"/>
              </w:rPr>
            </w:pPr>
            <w:r>
              <w:rPr>
                <w:rFonts w:ascii="Arial" w:hAnsi="Arial"/>
                <w:b/>
                <w:noProof/>
                <w:color w:val="FF0000"/>
                <w:sz w:val="14"/>
              </w:rPr>
              <w:t>(22)</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100 %</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15 302</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0000"/>
                <w:sz w:val="14"/>
              </w:rPr>
            </w:pPr>
            <w:r>
              <w:rPr>
                <w:rFonts w:ascii="Arial" w:hAnsi="Arial"/>
                <w:b/>
                <w:noProof/>
                <w:color w:val="FF0000"/>
                <w:sz w:val="14"/>
              </w:rPr>
              <w:t>(4)</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100 %</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15 201</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14</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99 %</w:t>
            </w:r>
          </w:p>
        </w:tc>
      </w:tr>
    </w:tbl>
    <w:p>
      <w:pPr>
        <w:rPr>
          <w:rFonts w:ascii="Arial" w:hAnsi="Arial" w:cs="Arial"/>
          <w:noProof/>
          <w:color w:val="000000"/>
          <w:sz w:val="12"/>
          <w:szCs w:val="12"/>
        </w:rPr>
      </w:pPr>
      <w:r>
        <w:rPr>
          <w:rFonts w:ascii="Arial" w:hAnsi="Arial"/>
          <w:noProof/>
          <w:color w:val="000000"/>
          <w:sz w:val="12"/>
          <w:szCs w:val="12"/>
        </w:rPr>
        <w:t>2.6 lentelė</w:t>
      </w:r>
    </w:p>
    <w:p>
      <w:pPr>
        <w:jc w:val="center"/>
        <w:rPr>
          <w:b/>
          <w:noProof/>
          <w:sz w:val="16"/>
          <w:szCs w:val="16"/>
        </w:rPr>
        <w:sectPr>
          <w:headerReference w:type="even" r:id="rId377"/>
          <w:headerReference w:type="default" r:id="rId378"/>
          <w:footerReference w:type="even" r:id="rId379"/>
          <w:footerReference w:type="default" r:id="rId380"/>
          <w:headerReference w:type="first" r:id="rId381"/>
          <w:footerReference w:type="first" r:id="rId382"/>
          <w:pgSz w:w="11906" w:h="16838" w:code="9"/>
          <w:pgMar w:top="1134" w:right="1440" w:bottom="1134" w:left="1440" w:header="709" w:footer="709" w:gutter="0"/>
          <w:cols w:space="708"/>
          <w:docGrid w:linePitch="360"/>
        </w:sectPr>
      </w:pPr>
    </w:p>
    <w:p>
      <w:pPr>
        <w:jc w:val="center"/>
        <w:rPr>
          <w:b/>
          <w:noProof/>
          <w:sz w:val="16"/>
          <w:szCs w:val="16"/>
        </w:rPr>
      </w:pPr>
      <w:r>
        <w:rPr>
          <w:b/>
          <w:noProof/>
          <w:sz w:val="16"/>
          <w:szCs w:val="16"/>
        </w:rPr>
        <w:t>EPF SUVESTINĖS ATASKAITOS 2019 M. GRUODŽIO 31 D.</w:t>
      </w:r>
    </w:p>
    <w:p>
      <w:pPr>
        <w:jc w:val="center"/>
        <w:rPr>
          <w:b/>
          <w:noProof/>
          <w:sz w:val="16"/>
          <w:szCs w:val="16"/>
        </w:rPr>
      </w:pPr>
      <w:r>
        <w:rPr>
          <w:b/>
          <w:noProof/>
          <w:sz w:val="16"/>
          <w:szCs w:val="16"/>
        </w:rPr>
        <w:t>PAGALBOS GRUPĖ</w:t>
      </w:r>
    </w:p>
    <w:p>
      <w:pPr>
        <w:jc w:val="center"/>
        <w:rPr>
          <w:b/>
          <w:noProof/>
          <w:sz w:val="16"/>
          <w:szCs w:val="16"/>
        </w:rPr>
      </w:pPr>
      <w:r>
        <w:rPr>
          <w:b/>
          <w:noProof/>
          <w:sz w:val="16"/>
          <w:szCs w:val="16"/>
        </w:rPr>
        <w:t>AKR + UŠT − 10-asis EPF</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
        <w:gridCol w:w="855"/>
        <w:gridCol w:w="1095"/>
        <w:gridCol w:w="1875"/>
        <w:gridCol w:w="600"/>
        <w:gridCol w:w="600"/>
        <w:gridCol w:w="600"/>
        <w:gridCol w:w="600"/>
        <w:gridCol w:w="600"/>
        <w:gridCol w:w="600"/>
        <w:gridCol w:w="600"/>
        <w:gridCol w:w="600"/>
        <w:gridCol w:w="600"/>
        <w:gridCol w:w="600"/>
      </w:tblGrid>
      <w:tr>
        <w:trPr>
          <w:trHeight w:hRule="exact" w:val="158"/>
        </w:trPr>
        <w:tc>
          <w:tcPr>
            <w:tcW w:w="102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bookmarkStart w:id="152" w:name="DOC_TBL00066_1_1"/>
            <w:bookmarkEnd w:id="152"/>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187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120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5"/>
              <w:jc w:val="right"/>
              <w:rPr>
                <w:rFonts w:ascii="Arial" w:eastAsia="Arial" w:hAnsi="Arial" w:cs="Arial"/>
                <w:noProof/>
                <w:color w:val="000000"/>
                <w:sz w:val="12"/>
              </w:rPr>
            </w:pPr>
            <w:r>
              <w:rPr>
                <w:rFonts w:ascii="Arial" w:hAnsi="Arial"/>
                <w:noProof/>
                <w:color w:val="000000"/>
                <w:sz w:val="12"/>
              </w:rPr>
              <w:t>(mln. EUR)</w:t>
            </w:r>
          </w:p>
        </w:tc>
      </w:tr>
      <w:tr>
        <w:trPr>
          <w:trHeight w:hRule="exact" w:val="158"/>
        </w:trPr>
        <w:tc>
          <w:tcPr>
            <w:tcW w:w="3990" w:type="dxa"/>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ASIGNAVIMAI</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SPRENDIMAI</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ASIGNUOTOSIOS LĖŠOS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MOKĖJIMAI</w:t>
            </w:r>
          </w:p>
        </w:tc>
      </w:tr>
      <w:tr>
        <w:trPr>
          <w:trHeight w:hRule="exact" w:val="158"/>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SUVEST.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PER METUS</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SUVEST.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PER METUS</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SUVEST.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PER METUS</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w:t>
            </w:r>
          </w:p>
        </w:tc>
      </w:tr>
      <w:tr>
        <w:trPr>
          <w:trHeight w:hRule="exact" w:val="158"/>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(2) : (1)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(3)</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(3) : (2)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(4)</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(4) : (3)</w:t>
            </w:r>
          </w:p>
        </w:tc>
      </w:tr>
      <w:tr>
        <w:trPr>
          <w:trHeight w:hRule="exact" w:val="57"/>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5"/>
              <w:rPr>
                <w:rFonts w:ascii="Arial" w:eastAsia="Arial" w:hAnsi="Arial" w:cs="Arial"/>
                <w:b/>
                <w:noProof/>
                <w:color w:val="000000"/>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hAnsi="Arial"/>
                <w:b/>
                <w:noProof/>
                <w:color w:val="000000"/>
                <w:sz w:val="14"/>
              </w:rPr>
              <w:t>Įprasti VN įnašai</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5"/>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hAnsi="Arial"/>
                <w:b/>
                <w:noProof/>
                <w:color w:val="000000"/>
                <w:sz w:val="12"/>
              </w:rPr>
              <w:t>Asignavimai</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r>
              <w:rPr>
                <w:rFonts w:ascii="Arial" w:hAnsi="Arial"/>
                <w:b/>
                <w:noProof/>
                <w:color w:val="FFFFFF"/>
                <w:sz w:val="14"/>
              </w:rPr>
              <w:t>AKR</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A paketas. Nacionaliniai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56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56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56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56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A PAKETAS. NACIONALINIAI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B paketas. Nacionaliniai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Kiti sukrėtimai, turintys poveikį biudžetui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B PAKETAS. NACIONALINIAI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hAnsi="Arial"/>
                <w:b/>
                <w:noProof/>
                <w:color w:val="000000"/>
                <w:sz w:val="14"/>
              </w:rPr>
              <w:t>Mobilizuojami rezervai</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hAnsi="Arial"/>
                <w:b/>
                <w:noProof/>
                <w:color w:val="000000"/>
                <w:sz w:val="12"/>
              </w:rPr>
              <w:t>Rezervai</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Nacionalinių asignavimų rezervas, A paketas,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NACIONALINIŲ ASIGNAVIMŲ REZERVAS, A PAKETAS, STABEX</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57"/>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5"/>
              <w:rPr>
                <w:rFonts w:ascii="Arial" w:eastAsia="Arial" w:hAnsi="Arial" w:cs="Arial"/>
                <w:b/>
                <w:noProof/>
                <w:color w:val="000000"/>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hAnsi="Arial"/>
                <w:b/>
                <w:noProof/>
                <w:color w:val="000000"/>
                <w:sz w:val="14"/>
              </w:rPr>
              <w:t>Įprasti VN įnašai</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5"/>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hAnsi="Arial"/>
                <w:b/>
                <w:noProof/>
                <w:color w:val="000000"/>
                <w:sz w:val="12"/>
              </w:rPr>
              <w:t>Asignavimai</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r>
              <w:rPr>
                <w:rFonts w:ascii="Arial" w:hAnsi="Arial"/>
                <w:b/>
                <w:noProof/>
                <w:color w:val="FFFFFF"/>
                <w:sz w:val="14"/>
              </w:rPr>
              <w:t xml:space="preserve">AKR </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A paketas. Nacionaliniai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12 696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12 594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(168)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12 384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(42)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11 798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286</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95 %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A PAKETAS. NACIONALINIAI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12 696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12 594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(168)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12 384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(42)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11 798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286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95 %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B paketas. Nacionaliniai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1 983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Eksporto pajamų kompensacijos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202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197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97 %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191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97 %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Neatidėliotina pagalba</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829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821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99 %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Labai įsiskolinusios neturtingos šalys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49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49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49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Kiti sukrėtimai, turintys poveikį biudžetui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895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FFFF"/>
                <w:sz w:val="12"/>
              </w:rPr>
            </w:pPr>
            <w:r>
              <w:rPr>
                <w:rFonts w:ascii="Arial" w:hAnsi="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887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880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3</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99 %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B PAKETAS. NACIONALINIAI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1 983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1 981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1 961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1 941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99 %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Įgyvendinimo išlaidos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460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440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96 %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440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440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Palūkanos ir kitos pajamos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71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68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96 %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67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67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ĮGYVENDINIMO IŠLAIDOS IR PAJAMOS IŠ PALŪKANŲ</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530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509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96 %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507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507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Institucinės ir paramos išlaidos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226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226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226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209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93 %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Kiti AKR vidaus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1 855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1 848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1 826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1 726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43</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95 %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Taikos priemonė</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1 527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1 527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408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1 087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71 %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1 038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15</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95 %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AKR VIDAUS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3 608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3 600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388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3 139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(13)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87 %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2 973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95 %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Regioniniai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1 902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1 896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(30)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1 827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96 %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1 625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70</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89 %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REGIONINIAI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1 902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1 896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(30)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1 827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96 %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1 625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70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89 %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hAnsi="Arial"/>
                <w:b/>
                <w:noProof/>
                <w:color w:val="000000"/>
                <w:sz w:val="14"/>
              </w:rPr>
              <w:t>Bendras finansavimas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hAnsi="Arial"/>
                <w:b/>
                <w:noProof/>
                <w:color w:val="000000"/>
                <w:sz w:val="12"/>
              </w:rPr>
              <w:t>Asignavimai</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A paketas. Nacionaliniai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185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181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152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86 %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A PAKETAS. NACIONALINIAI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185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181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177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152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86 %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Įgyvendinimo išlaidos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65 %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78 %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ĮGYVENDINIMO IŠLAIDOS IR PAJAMOS IŠ PALŪKANŲ</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65 %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78 %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Kiti AKR vidaus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FFFF"/>
                <w:sz w:val="12"/>
              </w:rPr>
            </w:pPr>
            <w:r>
              <w:rPr>
                <w:rFonts w:ascii="Arial" w:hAnsi="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92 %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Taikos priemonė</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AKR VIDAUS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92 %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hAnsi="Arial"/>
                <w:b/>
                <w:noProof/>
                <w:color w:val="000000"/>
                <w:sz w:val="14"/>
              </w:rPr>
              <w:t>Mobilizuojami rezervai</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hAnsi="Arial"/>
                <w:b/>
                <w:noProof/>
                <w:color w:val="000000"/>
                <w:sz w:val="12"/>
              </w:rPr>
              <w:t>Rezervai</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A paketo rezervas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B paketo rezervas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ŠALIES REZERVAS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AKR vidaus rezervas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AKR VIDAUS REZERVAS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Nacionalinių asignavimų rezervas, A paketas,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NACIONALINIŲ ASIGNAVIMŲ REZERVAS, A PAKETAS, STABEX</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NOP / ROP rezervas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NOP / ROP REZERVAS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Regioninių asignavimų rezervas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REGIONINIŲ ASIGNAVIMŲ REZERVAS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hAnsi="Arial"/>
                <w:b/>
                <w:noProof/>
                <w:color w:val="000000"/>
                <w:sz w:val="14"/>
              </w:rPr>
              <w:t>Nemobilizuojamas rezervas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hAnsi="Arial"/>
                <w:b/>
                <w:noProof/>
                <w:color w:val="000000"/>
                <w:sz w:val="12"/>
              </w:rPr>
              <w:t>Rezervai</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Nemobilizuojamas rezervas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171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NEMOBILIZUOJAMAS REZERVAS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171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57"/>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5"/>
              <w:rPr>
                <w:rFonts w:ascii="Arial" w:eastAsia="Arial" w:hAnsi="Arial" w:cs="Arial"/>
                <w:b/>
                <w:noProof/>
                <w:color w:val="000000"/>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hAnsi="Arial"/>
                <w:b/>
                <w:noProof/>
                <w:color w:val="000000"/>
                <w:sz w:val="14"/>
              </w:rPr>
              <w:t>Įprasti VN įnašai</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5"/>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hAnsi="Arial"/>
                <w:b/>
                <w:noProof/>
                <w:color w:val="000000"/>
                <w:sz w:val="12"/>
              </w:rPr>
              <w:t>Asignavimai</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r>
              <w:rPr>
                <w:rFonts w:ascii="Arial" w:hAnsi="Arial"/>
                <w:b/>
                <w:noProof/>
                <w:color w:val="FFFFFF"/>
                <w:sz w:val="14"/>
              </w:rPr>
              <w:t>UŠT</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A paketas. Nacionaliniai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187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187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182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97 %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157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13</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87 %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A PAKETAS. NACIONALINIAI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187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187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182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97 %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157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87 %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B paketas. Nacionaliniai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Neatidėliotina pagalba</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99 %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Kiti sukrėtimai, turintys poveikį biudžetui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B PAKETAS. NACIONALINIAI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99 %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Tyrimai / techninė pagalba UŠT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ĮGYVENDINIMO IŠLAIDOS IR PAJAMOS IŠ PALŪKANŲ</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Regioniniai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39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39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36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93 %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34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94 %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REGIONINIAI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36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93 %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34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94 %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hAnsi="Arial"/>
                <w:b/>
                <w:noProof/>
                <w:color w:val="000000"/>
                <w:sz w:val="14"/>
              </w:rPr>
              <w:t>Mobilizuojami rezervai</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hAnsi="Arial"/>
                <w:b/>
                <w:noProof/>
                <w:color w:val="000000"/>
                <w:sz w:val="12"/>
              </w:rPr>
              <w:t>Rezervai</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A paketo rezervas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B paketo rezervas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ŠALIES REZERVAS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Nacionalinių asignavimų rezervas, A paketas,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NACIONALINIŲ ASIGNAVIMŲ REZERVAS, A PAKETAS, STABEX</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Regioninių asignavimų rezervas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REGIONINIŲ ASIGNAVIMŲ REZERVAS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hAnsi="Arial"/>
                <w:b/>
                <w:noProof/>
                <w:color w:val="000000"/>
                <w:sz w:val="14"/>
              </w:rPr>
              <w:t>Nemobilizuojamas rezervas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hAnsi="Arial"/>
                <w:b/>
                <w:noProof/>
                <w:color w:val="000000"/>
                <w:sz w:val="12"/>
              </w:rPr>
              <w:t>Rezervai</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Nemobilizuojamas rezervas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26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TARPINĖ SUMA. NEMOBILIZUOJAMAS REZERVAS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26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57"/>
        </w:trPr>
        <w:tc>
          <w:tcPr>
            <w:tcW w:w="16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lang w:bidi="en-GB"/>
              </w:rPr>
            </w:pPr>
          </w:p>
        </w:tc>
      </w:tr>
      <w:tr>
        <w:trPr>
          <w:trHeight w:hRule="exact" w:val="170"/>
        </w:trPr>
        <w:tc>
          <w:tcPr>
            <w:tcW w:w="16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rPr>
                <w:rFonts w:ascii="Arial" w:eastAsia="Arial" w:hAnsi="Arial" w:cs="Arial"/>
                <w:b/>
                <w:noProof/>
                <w:color w:val="FFFFFF"/>
                <w:sz w:val="14"/>
              </w:rPr>
            </w:pPr>
            <w:r>
              <w:rPr>
                <w:rFonts w:ascii="Arial" w:hAnsi="Arial"/>
                <w:b/>
                <w:noProof/>
                <w:color w:val="FFFFFF"/>
                <w:sz w:val="14"/>
              </w:rPr>
              <w:t>IŠ VISO: AKR + UŠT (ĮSK. REZERVUS) (A + B)</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hAnsi="Arial"/>
                <w:b/>
                <w:noProof/>
                <w:color w:val="FFFFFF"/>
                <w:sz w:val="14"/>
              </w:rPr>
              <w:t>21 430</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hAnsi="Arial"/>
                <w:b/>
                <w:noProof/>
                <w:color w:val="FFFFFF"/>
                <w:sz w:val="14"/>
              </w:rPr>
              <w:t>21 088</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hAnsi="Arial"/>
                <w:b/>
                <w:noProof/>
                <w:color w:val="FFFFFF"/>
                <w:sz w:val="14"/>
              </w:rPr>
              <w:t>183</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hAnsi="Arial"/>
                <w:b/>
                <w:noProof/>
                <w:color w:val="FFFFFF"/>
                <w:sz w:val="14"/>
              </w:rPr>
              <w:t>97 %</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hAnsi="Arial"/>
                <w:b/>
                <w:noProof/>
                <w:color w:val="FFFFFF"/>
                <w:sz w:val="14"/>
              </w:rPr>
              <w:t>20 310</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0000"/>
                <w:sz w:val="14"/>
              </w:rPr>
            </w:pPr>
            <w:r>
              <w:rPr>
                <w:rFonts w:ascii="Arial" w:hAnsi="Arial"/>
                <w:b/>
                <w:noProof/>
                <w:color w:val="FF0000"/>
                <w:sz w:val="14"/>
              </w:rPr>
              <w:t>(51)</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hAnsi="Arial"/>
                <w:b/>
                <w:noProof/>
                <w:color w:val="FFFFFF"/>
                <w:sz w:val="14"/>
              </w:rPr>
              <w:t>96 %</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hAnsi="Arial"/>
                <w:b/>
                <w:noProof/>
                <w:color w:val="FFFFFF"/>
                <w:sz w:val="14"/>
              </w:rPr>
              <w:t>19 285</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hAnsi="Arial"/>
                <w:b/>
                <w:noProof/>
                <w:color w:val="FFFFFF"/>
                <w:sz w:val="14"/>
              </w:rPr>
              <w:t>456</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hAnsi="Arial"/>
                <w:b/>
                <w:noProof/>
                <w:color w:val="FFFFFF"/>
                <w:sz w:val="14"/>
              </w:rPr>
              <w:t>95 %</w:t>
            </w:r>
          </w:p>
        </w:tc>
      </w:tr>
    </w:tbl>
    <w:p>
      <w:pPr>
        <w:rPr>
          <w:noProof/>
        </w:rPr>
      </w:pPr>
    </w:p>
    <w:p>
      <w:pPr>
        <w:rPr>
          <w:rFonts w:ascii="Arial" w:hAnsi="Arial" w:cs="Arial"/>
          <w:noProof/>
          <w:color w:val="000000"/>
          <w:sz w:val="12"/>
          <w:szCs w:val="12"/>
        </w:rPr>
        <w:sectPr>
          <w:headerReference w:type="even" r:id="rId383"/>
          <w:headerReference w:type="default" r:id="rId384"/>
          <w:footerReference w:type="even" r:id="rId385"/>
          <w:footerReference w:type="default" r:id="rId386"/>
          <w:headerReference w:type="first" r:id="rId387"/>
          <w:footerReference w:type="first" r:id="rId388"/>
          <w:pgSz w:w="11906" w:h="16838" w:code="9"/>
          <w:pgMar w:top="1134" w:right="1440" w:bottom="1134" w:left="1440" w:header="709" w:footer="709" w:gutter="0"/>
          <w:cols w:space="708"/>
          <w:docGrid w:linePitch="360"/>
        </w:sectPr>
      </w:pPr>
      <w:r>
        <w:rPr>
          <w:rFonts w:ascii="Arial" w:hAnsi="Arial"/>
          <w:noProof/>
          <w:color w:val="000000"/>
          <w:sz w:val="12"/>
          <w:szCs w:val="12"/>
        </w:rPr>
        <w:t>2.6 lentelė</w:t>
      </w:r>
    </w:p>
    <w:p>
      <w:pPr>
        <w:rPr>
          <w:rFonts w:ascii="Arial" w:hAnsi="Arial" w:cs="Arial"/>
          <w:noProof/>
          <w:color w:val="000000"/>
          <w:sz w:val="12"/>
          <w:szCs w:val="12"/>
        </w:rPr>
      </w:pPr>
    </w:p>
    <w:p>
      <w:pPr>
        <w:jc w:val="center"/>
        <w:rPr>
          <w:b/>
          <w:noProof/>
          <w:sz w:val="16"/>
          <w:szCs w:val="16"/>
        </w:rPr>
      </w:pPr>
      <w:r>
        <w:rPr>
          <w:b/>
          <w:noProof/>
          <w:sz w:val="16"/>
          <w:szCs w:val="16"/>
        </w:rPr>
        <w:t>EPF SUVESTINĖS ATASKAITOS 2019 M. GRUODŽIO 31 D.</w:t>
      </w:r>
    </w:p>
    <w:p>
      <w:pPr>
        <w:jc w:val="center"/>
        <w:rPr>
          <w:b/>
          <w:noProof/>
          <w:sz w:val="16"/>
          <w:szCs w:val="16"/>
        </w:rPr>
      </w:pPr>
      <w:r>
        <w:rPr>
          <w:b/>
          <w:noProof/>
          <w:sz w:val="16"/>
          <w:szCs w:val="16"/>
        </w:rPr>
        <w:t>PAGALBOS GRUPĖ</w:t>
      </w:r>
    </w:p>
    <w:p>
      <w:pPr>
        <w:jc w:val="center"/>
        <w:rPr>
          <w:b/>
          <w:noProof/>
          <w:sz w:val="16"/>
          <w:szCs w:val="16"/>
        </w:rPr>
      </w:pPr>
      <w:r>
        <w:rPr>
          <w:b/>
          <w:noProof/>
          <w:sz w:val="16"/>
          <w:szCs w:val="16"/>
        </w:rPr>
        <w:t>AKR + UŠT − 11-asis EPF</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
        <w:gridCol w:w="855"/>
        <w:gridCol w:w="1095"/>
        <w:gridCol w:w="1875"/>
        <w:gridCol w:w="600"/>
        <w:gridCol w:w="600"/>
        <w:gridCol w:w="600"/>
        <w:gridCol w:w="600"/>
        <w:gridCol w:w="600"/>
        <w:gridCol w:w="600"/>
        <w:gridCol w:w="600"/>
        <w:gridCol w:w="600"/>
        <w:gridCol w:w="600"/>
        <w:gridCol w:w="600"/>
      </w:tblGrid>
      <w:tr>
        <w:trPr>
          <w:trHeight w:hRule="exact" w:val="111"/>
        </w:trPr>
        <w:tc>
          <w:tcPr>
            <w:tcW w:w="102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bookmarkStart w:id="153" w:name="DOC_TBL00067_1_1"/>
            <w:bookmarkEnd w:id="153"/>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187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120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6"/>
              <w:jc w:val="right"/>
              <w:rPr>
                <w:rFonts w:ascii="Arial" w:eastAsia="Arial" w:hAnsi="Arial" w:cs="Arial"/>
                <w:noProof/>
                <w:color w:val="000000"/>
                <w:sz w:val="12"/>
              </w:rPr>
            </w:pPr>
            <w:r>
              <w:rPr>
                <w:rFonts w:ascii="Arial" w:hAnsi="Arial"/>
                <w:noProof/>
                <w:color w:val="000000"/>
                <w:sz w:val="12"/>
              </w:rPr>
              <w:t>(mln. EUR)</w:t>
            </w:r>
          </w:p>
        </w:tc>
      </w:tr>
      <w:tr>
        <w:trPr>
          <w:trHeight w:hRule="exact" w:val="160"/>
        </w:trPr>
        <w:tc>
          <w:tcPr>
            <w:tcW w:w="3990" w:type="dxa"/>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ASIGNAVIMAI</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SPRENDIMAI</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ASIGNUOTOSIOS LĖŠOS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MOKĖJIMAI</w:t>
            </w:r>
          </w:p>
        </w:tc>
      </w:tr>
      <w:tr>
        <w:trPr>
          <w:trHeight w:hRule="exact" w:val="160"/>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SUVEST.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PER METUS</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SUVEST.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PER METUS</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SUVEST.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PER METUS</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w:t>
            </w:r>
          </w:p>
        </w:tc>
      </w:tr>
      <w:tr>
        <w:trPr>
          <w:trHeight w:hRule="exact" w:val="160"/>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(2) : (1)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(3)</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(3) : (2)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(4)</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(4) : (3)</w:t>
            </w:r>
          </w:p>
        </w:tc>
      </w:tr>
      <w:tr>
        <w:trPr>
          <w:trHeight w:hRule="exact" w:val="56"/>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6"/>
              <w:rPr>
                <w:rFonts w:ascii="Arial" w:eastAsia="Arial" w:hAnsi="Arial" w:cs="Arial"/>
                <w:b/>
                <w:noProof/>
                <w:color w:val="000000"/>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Įprasti VN įnašai</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6"/>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Asignavimai</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r>
              <w:rPr>
                <w:rFonts w:ascii="Arial" w:hAnsi="Arial"/>
                <w:b/>
                <w:noProof/>
                <w:color w:val="FFFFFF"/>
                <w:sz w:val="14"/>
              </w:rPr>
              <w:t>AKR</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A paketas. Nacionaliniai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FFFF"/>
                <w:sz w:val="12"/>
              </w:rPr>
            </w:pPr>
            <w:r>
              <w:rPr>
                <w:rFonts w:ascii="Arial" w:hAnsi="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45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18</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A PAKETAS. NACIONALINIAI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noProof/>
                <w:color w:val="FFFFFF"/>
                <w:sz w:val="12"/>
              </w:rPr>
            </w:pPr>
            <w:r>
              <w:rPr>
                <w:rFonts w:ascii="Arial" w:hAnsi="Arial"/>
                <w:noProof/>
                <w:color w:val="FFFFFF"/>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45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B paketas. Nacionaliniai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Neatidėliotina pagalba</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B PAKETAS. NACIONALINIAI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Mobilizuojami rezervai</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Rezervai</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Nacionalinių asignavimų rezervas, A paketas,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NACIONALINIŲ ASIGNAVIMŲ REZERVAS, A PAKETAS, STABEX</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56"/>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6"/>
              <w:rPr>
                <w:rFonts w:ascii="Arial" w:eastAsia="Arial" w:hAnsi="Arial" w:cs="Arial"/>
                <w:b/>
                <w:noProof/>
                <w:color w:val="000000"/>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Įprasti VN įnašai</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6"/>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Asignavimai</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r>
              <w:rPr>
                <w:rFonts w:ascii="Arial" w:hAnsi="Arial"/>
                <w:b/>
                <w:noProof/>
                <w:color w:val="FFFFFF"/>
                <w:sz w:val="14"/>
              </w:rPr>
              <w:t xml:space="preserve">AKR </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A paketas. Nacionaliniai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15 567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14 186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1 617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91 %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11 063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1 920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6 077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1 637</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55 %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A PAKETAS. NACIONALINIAI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15 567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14 186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1 617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91 %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11 063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1 920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6 077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1 637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55 %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B paketas. Nacionaliniai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838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Neatidėliotina pagalba</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137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84 %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35</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85 %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Kiti sukrėtimai, turintys poveikį biudžetui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FFFF"/>
                <w:sz w:val="12"/>
              </w:rPr>
            </w:pPr>
            <w:r>
              <w:rPr>
                <w:rFonts w:ascii="Arial" w:hAnsi="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B PAKETAS. NACIONALINIAI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838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821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137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709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86 %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87 %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Pereinamojo laikotarpio priemonė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PEREINAMOJO LAIKOTARPIO PRIEMONĖ</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Įgyvendinimo išlaidos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1 053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855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155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81 %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824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96 %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769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166</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93 %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Palūkanos ir kitos pajamos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51 %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85 %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85 %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ĮGYVENDINIMO IŠLAIDOS IR PAJAMOS IŠ PALŪKANŲ</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1 071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864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154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81 %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832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178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96 %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775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166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93 %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Institucinės ir paramos išlaidos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197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127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0000"/>
                <w:sz w:val="12"/>
              </w:rPr>
            </w:pPr>
            <w:r>
              <w:rPr>
                <w:rFonts w:ascii="Arial" w:hAnsi="Arial"/>
                <w:noProof/>
                <w:color w:val="FF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64 %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81 %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93 %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Kiti AKR vidaus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2 791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2 397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281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86 %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1 938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591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81 %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1 279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380</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66 %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Taikos priemonė</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1 000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1 000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FFFF"/>
                <w:sz w:val="12"/>
              </w:rPr>
            </w:pPr>
            <w:r>
              <w:rPr>
                <w:rFonts w:ascii="Arial" w:hAnsi="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980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34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881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22</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AKR VIDAUS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3 988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3 524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275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3 020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630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86 %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2 256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413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75 %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Regioniniai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6 920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6 649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846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96 %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5 644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704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85 %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2 591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1 038</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46 %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REGIONINIAI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6 920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6 649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846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96 %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5 644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704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85 %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2 591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1 038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46 %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Bendras finansavimas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Asignavimai</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A paketas. Nacionaliniai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42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31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75 %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31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A PAKETAS. NACIONALINIAI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42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31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75 %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31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Įgyvendinimo išlaidos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86 %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3 %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ĮGYVENDINIMO IŠLAIDOS IR PAJAMOS IŠ PALŪKANŲ</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86 %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3 %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Taikos priemonė</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95 %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16</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78 %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AKR VIDAUS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95 %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78 %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Regioniniai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FFFF"/>
                <w:sz w:val="12"/>
              </w:rPr>
            </w:pPr>
            <w:r>
              <w:rPr>
                <w:rFonts w:ascii="Arial" w:hAnsi="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REGIONINIAI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50 %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noProof/>
                <w:color w:val="FFFFFF"/>
                <w:sz w:val="12"/>
              </w:rPr>
            </w:pPr>
            <w:r>
              <w:rPr>
                <w:rFonts w:ascii="Arial" w:hAnsi="Arial"/>
                <w:noProof/>
                <w:color w:val="FFFFFF"/>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Mobilizuojami rezervai</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Rezervai</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B paketo rezervas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ŠALIES REZERVAS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AKR vidaus rezervas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AKR VIDAUS REZERVAS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Nacionalinių asignavimų rezervas, A paketas,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NACIONALINIŲ ASIGNAVIMŲ REZERVAS, A PAKETAS, STABEX</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NOP / ROP rezervas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540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NOP / ROP REZERVAS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540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Nemobilizuojamas rezervas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Rezervai</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Nemobilizuojamas rezervas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130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NEMOBILIZUOJAMAS REZERVAS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130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EK vidaus susitarimai dėl paslaugų lygio</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Rezervai</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A paketas. Nacionaliniai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FFFF"/>
                <w:sz w:val="12"/>
              </w:rPr>
            </w:pPr>
            <w:r>
              <w:rPr>
                <w:rFonts w:ascii="Arial" w:hAnsi="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71 %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73 %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A PAKETAS. NACIONALINIAI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noProof/>
                <w:color w:val="FFFFFF"/>
                <w:sz w:val="12"/>
              </w:rPr>
            </w:pPr>
            <w:r>
              <w:rPr>
                <w:rFonts w:ascii="Arial" w:hAnsi="Arial"/>
                <w:noProof/>
                <w:color w:val="FFFFFF"/>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71 %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73 %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r>
      <w:tr>
        <w:trPr>
          <w:trHeight w:hRule="exact" w:val="56"/>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6"/>
              <w:rPr>
                <w:rFonts w:ascii="Arial" w:eastAsia="Arial" w:hAnsi="Arial" w:cs="Arial"/>
                <w:b/>
                <w:noProof/>
                <w:color w:val="000000"/>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Įprasti VN įnašai</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6"/>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Asignavimai</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r>
              <w:rPr>
                <w:rFonts w:ascii="Arial" w:hAnsi="Arial"/>
                <w:b/>
                <w:noProof/>
                <w:color w:val="FFFFFF"/>
                <w:sz w:val="14"/>
              </w:rPr>
              <w:t>UŠT</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A paketas. Nacionaliniai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196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196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192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44</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63 %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A PAKETAS. NACIONALINIAI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196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196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192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44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63 %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B paketas. Nacionaliniai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Neatidėliotina pagalba</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78 %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Kiti sukrėtimai, turintys poveikį biudžetui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B PAKETAS. NACIONALINIAI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87 %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Pereinamojo laikotarpio priemonė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PEREINAMOJO LAIKOTARPIO PRIEMONĖ</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Tyrimai / techninė pagalba UŠT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84 %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65 %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87 %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ĮGYVENDINIMO IŠLAIDOS IR PAJAMOS IŠ PALŪKANŲ</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84 %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65 %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87 %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Regioniniai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43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81 %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16 %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REGIONINIAI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43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81 %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16 %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Bendras finansavimas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Asignavimai</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A paketas. Nacionaliniai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A PAKETAS. NACIONALINIAI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Mobilizuojami rezervai</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Rezervai</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NOP / ROP rezervas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32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NOP / ROP REZERVAS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32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Nemobilizuojamas rezervas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Rezervai</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Nemobilizuojamas rezervas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NEMOBILIZUOJAMAS REZERVAS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EK vidaus susitarimai dėl paslaugų lygio</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Rezervai</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A paketas. Nacionaliniai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A PAKETAS. NACIONALINIAI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56"/>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6"/>
              <w:rPr>
                <w:rFonts w:ascii="Arial" w:eastAsia="Arial" w:hAnsi="Arial" w:cs="Arial"/>
                <w:b/>
                <w:noProof/>
                <w:color w:val="000000"/>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Įprasti VN įnašai</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6"/>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Asignavimai</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A paketas. Nacionaliniai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FFFF"/>
                <w:sz w:val="12"/>
              </w:rPr>
            </w:pPr>
            <w:r>
              <w:rPr>
                <w:rFonts w:ascii="Arial" w:hAnsi="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99 %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A PAKETAS. NACIONALINIAI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noProof/>
                <w:color w:val="FFFFFF"/>
                <w:sz w:val="12"/>
              </w:rPr>
            </w:pPr>
            <w:r>
              <w:rPr>
                <w:rFonts w:ascii="Arial" w:hAnsi="Arial"/>
                <w:noProof/>
                <w:color w:val="FFFFFF"/>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59 %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99 %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B paketas. Nacionaliniai asignavimai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Neatidėliotina pagalba</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TARPINĖ SUMA. B PAKETAS. NACIONALINIAI ASIGNAVIMAI</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56"/>
        </w:trPr>
        <w:tc>
          <w:tcPr>
            <w:tcW w:w="16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lang w:bidi="en-GB"/>
              </w:rPr>
            </w:pPr>
          </w:p>
        </w:tc>
      </w:tr>
      <w:tr>
        <w:trPr>
          <w:trHeight w:hRule="exact" w:val="167"/>
        </w:trPr>
        <w:tc>
          <w:tcPr>
            <w:tcW w:w="16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rPr>
                <w:rFonts w:ascii="Arial" w:eastAsia="Arial" w:hAnsi="Arial" w:cs="Arial"/>
                <w:b/>
                <w:noProof/>
                <w:color w:val="FFFFFF"/>
                <w:sz w:val="14"/>
              </w:rPr>
            </w:pPr>
            <w:r>
              <w:rPr>
                <w:rFonts w:ascii="Arial" w:hAnsi="Arial"/>
                <w:b/>
                <w:noProof/>
                <w:color w:val="FFFFFF"/>
                <w:sz w:val="14"/>
              </w:rPr>
              <w:t>IŠ VISO: AKR + UŠT (ĮSK. REZERVUS) (A + B)</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hAnsi="Arial"/>
                <w:b/>
                <w:noProof/>
                <w:color w:val="FFFFFF"/>
                <w:sz w:val="14"/>
              </w:rPr>
              <w:t>29 608</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hAnsi="Arial"/>
                <w:b/>
                <w:noProof/>
                <w:color w:val="FFFFFF"/>
                <w:sz w:val="14"/>
              </w:rPr>
              <w:t>26 511</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hAnsi="Arial"/>
                <w:b/>
                <w:noProof/>
                <w:color w:val="FFFFFF"/>
                <w:sz w:val="14"/>
              </w:rPr>
              <w:t>3 153</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hAnsi="Arial"/>
                <w:b/>
                <w:noProof/>
                <w:color w:val="FFFFFF"/>
                <w:sz w:val="14"/>
              </w:rPr>
              <w:t>90 %</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hAnsi="Arial"/>
                <w:b/>
                <w:noProof/>
                <w:color w:val="FFFFFF"/>
                <w:sz w:val="14"/>
              </w:rPr>
              <w:t>21 697</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hAnsi="Arial"/>
                <w:b/>
                <w:noProof/>
                <w:color w:val="FFFFFF"/>
                <w:sz w:val="14"/>
              </w:rPr>
              <w:t>3 557</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hAnsi="Arial"/>
                <w:b/>
                <w:noProof/>
                <w:color w:val="FFFFFF"/>
                <w:sz w:val="14"/>
              </w:rPr>
              <w:t>82 %</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hAnsi="Arial"/>
                <w:b/>
                <w:noProof/>
                <w:color w:val="FFFFFF"/>
                <w:sz w:val="14"/>
              </w:rPr>
              <w:t>12 553</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hAnsi="Arial"/>
                <w:b/>
                <w:noProof/>
                <w:color w:val="FFFFFF"/>
                <w:sz w:val="14"/>
              </w:rPr>
              <w:t>3 377</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hAnsi="Arial"/>
                <w:b/>
                <w:noProof/>
                <w:color w:val="FFFFFF"/>
                <w:sz w:val="14"/>
              </w:rPr>
              <w:t>58 %</w:t>
            </w:r>
          </w:p>
        </w:tc>
      </w:tr>
      <w:bookmarkEnd w:id="149"/>
    </w:tbl>
    <w:p>
      <w:pPr>
        <w:rPr>
          <w:noProof/>
        </w:rPr>
        <w:sectPr>
          <w:headerReference w:type="even" r:id="rId389"/>
          <w:headerReference w:type="default" r:id="rId390"/>
          <w:footerReference w:type="even" r:id="rId391"/>
          <w:footerReference w:type="default" r:id="rId392"/>
          <w:headerReference w:type="first" r:id="rId393"/>
          <w:footerReference w:type="first" r:id="rId394"/>
          <w:pgSz w:w="11906" w:h="16838" w:code="9"/>
          <w:pgMar w:top="1134" w:right="1440" w:bottom="1134" w:left="1440" w:header="709" w:footer="709" w:gutter="0"/>
          <w:cols w:space="708"/>
          <w:docGrid w:linePitch="360"/>
        </w:sectPr>
      </w:pPr>
    </w:p>
    <w:p>
      <w:pPr>
        <w:rPr>
          <w:rFonts w:ascii="Arial" w:hAnsi="Arial"/>
          <w:b/>
          <w:noProof/>
          <w:sz w:val="20"/>
          <w:szCs w:val="20"/>
          <w:u w:val="single"/>
        </w:rPr>
      </w:pPr>
      <w:bookmarkStart w:id="154" w:name="_DMBM_19002"/>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pStyle w:val="FIRSTCHAPTERPAGE"/>
        <w:rPr>
          <w:noProof/>
        </w:rPr>
      </w:pPr>
      <w:bookmarkStart w:id="155" w:name="_Toc478631948"/>
      <w:bookmarkStart w:id="156" w:name="_Toc49242754"/>
      <w:r>
        <w:rPr>
          <w:noProof/>
        </w:rPr>
        <w:t xml:space="preserve">METINĖ VYKDYMO ATASKAITA. </w:t>
      </w:r>
      <w:bookmarkStart w:id="157" w:name="_Toc478054614"/>
      <w:r>
        <w:rPr>
          <w:noProof/>
        </w:rPr>
        <w:t>EUROPOS INVESTICIJŲ BANKO VALDOMOS LĖŠOS</w:t>
      </w:r>
      <w:bookmarkEnd w:id="155"/>
      <w:bookmarkEnd w:id="157"/>
      <w:bookmarkEnd w:id="156"/>
    </w:p>
    <w:p>
      <w:pPr>
        <w:rPr>
          <w:rFonts w:ascii="Arial" w:hAnsi="Arial"/>
          <w:b/>
          <w:noProof/>
          <w:sz w:val="20"/>
          <w:szCs w:val="20"/>
          <w:u w:val="single"/>
        </w:rPr>
      </w:pPr>
    </w:p>
    <w:p>
      <w:pPr>
        <w:rPr>
          <w:rFonts w:ascii="Arial" w:hAnsi="Arial"/>
          <w:b/>
          <w:noProof/>
          <w:sz w:val="20"/>
          <w:szCs w:val="20"/>
          <w:u w:val="single"/>
        </w:rPr>
        <w:sectPr>
          <w:headerReference w:type="even" r:id="rId395"/>
          <w:headerReference w:type="default" r:id="rId396"/>
          <w:footerReference w:type="even" r:id="rId397"/>
          <w:footerReference w:type="default" r:id="rId398"/>
          <w:headerReference w:type="first" r:id="rId399"/>
          <w:footerReference w:type="first" r:id="rId400"/>
          <w:pgSz w:w="11907" w:h="16840" w:code="9"/>
          <w:pgMar w:top="1134" w:right="1134" w:bottom="1134" w:left="1134" w:header="709" w:footer="709" w:gutter="0"/>
          <w:pgBorders>
            <w:top w:val="nil"/>
            <w:left w:val="nil"/>
            <w:bottom w:val="nil"/>
            <w:right w:val="nil"/>
          </w:pgBorders>
          <w:cols w:space="720"/>
          <w:docGrid w:linePitch="360"/>
        </w:sectPr>
      </w:pPr>
    </w:p>
    <w:p>
      <w:pPr>
        <w:rPr>
          <w:noProof/>
        </w:rPr>
      </w:pPr>
      <w:r>
        <w:rPr>
          <w:rFonts w:ascii="Arial" w:hAnsi="Arial"/>
          <w:b/>
          <w:noProof/>
          <w:sz w:val="20"/>
          <w:szCs w:val="20"/>
          <w:u w:val="single"/>
        </w:rPr>
        <w:t>EUROPOS INVESTICIJŲ BANKAS</w:t>
      </w:r>
      <w:r>
        <w:rPr>
          <w:noProof/>
        </w:rPr>
        <w:t xml:space="preserve"> </w:t>
      </w:r>
    </w:p>
    <w:p>
      <w:pPr>
        <w:rPr>
          <w:noProof/>
        </w:rPr>
      </w:pPr>
    </w:p>
    <w:p>
      <w:pPr>
        <w:pStyle w:val="Normal0"/>
        <w:snapToGrid w:val="0"/>
        <w:spacing w:before="60" w:after="60"/>
        <w:jc w:val="right"/>
        <w:rPr>
          <w:rFonts w:ascii="Arial" w:hAnsi="Arial"/>
          <w:b/>
          <w:noProof/>
          <w:sz w:val="20"/>
          <w:szCs w:val="20"/>
          <w:u w:val="single"/>
        </w:rPr>
      </w:pPr>
      <w:r>
        <w:rPr>
          <w:rFonts w:ascii="Arial" w:hAnsi="Arial"/>
          <w:b/>
          <w:noProof/>
          <w:sz w:val="20"/>
          <w:szCs w:val="20"/>
          <w:u w:val="single"/>
        </w:rPr>
        <w:t>ĮA/531/20</w:t>
      </w:r>
    </w:p>
    <w:p>
      <w:pPr>
        <w:pStyle w:val="Normal0"/>
        <w:snapToGrid w:val="0"/>
        <w:spacing w:before="60" w:after="60"/>
        <w:jc w:val="right"/>
        <w:rPr>
          <w:rFonts w:ascii="Arial" w:hAnsi="Arial"/>
          <w:noProof/>
          <w:sz w:val="20"/>
          <w:szCs w:val="20"/>
        </w:rPr>
      </w:pPr>
      <w:r>
        <w:rPr>
          <w:rFonts w:ascii="Arial" w:hAnsi="Arial"/>
          <w:noProof/>
          <w:sz w:val="20"/>
          <w:szCs w:val="20"/>
        </w:rPr>
        <w:t>2020 m. kovo 12 d.</w:t>
      </w:r>
    </w:p>
    <w:p>
      <w:pPr>
        <w:pStyle w:val="Normal0"/>
        <w:snapToGrid w:val="0"/>
        <w:spacing w:before="60" w:after="60"/>
        <w:jc w:val="right"/>
        <w:rPr>
          <w:rFonts w:ascii="Arial" w:hAnsi="Arial"/>
          <w:noProof/>
          <w:sz w:val="20"/>
          <w:szCs w:val="20"/>
        </w:rPr>
      </w:pPr>
    </w:p>
    <w:p>
      <w:pPr>
        <w:pStyle w:val="Normal0"/>
        <w:snapToGrid w:val="0"/>
        <w:spacing w:before="60" w:after="60"/>
        <w:jc w:val="right"/>
        <w:rPr>
          <w:rFonts w:ascii="Arial" w:hAnsi="Arial"/>
          <w:noProof/>
          <w:sz w:val="20"/>
          <w:szCs w:val="20"/>
          <w:u w:val="single"/>
        </w:rPr>
      </w:pPr>
      <w:r>
        <w:rPr>
          <w:rFonts w:ascii="Arial" w:hAnsi="Arial"/>
          <w:noProof/>
          <w:sz w:val="20"/>
          <w:szCs w:val="20"/>
          <w:u w:val="single"/>
        </w:rPr>
        <w:t>Dokumentas Nr. 20/108</w:t>
      </w:r>
    </w:p>
    <w:p>
      <w:pPr>
        <w:pStyle w:val="Normal0"/>
        <w:snapToGrid w:val="0"/>
        <w:spacing w:before="60" w:after="60"/>
        <w:jc w:val="right"/>
        <w:rPr>
          <w:rFonts w:ascii="Arial" w:hAnsi="Arial"/>
          <w:noProof/>
          <w:sz w:val="20"/>
          <w:szCs w:val="20"/>
          <w:u w:val="single"/>
        </w:rPr>
      </w:pPr>
    </w:p>
    <w:p>
      <w:pPr>
        <w:pStyle w:val="Normal0"/>
        <w:snapToGrid w:val="0"/>
        <w:spacing w:before="60" w:after="60"/>
        <w:jc w:val="right"/>
        <w:rPr>
          <w:rFonts w:ascii="Arial" w:hAnsi="Arial"/>
          <w:noProof/>
          <w:sz w:val="20"/>
          <w:szCs w:val="20"/>
          <w:u w:val="single"/>
        </w:rPr>
      </w:pPr>
    </w:p>
    <w:p>
      <w:pPr>
        <w:pStyle w:val="Normal0"/>
        <w:snapToGrid w:val="0"/>
        <w:spacing w:before="60" w:after="60"/>
        <w:jc w:val="right"/>
        <w:rPr>
          <w:rFonts w:ascii="Arial" w:hAnsi="Arial"/>
          <w:noProof/>
          <w:sz w:val="20"/>
          <w:szCs w:val="20"/>
          <w:u w:val="single"/>
        </w:rPr>
      </w:pPr>
    </w:p>
    <w:p>
      <w:pPr>
        <w:pStyle w:val="Normal0"/>
        <w:snapToGrid w:val="0"/>
        <w:spacing w:before="60" w:after="60"/>
        <w:jc w:val="right"/>
        <w:rPr>
          <w:rFonts w:ascii="Arial" w:hAnsi="Arial"/>
          <w:noProof/>
          <w:sz w:val="20"/>
          <w:szCs w:val="20"/>
          <w:u w:val="single"/>
        </w:rPr>
      </w:pPr>
    </w:p>
    <w:p>
      <w:pPr>
        <w:pStyle w:val="Normal0"/>
        <w:snapToGrid w:val="0"/>
        <w:spacing w:before="60" w:after="60"/>
        <w:jc w:val="right"/>
        <w:rPr>
          <w:rFonts w:ascii="Arial" w:hAnsi="Arial"/>
          <w:noProof/>
          <w:sz w:val="20"/>
          <w:szCs w:val="20"/>
          <w:u w:val="single"/>
        </w:rPr>
      </w:pPr>
    </w:p>
    <w:p>
      <w:pPr>
        <w:pStyle w:val="Normal0"/>
        <w:snapToGrid w:val="0"/>
        <w:spacing w:before="60" w:after="60"/>
        <w:jc w:val="right"/>
        <w:rPr>
          <w:rFonts w:ascii="Arial" w:hAnsi="Arial"/>
          <w:noProof/>
          <w:sz w:val="20"/>
          <w:szCs w:val="20"/>
          <w:u w:val="single"/>
        </w:rPr>
      </w:pPr>
    </w:p>
    <w:p>
      <w:pPr>
        <w:pStyle w:val="Normal0"/>
        <w:snapToGrid w:val="0"/>
        <w:spacing w:before="60" w:after="60"/>
        <w:jc w:val="right"/>
        <w:rPr>
          <w:rFonts w:ascii="Arial" w:hAnsi="Arial"/>
          <w:noProof/>
          <w:sz w:val="20"/>
          <w:szCs w:val="20"/>
          <w:u w:val="single"/>
        </w:rPr>
      </w:pPr>
    </w:p>
    <w:p>
      <w:pPr>
        <w:pStyle w:val="Normal0"/>
        <w:snapToGrid w:val="0"/>
        <w:spacing w:before="60" w:after="60"/>
        <w:jc w:val="right"/>
        <w:rPr>
          <w:rFonts w:ascii="Arial" w:hAnsi="Arial"/>
          <w:noProof/>
          <w:sz w:val="20"/>
          <w:szCs w:val="20"/>
          <w:u w:val="single"/>
        </w:rPr>
      </w:pPr>
    </w:p>
    <w:p>
      <w:pPr>
        <w:pStyle w:val="Normal0"/>
        <w:snapToGrid w:val="0"/>
        <w:spacing w:before="60" w:after="60"/>
        <w:jc w:val="center"/>
        <w:rPr>
          <w:noProof/>
        </w:rPr>
      </w:pPr>
      <w:r>
        <w:rPr>
          <w:rFonts w:ascii="Arial" w:hAnsi="Arial"/>
          <w:b/>
          <w:caps/>
          <w:noProof/>
          <w:sz w:val="20"/>
          <w:szCs w:val="20"/>
        </w:rPr>
        <w:t>DIREKTORIŲ VALDYBA</w:t>
      </w:r>
      <w:r>
        <w:rPr>
          <w:noProof/>
        </w:rPr>
        <w:t xml:space="preserve"> </w:t>
      </w:r>
    </w:p>
    <w:p>
      <w:pPr>
        <w:pStyle w:val="Normal0"/>
        <w:snapToGrid w:val="0"/>
        <w:spacing w:before="60" w:after="60"/>
        <w:jc w:val="center"/>
        <w:rPr>
          <w:noProof/>
        </w:rPr>
      </w:pPr>
    </w:p>
    <w:p>
      <w:pPr>
        <w:pStyle w:val="Normal0"/>
        <w:snapToGrid w:val="0"/>
        <w:spacing w:before="60" w:after="60"/>
        <w:jc w:val="center"/>
        <w:rPr>
          <w:rFonts w:ascii="Arial" w:hAnsi="Arial"/>
          <w:b/>
          <w:caps/>
          <w:noProof/>
          <w:spacing w:val="20"/>
          <w:sz w:val="20"/>
          <w:szCs w:val="20"/>
        </w:rPr>
      </w:pPr>
      <w:r>
        <w:rPr>
          <w:rFonts w:ascii="Arial" w:hAnsi="Arial"/>
          <w:b/>
          <w:caps/>
          <w:noProof/>
          <w:sz w:val="20"/>
          <w:szCs w:val="20"/>
        </w:rPr>
        <w:t>INVESTICINĖ PRIEMONĖ</w:t>
      </w:r>
    </w:p>
    <w:p>
      <w:pPr>
        <w:pStyle w:val="Normal0"/>
        <w:snapToGrid w:val="0"/>
        <w:spacing w:before="60" w:after="60"/>
        <w:jc w:val="center"/>
        <w:rPr>
          <w:rFonts w:ascii="Arial" w:hAnsi="Arial"/>
          <w:b/>
          <w:caps/>
          <w:noProof/>
          <w:spacing w:val="20"/>
          <w:sz w:val="20"/>
          <w:szCs w:val="20"/>
        </w:rPr>
      </w:pPr>
      <w:r>
        <w:rPr>
          <w:rFonts w:ascii="Arial" w:hAnsi="Arial"/>
          <w:b/>
          <w:caps/>
          <w:noProof/>
          <w:sz w:val="20"/>
          <w:szCs w:val="20"/>
        </w:rPr>
        <w:t>FINANSINĖS ATASKAITOS</w:t>
      </w:r>
    </w:p>
    <w:p>
      <w:pPr>
        <w:pStyle w:val="Normal0"/>
        <w:snapToGrid w:val="0"/>
        <w:spacing w:before="60" w:after="60"/>
        <w:jc w:val="center"/>
        <w:rPr>
          <w:rFonts w:ascii="Arial" w:hAnsi="Arial"/>
          <w:b/>
          <w:caps/>
          <w:noProof/>
          <w:spacing w:val="20"/>
          <w:sz w:val="20"/>
          <w:szCs w:val="20"/>
        </w:rPr>
      </w:pPr>
      <w:r>
        <w:rPr>
          <w:rFonts w:ascii="Arial" w:hAnsi="Arial"/>
          <w:b/>
          <w:caps/>
          <w:noProof/>
          <w:sz w:val="20"/>
          <w:szCs w:val="20"/>
        </w:rPr>
        <w:t>2019 M. GRUODŽIO 31 D.</w:t>
      </w: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numPr>
          <w:ilvl w:val="0"/>
          <w:numId w:val="24"/>
        </w:numPr>
        <w:tabs>
          <w:tab w:val="left" w:pos="432"/>
        </w:tabs>
        <w:snapToGrid w:val="0"/>
        <w:spacing w:before="120" w:after="120"/>
        <w:ind w:left="432"/>
        <w:rPr>
          <w:rFonts w:ascii="Arial" w:hAnsi="Arial"/>
          <w:noProof/>
          <w:sz w:val="20"/>
          <w:szCs w:val="20"/>
        </w:rPr>
      </w:pPr>
      <w:r>
        <w:rPr>
          <w:rFonts w:ascii="Arial" w:hAnsi="Arial"/>
          <w:noProof/>
          <w:sz w:val="20"/>
          <w:szCs w:val="20"/>
        </w:rPr>
        <w:t>Finansinės būklės ataskaita</w:t>
      </w:r>
    </w:p>
    <w:p>
      <w:pPr>
        <w:pStyle w:val="Normal0"/>
        <w:numPr>
          <w:ilvl w:val="0"/>
          <w:numId w:val="24"/>
        </w:numPr>
        <w:tabs>
          <w:tab w:val="left" w:pos="432"/>
        </w:tabs>
        <w:snapToGrid w:val="0"/>
        <w:spacing w:before="120" w:after="120"/>
        <w:ind w:left="432"/>
        <w:rPr>
          <w:rFonts w:ascii="Arial" w:hAnsi="Arial"/>
          <w:noProof/>
          <w:sz w:val="20"/>
          <w:szCs w:val="20"/>
        </w:rPr>
      </w:pPr>
      <w:r>
        <w:rPr>
          <w:rFonts w:ascii="Arial" w:hAnsi="Arial"/>
          <w:noProof/>
          <w:sz w:val="20"/>
          <w:szCs w:val="20"/>
        </w:rPr>
        <w:t>Pelno arba nuostolių ir kitų bendrųjų pajamų ataskaita</w:t>
      </w:r>
    </w:p>
    <w:p>
      <w:pPr>
        <w:pStyle w:val="Normal0"/>
        <w:numPr>
          <w:ilvl w:val="0"/>
          <w:numId w:val="24"/>
        </w:numPr>
        <w:tabs>
          <w:tab w:val="left" w:pos="432"/>
        </w:tabs>
        <w:snapToGrid w:val="0"/>
        <w:spacing w:before="120" w:after="120"/>
        <w:ind w:left="432"/>
        <w:rPr>
          <w:rFonts w:ascii="Arial" w:hAnsi="Arial"/>
          <w:noProof/>
          <w:sz w:val="20"/>
          <w:szCs w:val="20"/>
        </w:rPr>
      </w:pPr>
      <w:r>
        <w:rPr>
          <w:rFonts w:ascii="Arial" w:hAnsi="Arial"/>
          <w:noProof/>
          <w:sz w:val="20"/>
          <w:szCs w:val="20"/>
        </w:rPr>
        <w:t>Įnašų mokėtojų išteklių pokyčių ataskaita</w:t>
      </w:r>
    </w:p>
    <w:p>
      <w:pPr>
        <w:pStyle w:val="Normal0"/>
        <w:numPr>
          <w:ilvl w:val="0"/>
          <w:numId w:val="24"/>
        </w:numPr>
        <w:tabs>
          <w:tab w:val="left" w:pos="432"/>
        </w:tabs>
        <w:snapToGrid w:val="0"/>
        <w:spacing w:before="120" w:after="120"/>
        <w:ind w:left="432"/>
        <w:rPr>
          <w:rFonts w:ascii="Arial" w:hAnsi="Arial"/>
          <w:noProof/>
          <w:sz w:val="20"/>
          <w:szCs w:val="20"/>
        </w:rPr>
      </w:pPr>
      <w:r>
        <w:rPr>
          <w:rFonts w:ascii="Arial" w:hAnsi="Arial"/>
          <w:noProof/>
          <w:sz w:val="20"/>
          <w:szCs w:val="20"/>
        </w:rPr>
        <w:t>Pinigų srautų ataskaita</w:t>
      </w:r>
    </w:p>
    <w:p>
      <w:pPr>
        <w:pStyle w:val="Normal0"/>
        <w:numPr>
          <w:ilvl w:val="0"/>
          <w:numId w:val="24"/>
        </w:numPr>
        <w:tabs>
          <w:tab w:val="left" w:pos="432"/>
        </w:tabs>
        <w:snapToGrid w:val="0"/>
        <w:spacing w:before="120" w:after="120"/>
        <w:ind w:left="432"/>
        <w:rPr>
          <w:noProof/>
        </w:rPr>
      </w:pPr>
      <w:r>
        <w:rPr>
          <w:rFonts w:ascii="Arial" w:hAnsi="Arial"/>
          <w:noProof/>
          <w:sz w:val="20"/>
          <w:szCs w:val="20"/>
        </w:rPr>
        <w:t>Finansinių ataskaitų pastabos</w:t>
      </w:r>
      <w:r>
        <w:rPr>
          <w:noProof/>
        </w:rPr>
        <w:br w:type="page"/>
      </w:r>
    </w:p>
    <w:p>
      <w:pPr>
        <w:pageBreakBefore/>
        <w:pBdr>
          <w:top w:val="nil"/>
          <w:left w:val="nil"/>
          <w:bottom w:val="nil"/>
          <w:right w:val="nil"/>
          <w:between w:val="nil"/>
          <w:bar w:val="nil"/>
        </w:pBdr>
        <w:jc w:val="center"/>
        <w:rPr>
          <w:rFonts w:ascii="Arial" w:hAnsi="Arial"/>
          <w:b/>
          <w:noProof/>
          <w:sz w:val="20"/>
          <w:szCs w:val="16"/>
          <w:bdr w:val="nil"/>
        </w:rPr>
      </w:pPr>
      <w:r>
        <w:rPr>
          <w:rFonts w:ascii="Arial" w:hAnsi="Arial"/>
          <w:b/>
          <w:noProof/>
          <w:sz w:val="20"/>
          <w:szCs w:val="16"/>
          <w:bdr w:val="nil"/>
        </w:rPr>
        <w:t>FINANSINĖS BŪKLĖS ATASKAITA</w:t>
      </w:r>
    </w:p>
    <w:p>
      <w:pPr>
        <w:pBdr>
          <w:top w:val="nil"/>
          <w:left w:val="nil"/>
          <w:bottom w:val="nil"/>
          <w:right w:val="nil"/>
          <w:between w:val="nil"/>
          <w:bar w:val="nil"/>
        </w:pBdr>
        <w:jc w:val="center"/>
        <w:rPr>
          <w:rFonts w:ascii="Arial" w:hAnsi="Arial"/>
          <w:b/>
          <w:noProof/>
          <w:sz w:val="20"/>
          <w:szCs w:val="16"/>
          <w:bdr w:val="nil"/>
        </w:rPr>
      </w:pPr>
      <w:r>
        <w:rPr>
          <w:rFonts w:ascii="Arial" w:hAnsi="Arial"/>
          <w:b/>
          <w:caps/>
          <w:noProof/>
          <w:sz w:val="20"/>
          <w:szCs w:val="20"/>
          <w:bdr w:val="nil"/>
        </w:rPr>
        <w:t>2019 m. gruodžio 31 d.</w:t>
      </w:r>
    </w:p>
    <w:p>
      <w:pPr>
        <w:pBdr>
          <w:top w:val="nil"/>
          <w:left w:val="nil"/>
          <w:bottom w:val="nil"/>
          <w:right w:val="nil"/>
          <w:between w:val="nil"/>
          <w:bar w:val="nil"/>
        </w:pBdr>
        <w:spacing w:before="60" w:after="60"/>
        <w:jc w:val="center"/>
        <w:rPr>
          <w:rFonts w:ascii="Arial" w:hAnsi="Arial"/>
          <w:noProof/>
          <w:sz w:val="16"/>
          <w:szCs w:val="16"/>
          <w:bdr w:val="nil"/>
        </w:rPr>
      </w:pPr>
      <w:r>
        <w:rPr>
          <w:rFonts w:ascii="Arial" w:hAnsi="Arial"/>
          <w:noProof/>
          <w:sz w:val="16"/>
          <w:szCs w:val="16"/>
          <w:bdr w:val="nil"/>
        </w:rPr>
        <w:t>(tūkst. EUR)</w:t>
      </w:r>
    </w:p>
    <w:p>
      <w:pPr>
        <w:pBdr>
          <w:top w:val="nil"/>
          <w:left w:val="nil"/>
          <w:bottom w:val="nil"/>
          <w:right w:val="nil"/>
          <w:between w:val="nil"/>
          <w:bar w:val="nil"/>
        </w:pBdr>
        <w:spacing w:before="60" w:after="60"/>
        <w:rPr>
          <w:rFonts w:ascii="Arial" w:hAnsi="Arial"/>
          <w:noProof/>
          <w:vanish/>
          <w:sz w:val="16"/>
          <w:szCs w:val="16"/>
          <w:bdr w:val="nil"/>
        </w:rPr>
      </w:pPr>
    </w:p>
    <w:tbl>
      <w:tblPr>
        <w:tblStyle w:val="CDMRange1"/>
        <w:tblW w:w="9975" w:type="dxa"/>
        <w:tblLayout w:type="fixed"/>
        <w:tblLook w:val="0600" w:firstRow="0" w:lastRow="0" w:firstColumn="0" w:lastColumn="0" w:noHBand="1" w:noVBand="1"/>
      </w:tblPr>
      <w:tblGrid>
        <w:gridCol w:w="6000"/>
        <w:gridCol w:w="975"/>
        <w:gridCol w:w="1500"/>
        <w:gridCol w:w="1500"/>
      </w:tblGrid>
      <w:tr>
        <w:trPr>
          <w:trHeight w:val="250"/>
        </w:trPr>
        <w:tc>
          <w:tcPr>
            <w:tcW w:w="60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8"/>
              <w:rPr>
                <w:rFonts w:ascii="Arial" w:eastAsia="Arial" w:hAnsi="Arial" w:cs="Arial"/>
                <w:b/>
                <w:noProof/>
                <w:color w:val="000000"/>
                <w:sz w:val="16"/>
              </w:rPr>
            </w:pP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
              <w:jc w:val="center"/>
              <w:rPr>
                <w:rFonts w:ascii="Arial" w:eastAsia="Arial" w:hAnsi="Arial" w:cs="Arial"/>
                <w:b/>
                <w:noProof/>
                <w:color w:val="000000"/>
                <w:sz w:val="16"/>
              </w:rPr>
            </w:pPr>
            <w:r>
              <w:rPr>
                <w:rFonts w:ascii="Arial" w:hAnsi="Arial"/>
                <w:b/>
                <w:noProof/>
                <w:color w:val="000000"/>
                <w:sz w:val="16"/>
              </w:rPr>
              <w:t>Pastabos</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
              <w:jc w:val="right"/>
              <w:rPr>
                <w:rFonts w:ascii="Arial" w:eastAsia="Arial" w:hAnsi="Arial" w:cs="Arial"/>
                <w:b/>
                <w:noProof/>
                <w:color w:val="000000"/>
                <w:sz w:val="16"/>
              </w:rPr>
            </w:pPr>
            <w:r>
              <w:rPr>
                <w:rFonts w:ascii="Arial" w:hAnsi="Arial"/>
                <w:b/>
                <w:noProof/>
                <w:color w:val="000000"/>
                <w:sz w:val="16"/>
              </w:rPr>
              <w:t>2019 12 31</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
              <w:jc w:val="right"/>
              <w:rPr>
                <w:rFonts w:ascii="Arial" w:eastAsia="Arial" w:hAnsi="Arial" w:cs="Arial"/>
                <w:b/>
                <w:noProof/>
                <w:color w:val="000000"/>
                <w:sz w:val="16"/>
              </w:rPr>
            </w:pPr>
            <w:r>
              <w:rPr>
                <w:rFonts w:ascii="Arial" w:hAnsi="Arial"/>
                <w:b/>
                <w:noProof/>
                <w:color w:val="000000"/>
                <w:sz w:val="16"/>
              </w:rPr>
              <w:t>2018 12 31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noProof/>
                <w:color w:val="000000"/>
                <w:sz w:val="16"/>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b/>
                <w:noProof/>
                <w:color w:val="000000"/>
                <w:sz w:val="16"/>
              </w:rPr>
            </w:pPr>
            <w:r>
              <w:rPr>
                <w:rFonts w:ascii="Arial" w:hAnsi="Arial"/>
                <w:b/>
                <w:noProof/>
                <w:color w:val="000000"/>
                <w:sz w:val="16"/>
              </w:rPr>
              <w:t>TURTAS</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8"/>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Pinigai ir pinigų ekvivalentai</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837 777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573 708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Iš įnašų mokėtojų gautinos sumos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9/17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86 330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100 000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Iždo finansinis turtas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330 587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335 140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Išvestinės finansinės priemonės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14 184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9 873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Paskolos ir išankstiniai mokėjimai</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1 518 675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1 540 991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Akcijos ir kiti kintamo pelningumo vertybiniai popieriai</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619 928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567 292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Kitas turtas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11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171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FFFFFF" w:fill="C0C0C0"/>
            <w:tcMar>
              <w:left w:w="40" w:type="dxa"/>
              <w:right w:w="40" w:type="dxa"/>
            </w:tcMar>
            <w:vAlign w:val="center"/>
          </w:tcPr>
          <w:p>
            <w:pPr>
              <w:pStyle w:val="Normal8"/>
              <w:rPr>
                <w:rFonts w:ascii="Arial" w:eastAsia="Arial" w:hAnsi="Arial" w:cs="Arial"/>
                <w:b/>
                <w:noProof/>
                <w:color w:val="000000"/>
                <w:sz w:val="16"/>
              </w:rPr>
            </w:pPr>
            <w:r>
              <w:rPr>
                <w:rFonts w:ascii="Arial" w:hAnsi="Arial"/>
                <w:b/>
                <w:noProof/>
                <w:color w:val="000000"/>
                <w:sz w:val="16"/>
              </w:rPr>
              <w:t>Iš viso turto</w:t>
            </w:r>
          </w:p>
        </w:tc>
        <w:tc>
          <w:tcPr>
            <w:tcW w:w="975" w:type="dxa"/>
            <w:tcBorders>
              <w:top w:val="nil"/>
              <w:left w:val="nil"/>
              <w:bottom w:val="nil"/>
              <w:right w:val="nil"/>
              <w:tl2br w:val="nil"/>
              <w:tr2bl w:val="nil"/>
            </w:tcBorders>
            <w:shd w:val="clear" w:color="FFFFFF" w:fill="C0C0C0"/>
            <w:noWrap/>
            <w:tcMar>
              <w:left w:w="40" w:type="dxa"/>
              <w:right w:w="40" w:type="dxa"/>
            </w:tcMar>
            <w:vAlign w:val="center"/>
          </w:tcPr>
          <w:p>
            <w:pPr>
              <w:pStyle w:val="Normal8"/>
              <w:jc w:val="center"/>
              <w:rPr>
                <w:rFonts w:ascii="Arial" w:eastAsia="Arial" w:hAnsi="Arial" w:cs="Arial"/>
                <w:b/>
                <w:noProof/>
                <w:color w:val="000000"/>
                <w:sz w:val="16"/>
              </w:rPr>
            </w:pPr>
            <w:r>
              <w:rPr>
                <w:rFonts w:ascii="Arial" w:hAnsi="Arial"/>
                <w:b/>
                <w:noProof/>
                <w:color w:val="000000"/>
                <w:sz w:val="16"/>
              </w:rPr>
              <w:t xml:space="preserve">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
              <w:jc w:val="right"/>
              <w:rPr>
                <w:rFonts w:ascii="Arial" w:eastAsia="Arial" w:hAnsi="Arial" w:cs="Arial"/>
                <w:b/>
                <w:noProof/>
                <w:color w:val="000000"/>
                <w:sz w:val="16"/>
              </w:rPr>
            </w:pPr>
            <w:r>
              <w:rPr>
                <w:rFonts w:ascii="Arial" w:hAnsi="Arial"/>
                <w:b/>
                <w:noProof/>
                <w:color w:val="000000"/>
                <w:sz w:val="16"/>
              </w:rPr>
              <w:t>3 407 481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
              <w:jc w:val="right"/>
              <w:rPr>
                <w:rFonts w:ascii="Arial" w:eastAsia="Arial" w:hAnsi="Arial" w:cs="Arial"/>
                <w:b/>
                <w:noProof/>
                <w:color w:val="000000"/>
                <w:sz w:val="16"/>
              </w:rPr>
            </w:pPr>
            <w:r>
              <w:rPr>
                <w:rFonts w:ascii="Arial" w:hAnsi="Arial"/>
                <w:b/>
                <w:noProof/>
                <w:color w:val="000000"/>
                <w:sz w:val="16"/>
              </w:rPr>
              <w:t>3 127 175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b/>
                <w:noProof/>
                <w:color w:val="000000"/>
                <w:sz w:val="16"/>
              </w:rPr>
            </w:pPr>
            <w:r>
              <w:rPr>
                <w:rFonts w:ascii="Arial" w:hAnsi="Arial"/>
                <w:b/>
                <w:noProof/>
                <w:color w:val="000000"/>
                <w:sz w:val="16"/>
              </w:rPr>
              <w:t>ĮSIPAREIGOJIMAI IR ĮNAŠŲ MOKĖTOJŲ IŠTEKLIAI</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b/>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b/>
                <w:noProof/>
                <w:color w:val="000000"/>
                <w:sz w:val="16"/>
              </w:rPr>
            </w:pPr>
            <w:r>
              <w:rPr>
                <w:rFonts w:ascii="Arial" w:hAnsi="Arial"/>
                <w:b/>
                <w:noProof/>
                <w:color w:val="000000"/>
                <w:sz w:val="16"/>
              </w:rPr>
              <w:t>ĮSIPAREIGOJIMAI</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Išvestinės finansinės priemonės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191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8 493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Būsimojo laikotarpio pajamos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12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32 566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33 764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Atidėjiniai suteiktoms garantijoms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628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793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Atidėjiniai kreditavimo įsipareigojimams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37 269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23 822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Trečiosioms šalims mokėtina suma</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147 438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143 813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Kiti įsipareigojimai</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16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2 353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2 493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b/>
                <w:noProof/>
                <w:color w:val="000000"/>
                <w:sz w:val="16"/>
              </w:rPr>
            </w:pPr>
            <w:r>
              <w:rPr>
                <w:rFonts w:ascii="Arial" w:hAnsi="Arial"/>
                <w:b/>
                <w:noProof/>
                <w:color w:val="000000"/>
                <w:sz w:val="16"/>
              </w:rPr>
              <w:t>Iš viso įsipareigojimų</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b/>
                <w:noProof/>
                <w:color w:val="000000"/>
                <w:sz w:val="16"/>
              </w:rPr>
            </w:pP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
              <w:jc w:val="right"/>
              <w:rPr>
                <w:rFonts w:ascii="Arial" w:eastAsia="Arial" w:hAnsi="Arial" w:cs="Arial"/>
                <w:b/>
                <w:noProof/>
                <w:color w:val="000000"/>
                <w:sz w:val="16"/>
              </w:rPr>
            </w:pPr>
            <w:r>
              <w:rPr>
                <w:rFonts w:ascii="Arial" w:hAnsi="Arial"/>
                <w:b/>
                <w:noProof/>
                <w:color w:val="000000"/>
                <w:sz w:val="16"/>
              </w:rPr>
              <w:t>220 445</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
              <w:jc w:val="right"/>
              <w:rPr>
                <w:rFonts w:ascii="Arial" w:eastAsia="Arial" w:hAnsi="Arial" w:cs="Arial"/>
                <w:b/>
                <w:noProof/>
                <w:color w:val="000000"/>
                <w:sz w:val="16"/>
              </w:rPr>
            </w:pPr>
            <w:r>
              <w:rPr>
                <w:rFonts w:ascii="Arial" w:hAnsi="Arial"/>
                <w:b/>
                <w:noProof/>
                <w:color w:val="000000"/>
                <w:sz w:val="16"/>
              </w:rPr>
              <w:t>213 178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b/>
                <w:noProof/>
                <w:color w:val="000000"/>
                <w:sz w:val="16"/>
              </w:rPr>
            </w:pPr>
            <w:r>
              <w:rPr>
                <w:rFonts w:ascii="Arial" w:hAnsi="Arial"/>
                <w:b/>
                <w:noProof/>
                <w:color w:val="000000"/>
                <w:sz w:val="16"/>
              </w:rPr>
              <w:t>ĮNAŠŲ MOKĖTOJŲ IŠTEKLIAI</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Pareikalautas valstybių narių įnašas į priemonę</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2 967 000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2 697 000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Nepaskirstytasis pelnas</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220 036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216 997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b/>
                <w:noProof/>
                <w:color w:val="000000"/>
                <w:sz w:val="16"/>
              </w:rPr>
            </w:pPr>
            <w:r>
              <w:rPr>
                <w:rFonts w:ascii="Arial" w:hAnsi="Arial"/>
                <w:b/>
                <w:noProof/>
                <w:color w:val="000000"/>
                <w:sz w:val="16"/>
              </w:rPr>
              <w:t>Iš viso įnašų mokėtojų išteklių</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b/>
                <w:noProof/>
                <w:color w:val="000000"/>
                <w:sz w:val="16"/>
              </w:rPr>
            </w:pP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
              <w:jc w:val="right"/>
              <w:rPr>
                <w:rFonts w:ascii="Arial" w:eastAsia="Arial" w:hAnsi="Arial" w:cs="Arial"/>
                <w:b/>
                <w:noProof/>
                <w:color w:val="000000"/>
                <w:sz w:val="16"/>
              </w:rPr>
            </w:pPr>
            <w:r>
              <w:rPr>
                <w:rFonts w:ascii="Arial" w:hAnsi="Arial"/>
                <w:b/>
                <w:noProof/>
                <w:color w:val="000000"/>
                <w:sz w:val="16"/>
              </w:rPr>
              <w:t>3 187 036</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
              <w:jc w:val="right"/>
              <w:rPr>
                <w:rFonts w:ascii="Arial" w:eastAsia="Arial" w:hAnsi="Arial" w:cs="Arial"/>
                <w:b/>
                <w:noProof/>
                <w:color w:val="000000"/>
                <w:sz w:val="16"/>
              </w:rPr>
            </w:pPr>
            <w:r>
              <w:rPr>
                <w:rFonts w:ascii="Arial" w:hAnsi="Arial"/>
                <w:b/>
                <w:noProof/>
                <w:color w:val="000000"/>
                <w:sz w:val="16"/>
              </w:rPr>
              <w:t>2 913 997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FFFFFF" w:fill="C0C0C0"/>
            <w:tcMar>
              <w:left w:w="40" w:type="dxa"/>
              <w:right w:w="40" w:type="dxa"/>
            </w:tcMar>
            <w:vAlign w:val="center"/>
          </w:tcPr>
          <w:p>
            <w:pPr>
              <w:pStyle w:val="Normal8"/>
              <w:rPr>
                <w:rFonts w:ascii="Arial" w:eastAsia="Arial" w:hAnsi="Arial" w:cs="Arial"/>
                <w:b/>
                <w:noProof/>
                <w:color w:val="000000"/>
                <w:sz w:val="16"/>
              </w:rPr>
            </w:pPr>
            <w:r>
              <w:rPr>
                <w:rFonts w:ascii="Arial" w:hAnsi="Arial"/>
                <w:b/>
                <w:noProof/>
                <w:color w:val="000000"/>
                <w:sz w:val="16"/>
              </w:rPr>
              <w:t>Iš viso įsipareigojimų ir įnašų mokėtojų išteklių</w:t>
            </w:r>
          </w:p>
        </w:tc>
        <w:tc>
          <w:tcPr>
            <w:tcW w:w="975" w:type="dxa"/>
            <w:tcBorders>
              <w:top w:val="nil"/>
              <w:left w:val="nil"/>
              <w:bottom w:val="nil"/>
              <w:right w:val="nil"/>
              <w:tl2br w:val="nil"/>
              <w:tr2bl w:val="nil"/>
            </w:tcBorders>
            <w:shd w:val="clear" w:color="FFFFFF" w:fill="C0C0C0"/>
            <w:tcMar>
              <w:left w:w="0" w:type="dxa"/>
              <w:right w:w="0" w:type="dxa"/>
            </w:tcMar>
            <w:vAlign w:val="center"/>
          </w:tcPr>
          <w:p>
            <w:pPr>
              <w:pStyle w:val="Normal8"/>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
              <w:jc w:val="right"/>
              <w:rPr>
                <w:rFonts w:ascii="Arial" w:eastAsia="Arial" w:hAnsi="Arial" w:cs="Arial"/>
                <w:b/>
                <w:noProof/>
                <w:color w:val="000000"/>
                <w:sz w:val="16"/>
              </w:rPr>
            </w:pPr>
            <w:r>
              <w:rPr>
                <w:rFonts w:ascii="Arial" w:hAnsi="Arial"/>
                <w:b/>
                <w:noProof/>
                <w:color w:val="000000"/>
                <w:sz w:val="16"/>
              </w:rPr>
              <w:t>3 407 481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
              <w:jc w:val="right"/>
              <w:rPr>
                <w:rFonts w:ascii="Arial" w:eastAsia="Arial" w:hAnsi="Arial" w:cs="Arial"/>
                <w:b/>
                <w:noProof/>
                <w:color w:val="000000"/>
                <w:sz w:val="16"/>
              </w:rPr>
            </w:pPr>
            <w:r>
              <w:rPr>
                <w:rFonts w:ascii="Arial" w:hAnsi="Arial"/>
                <w:b/>
                <w:noProof/>
                <w:color w:val="000000"/>
                <w:sz w:val="16"/>
              </w:rPr>
              <w:t>3 127 175</w:t>
            </w:r>
          </w:p>
        </w:tc>
      </w:tr>
    </w:tbl>
    <w:p>
      <w:pPr>
        <w:pageBreakBefore/>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 xml:space="preserve">PELNO ARBA NUOSTOLIŲ IR KITŲ BENDRŲJŲ PAJAMŲ ATASKAITA </w:t>
      </w:r>
    </w:p>
    <w:p>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2019 M. GRUODŽIO 31 D. PASIBAIGĘ metai</w:t>
      </w:r>
    </w:p>
    <w:p>
      <w:pPr>
        <w:pBdr>
          <w:top w:val="nil"/>
          <w:left w:val="nil"/>
          <w:bottom w:val="nil"/>
          <w:right w:val="nil"/>
          <w:between w:val="nil"/>
          <w:bar w:val="nil"/>
        </w:pBdr>
        <w:spacing w:before="60" w:after="60"/>
        <w:jc w:val="center"/>
        <w:rPr>
          <w:rFonts w:ascii="Arial" w:hAnsi="Arial"/>
          <w:noProof/>
          <w:sz w:val="16"/>
          <w:szCs w:val="16"/>
          <w:bdr w:val="nil"/>
        </w:rPr>
      </w:pPr>
      <w:r>
        <w:rPr>
          <w:rFonts w:ascii="Arial" w:hAnsi="Arial"/>
          <w:noProof/>
          <w:sz w:val="16"/>
          <w:szCs w:val="16"/>
          <w:bdr w:val="nil"/>
        </w:rPr>
        <w:t>(tūkst. EUR)</w:t>
      </w:r>
    </w:p>
    <w:p>
      <w:pPr>
        <w:pBdr>
          <w:top w:val="nil"/>
          <w:left w:val="nil"/>
          <w:bottom w:val="nil"/>
          <w:right w:val="nil"/>
          <w:between w:val="nil"/>
          <w:bar w:val="nil"/>
        </w:pBdr>
        <w:spacing w:before="60" w:after="60"/>
        <w:rPr>
          <w:rFonts w:ascii="Arial" w:hAnsi="Arial"/>
          <w:noProof/>
          <w:sz w:val="16"/>
          <w:szCs w:val="16"/>
          <w:bdr w:val="nil"/>
        </w:rPr>
      </w:pPr>
      <w:r>
        <w:rPr>
          <w:noProof/>
        </w:rPr>
        <w:t xml:space="preserve"> </w:t>
      </w:r>
    </w:p>
    <w:tbl>
      <w:tblPr>
        <w:tblStyle w:val="CDMRange2"/>
        <w:tblW w:w="9975" w:type="dxa"/>
        <w:tblLayout w:type="fixed"/>
        <w:tblLook w:val="0600" w:firstRow="0" w:lastRow="0" w:firstColumn="0" w:lastColumn="0" w:noHBand="1" w:noVBand="1"/>
      </w:tblPr>
      <w:tblGrid>
        <w:gridCol w:w="6000"/>
        <w:gridCol w:w="975"/>
        <w:gridCol w:w="1500"/>
        <w:gridCol w:w="1500"/>
      </w:tblGrid>
      <w:tr>
        <w:trPr>
          <w:trHeight w:val="260"/>
        </w:trPr>
        <w:tc>
          <w:tcPr>
            <w:tcW w:w="60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vMerge w:val="restart"/>
            <w:tcBorders>
              <w:top w:val="single" w:sz="4" w:space="0" w:color="000000"/>
              <w:left w:val="nil"/>
              <w:right w:val="nil"/>
              <w:tl2br w:val="nil"/>
              <w:tr2bl w:val="nil"/>
            </w:tcBorders>
            <w:shd w:val="clear" w:color="auto" w:fill="auto"/>
            <w:tcMar>
              <w:left w:w="40" w:type="dxa"/>
              <w:right w:w="40" w:type="dxa"/>
            </w:tcMar>
            <w:vAlign w:val="center"/>
          </w:tcPr>
          <w:p>
            <w:pPr>
              <w:pStyle w:val="Normal73"/>
              <w:jc w:val="center"/>
              <w:rPr>
                <w:rFonts w:ascii="Arial" w:eastAsia="Arial" w:hAnsi="Arial" w:cs="Arial"/>
                <w:b/>
                <w:noProof/>
                <w:color w:val="000000"/>
                <w:sz w:val="16"/>
              </w:rPr>
            </w:pPr>
            <w:r>
              <w:rPr>
                <w:rFonts w:ascii="Arial" w:hAnsi="Arial"/>
                <w:b/>
                <w:noProof/>
                <w:color w:val="000000"/>
                <w:sz w:val="16"/>
              </w:rPr>
              <w:t>Pastabos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Nuo 2019 01 01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Nuo 2018 01 01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vMerge/>
            <w:tcBorders>
              <w:left w:val="nil"/>
              <w:bottom w:val="single" w:sz="4" w:space="0" w:color="000000"/>
              <w:right w:val="nil"/>
              <w:tl2br w:val="nil"/>
              <w:tr2bl w:val="nil"/>
            </w:tcBorders>
            <w:shd w:val="clear" w:color="auto" w:fill="auto"/>
            <w:tcMar>
              <w:left w:w="0" w:type="dxa"/>
              <w:right w:w="0" w:type="dxa"/>
            </w:tcMar>
            <w:vAlign w:val="center"/>
          </w:tcPr>
          <w:p>
            <w:pPr>
              <w:pStyle w:val="Normal73"/>
              <w:jc w:val="center"/>
              <w:rPr>
                <w:rFonts w:ascii="Arial" w:eastAsia="Arial" w:hAnsi="Arial" w:cs="Arial"/>
                <w:b/>
                <w:noProof/>
                <w:color w:val="000000"/>
                <w:sz w:val="16"/>
              </w:rPr>
            </w:pP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iki 2019 12 31</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iki 2018 12 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Palūkanos ir panašios pajamos*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r>
              <w:rPr>
                <w:rFonts w:ascii="Arial" w:hAnsi="Arial"/>
                <w:noProof/>
                <w:color w:val="000000"/>
                <w:sz w:val="16"/>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93 923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96 730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Palūkanos ir panašios išlaidos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r>
              <w:rPr>
                <w:rFonts w:ascii="Arial" w:hAnsi="Arial"/>
                <w:noProof/>
                <w:color w:val="000000"/>
                <w:sz w:val="16"/>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−2 948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−2 539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Grynosios palūkanos ir panašios pajamos</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90 975</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94 191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jc w:val="right"/>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Mokesčių ir komisinių pajamos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r>
              <w:rPr>
                <w:rFonts w:ascii="Arial" w:hAnsi="Arial"/>
                <w:noProof/>
                <w:color w:val="000000"/>
                <w:sz w:val="16"/>
              </w:rPr>
              <w:t>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4 438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284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Mokesčių ir komisinių išlaidos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r>
              <w:rPr>
                <w:rFonts w:ascii="Arial" w:hAnsi="Arial"/>
                <w:noProof/>
                <w:color w:val="000000"/>
                <w:sz w:val="16"/>
              </w:rPr>
              <w:t>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−721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−106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Grynosios mokesčių ir komisinių pajamos</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3 717</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178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jc w:val="right"/>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 xml:space="preserve">Išvestinių finansinių priemonių tikrosios vertės pokytis </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12 611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−9 987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Akcijų ir kitų kintamo pelningumo vertybinių popierių grynasis rezultatas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szCs w:val="16"/>
              </w:rPr>
            </w:pPr>
            <w:r>
              <w:rPr>
                <w:rFonts w:ascii="Arial" w:hAnsi="Arial"/>
                <w:noProof/>
                <w:color w:val="000000"/>
                <w:sz w:val="16"/>
                <w:szCs w:val="16"/>
              </w:rPr>
              <w:t>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9 904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−10 179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Paskolų ir išankstinių mokėjimų, vertinamų tikrąja verte, kurios pokyčiai pripažįstami pelnu arba nuostoliais, grynasis rezultatas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szCs w:val="16"/>
              </w:rPr>
            </w:pPr>
            <w:r>
              <w:rPr>
                <w:rFonts w:ascii="Arial" w:hAnsi="Arial"/>
                <w:noProof/>
                <w:color w:val="000000"/>
                <w:sz w:val="16"/>
                <w:szCs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−8 331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−702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Grynasis paskolų pardavimo rezultatas</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jc w:val="center"/>
              <w:rPr>
                <w:noProof/>
                <w:color w:val="000000"/>
                <w:sz w:val="16"/>
                <w:szCs w:val="16"/>
              </w:rPr>
            </w:pPr>
            <w:r>
              <w:rPr>
                <w:rFonts w:ascii="Arial" w:hAnsi="Arial"/>
                <w:noProof/>
                <w:color w:val="000000"/>
                <w:sz w:val="16"/>
                <w:szCs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2 064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Grynasis užsienio valiutos keitimo nuostolis</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−61 998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−32 436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Grynasis finansinių operacijų rezultatas</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−45 750</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−53 304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pStyle w:val="Normal73"/>
              <w:rPr>
                <w:rFonts w:ascii="Arial" w:eastAsia="Arial" w:hAnsi="Arial" w:cs="Arial"/>
                <w:noProof/>
                <w:color w:val="000000"/>
                <w:sz w:val="20"/>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jc w:val="right"/>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Paskolų ir išankstinių mokėjimų vertės sumažėjimo pokytis, atėmus atkūrimą</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r>
              <w:rPr>
                <w:rFonts w:ascii="Arial" w:hAnsi="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17 243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−22 771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Atidėjinių suteiktoms garantijoms pokytis, atėmus atkūrimą</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r>
              <w:rPr>
                <w:rFonts w:ascii="Arial" w:hAnsi="Arial"/>
                <w:noProof/>
                <w:color w:val="000000"/>
                <w:sz w:val="16"/>
              </w:rPr>
              <w:t>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107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−485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Atidėjinių kreditavimo įsipareigojimams pokytis, atėmus atkūrimą</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r>
              <w:rPr>
                <w:rFonts w:ascii="Arial" w:hAnsi="Arial"/>
                <w:noProof/>
                <w:color w:val="000000"/>
                <w:sz w:val="16"/>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−13 244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−19 612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Bendrosios administracinės išlaidos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r>
              <w:rPr>
                <w:rFonts w:ascii="Arial" w:hAnsi="Arial"/>
                <w:noProof/>
                <w:color w:val="000000"/>
                <w:sz w:val="16"/>
              </w:rPr>
              <w:t>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−50 009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−47 799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3"/>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FFFFFF" w:fill="C0C0C0"/>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Mokestinių metų pelnas (nuostoliai)</w:t>
            </w:r>
          </w:p>
        </w:tc>
        <w:tc>
          <w:tcPr>
            <w:tcW w:w="975" w:type="dxa"/>
            <w:tcBorders>
              <w:top w:val="nil"/>
              <w:left w:val="nil"/>
              <w:bottom w:val="nil"/>
              <w:right w:val="nil"/>
              <w:tl2br w:val="nil"/>
              <w:tr2bl w:val="nil"/>
            </w:tcBorders>
            <w:shd w:val="clear" w:color="FFFFFF" w:fill="C0C0C0"/>
            <w:tcMar>
              <w:left w:w="0" w:type="dxa"/>
              <w:right w:w="0" w:type="dxa"/>
            </w:tcMar>
            <w:vAlign w:val="center"/>
          </w:tcPr>
          <w:p>
            <w:pPr>
              <w:pStyle w:val="Normal73"/>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3 039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−49 602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r>
              <w:rPr>
                <w:rFonts w:ascii="Arial" w:hAnsi="Arial"/>
                <w:b/>
                <w:noProof/>
                <w:color w:val="000000"/>
                <w:sz w:val="16"/>
              </w:rPr>
              <w:t xml:space="preserve"> Kitos bendrosios pajamos</w:t>
            </w: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pStyle w:val="Normal73"/>
              <w:rPr>
                <w:rFonts w:ascii="Arial" w:eastAsia="Arial" w:hAnsi="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73"/>
              <w:ind w:right="48"/>
              <w:jc w:val="right"/>
              <w:rPr>
                <w:rFonts w:ascii="Arial" w:eastAsia="Arial" w:hAnsi="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73"/>
              <w:ind w:right="57"/>
              <w:jc w:val="right"/>
              <w:rPr>
                <w:rFonts w:ascii="Arial" w:eastAsia="Arial" w:hAnsi="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pStyle w:val="Normal73"/>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73"/>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73"/>
              <w:ind w:right="57"/>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Visos bendrosios pajamos (nuostoliai) per metus</w:t>
            </w:r>
          </w:p>
        </w:tc>
        <w:tc>
          <w:tcPr>
            <w:tcW w:w="975" w:type="dxa"/>
            <w:tcBorders>
              <w:top w:val="nil"/>
              <w:left w:val="nil"/>
              <w:bottom w:val="nil"/>
              <w:right w:val="nil"/>
              <w:tl2br w:val="nil"/>
              <w:tr2bl w:val="nil"/>
            </w:tcBorders>
            <w:shd w:val="clear" w:color="FFFFFF" w:fill="C0C0C0"/>
            <w:tcMar>
              <w:left w:w="0" w:type="dxa"/>
              <w:right w:w="0" w:type="dxa"/>
            </w:tcMar>
            <w:vAlign w:val="center"/>
          </w:tcPr>
          <w:p>
            <w:pPr>
              <w:pStyle w:val="Normal73"/>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3 039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−49 602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9975" w:type="dxa"/>
            <w:gridSpan w:val="4"/>
            <w:tcBorders>
              <w:top w:val="nil"/>
              <w:left w:val="nil"/>
              <w:bottom w:val="nil"/>
              <w:right w:val="nil"/>
              <w:tl2br w:val="nil"/>
              <w:tr2bl w:val="nil"/>
            </w:tcBorders>
            <w:shd w:val="clear" w:color="auto" w:fill="auto"/>
            <w:tcMar>
              <w:left w:w="40" w:type="dxa"/>
              <w:right w:w="40" w:type="dxa"/>
            </w:tcMar>
            <w:vAlign w:val="bottom"/>
          </w:tcPr>
          <w:p>
            <w:pPr>
              <w:pStyle w:val="Normal73"/>
              <w:jc w:val="both"/>
              <w:rPr>
                <w:rFonts w:ascii="Arial" w:eastAsia="Arial" w:hAnsi="Arial" w:cs="Arial"/>
                <w:noProof/>
                <w:color w:val="000000"/>
                <w:sz w:val="16"/>
              </w:rPr>
            </w:pPr>
            <w:r>
              <w:rPr>
                <w:rFonts w:ascii="Arial" w:hAnsi="Arial"/>
                <w:noProof/>
                <w:color w:val="000000"/>
                <w:sz w:val="16"/>
              </w:rPr>
              <w:t xml:space="preserve">* 2019 m. gruodžio 31 d. pasibaigusiais metais palūkanos ir panašios pajamos sudarė 93,9 mln. EUR (2018 m. – 96,7 mln. EUR), apskaičiuotus pagal turtą amortizuota savikaina, taikant faktinių palūkanų metodą. </w:t>
            </w:r>
          </w:p>
        </w:tc>
      </w:tr>
    </w:tbl>
    <w:p>
      <w:pPr>
        <w:pageBreakBefore/>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ĮNAŠŲ MOKĖTOJŲ IŠTEKLIŲ POKYČIŲ ATASKAITA</w:t>
      </w:r>
    </w:p>
    <w:p>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2019 M. GRUODŽIO 31 D. PASIBAIGĘ METAI</w:t>
      </w:r>
    </w:p>
    <w:p>
      <w:pPr>
        <w:pStyle w:val="Header"/>
        <w:pBdr>
          <w:top w:val="nil"/>
          <w:left w:val="nil"/>
          <w:bottom w:val="nil"/>
          <w:right w:val="nil"/>
          <w:between w:val="nil"/>
          <w:bar w:val="nil"/>
        </w:pBdr>
        <w:spacing w:before="60" w:after="60"/>
        <w:jc w:val="center"/>
        <w:rPr>
          <w:rFonts w:ascii="Arial" w:hAnsi="Arial"/>
          <w:noProof/>
          <w:sz w:val="16"/>
          <w:szCs w:val="16"/>
          <w:bdr w:val="nil"/>
        </w:rPr>
      </w:pPr>
      <w:r>
        <w:rPr>
          <w:rFonts w:ascii="Arial" w:hAnsi="Arial"/>
          <w:noProof/>
          <w:sz w:val="16"/>
          <w:szCs w:val="16"/>
          <w:bdr w:val="nil"/>
        </w:rPr>
        <w:t>(tūkst. EUR)</w:t>
      </w:r>
    </w:p>
    <w:p>
      <w:pPr>
        <w:pBdr>
          <w:top w:val="nil"/>
          <w:left w:val="nil"/>
          <w:bottom w:val="nil"/>
          <w:right w:val="nil"/>
          <w:between w:val="nil"/>
          <w:bar w:val="nil"/>
        </w:pBdr>
        <w:rPr>
          <w:rFonts w:ascii="Arial" w:hAnsi="Arial"/>
          <w:noProof/>
          <w:sz w:val="16"/>
          <w:szCs w:val="16"/>
          <w:bdr w:val="nil"/>
        </w:rPr>
      </w:pPr>
      <w:r>
        <w:rPr>
          <w:noProof/>
        </w:rPr>
        <w:t xml:space="preserve"> </w:t>
      </w:r>
    </w:p>
    <w:tbl>
      <w:tblPr>
        <w:tblStyle w:val="CDMRange10"/>
        <w:tblW w:w="5000" w:type="pct"/>
        <w:tblLayout w:type="fixed"/>
        <w:tblLook w:val="0600" w:firstRow="0" w:lastRow="0" w:firstColumn="0" w:lastColumn="0" w:noHBand="1" w:noVBand="1"/>
      </w:tblPr>
      <w:tblGrid>
        <w:gridCol w:w="4758"/>
        <w:gridCol w:w="912"/>
        <w:gridCol w:w="1551"/>
        <w:gridCol w:w="1231"/>
        <w:gridCol w:w="1227"/>
      </w:tblGrid>
      <w:tr>
        <w:trPr>
          <w:trHeight w:val="420"/>
        </w:trPr>
        <w:tc>
          <w:tcPr>
            <w:tcW w:w="2458"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47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80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Pareikalautasis įnašas</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Nepaskirstytasis pelnas</w:t>
            </w:r>
          </w:p>
        </w:tc>
        <w:tc>
          <w:tcPr>
            <w:tcW w:w="63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 xml:space="preserve">Iš viso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rPr>
                <w:rFonts w:ascii="Arial" w:eastAsia="Arial" w:hAnsi="Arial" w:cs="Arial"/>
                <w:b/>
                <w:noProof/>
                <w:color w:val="000000"/>
                <w:sz w:val="16"/>
              </w:rPr>
            </w:pPr>
            <w:r>
              <w:rPr>
                <w:rFonts w:ascii="Arial" w:hAnsi="Arial"/>
                <w:b/>
                <w:noProof/>
                <w:color w:val="000000"/>
                <w:sz w:val="16"/>
              </w:rPr>
              <w:t>2019 m. sausio 1 d.</w:t>
            </w:r>
          </w:p>
        </w:tc>
        <w:tc>
          <w:tcPr>
            <w:tcW w:w="47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center"/>
              <w:rPr>
                <w:rFonts w:ascii="Arial" w:eastAsia="Arial" w:hAnsi="Arial" w:cs="Arial"/>
                <w:b/>
                <w:noProof/>
                <w:color w:val="000000"/>
                <w:sz w:val="16"/>
              </w:rPr>
            </w:pPr>
            <w:r>
              <w:rPr>
                <w:rFonts w:ascii="Arial" w:hAnsi="Arial"/>
                <w:b/>
                <w:noProof/>
                <w:color w:val="000000"/>
                <w:sz w:val="16"/>
              </w:rPr>
              <w:t>Pastabos</w:t>
            </w:r>
          </w:p>
        </w:tc>
        <w:tc>
          <w:tcPr>
            <w:tcW w:w="80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2 697 000</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216 997</w:t>
            </w:r>
          </w:p>
        </w:tc>
        <w:tc>
          <w:tcPr>
            <w:tcW w:w="63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2 913 997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471"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801"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4"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40" w:type="dxa"/>
              <w:right w:w="40" w:type="dxa"/>
            </w:tcMar>
            <w:vAlign w:val="bottom"/>
          </w:tcPr>
          <w:p>
            <w:pPr>
              <w:pStyle w:val="Normal74"/>
              <w:rPr>
                <w:rFonts w:ascii="Arial" w:eastAsia="Arial" w:hAnsi="Arial" w:cs="Arial"/>
                <w:noProof/>
                <w:color w:val="000000"/>
                <w:sz w:val="16"/>
              </w:rPr>
            </w:pPr>
            <w:r>
              <w:rPr>
                <w:rFonts w:ascii="Arial" w:hAnsi="Arial"/>
                <w:noProof/>
                <w:color w:val="000000"/>
                <w:sz w:val="16"/>
              </w:rPr>
              <w:t>Per metus pareikalauti valstybių narių įnašai</w:t>
            </w:r>
          </w:p>
        </w:tc>
        <w:tc>
          <w:tcPr>
            <w:tcW w:w="471" w:type="pct"/>
            <w:tcBorders>
              <w:top w:val="nil"/>
              <w:left w:val="nil"/>
              <w:bottom w:val="nil"/>
              <w:right w:val="nil"/>
              <w:tl2br w:val="nil"/>
              <w:tr2bl w:val="nil"/>
            </w:tcBorders>
            <w:shd w:val="clear" w:color="auto" w:fill="auto"/>
            <w:tcMar>
              <w:left w:w="40" w:type="dxa"/>
              <w:right w:w="40" w:type="dxa"/>
            </w:tcMar>
            <w:vAlign w:val="bottom"/>
          </w:tcPr>
          <w:p>
            <w:pPr>
              <w:pStyle w:val="Normal74"/>
              <w:jc w:val="center"/>
              <w:rPr>
                <w:rFonts w:ascii="Arial" w:eastAsia="Arial" w:hAnsi="Arial" w:cs="Arial"/>
                <w:noProof/>
                <w:color w:val="000000"/>
                <w:sz w:val="16"/>
              </w:rPr>
            </w:pPr>
            <w:r>
              <w:rPr>
                <w:rFonts w:ascii="Arial" w:hAnsi="Arial"/>
                <w:noProof/>
                <w:color w:val="000000"/>
                <w:sz w:val="16"/>
              </w:rPr>
              <w:t>17</w:t>
            </w:r>
          </w:p>
        </w:tc>
        <w:tc>
          <w:tcPr>
            <w:tcW w:w="801" w:type="pct"/>
            <w:tcBorders>
              <w:top w:val="nil"/>
              <w:left w:val="nil"/>
              <w:bottom w:val="nil"/>
              <w:right w:val="nil"/>
              <w:tl2br w:val="nil"/>
              <w:tr2bl w:val="nil"/>
            </w:tcBorders>
            <w:shd w:val="clear" w:color="auto" w:fill="auto"/>
            <w:tcMar>
              <w:left w:w="40" w:type="dxa"/>
              <w:right w:w="40" w:type="dxa"/>
            </w:tcMar>
            <w:vAlign w:val="bottom"/>
          </w:tcPr>
          <w:p>
            <w:pPr>
              <w:pStyle w:val="Normal74"/>
              <w:jc w:val="right"/>
              <w:rPr>
                <w:rFonts w:ascii="Arial" w:eastAsia="Arial" w:hAnsi="Arial" w:cs="Arial"/>
                <w:noProof/>
                <w:color w:val="000000"/>
                <w:sz w:val="16"/>
              </w:rPr>
            </w:pPr>
            <w:r>
              <w:rPr>
                <w:rFonts w:ascii="Arial" w:hAnsi="Arial"/>
                <w:noProof/>
                <w:color w:val="000000"/>
                <w:sz w:val="16"/>
              </w:rPr>
              <w:t>270 000</w:t>
            </w:r>
          </w:p>
        </w:tc>
        <w:tc>
          <w:tcPr>
            <w:tcW w:w="636" w:type="pct"/>
            <w:tcBorders>
              <w:top w:val="nil"/>
              <w:left w:val="nil"/>
              <w:bottom w:val="nil"/>
              <w:right w:val="nil"/>
              <w:tl2br w:val="nil"/>
              <w:tr2bl w:val="nil"/>
            </w:tcBorders>
            <w:shd w:val="clear" w:color="auto" w:fill="auto"/>
            <w:tcMar>
              <w:left w:w="40" w:type="dxa"/>
              <w:right w:w="40" w:type="dxa"/>
            </w:tcMar>
            <w:vAlign w:val="bottom"/>
          </w:tcPr>
          <w:p>
            <w:pPr>
              <w:pStyle w:val="Normal74"/>
              <w:jc w:val="right"/>
              <w:rPr>
                <w:rFonts w:ascii="Arial" w:eastAsia="Arial" w:hAnsi="Arial" w:cs="Arial"/>
                <w:noProof/>
                <w:color w:val="000000"/>
                <w:sz w:val="16"/>
              </w:rPr>
            </w:pPr>
            <w:r>
              <w:rPr>
                <w:rFonts w:ascii="Arial" w:hAnsi="Arial"/>
                <w:noProof/>
                <w:color w:val="000000"/>
                <w:sz w:val="16"/>
              </w:rPr>
              <w:t>-</w:t>
            </w:r>
          </w:p>
        </w:tc>
        <w:tc>
          <w:tcPr>
            <w:tcW w:w="634" w:type="pct"/>
            <w:tcBorders>
              <w:top w:val="nil"/>
              <w:left w:val="nil"/>
              <w:bottom w:val="nil"/>
              <w:right w:val="nil"/>
              <w:tl2br w:val="nil"/>
              <w:tr2bl w:val="nil"/>
            </w:tcBorders>
            <w:shd w:val="clear" w:color="auto" w:fill="auto"/>
            <w:tcMar>
              <w:left w:w="40" w:type="dxa"/>
              <w:right w:w="40" w:type="dxa"/>
            </w:tcMar>
            <w:vAlign w:val="bottom"/>
          </w:tcPr>
          <w:p>
            <w:pPr>
              <w:pStyle w:val="Normal74"/>
              <w:jc w:val="right"/>
              <w:rPr>
                <w:rFonts w:ascii="Arial" w:eastAsia="Arial" w:hAnsi="Arial" w:cs="Arial"/>
                <w:noProof/>
                <w:color w:val="000000"/>
                <w:sz w:val="16"/>
              </w:rPr>
            </w:pPr>
            <w:r>
              <w:rPr>
                <w:rFonts w:ascii="Arial" w:hAnsi="Arial"/>
                <w:noProof/>
                <w:color w:val="000000"/>
                <w:sz w:val="16"/>
              </w:rPr>
              <w:t>270 000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471"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801" w:type="pct"/>
            <w:tcBorders>
              <w:top w:val="nil"/>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4" w:type="pct"/>
            <w:tcBorders>
              <w:top w:val="nil"/>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hAnsi="Arial"/>
                <w:noProof/>
                <w:color w:val="000000"/>
                <w:sz w:val="16"/>
              </w:rPr>
              <w:t>2019 m. pelnas</w:t>
            </w:r>
          </w:p>
        </w:tc>
        <w:tc>
          <w:tcPr>
            <w:tcW w:w="471"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801"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w:t>
            </w:r>
          </w:p>
        </w:tc>
        <w:tc>
          <w:tcPr>
            <w:tcW w:w="636"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3 039</w:t>
            </w:r>
          </w:p>
        </w:tc>
        <w:tc>
          <w:tcPr>
            <w:tcW w:w="634"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3 039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471"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801"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6"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4"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b/>
                <w:noProof/>
                <w:color w:val="000000"/>
                <w:sz w:val="16"/>
              </w:rPr>
            </w:pPr>
            <w:r>
              <w:rPr>
                <w:rFonts w:ascii="Arial" w:hAnsi="Arial"/>
                <w:b/>
                <w:noProof/>
                <w:color w:val="000000"/>
                <w:sz w:val="16"/>
              </w:rPr>
              <w:t>Įnašų mokėtojų išteklių pokyčiai</w:t>
            </w:r>
          </w:p>
        </w:tc>
        <w:tc>
          <w:tcPr>
            <w:tcW w:w="471"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b/>
                <w:noProof/>
                <w:color w:val="000000"/>
                <w:sz w:val="16"/>
              </w:rPr>
            </w:pPr>
          </w:p>
        </w:tc>
        <w:tc>
          <w:tcPr>
            <w:tcW w:w="80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270 000</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3 039</w:t>
            </w:r>
          </w:p>
        </w:tc>
        <w:tc>
          <w:tcPr>
            <w:tcW w:w="63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273 039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471"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801"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4"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FFFFFF" w:fill="BFBFBF"/>
            <w:tcMar>
              <w:left w:w="40" w:type="dxa"/>
              <w:right w:w="40" w:type="dxa"/>
            </w:tcMar>
            <w:vAlign w:val="center"/>
          </w:tcPr>
          <w:p>
            <w:pPr>
              <w:pStyle w:val="Normal74"/>
              <w:rPr>
                <w:rFonts w:ascii="Arial" w:eastAsia="Arial" w:hAnsi="Arial" w:cs="Arial"/>
                <w:b/>
                <w:noProof/>
                <w:color w:val="000000"/>
                <w:sz w:val="16"/>
              </w:rPr>
            </w:pPr>
            <w:r>
              <w:rPr>
                <w:rFonts w:ascii="Arial" w:hAnsi="Arial"/>
                <w:b/>
                <w:noProof/>
                <w:color w:val="000000"/>
                <w:sz w:val="16"/>
              </w:rPr>
              <w:t>2019 m. gruodžio 31 d.</w:t>
            </w:r>
          </w:p>
        </w:tc>
        <w:tc>
          <w:tcPr>
            <w:tcW w:w="471" w:type="pct"/>
            <w:tcBorders>
              <w:top w:val="nil"/>
              <w:left w:val="nil"/>
              <w:bottom w:val="nil"/>
              <w:right w:val="nil"/>
              <w:tl2br w:val="nil"/>
              <w:tr2bl w:val="nil"/>
            </w:tcBorders>
            <w:shd w:val="clear" w:color="FFFFFF" w:fill="BFBFBF"/>
            <w:tcMar>
              <w:left w:w="0" w:type="dxa"/>
              <w:right w:w="0" w:type="dxa"/>
            </w:tcMar>
            <w:vAlign w:val="center"/>
          </w:tcPr>
          <w:p>
            <w:pPr>
              <w:pStyle w:val="Normal74"/>
              <w:jc w:val="center"/>
              <w:rPr>
                <w:rFonts w:ascii="Arial" w:eastAsia="Arial" w:hAnsi="Arial" w:cs="Arial"/>
                <w:b/>
                <w:noProof/>
                <w:color w:val="000000"/>
                <w:sz w:val="16"/>
              </w:rPr>
            </w:pPr>
          </w:p>
        </w:tc>
        <w:tc>
          <w:tcPr>
            <w:tcW w:w="801" w:type="pct"/>
            <w:tcBorders>
              <w:top w:val="nil"/>
              <w:left w:val="nil"/>
              <w:bottom w:val="nil"/>
              <w:right w:val="nil"/>
              <w:tl2br w:val="nil"/>
              <w:tr2bl w:val="nil"/>
            </w:tcBorders>
            <w:shd w:val="clear" w:color="FFFFFF" w:fill="BFBFBF"/>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2 967 000</w:t>
            </w:r>
          </w:p>
        </w:tc>
        <w:tc>
          <w:tcPr>
            <w:tcW w:w="636" w:type="pct"/>
            <w:tcBorders>
              <w:top w:val="nil"/>
              <w:left w:val="nil"/>
              <w:bottom w:val="nil"/>
              <w:right w:val="nil"/>
              <w:tl2br w:val="nil"/>
              <w:tr2bl w:val="nil"/>
            </w:tcBorders>
            <w:shd w:val="clear" w:color="FFFFFF" w:fill="BFBFBF"/>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220 036</w:t>
            </w:r>
          </w:p>
        </w:tc>
        <w:tc>
          <w:tcPr>
            <w:tcW w:w="634" w:type="pct"/>
            <w:tcBorders>
              <w:top w:val="nil"/>
              <w:left w:val="nil"/>
              <w:bottom w:val="nil"/>
              <w:right w:val="nil"/>
              <w:tl2br w:val="nil"/>
              <w:tr2bl w:val="nil"/>
            </w:tcBorders>
            <w:shd w:val="clear" w:color="FFFFFF" w:fill="BFBFBF"/>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3 187 036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471"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center"/>
              <w:rPr>
                <w:rFonts w:ascii="Arial" w:eastAsia="Arial" w:hAnsi="Arial" w:cs="Arial"/>
                <w:b/>
                <w:noProof/>
                <w:color w:val="000000"/>
                <w:sz w:val="16"/>
              </w:rPr>
            </w:pPr>
          </w:p>
        </w:tc>
        <w:tc>
          <w:tcPr>
            <w:tcW w:w="801"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6"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4"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458"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47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4"/>
              <w:jc w:val="center"/>
              <w:rPr>
                <w:rFonts w:ascii="Arial" w:eastAsia="Arial" w:hAnsi="Arial" w:cs="Arial"/>
                <w:b/>
                <w:noProof/>
                <w:color w:val="000000"/>
                <w:sz w:val="16"/>
              </w:rPr>
            </w:pPr>
          </w:p>
        </w:tc>
        <w:tc>
          <w:tcPr>
            <w:tcW w:w="80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 xml:space="preserve">Pareikalautasis įnašas </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 xml:space="preserve">Nepaskirstytasis pelnas </w:t>
            </w:r>
          </w:p>
        </w:tc>
        <w:tc>
          <w:tcPr>
            <w:tcW w:w="63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 xml:space="preserve">Iš viso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rPr>
                <w:rFonts w:ascii="Arial" w:eastAsia="Arial" w:hAnsi="Arial" w:cs="Arial"/>
                <w:b/>
                <w:noProof/>
                <w:color w:val="000000"/>
                <w:sz w:val="16"/>
              </w:rPr>
            </w:pPr>
            <w:r>
              <w:rPr>
                <w:rFonts w:ascii="Arial" w:hAnsi="Arial"/>
                <w:b/>
                <w:noProof/>
                <w:color w:val="000000"/>
                <w:sz w:val="16"/>
              </w:rPr>
              <w:t>2018 m. sausio 1 d.</w:t>
            </w:r>
          </w:p>
        </w:tc>
        <w:tc>
          <w:tcPr>
            <w:tcW w:w="47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4"/>
              <w:jc w:val="center"/>
              <w:rPr>
                <w:rFonts w:ascii="Arial" w:eastAsia="Arial" w:hAnsi="Arial" w:cs="Arial"/>
                <w:b/>
                <w:noProof/>
                <w:color w:val="000000"/>
                <w:sz w:val="16"/>
              </w:rPr>
            </w:pPr>
          </w:p>
        </w:tc>
        <w:tc>
          <w:tcPr>
            <w:tcW w:w="80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2 517 000</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266 599</w:t>
            </w:r>
          </w:p>
        </w:tc>
        <w:tc>
          <w:tcPr>
            <w:tcW w:w="63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2 783 599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471"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801"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4"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hAnsi="Arial"/>
                <w:noProof/>
                <w:color w:val="000000"/>
                <w:sz w:val="16"/>
              </w:rPr>
              <w:t>Per metus pareikalauti valstybių narių įnašai</w:t>
            </w:r>
          </w:p>
        </w:tc>
        <w:tc>
          <w:tcPr>
            <w:tcW w:w="471" w:type="pct"/>
            <w:tcBorders>
              <w:top w:val="nil"/>
              <w:left w:val="nil"/>
              <w:bottom w:val="nil"/>
              <w:right w:val="nil"/>
              <w:tl2br w:val="nil"/>
              <w:tr2bl w:val="nil"/>
            </w:tcBorders>
            <w:shd w:val="clear" w:color="auto" w:fill="auto"/>
            <w:tcMar>
              <w:left w:w="40" w:type="dxa"/>
              <w:right w:w="40" w:type="dxa"/>
            </w:tcMar>
            <w:vAlign w:val="bottom"/>
          </w:tcPr>
          <w:p>
            <w:pPr>
              <w:pStyle w:val="Normal74"/>
              <w:jc w:val="center"/>
              <w:rPr>
                <w:rFonts w:ascii="Arial" w:eastAsia="Arial" w:hAnsi="Arial" w:cs="Arial"/>
                <w:noProof/>
                <w:color w:val="000000"/>
                <w:sz w:val="16"/>
              </w:rPr>
            </w:pPr>
          </w:p>
        </w:tc>
        <w:tc>
          <w:tcPr>
            <w:tcW w:w="801"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180 000</w:t>
            </w:r>
          </w:p>
        </w:tc>
        <w:tc>
          <w:tcPr>
            <w:tcW w:w="636"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w:t>
            </w:r>
          </w:p>
        </w:tc>
        <w:tc>
          <w:tcPr>
            <w:tcW w:w="634"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180 000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471"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801" w:type="pct"/>
            <w:tcBorders>
              <w:top w:val="nil"/>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4" w:type="pct"/>
            <w:tcBorders>
              <w:top w:val="nil"/>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hAnsi="Arial"/>
                <w:noProof/>
                <w:color w:val="000000"/>
                <w:sz w:val="16"/>
              </w:rPr>
              <w:t>2018 m. nuostoliai</w:t>
            </w:r>
          </w:p>
        </w:tc>
        <w:tc>
          <w:tcPr>
            <w:tcW w:w="471"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801"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w:t>
            </w:r>
          </w:p>
        </w:tc>
        <w:tc>
          <w:tcPr>
            <w:tcW w:w="636"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−49 602</w:t>
            </w:r>
          </w:p>
        </w:tc>
        <w:tc>
          <w:tcPr>
            <w:tcW w:w="634"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−49 602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471"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801"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6"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4"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b/>
                <w:noProof/>
                <w:color w:val="000000"/>
                <w:sz w:val="16"/>
              </w:rPr>
            </w:pPr>
            <w:r>
              <w:rPr>
                <w:rFonts w:ascii="Arial" w:hAnsi="Arial"/>
                <w:b/>
                <w:noProof/>
                <w:color w:val="000000"/>
                <w:sz w:val="16"/>
              </w:rPr>
              <w:t>Įnašų mokėtojų išteklių pokyčiai</w:t>
            </w:r>
          </w:p>
        </w:tc>
        <w:tc>
          <w:tcPr>
            <w:tcW w:w="471"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b/>
                <w:noProof/>
                <w:color w:val="000000"/>
                <w:sz w:val="16"/>
              </w:rPr>
            </w:pPr>
          </w:p>
        </w:tc>
        <w:tc>
          <w:tcPr>
            <w:tcW w:w="80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180 000</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−49 602</w:t>
            </w:r>
          </w:p>
        </w:tc>
        <w:tc>
          <w:tcPr>
            <w:tcW w:w="63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130 398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471"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801"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4"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FFFFFF" w:fill="BFBFBF"/>
            <w:tcMar>
              <w:left w:w="40" w:type="dxa"/>
              <w:right w:w="40" w:type="dxa"/>
            </w:tcMar>
            <w:vAlign w:val="center"/>
          </w:tcPr>
          <w:p>
            <w:pPr>
              <w:pStyle w:val="Normal74"/>
              <w:rPr>
                <w:rFonts w:ascii="Arial" w:eastAsia="Arial" w:hAnsi="Arial" w:cs="Arial"/>
                <w:b/>
                <w:noProof/>
                <w:color w:val="000000"/>
                <w:sz w:val="16"/>
              </w:rPr>
            </w:pPr>
            <w:r>
              <w:rPr>
                <w:rFonts w:ascii="Arial" w:hAnsi="Arial"/>
                <w:b/>
                <w:noProof/>
                <w:color w:val="000000"/>
                <w:sz w:val="16"/>
              </w:rPr>
              <w:t>2018 m. gruodžio 31 d.</w:t>
            </w:r>
          </w:p>
        </w:tc>
        <w:tc>
          <w:tcPr>
            <w:tcW w:w="471" w:type="pct"/>
            <w:tcBorders>
              <w:top w:val="nil"/>
              <w:left w:val="nil"/>
              <w:bottom w:val="nil"/>
              <w:right w:val="nil"/>
              <w:tl2br w:val="nil"/>
              <w:tr2bl w:val="nil"/>
            </w:tcBorders>
            <w:shd w:val="clear" w:color="FFFFFF" w:fill="BFBFBF"/>
            <w:tcMar>
              <w:left w:w="0" w:type="dxa"/>
              <w:right w:w="0" w:type="dxa"/>
            </w:tcMar>
            <w:vAlign w:val="center"/>
          </w:tcPr>
          <w:p>
            <w:pPr>
              <w:pStyle w:val="Normal74"/>
              <w:jc w:val="center"/>
              <w:rPr>
                <w:rFonts w:ascii="Arial" w:eastAsia="Arial" w:hAnsi="Arial" w:cs="Arial"/>
                <w:b/>
                <w:noProof/>
                <w:color w:val="000000"/>
                <w:sz w:val="16"/>
              </w:rPr>
            </w:pPr>
          </w:p>
        </w:tc>
        <w:tc>
          <w:tcPr>
            <w:tcW w:w="801" w:type="pct"/>
            <w:tcBorders>
              <w:top w:val="nil"/>
              <w:left w:val="nil"/>
              <w:bottom w:val="nil"/>
              <w:right w:val="nil"/>
              <w:tl2br w:val="nil"/>
              <w:tr2bl w:val="nil"/>
            </w:tcBorders>
            <w:shd w:val="clear" w:color="FFFFFF" w:fill="BFBFBF"/>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2 697 000</w:t>
            </w:r>
          </w:p>
        </w:tc>
        <w:tc>
          <w:tcPr>
            <w:tcW w:w="636" w:type="pct"/>
            <w:tcBorders>
              <w:top w:val="nil"/>
              <w:left w:val="nil"/>
              <w:bottom w:val="nil"/>
              <w:right w:val="nil"/>
              <w:tl2br w:val="nil"/>
              <w:tr2bl w:val="nil"/>
            </w:tcBorders>
            <w:shd w:val="clear" w:color="FFFFFF" w:fill="BFBFBF"/>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216 997</w:t>
            </w:r>
          </w:p>
        </w:tc>
        <w:tc>
          <w:tcPr>
            <w:tcW w:w="634" w:type="pct"/>
            <w:tcBorders>
              <w:top w:val="nil"/>
              <w:left w:val="nil"/>
              <w:bottom w:val="nil"/>
              <w:right w:val="nil"/>
              <w:tl2br w:val="nil"/>
              <w:tr2bl w:val="nil"/>
            </w:tcBorders>
            <w:shd w:val="clear" w:color="FFFFFF" w:fill="BFBFBF"/>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2 913 997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2458" w:type="pct"/>
            <w:tcBorders>
              <w:top w:val="nil"/>
              <w:left w:val="nil"/>
              <w:bottom w:val="nil"/>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c>
          <w:tcPr>
            <w:tcW w:w="471" w:type="pct"/>
            <w:tcBorders>
              <w:top w:val="nil"/>
              <w:left w:val="nil"/>
              <w:bottom w:val="nil"/>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c>
          <w:tcPr>
            <w:tcW w:w="801" w:type="pct"/>
            <w:tcBorders>
              <w:top w:val="nil"/>
              <w:left w:val="nil"/>
              <w:bottom w:val="nil"/>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c>
          <w:tcPr>
            <w:tcW w:w="636" w:type="pct"/>
            <w:tcBorders>
              <w:top w:val="nil"/>
              <w:left w:val="nil"/>
              <w:bottom w:val="nil"/>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c>
          <w:tcPr>
            <w:tcW w:w="634" w:type="pct"/>
            <w:tcBorders>
              <w:top w:val="nil"/>
              <w:left w:val="nil"/>
              <w:bottom w:val="nil"/>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r>
    </w:tbl>
    <w:p>
      <w:pPr>
        <w:pageBreakBefore/>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PINIGŲ SRAUTŲ ATASKAITA</w:t>
      </w:r>
    </w:p>
    <w:p>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2019 M. GRUODŽIO 31 D. PASIBAIGĘ METAI</w:t>
      </w:r>
    </w:p>
    <w:p>
      <w:pPr>
        <w:pStyle w:val="Header"/>
        <w:pBdr>
          <w:top w:val="nil"/>
          <w:left w:val="nil"/>
          <w:bottom w:val="nil"/>
          <w:right w:val="nil"/>
          <w:between w:val="nil"/>
          <w:bar w:val="nil"/>
        </w:pBdr>
        <w:spacing w:before="60" w:after="60"/>
        <w:jc w:val="center"/>
        <w:rPr>
          <w:rFonts w:ascii="Arial" w:hAnsi="Arial"/>
          <w:noProof/>
          <w:sz w:val="16"/>
          <w:szCs w:val="16"/>
          <w:bdr w:val="nil"/>
        </w:rPr>
      </w:pPr>
      <w:r>
        <w:rPr>
          <w:rFonts w:ascii="Arial" w:hAnsi="Arial"/>
          <w:noProof/>
          <w:sz w:val="16"/>
          <w:szCs w:val="16"/>
          <w:bdr w:val="nil"/>
        </w:rPr>
        <w:t>(tūkst. EUR)</w:t>
      </w:r>
    </w:p>
    <w:p>
      <w:pPr>
        <w:pBdr>
          <w:top w:val="nil"/>
          <w:left w:val="nil"/>
          <w:bottom w:val="nil"/>
          <w:right w:val="nil"/>
          <w:between w:val="nil"/>
          <w:bar w:val="nil"/>
        </w:pBdr>
        <w:jc w:val="center"/>
        <w:rPr>
          <w:rFonts w:ascii="Arial" w:hAnsi="Arial"/>
          <w:noProof/>
          <w:sz w:val="16"/>
          <w:szCs w:val="16"/>
          <w:bdr w:val="nil"/>
        </w:rPr>
      </w:pPr>
      <w:r>
        <w:rPr>
          <w:noProof/>
        </w:rPr>
        <w:t xml:space="preserve"> </w:t>
      </w:r>
    </w:p>
    <w:tbl>
      <w:tblPr>
        <w:tblStyle w:val="CDMRange20"/>
        <w:tblW w:w="4980" w:type="pct"/>
        <w:tblLook w:val="0600" w:firstRow="0" w:lastRow="0" w:firstColumn="0" w:lastColumn="0" w:noHBand="1" w:noVBand="1"/>
      </w:tblPr>
      <w:tblGrid>
        <w:gridCol w:w="5779"/>
        <w:gridCol w:w="947"/>
        <w:gridCol w:w="1458"/>
        <w:gridCol w:w="1456"/>
      </w:tblGrid>
      <w:tr>
        <w:trPr>
          <w:trHeight w:val="522"/>
        </w:trPr>
        <w:tc>
          <w:tcPr>
            <w:tcW w:w="2998"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5"/>
              <w:rPr>
                <w:noProof/>
                <w:color w:val="000000"/>
                <w:sz w:val="20"/>
              </w:rPr>
            </w:pPr>
          </w:p>
        </w:tc>
        <w:tc>
          <w:tcPr>
            <w:tcW w:w="49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5"/>
              <w:jc w:val="center"/>
              <w:rPr>
                <w:rFonts w:ascii="Arial" w:eastAsia="Arial" w:hAnsi="Arial" w:cs="Arial"/>
                <w:b/>
                <w:noProof/>
                <w:color w:val="000000"/>
                <w:sz w:val="16"/>
              </w:rPr>
            </w:pPr>
            <w:r>
              <w:rPr>
                <w:rFonts w:ascii="Arial" w:hAnsi="Arial"/>
                <w:b/>
                <w:noProof/>
                <w:color w:val="000000"/>
                <w:sz w:val="16"/>
              </w:rPr>
              <w:t>Pastabos</w:t>
            </w:r>
          </w:p>
        </w:tc>
        <w:tc>
          <w:tcPr>
            <w:tcW w:w="7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Nuo 2019 01 01 iki 2019 12 31</w:t>
            </w:r>
          </w:p>
        </w:tc>
        <w:tc>
          <w:tcPr>
            <w:tcW w:w="75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Nuo 2018 01 01 iki 2018 12 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99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bottom"/>
          </w:tcPr>
          <w:p>
            <w:pPr>
              <w:pStyle w:val="Normal75"/>
              <w:rPr>
                <w:rFonts w:ascii="Arial" w:eastAsia="Arial" w:hAnsi="Arial" w:cs="Arial"/>
                <w:b/>
                <w:noProof/>
                <w:color w:val="000000"/>
                <w:sz w:val="16"/>
              </w:rPr>
            </w:pPr>
            <w:r>
              <w:rPr>
                <w:rFonts w:ascii="Arial" w:hAnsi="Arial"/>
                <w:b/>
                <w:noProof/>
                <w:color w:val="000000"/>
                <w:sz w:val="16"/>
              </w:rPr>
              <w:t>PAGRINDINĖ VEIKLA</w:t>
            </w:r>
          </w:p>
        </w:tc>
        <w:tc>
          <w:tcPr>
            <w:tcW w:w="49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5"/>
              <w:jc w:val="right"/>
              <w:rPr>
                <w:rFonts w:ascii="Arial" w:eastAsia="Arial" w:hAnsi="Arial" w:cs="Arial"/>
                <w:b/>
                <w:noProof/>
                <w:color w:val="000000"/>
                <w:sz w:val="16"/>
              </w:rPr>
            </w:pPr>
          </w:p>
        </w:tc>
        <w:tc>
          <w:tcPr>
            <w:tcW w:w="75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Finansinių metų pelnas (nuostoliai)</w:t>
            </w:r>
          </w:p>
        </w:tc>
        <w:tc>
          <w:tcPr>
            <w:tcW w:w="491"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3 039</w:t>
            </w:r>
          </w:p>
        </w:tc>
        <w:tc>
          <w:tcPr>
            <w:tcW w:w="75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−49 602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 xml:space="preserve">Padaryti patikslinimai: </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nil"/>
              <w:right w:val="nil"/>
              <w:tl2br w:val="nil"/>
              <w:tr2bl w:val="nil"/>
            </w:tcBorders>
            <w:shd w:val="clear" w:color="auto" w:fill="auto"/>
            <w:tcMar>
              <w:left w:w="0" w:type="dxa"/>
              <w:right w:w="0" w:type="dxa"/>
            </w:tcMar>
            <w:vAlign w:val="center"/>
          </w:tcPr>
          <w:p>
            <w:pPr>
              <w:pStyle w:val="Normal75"/>
              <w:jc w:val="right"/>
              <w:rPr>
                <w:rFonts w:ascii="Arial" w:eastAsia="Arial" w:hAnsi="Arial" w:cs="Arial"/>
                <w:noProof/>
                <w:color w:val="000000"/>
                <w:sz w:val="16"/>
              </w:rPr>
            </w:pPr>
          </w:p>
        </w:tc>
        <w:tc>
          <w:tcPr>
            <w:tcW w:w="755" w:type="pct"/>
            <w:tcBorders>
              <w:top w:val="nil"/>
              <w:left w:val="nil"/>
              <w:bottom w:val="nil"/>
              <w:right w:val="nil"/>
              <w:tl2br w:val="nil"/>
              <w:tr2bl w:val="nil"/>
            </w:tcBorders>
            <w:shd w:val="clear" w:color="auto" w:fill="auto"/>
            <w:tcMar>
              <w:left w:w="0" w:type="dxa"/>
              <w:right w:w="0" w:type="dxa"/>
            </w:tcMar>
            <w:vAlign w:val="center"/>
          </w:tcPr>
          <w:p>
            <w:pPr>
              <w:pStyle w:val="Normal7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Akcijų ir kitų kintamo pelningumo vertybinių popierių grynasis rezultatas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8</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−8 629</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20 665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Paskolų ir išankstinių mokėjimų vertės sumažėjimo pokytis, atėmus atkūrimą</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7</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−17 243</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22 771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Paskolų ir išankstinių mokėjimų, vertinamų tikrąja verte, kurios pokyčiai pripažįstami pelnu arba nuostoliais, grynasis rezultatas</w:t>
            </w:r>
          </w:p>
        </w:tc>
        <w:tc>
          <w:tcPr>
            <w:tcW w:w="491" w:type="pct"/>
            <w:tcBorders>
              <w:top w:val="nil"/>
              <w:left w:val="nil"/>
              <w:bottom w:val="nil"/>
              <w:right w:val="nil"/>
              <w:tl2br w:val="nil"/>
              <w:tr2bl w:val="nil"/>
            </w:tcBorders>
            <w:shd w:val="clear" w:color="auto" w:fill="auto"/>
            <w:noWrap/>
            <w:tcMar>
              <w:left w:w="0" w:type="dxa"/>
              <w:right w:w="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8 331</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702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Paskolų ir išankstinių mokėjimų sukauptų palūkanų ir amortizuotos savikainos pokytis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7</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−5 087</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−1 833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Atidėjinių suteiktoms garantijoms grynasis pokytis, atėmus atkūrimą</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13</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−107</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309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Atidėjinių kreditavimo įsipareigojimams grynasis pokytis, atėmus atkūrimą</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13 447</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19 666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 xml:space="preserve">Išvestinių finansinių priemonių tikrosios vertės pokyčiai </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−12 611</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9 987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Iždo finansinio turto sukauptų palūkanų ir amortizuotos savikainos pokytis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10</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331</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−1 645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Būsimojo laikotarpio pajamų pokytis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−1 198</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7 962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 xml:space="preserve">Valiutos kurso pokyčio poveikis paskoloms  </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7</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−17 752</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−44 927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Valiutos kurso pokyčio poveikis akcijoms ir kitiems kintamo pelningumo vertybiniams popieriams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8</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−6 812</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−17 300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 xml:space="preserve">Valiutos kurso pokyčio poveikis turimiems gryniesiems pinigams </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2 369</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2 561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b/>
                <w:noProof/>
                <w:color w:val="000000"/>
                <w:sz w:val="16"/>
              </w:rPr>
            </w:pPr>
            <w:r>
              <w:rPr>
                <w:rFonts w:ascii="Arial" w:hAnsi="Arial"/>
                <w:b/>
                <w:noProof/>
                <w:color w:val="000000"/>
                <w:sz w:val="16"/>
              </w:rPr>
              <w:t>Pagrindinės veiklos nuostoliai iki pagrindinės veiklos turto ir įsipareigojimų pokyčių</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−41 922</w:t>
            </w:r>
          </w:p>
        </w:tc>
        <w:tc>
          <w:tcPr>
            <w:tcW w:w="75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−30 684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Išmokėtos paskolos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7</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−311 185</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−259 214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Grąžintos paskolos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7</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355 078</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354 855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Parduotos paskolos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2 194</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Sukauptų palūkanų už grynuosius pinigus ir pinigų ekvivalentus pokytis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5</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−93</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Iždo finansinio turto padidėjimas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10</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−2 948 021</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−2 219 062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Iždo finansinio turto išpirkimo terminai</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10</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2 952 905</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2 026 659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Akcijų ir kitų kintamo pelningumo vertybinių popierių padidėjimas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8</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−106 943</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−95 434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Akcijų ir kitų kintamo pelningumo vertybinių popierių grynosios pajamos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71 024</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32 802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Kito turto (sumažėjimas)</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−171</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−4 214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Kitų įsipareigojimų padidėjimas</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140</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Europos investicijų bankui mokėtinų sumų padidėjimas</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2 187</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2 168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b/>
                <w:noProof/>
                <w:color w:val="000000"/>
                <w:sz w:val="16"/>
              </w:rPr>
            </w:pPr>
            <w:r>
              <w:rPr>
                <w:rFonts w:ascii="Arial" w:hAnsi="Arial"/>
                <w:b/>
                <w:noProof/>
                <w:color w:val="000000"/>
                <w:sz w:val="16"/>
              </w:rPr>
              <w:t>Pagrindinės veiklos grynieji pinigų srautai</w:t>
            </w:r>
          </w:p>
        </w:tc>
        <w:tc>
          <w:tcPr>
            <w:tcW w:w="491"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−24 807</w:t>
            </w:r>
          </w:p>
        </w:tc>
        <w:tc>
          <w:tcPr>
            <w:tcW w:w="75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−192 271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single" w:sz="4" w:space="0" w:color="000000"/>
              <w:right w:val="nil"/>
              <w:tl2br w:val="nil"/>
              <w:tr2bl w:val="nil"/>
            </w:tcBorders>
            <w:shd w:val="clear" w:color="auto" w:fill="auto"/>
            <w:tcMar>
              <w:left w:w="40" w:type="dxa"/>
              <w:right w:w="40" w:type="dxa"/>
            </w:tcMar>
            <w:vAlign w:val="bottom"/>
          </w:tcPr>
          <w:p>
            <w:pPr>
              <w:pStyle w:val="Normal75"/>
              <w:rPr>
                <w:rFonts w:ascii="Arial" w:eastAsia="Arial" w:hAnsi="Arial" w:cs="Arial"/>
                <w:b/>
                <w:noProof/>
                <w:color w:val="000000"/>
                <w:sz w:val="16"/>
              </w:rPr>
            </w:pPr>
            <w:r>
              <w:rPr>
                <w:rFonts w:ascii="Arial" w:hAnsi="Arial"/>
                <w:b/>
                <w:noProof/>
                <w:color w:val="000000"/>
                <w:sz w:val="16"/>
              </w:rPr>
              <w:t>FINANSAVIMO VEIKLA</w:t>
            </w:r>
          </w:p>
        </w:tc>
        <w:tc>
          <w:tcPr>
            <w:tcW w:w="49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5"/>
              <w:rPr>
                <w:rFonts w:ascii="Arial" w:eastAsia="Arial" w:hAnsi="Arial" w:cs="Arial"/>
                <w:b/>
                <w:noProof/>
                <w:color w:val="000000"/>
                <w:sz w:val="16"/>
              </w:rPr>
            </w:pPr>
          </w:p>
        </w:tc>
        <w:tc>
          <w:tcPr>
            <w:tcW w:w="75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5"/>
              <w:jc w:val="right"/>
              <w:rPr>
                <w:rFonts w:ascii="Arial" w:eastAsia="Arial" w:hAnsi="Arial" w:cs="Arial"/>
                <w:b/>
                <w:noProof/>
                <w:color w:val="000000"/>
                <w:sz w:val="16"/>
              </w:rPr>
            </w:pPr>
          </w:p>
        </w:tc>
        <w:tc>
          <w:tcPr>
            <w:tcW w:w="75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 xml:space="preserve">Iš valstybių narių gauti įnašai </w:t>
            </w:r>
          </w:p>
        </w:tc>
        <w:tc>
          <w:tcPr>
            <w:tcW w:w="491"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p>
        </w:tc>
        <w:tc>
          <w:tcPr>
            <w:tcW w:w="75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284 820</w:t>
            </w:r>
          </w:p>
        </w:tc>
        <w:tc>
          <w:tcPr>
            <w:tcW w:w="75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230 000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Iš valstybių narių gautos sumos, susijusios su palūkanų subsidijomis ir technine pagalba</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30 000</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Valstybių narių vardu sumokėtos sumos, susijusios su palūkanų subsidijomis ir technine pagalba</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−28 220</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−35 641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b/>
                <w:noProof/>
                <w:color w:val="000000"/>
                <w:sz w:val="16"/>
              </w:rPr>
            </w:pPr>
            <w:r>
              <w:rPr>
                <w:rFonts w:ascii="Arial" w:hAnsi="Arial"/>
                <w:b/>
                <w:noProof/>
                <w:color w:val="000000"/>
                <w:sz w:val="16"/>
              </w:rPr>
              <w:t>Finansavimo veiklos grynieji pinigų srautai</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286 600</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214 359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FFFFFF" w:fill="C0C0C0"/>
            <w:tcMar>
              <w:left w:w="40" w:type="dxa"/>
              <w:right w:w="40" w:type="dxa"/>
            </w:tcMar>
            <w:vAlign w:val="center"/>
          </w:tcPr>
          <w:p>
            <w:pPr>
              <w:pStyle w:val="Normal75"/>
              <w:rPr>
                <w:rFonts w:ascii="Arial" w:eastAsia="Arial" w:hAnsi="Arial" w:cs="Arial"/>
                <w:b/>
                <w:noProof/>
                <w:color w:val="000000"/>
                <w:sz w:val="16"/>
              </w:rPr>
            </w:pPr>
            <w:r>
              <w:rPr>
                <w:rFonts w:ascii="Arial" w:hAnsi="Arial"/>
                <w:b/>
                <w:noProof/>
                <w:color w:val="000000"/>
                <w:sz w:val="16"/>
              </w:rPr>
              <w:t>Pinigų ir pinigų ekvivalentų grynasis padidėjimas</w:t>
            </w:r>
          </w:p>
        </w:tc>
        <w:tc>
          <w:tcPr>
            <w:tcW w:w="491" w:type="pct"/>
            <w:tcBorders>
              <w:top w:val="nil"/>
              <w:left w:val="nil"/>
              <w:bottom w:val="nil"/>
              <w:right w:val="nil"/>
              <w:tl2br w:val="nil"/>
              <w:tr2bl w:val="nil"/>
            </w:tcBorders>
            <w:shd w:val="clear" w:color="FFFFFF" w:fill="C0C0C0"/>
            <w:tcMar>
              <w:left w:w="0" w:type="dxa"/>
              <w:right w:w="0" w:type="dxa"/>
            </w:tcMar>
            <w:vAlign w:val="center"/>
          </w:tcPr>
          <w:p>
            <w:pPr>
              <w:pStyle w:val="Normal75"/>
              <w:rPr>
                <w:rFonts w:ascii="Arial" w:eastAsia="Arial" w:hAnsi="Arial" w:cs="Arial"/>
                <w:b/>
                <w:noProof/>
                <w:color w:val="000000"/>
                <w:sz w:val="16"/>
              </w:rPr>
            </w:pPr>
          </w:p>
        </w:tc>
        <w:tc>
          <w:tcPr>
            <w:tcW w:w="756" w:type="pct"/>
            <w:tcBorders>
              <w:top w:val="nil"/>
              <w:left w:val="nil"/>
              <w:bottom w:val="nil"/>
              <w:right w:val="nil"/>
              <w:tl2br w:val="nil"/>
              <w:tr2bl w:val="nil"/>
            </w:tcBorders>
            <w:shd w:val="clear" w:color="FFFFFF" w:fill="C0C0C0"/>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261 793</w:t>
            </w:r>
          </w:p>
        </w:tc>
        <w:tc>
          <w:tcPr>
            <w:tcW w:w="755" w:type="pct"/>
            <w:tcBorders>
              <w:top w:val="nil"/>
              <w:left w:val="nil"/>
              <w:bottom w:val="nil"/>
              <w:right w:val="nil"/>
              <w:tl2br w:val="nil"/>
              <w:tr2bl w:val="nil"/>
            </w:tcBorders>
            <w:shd w:val="clear" w:color="FFFFFF" w:fill="C0C0C0"/>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22 088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b/>
                <w:noProof/>
                <w:color w:val="000000"/>
                <w:sz w:val="16"/>
              </w:rPr>
            </w:pPr>
            <w:r>
              <w:rPr>
                <w:rFonts w:ascii="Arial" w:hAnsi="Arial"/>
                <w:b/>
                <w:noProof/>
                <w:color w:val="000000"/>
                <w:sz w:val="16"/>
              </w:rPr>
              <w:t>Pinigų srautų suvestinė ataskaita</w:t>
            </w:r>
          </w:p>
        </w:tc>
        <w:tc>
          <w:tcPr>
            <w:tcW w:w="491" w:type="pct"/>
            <w:tcBorders>
              <w:top w:val="nil"/>
              <w:left w:val="nil"/>
              <w:bottom w:val="nil"/>
              <w:right w:val="nil"/>
              <w:tl2br w:val="nil"/>
              <w:tr2bl w:val="nil"/>
            </w:tcBorders>
            <w:shd w:val="clear" w:color="auto" w:fill="auto"/>
            <w:noWrap/>
            <w:tcMar>
              <w:left w:w="0" w:type="dxa"/>
              <w:right w:w="0" w:type="dxa"/>
            </w:tcMar>
            <w:vAlign w:val="bottom"/>
          </w:tcPr>
          <w:p>
            <w:pPr>
              <w:pStyle w:val="Normal75"/>
              <w:rPr>
                <w:rFonts w:ascii="Arial" w:eastAsia="Arial" w:hAnsi="Arial" w:cs="Arial"/>
                <w:noProof/>
                <w:color w:val="000000"/>
                <w:sz w:val="20"/>
              </w:rPr>
            </w:pPr>
          </w:p>
        </w:tc>
        <w:tc>
          <w:tcPr>
            <w:tcW w:w="756" w:type="pct"/>
            <w:tcBorders>
              <w:top w:val="nil"/>
              <w:left w:val="nil"/>
              <w:bottom w:val="nil"/>
              <w:right w:val="nil"/>
              <w:tl2br w:val="nil"/>
              <w:tr2bl w:val="nil"/>
            </w:tcBorders>
            <w:shd w:val="clear" w:color="auto" w:fill="auto"/>
            <w:noWrap/>
            <w:tcMar>
              <w:left w:w="0" w:type="dxa"/>
              <w:right w:w="0" w:type="dxa"/>
            </w:tcMar>
            <w:vAlign w:val="bottom"/>
          </w:tcPr>
          <w:p>
            <w:pPr>
              <w:pStyle w:val="Normal75"/>
              <w:rPr>
                <w:rFonts w:ascii="Arial" w:eastAsia="Arial" w:hAnsi="Arial" w:cs="Arial"/>
                <w:noProof/>
                <w:color w:val="000000"/>
                <w:sz w:val="20"/>
              </w:rPr>
            </w:pPr>
          </w:p>
        </w:tc>
        <w:tc>
          <w:tcPr>
            <w:tcW w:w="755" w:type="pct"/>
            <w:tcBorders>
              <w:top w:val="nil"/>
              <w:left w:val="nil"/>
              <w:bottom w:val="nil"/>
              <w:right w:val="nil"/>
              <w:tl2br w:val="nil"/>
              <w:tr2bl w:val="nil"/>
            </w:tcBorders>
            <w:shd w:val="clear" w:color="auto" w:fill="auto"/>
            <w:noWrap/>
            <w:tcMar>
              <w:left w:w="0" w:type="dxa"/>
              <w:right w:w="0" w:type="dxa"/>
            </w:tcMar>
            <w:vAlign w:val="bottom"/>
          </w:tcPr>
          <w:p>
            <w:pPr>
              <w:pStyle w:val="Normal7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b/>
                <w:noProof/>
                <w:color w:val="000000"/>
                <w:sz w:val="16"/>
              </w:rPr>
            </w:pPr>
            <w:r>
              <w:rPr>
                <w:rFonts w:ascii="Arial" w:hAnsi="Arial"/>
                <w:b/>
                <w:noProof/>
                <w:color w:val="000000"/>
                <w:sz w:val="16"/>
              </w:rPr>
              <w:t>Pinigai ir pinigų ekvivalentai finansinių metų pradžioje</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573 818</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549 169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Grynieji pinigų srautai iš:</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0" w:type="dxa"/>
              <w:right w:w="0" w:type="dxa"/>
            </w:tcMar>
            <w:vAlign w:val="center"/>
          </w:tcPr>
          <w:p>
            <w:pPr>
              <w:pStyle w:val="Normal75"/>
              <w:jc w:val="right"/>
              <w:rPr>
                <w:rFonts w:ascii="Arial" w:eastAsia="Arial" w:hAnsi="Arial" w:cs="Arial"/>
                <w:noProof/>
                <w:color w:val="000000"/>
                <w:sz w:val="16"/>
              </w:rPr>
            </w:pPr>
          </w:p>
        </w:tc>
        <w:tc>
          <w:tcPr>
            <w:tcW w:w="755" w:type="pct"/>
            <w:tcBorders>
              <w:top w:val="nil"/>
              <w:left w:val="nil"/>
              <w:bottom w:val="nil"/>
              <w:right w:val="nil"/>
              <w:tl2br w:val="nil"/>
              <w:tr2bl w:val="nil"/>
            </w:tcBorders>
            <w:shd w:val="clear" w:color="auto" w:fill="auto"/>
            <w:tcMar>
              <w:left w:w="0" w:type="dxa"/>
              <w:right w:w="0" w:type="dxa"/>
            </w:tcMar>
            <w:vAlign w:val="center"/>
          </w:tcPr>
          <w:p>
            <w:pPr>
              <w:pStyle w:val="Normal7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pagrindinės veiklos</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−24 937</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−192 271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finansavimo veiklos</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286 730</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214 359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valiutos kurso pokyčių poveikio pinigams ir pinigų ekvivalentams</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2 369</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2 561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FFFFFF" w:fill="C0C0C0"/>
            <w:tcMar>
              <w:left w:w="40" w:type="dxa"/>
              <w:right w:w="40" w:type="dxa"/>
            </w:tcMar>
            <w:vAlign w:val="center"/>
          </w:tcPr>
          <w:p>
            <w:pPr>
              <w:pStyle w:val="Normal75"/>
              <w:rPr>
                <w:rFonts w:ascii="Arial" w:eastAsia="Arial" w:hAnsi="Arial" w:cs="Arial"/>
                <w:b/>
                <w:noProof/>
                <w:color w:val="000000"/>
                <w:sz w:val="16"/>
              </w:rPr>
            </w:pPr>
            <w:r>
              <w:rPr>
                <w:rFonts w:ascii="Arial" w:hAnsi="Arial"/>
                <w:b/>
                <w:noProof/>
                <w:color w:val="000000"/>
                <w:sz w:val="16"/>
              </w:rPr>
              <w:t>Pinigai ir pinigų ekvivalentai finansinių metų pabaigoje</w:t>
            </w:r>
          </w:p>
        </w:tc>
        <w:tc>
          <w:tcPr>
            <w:tcW w:w="491" w:type="pct"/>
            <w:tcBorders>
              <w:top w:val="nil"/>
              <w:left w:val="nil"/>
              <w:bottom w:val="nil"/>
              <w:right w:val="nil"/>
              <w:tl2br w:val="nil"/>
              <w:tr2bl w:val="nil"/>
            </w:tcBorders>
            <w:shd w:val="clear" w:color="FFFFFF" w:fill="C0C0C0"/>
            <w:tcMar>
              <w:left w:w="0" w:type="dxa"/>
              <w:right w:w="0" w:type="dxa"/>
            </w:tcMar>
            <w:vAlign w:val="center"/>
          </w:tcPr>
          <w:p>
            <w:pPr>
              <w:pStyle w:val="Normal75"/>
              <w:rPr>
                <w:rFonts w:ascii="Arial" w:eastAsia="Arial" w:hAnsi="Arial" w:cs="Arial"/>
                <w:b/>
                <w:noProof/>
                <w:color w:val="000000"/>
                <w:sz w:val="16"/>
              </w:rPr>
            </w:pPr>
          </w:p>
        </w:tc>
        <w:tc>
          <w:tcPr>
            <w:tcW w:w="756" w:type="pct"/>
            <w:tcBorders>
              <w:top w:val="nil"/>
              <w:left w:val="nil"/>
              <w:bottom w:val="nil"/>
              <w:right w:val="nil"/>
              <w:tl2br w:val="nil"/>
              <w:tr2bl w:val="nil"/>
            </w:tcBorders>
            <w:shd w:val="clear" w:color="FFFFFF" w:fill="C0C0C0"/>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837 980</w:t>
            </w:r>
          </w:p>
        </w:tc>
        <w:tc>
          <w:tcPr>
            <w:tcW w:w="755" w:type="pct"/>
            <w:tcBorders>
              <w:top w:val="nil"/>
              <w:left w:val="nil"/>
              <w:bottom w:val="nil"/>
              <w:right w:val="nil"/>
              <w:tl2br w:val="nil"/>
              <w:tr2bl w:val="nil"/>
            </w:tcBorders>
            <w:shd w:val="clear" w:color="FFFFFF" w:fill="C0C0C0"/>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573 818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jc w:val="both"/>
              <w:rPr>
                <w:rFonts w:ascii="Arial" w:eastAsia="Arial" w:hAnsi="Arial" w:cs="Arial"/>
                <w:b/>
                <w:noProof/>
                <w:color w:val="000000"/>
                <w:sz w:val="16"/>
              </w:rPr>
            </w:pPr>
            <w:r>
              <w:rPr>
                <w:rFonts w:ascii="Arial" w:hAnsi="Arial"/>
                <w:b/>
                <w:noProof/>
                <w:color w:val="000000"/>
                <w:sz w:val="16"/>
              </w:rPr>
              <w:t>Pinigus ir pinigų ekvivalentus sudaro:</w:t>
            </w:r>
          </w:p>
        </w:tc>
        <w:tc>
          <w:tcPr>
            <w:tcW w:w="491" w:type="pct"/>
            <w:tcBorders>
              <w:top w:val="nil"/>
              <w:left w:val="nil"/>
              <w:bottom w:val="nil"/>
              <w:right w:val="nil"/>
              <w:tl2br w:val="nil"/>
              <w:tr2bl w:val="nil"/>
            </w:tcBorders>
            <w:shd w:val="clear" w:color="auto" w:fill="auto"/>
            <w:noWrap/>
            <w:tcMar>
              <w:left w:w="0" w:type="dxa"/>
              <w:right w:w="0" w:type="dxa"/>
            </w:tcMar>
            <w:vAlign w:val="center"/>
          </w:tcPr>
          <w:p>
            <w:pPr>
              <w:pStyle w:val="Normal75"/>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noWrap/>
            <w:tcMar>
              <w:left w:w="0" w:type="dxa"/>
              <w:right w:w="0" w:type="dxa"/>
            </w:tcMar>
            <w:vAlign w:val="center"/>
          </w:tcPr>
          <w:p>
            <w:pPr>
              <w:pStyle w:val="Normal75"/>
              <w:jc w:val="right"/>
              <w:rPr>
                <w:rFonts w:ascii="Arial" w:eastAsia="Arial" w:hAnsi="Arial" w:cs="Arial"/>
                <w:noProof/>
                <w:color w:val="000000"/>
                <w:sz w:val="16"/>
              </w:rPr>
            </w:pPr>
          </w:p>
        </w:tc>
        <w:tc>
          <w:tcPr>
            <w:tcW w:w="755" w:type="pct"/>
            <w:tcBorders>
              <w:top w:val="nil"/>
              <w:left w:val="nil"/>
              <w:bottom w:val="nil"/>
              <w:right w:val="nil"/>
              <w:tl2br w:val="nil"/>
              <w:tr2bl w:val="nil"/>
            </w:tcBorders>
            <w:shd w:val="clear" w:color="auto" w:fill="auto"/>
            <w:tcMar>
              <w:left w:w="0" w:type="dxa"/>
              <w:right w:w="0" w:type="dxa"/>
            </w:tcMar>
            <w:vAlign w:val="center"/>
          </w:tcPr>
          <w:p>
            <w:pPr>
              <w:pStyle w:val="Normal7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jc w:val="both"/>
              <w:rPr>
                <w:rFonts w:ascii="Arial" w:eastAsia="Arial" w:hAnsi="Arial" w:cs="Arial"/>
                <w:noProof/>
                <w:color w:val="000000"/>
                <w:sz w:val="16"/>
              </w:rPr>
            </w:pPr>
            <w:r>
              <w:rPr>
                <w:rFonts w:ascii="Arial" w:hAnsi="Arial"/>
                <w:noProof/>
                <w:color w:val="000000"/>
                <w:sz w:val="16"/>
              </w:rPr>
              <w:t xml:space="preserve">Grynieji pinigai kasoje </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5</w:t>
            </w:r>
          </w:p>
        </w:tc>
        <w:tc>
          <w:tcPr>
            <w:tcW w:w="756"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72 166</w:t>
            </w:r>
          </w:p>
        </w:tc>
        <w:tc>
          <w:tcPr>
            <w:tcW w:w="755"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51 936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Terminuotieji indėliai (neskaitant sukauptų palūkanų)</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5</w:t>
            </w:r>
          </w:p>
        </w:tc>
        <w:tc>
          <w:tcPr>
            <w:tcW w:w="756"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622 991</w:t>
            </w:r>
          </w:p>
        </w:tc>
        <w:tc>
          <w:tcPr>
            <w:tcW w:w="755"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521 882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Komerciniai vekseliai</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5</w:t>
            </w:r>
          </w:p>
        </w:tc>
        <w:tc>
          <w:tcPr>
            <w:tcW w:w="756" w:type="pct"/>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142 823</w:t>
            </w:r>
          </w:p>
        </w:tc>
        <w:tc>
          <w:tcPr>
            <w:tcW w:w="755" w:type="pct"/>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491" w:type="pct"/>
            <w:tcBorders>
              <w:top w:val="nil"/>
              <w:left w:val="nil"/>
              <w:bottom w:val="nil"/>
              <w:right w:val="nil"/>
              <w:tl2br w:val="nil"/>
              <w:tr2bl w:val="nil"/>
            </w:tcBorders>
            <w:shd w:val="clear" w:color="auto" w:fill="auto"/>
            <w:noWrap/>
            <w:tcMar>
              <w:left w:w="0" w:type="dxa"/>
              <w:right w:w="0" w:type="dxa"/>
            </w:tcMar>
            <w:vAlign w:val="bottom"/>
          </w:tcPr>
          <w:p>
            <w:pPr>
              <w:pStyle w:val="Normal75"/>
              <w:rPr>
                <w:noProof/>
                <w:color w:val="000000"/>
                <w:sz w:val="20"/>
              </w:rPr>
            </w:pPr>
          </w:p>
        </w:tc>
        <w:tc>
          <w:tcPr>
            <w:tcW w:w="7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837 980</w:t>
            </w:r>
          </w:p>
        </w:tc>
        <w:tc>
          <w:tcPr>
            <w:tcW w:w="75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573 818</w:t>
            </w:r>
          </w:p>
        </w:tc>
      </w:tr>
    </w:tbl>
    <w:p>
      <w:pPr>
        <w:pStyle w:val="Notes0"/>
        <w:pageBreakBefore/>
        <w:numPr>
          <w:ilvl w:val="0"/>
          <w:numId w:val="0"/>
        </w:numPr>
        <w:tabs>
          <w:tab w:val="clear" w:pos="4320"/>
          <w:tab w:val="clear" w:pos="8640"/>
        </w:tabs>
        <w:spacing w:before="140" w:after="320"/>
        <w:rPr>
          <w:noProof/>
          <w:sz w:val="24"/>
        </w:rPr>
      </w:pPr>
      <w:r>
        <w:rPr>
          <w:noProof/>
          <w:sz w:val="24"/>
        </w:rPr>
        <w:t>2019 m. gruodžio 31 d. finansinių ataskaitų pastabos</w:t>
      </w:r>
    </w:p>
    <w:p>
      <w:pPr>
        <w:pStyle w:val="Title10"/>
        <w:numPr>
          <w:ilvl w:val="0"/>
          <w:numId w:val="0"/>
        </w:numPr>
        <w:ind w:left="432" w:hanging="432"/>
        <w:rPr>
          <w:noProof/>
        </w:rPr>
      </w:pPr>
      <w:r>
        <w:rPr>
          <w:noProof/>
        </w:rPr>
        <w:t>1.</w:t>
      </w:r>
      <w:r>
        <w:rPr>
          <w:noProof/>
        </w:rPr>
        <w:tab/>
        <w:t>Bendra informacija</w:t>
      </w:r>
    </w:p>
    <w:p>
      <w:pPr>
        <w:pStyle w:val="Normal76"/>
        <w:spacing w:before="60" w:after="60"/>
        <w:jc w:val="both"/>
        <w:rPr>
          <w:rFonts w:ascii="Arial" w:hAnsi="Arial"/>
          <w:noProof/>
          <w:sz w:val="16"/>
          <w:szCs w:val="16"/>
        </w:rPr>
      </w:pPr>
    </w:p>
    <w:p>
      <w:pPr>
        <w:pStyle w:val="Normal76"/>
        <w:spacing w:before="60" w:after="60"/>
        <w:jc w:val="both"/>
        <w:rPr>
          <w:rFonts w:ascii="Arial" w:hAnsi="Arial"/>
          <w:noProof/>
          <w:sz w:val="16"/>
          <w:szCs w:val="16"/>
        </w:rPr>
      </w:pPr>
      <w:r>
        <w:rPr>
          <w:rFonts w:ascii="Arial" w:hAnsi="Arial"/>
          <w:noProof/>
          <w:sz w:val="16"/>
          <w:szCs w:val="16"/>
        </w:rPr>
        <w:t>Investicinė priemonė (toliau – Priemonė, arba IP) buvo sukurta pagal Kotonu susitarimą dėl bendradarbiavimo ir paramos plėtrai (toliau – susitarimas), dėl kurio 2000 m. birželio 23 d. susiderėjo Afrikos, Karibų ir Ramiojo vandenyno grupės (AKR) valstybės ir Europos Sąjunga bei jos valstybės narės ir kuris buvo peržiūrėtas 2005 m. birželio 25 d. ir 2010 m. birželio 22 d.</w:t>
      </w:r>
    </w:p>
    <w:p>
      <w:pPr>
        <w:pStyle w:val="Normal76"/>
        <w:spacing w:before="60" w:after="60"/>
        <w:jc w:val="both"/>
        <w:rPr>
          <w:rFonts w:ascii="Arial" w:hAnsi="Arial"/>
          <w:noProof/>
          <w:sz w:val="16"/>
          <w:szCs w:val="16"/>
        </w:rPr>
      </w:pPr>
    </w:p>
    <w:p>
      <w:pPr>
        <w:pStyle w:val="Normal76"/>
        <w:spacing w:before="60" w:after="60"/>
        <w:jc w:val="both"/>
        <w:rPr>
          <w:rFonts w:ascii="Arial" w:hAnsi="Arial"/>
          <w:noProof/>
          <w:sz w:val="16"/>
          <w:szCs w:val="16"/>
        </w:rPr>
      </w:pPr>
      <w:r>
        <w:rPr>
          <w:rFonts w:ascii="Arial" w:hAnsi="Arial"/>
          <w:noProof/>
          <w:sz w:val="16"/>
          <w:szCs w:val="16"/>
        </w:rPr>
        <w:t>Priemonė nėra atskiras juridinis subjektas ir Europos investicijų bankas (toliau – EIB, arba Bankas) administruoja įnašus valstybių narių (paramos teikėjų) vardu pagal susitarimo sąlygas ir veikia kaip Priemonės administratorius.</w:t>
      </w:r>
    </w:p>
    <w:p>
      <w:pPr>
        <w:pStyle w:val="Normal76"/>
        <w:tabs>
          <w:tab w:val="left" w:pos="1800"/>
        </w:tabs>
        <w:spacing w:before="60" w:after="60"/>
        <w:jc w:val="both"/>
        <w:rPr>
          <w:rFonts w:ascii="Arial" w:hAnsi="Arial"/>
          <w:noProof/>
          <w:sz w:val="16"/>
          <w:szCs w:val="16"/>
        </w:rPr>
      </w:pPr>
    </w:p>
    <w:p>
      <w:pPr>
        <w:pStyle w:val="Normal76"/>
        <w:tabs>
          <w:tab w:val="left" w:pos="1800"/>
        </w:tabs>
        <w:spacing w:before="60" w:after="60"/>
        <w:jc w:val="both"/>
        <w:rPr>
          <w:rFonts w:ascii="Arial" w:hAnsi="Arial"/>
          <w:noProof/>
          <w:sz w:val="16"/>
          <w:szCs w:val="16"/>
        </w:rPr>
      </w:pPr>
      <w:r>
        <w:rPr>
          <w:rFonts w:ascii="Arial" w:hAnsi="Arial"/>
          <w:noProof/>
          <w:sz w:val="16"/>
          <w:szCs w:val="16"/>
        </w:rPr>
        <w:t>Pagal susitarimą numatyta, kad finansavimas teikiamas iš ES valstybių narių biudžetų. ES valstybės narės moka įnašus, kurie skiriami finansuoti IP ir palūkanų subsidijoms finansuoti skirtoms dotacijoms, kaip numatyta pagal daugiametes finansines programas (2000–2007 m. laikotarpį apimantį Pirmąjį finansinį protokolą, vadinamą 9-uoju Europos plėtros fondu (EPF), 2008–2013 m. laikotarpį apimantį Antrąjį finansinį protokolą, vadinamą 10-uoju EPF, ir 2014–2020 m. laikotarpį apimantį Trečiąjį finansinį protokolą, vadinamą 11-uoju EPF). EIB pavesta valdyti:</w:t>
      </w:r>
    </w:p>
    <w:p>
      <w:pPr>
        <w:pStyle w:val="Normal76"/>
        <w:tabs>
          <w:tab w:val="left" w:pos="1800"/>
        </w:tabs>
        <w:spacing w:before="60" w:after="60"/>
        <w:jc w:val="both"/>
        <w:rPr>
          <w:rFonts w:ascii="Arial" w:hAnsi="Arial"/>
          <w:noProof/>
          <w:sz w:val="16"/>
          <w:szCs w:val="16"/>
        </w:rPr>
      </w:pPr>
    </w:p>
    <w:p>
      <w:pPr>
        <w:pStyle w:val="Normal76"/>
        <w:numPr>
          <w:ilvl w:val="0"/>
          <w:numId w:val="27"/>
        </w:numPr>
        <w:tabs>
          <w:tab w:val="left" w:pos="1800"/>
        </w:tabs>
        <w:spacing w:before="60" w:after="60"/>
        <w:ind w:left="714" w:hanging="357"/>
        <w:jc w:val="both"/>
        <w:rPr>
          <w:rFonts w:ascii="Arial" w:hAnsi="Arial"/>
          <w:noProof/>
          <w:sz w:val="16"/>
          <w:szCs w:val="16"/>
        </w:rPr>
      </w:pPr>
      <w:r>
        <w:rPr>
          <w:rFonts w:ascii="Arial" w:hAnsi="Arial"/>
          <w:noProof/>
          <w:sz w:val="16"/>
          <w:szCs w:val="16"/>
        </w:rPr>
        <w:t>Priemonę, 3 685,5 mln. EUR vertės rizikos apyvartinį fondą, skirtą privačiojo sektoriaus investicijoms AKR valstybėse skatinti, iš jų 48,5 mln. EUR skirti Užjūrio šalims ir teritorijoms (UŠT šalys),</w:t>
      </w:r>
    </w:p>
    <w:p>
      <w:pPr>
        <w:pStyle w:val="Normal76"/>
        <w:numPr>
          <w:ilvl w:val="0"/>
          <w:numId w:val="28"/>
        </w:numPr>
        <w:tabs>
          <w:tab w:val="left" w:pos="1800"/>
        </w:tabs>
        <w:spacing w:before="60" w:after="60"/>
        <w:ind w:left="714" w:hanging="357"/>
        <w:jc w:val="both"/>
        <w:rPr>
          <w:rFonts w:ascii="Arial" w:hAnsi="Arial"/>
          <w:noProof/>
          <w:sz w:val="16"/>
          <w:szCs w:val="16"/>
        </w:rPr>
      </w:pPr>
      <w:r>
        <w:rPr>
          <w:rFonts w:ascii="Arial" w:hAnsi="Arial"/>
          <w:noProof/>
          <w:sz w:val="16"/>
          <w:szCs w:val="16"/>
        </w:rPr>
        <w:t>palūkanų subsidijoms finansuoti skirtas dotacijas, kurių vertė ne didesnė kaip 1 220,85 mln. EUR AKR valstybėms ir ne didesnė kaip 8,5 mln. EUR UŠT šalims. Iki 15 % šių subsidijų gali būti panaudota su projektais susijusiai techninei pagalbai finansuoti.</w:t>
      </w:r>
    </w:p>
    <w:p>
      <w:pPr>
        <w:pStyle w:val="Normal76"/>
        <w:tabs>
          <w:tab w:val="left" w:pos="1800"/>
        </w:tabs>
        <w:spacing w:before="60" w:after="60"/>
        <w:jc w:val="both"/>
        <w:rPr>
          <w:rFonts w:ascii="Arial" w:hAnsi="Arial"/>
          <w:noProof/>
          <w:sz w:val="16"/>
          <w:szCs w:val="16"/>
        </w:rPr>
      </w:pPr>
    </w:p>
    <w:p>
      <w:pPr>
        <w:pStyle w:val="Normal76"/>
        <w:tabs>
          <w:tab w:val="left" w:pos="1800"/>
        </w:tabs>
        <w:spacing w:before="60" w:after="60"/>
        <w:jc w:val="both"/>
        <w:rPr>
          <w:rFonts w:ascii="Arial" w:hAnsi="Arial"/>
          <w:noProof/>
          <w:sz w:val="16"/>
          <w:szCs w:val="16"/>
        </w:rPr>
      </w:pPr>
      <w:r>
        <w:rPr>
          <w:rFonts w:ascii="Arial" w:hAnsi="Arial"/>
          <w:noProof/>
          <w:sz w:val="16"/>
          <w:szCs w:val="16"/>
        </w:rPr>
        <w:t>ES ir AKR šalys susitarė dėl pereinamojo laikotarpio priemonių, kurios leistų EIB finansuoti operacijas AKR regione iki 2020 m. pabaigos (2019 m. gruodžio 17 d. AKR ir ES ambasadorių komiteto sprendimas Nr. 3/2019 priimti pereinamojo laikotarpio priemones pagal AKR ir ES partnerystės susitarimo 95 straipsnio 4 dalį). Bankas toliau tvirtins operacijas pagal savo įgaliojimus iki 2020 m. pabaigos, t. y. iki įsipareigojimų dėl IP apyvartinių fondų, panaudojimo laikotarpio, nurodyto 11-ame EPF, pabaigos.</w:t>
      </w:r>
    </w:p>
    <w:p>
      <w:pPr>
        <w:pStyle w:val="Normal76"/>
        <w:tabs>
          <w:tab w:val="left" w:pos="1800"/>
        </w:tabs>
        <w:spacing w:before="60" w:after="60"/>
        <w:jc w:val="both"/>
        <w:rPr>
          <w:rFonts w:ascii="Arial" w:hAnsi="Arial"/>
          <w:noProof/>
          <w:sz w:val="16"/>
          <w:szCs w:val="16"/>
        </w:rPr>
      </w:pPr>
    </w:p>
    <w:p>
      <w:pPr>
        <w:pStyle w:val="Normal76"/>
        <w:spacing w:before="60" w:after="60"/>
        <w:jc w:val="both"/>
        <w:rPr>
          <w:rFonts w:ascii="Arial" w:hAnsi="Arial"/>
          <w:noProof/>
          <w:sz w:val="16"/>
          <w:szCs w:val="16"/>
        </w:rPr>
      </w:pPr>
      <w:r>
        <w:rPr>
          <w:rFonts w:ascii="Arial" w:hAnsi="Arial"/>
          <w:noProof/>
          <w:sz w:val="16"/>
          <w:szCs w:val="16"/>
        </w:rPr>
        <w:t>2018 m. birželio mėn. Komisija taip pat paskelbė pasiūlymą dėl 2021–2027 m. ES išorės veiksmų biudžeto – reglamentą, kuriuo nustatoma Kaimynystės, vystomojo ir tarptautinio bendradarbiavimo priemonė (KPTBP). Svarbus pasiūlymo aspektas yra jo finansavimo struktūros supaprastinimas, sujungiant devynias atskiras priemones ir fondus, taip pat dabartinio nebiudžetinio EPF integravimas į ES biudžetą. KPTBP reglamentas bus teisinis pagrindas, kuriuo remdamasi Komisija galės ateityje suteikti ES įgaliojimus EIB vykdyti veiklą už ES ribų. Jame taip pat bus nustatyta išorės investicijų sistema, kad Sąjunga galėtų bendradarbiauti su institucijomis partnerėmis teikdama dotacijas arba garantijas iš ES biudžeto. Derybos dėl KPTBP tebevyksta. Nepažeisdami Tarybos sprendimo, EIB ir EK derasi dėl pasiūlymo toliau sutartą metų skaičių naudoti IP grįžtamąsias lėšas.</w:t>
      </w:r>
    </w:p>
    <w:p>
      <w:pPr>
        <w:pStyle w:val="Normal76"/>
        <w:spacing w:before="60" w:after="60"/>
        <w:jc w:val="both"/>
        <w:rPr>
          <w:rFonts w:ascii="Arial" w:hAnsi="Arial"/>
          <w:noProof/>
          <w:sz w:val="16"/>
          <w:szCs w:val="16"/>
        </w:rPr>
      </w:pPr>
      <w:r>
        <w:rPr>
          <w:rFonts w:ascii="Arial" w:hAnsi="Arial"/>
          <w:noProof/>
          <w:sz w:val="16"/>
          <w:szCs w:val="16"/>
        </w:rPr>
        <w:t> </w:t>
      </w:r>
    </w:p>
    <w:p>
      <w:pPr>
        <w:pStyle w:val="Normal76"/>
        <w:tabs>
          <w:tab w:val="left" w:pos="1800"/>
        </w:tabs>
        <w:spacing w:before="60"/>
        <w:jc w:val="both"/>
        <w:rPr>
          <w:rFonts w:ascii="Arial" w:hAnsi="Arial"/>
          <w:noProof/>
          <w:sz w:val="16"/>
          <w:szCs w:val="16"/>
        </w:rPr>
      </w:pPr>
      <w:r>
        <w:rPr>
          <w:rFonts w:ascii="Arial" w:hAnsi="Arial"/>
          <w:noProof/>
          <w:sz w:val="16"/>
          <w:szCs w:val="16"/>
        </w:rPr>
        <w:t>Šios finansinės ataskaitos apima laikotarpį nuo 2019 m. sausio 1 d. iki 2019 m. gruodžio 31 d.</w:t>
      </w:r>
    </w:p>
    <w:p>
      <w:pPr>
        <w:pStyle w:val="Normal76"/>
        <w:tabs>
          <w:tab w:val="left" w:pos="1800"/>
        </w:tabs>
        <w:spacing w:before="60"/>
        <w:jc w:val="both"/>
        <w:rPr>
          <w:rFonts w:ascii="Arial" w:hAnsi="Arial"/>
          <w:noProof/>
          <w:sz w:val="16"/>
          <w:szCs w:val="16"/>
        </w:rPr>
      </w:pPr>
    </w:p>
    <w:p>
      <w:pPr>
        <w:pStyle w:val="Normal76"/>
        <w:spacing w:after="60"/>
        <w:jc w:val="both"/>
        <w:rPr>
          <w:rFonts w:ascii="Arial" w:hAnsi="Arial"/>
          <w:noProof/>
          <w:sz w:val="16"/>
          <w:szCs w:val="16"/>
        </w:rPr>
      </w:pPr>
      <w:r>
        <w:rPr>
          <w:rFonts w:ascii="Arial" w:hAnsi="Arial"/>
          <w:noProof/>
          <w:sz w:val="16"/>
          <w:szCs w:val="16"/>
        </w:rPr>
        <w:t>EIB valdymo komiteto siūlymu 2020 m. kovo 12 d. EIB direktorių valdyba priėmė finansines ataskaitas ir leido jas pateikti Valdytojų tarybai tvirtinti iki 2020 m. balandžio 24 d.</w:t>
      </w:r>
    </w:p>
    <w:p>
      <w:pPr>
        <w:pStyle w:val="Normal76"/>
        <w:spacing w:before="60" w:after="60"/>
        <w:jc w:val="both"/>
        <w:rPr>
          <w:rFonts w:ascii="Arial" w:hAnsi="Arial"/>
          <w:noProof/>
          <w:sz w:val="16"/>
          <w:szCs w:val="16"/>
        </w:rPr>
      </w:pPr>
    </w:p>
    <w:p>
      <w:pPr>
        <w:pStyle w:val="Notes2"/>
        <w:numPr>
          <w:ilvl w:val="0"/>
          <w:numId w:val="0"/>
        </w:numPr>
        <w:ind w:left="432" w:hanging="432"/>
        <w:rPr>
          <w:noProof/>
        </w:rPr>
      </w:pPr>
      <w:r>
        <w:rPr>
          <w:noProof/>
        </w:rPr>
        <w:t>2.</w:t>
      </w:r>
      <w:r>
        <w:rPr>
          <w:noProof/>
        </w:rPr>
        <w:tab/>
        <w:t>Svarbiausi apskaitos politikos principai</w:t>
      </w:r>
    </w:p>
    <w:p>
      <w:pPr>
        <w:pStyle w:val="Title116"/>
        <w:numPr>
          <w:ilvl w:val="0"/>
          <w:numId w:val="0"/>
        </w:numPr>
        <w:rPr>
          <w:noProof/>
          <w:sz w:val="16"/>
          <w:szCs w:val="16"/>
        </w:rPr>
      </w:pPr>
      <w:r>
        <w:rPr>
          <w:noProof/>
          <w:sz w:val="16"/>
          <w:szCs w:val="16"/>
        </w:rPr>
        <w:t>2.</w:t>
      </w:r>
    </w:p>
    <w:p>
      <w:pPr>
        <w:pStyle w:val="Title110"/>
        <w:numPr>
          <w:ilvl w:val="1"/>
          <w:numId w:val="31"/>
        </w:numPr>
        <w:rPr>
          <w:b/>
          <w:noProof/>
          <w:sz w:val="16"/>
          <w:szCs w:val="16"/>
        </w:rPr>
      </w:pPr>
      <w:r>
        <w:rPr>
          <w:b/>
          <w:noProof/>
          <w:sz w:val="16"/>
          <w:szCs w:val="16"/>
        </w:rPr>
        <w:t>.Ataskaitų rengimo pagrindas – atitikties patvirtinimas</w:t>
      </w:r>
    </w:p>
    <w:p>
      <w:pPr>
        <w:pStyle w:val="Title110"/>
        <w:numPr>
          <w:ilvl w:val="0"/>
          <w:numId w:val="0"/>
        </w:numPr>
        <w:spacing w:after="60"/>
        <w:rPr>
          <w:noProof/>
          <w:sz w:val="16"/>
          <w:szCs w:val="16"/>
        </w:rPr>
      </w:pPr>
    </w:p>
    <w:p>
      <w:pPr>
        <w:pStyle w:val="Normal77"/>
        <w:spacing w:before="60"/>
        <w:jc w:val="both"/>
        <w:rPr>
          <w:rFonts w:ascii="Arial" w:hAnsi="Arial"/>
          <w:noProof/>
          <w:sz w:val="16"/>
          <w:szCs w:val="16"/>
        </w:rPr>
      </w:pPr>
      <w:r>
        <w:rPr>
          <w:rFonts w:ascii="Arial" w:hAnsi="Arial"/>
          <w:noProof/>
          <w:sz w:val="16"/>
          <w:szCs w:val="16"/>
        </w:rPr>
        <w:t xml:space="preserve">Priemonės finansinės ataskaitos parengtos pagal Europos Sąjungos priimtus Tarptautinius finansinės atskaitomybės standartus (TFAS). </w:t>
      </w:r>
    </w:p>
    <w:p>
      <w:pPr>
        <w:pStyle w:val="Title110"/>
        <w:numPr>
          <w:ilvl w:val="0"/>
          <w:numId w:val="0"/>
        </w:numPr>
        <w:spacing w:before="60" w:after="60"/>
        <w:ind w:left="360" w:hanging="360"/>
        <w:rPr>
          <w:noProof/>
          <w:sz w:val="16"/>
          <w:szCs w:val="16"/>
        </w:rPr>
      </w:pPr>
    </w:p>
    <w:p>
      <w:pPr>
        <w:pStyle w:val="Title110"/>
        <w:numPr>
          <w:ilvl w:val="1"/>
          <w:numId w:val="32"/>
        </w:numPr>
        <w:rPr>
          <w:b/>
          <w:noProof/>
          <w:sz w:val="16"/>
          <w:szCs w:val="16"/>
        </w:rPr>
      </w:pPr>
      <w:r>
        <w:rPr>
          <w:b/>
          <w:noProof/>
          <w:sz w:val="16"/>
          <w:szCs w:val="16"/>
        </w:rPr>
        <w:t>Svarbiausi apskaitos sprendimai ir įverčiai</w:t>
      </w:r>
    </w:p>
    <w:p>
      <w:pPr>
        <w:pStyle w:val="Title110"/>
        <w:numPr>
          <w:ilvl w:val="0"/>
          <w:numId w:val="0"/>
        </w:numPr>
        <w:spacing w:after="60"/>
        <w:rPr>
          <w:noProof/>
          <w:sz w:val="16"/>
          <w:szCs w:val="16"/>
        </w:rPr>
      </w:pPr>
    </w:p>
    <w:p>
      <w:pPr>
        <w:pStyle w:val="Normal77"/>
        <w:spacing w:before="60" w:after="60"/>
        <w:jc w:val="both"/>
        <w:rPr>
          <w:rFonts w:ascii="Arial" w:hAnsi="Arial"/>
          <w:noProof/>
          <w:sz w:val="16"/>
          <w:szCs w:val="16"/>
        </w:rPr>
      </w:pPr>
      <w:r>
        <w:rPr>
          <w:rFonts w:ascii="Arial" w:hAnsi="Arial"/>
          <w:noProof/>
          <w:sz w:val="16"/>
          <w:szCs w:val="16"/>
        </w:rPr>
        <w:t>Rengiant finansines ataskaitas būtina naudoti apskaitos įverčius. Taip pat reikalaujama, kad Banko vadovybė pati nuspręstų dėl Investicinės priemonės apskaitos politikos taikymo. Svarbesni arba sudėtingesni sprendimai bei finansinėms ataskaitoms svarbios prielaidos ir įverčiai atskleidžiami vėliau.</w:t>
      </w:r>
    </w:p>
    <w:p>
      <w:pPr>
        <w:rPr>
          <w:rFonts w:ascii="Arial" w:hAnsi="Arial"/>
          <w:noProof/>
          <w:sz w:val="16"/>
          <w:szCs w:val="16"/>
        </w:rPr>
      </w:pPr>
    </w:p>
    <w:p>
      <w:pPr>
        <w:pStyle w:val="NotesText0"/>
        <w:spacing w:before="60" w:line="240" w:lineRule="auto"/>
        <w:rPr>
          <w:rFonts w:cs="Times New Roman"/>
          <w:noProof/>
          <w:sz w:val="16"/>
          <w:szCs w:val="16"/>
        </w:rPr>
      </w:pPr>
      <w:r>
        <w:rPr>
          <w:noProof/>
          <w:sz w:val="16"/>
          <w:szCs w:val="16"/>
        </w:rPr>
        <w:t>Sprendimai ir įverčiai daugiausia taikomi toliau nurodytose srityse.</w:t>
      </w:r>
    </w:p>
    <w:p>
      <w:pPr>
        <w:rPr>
          <w:noProof/>
          <w:sz w:val="16"/>
        </w:rPr>
      </w:pPr>
      <w:r>
        <w:rPr>
          <w:noProof/>
        </w:rPr>
        <w:br w:type="page"/>
      </w:r>
    </w:p>
    <w:p>
      <w:pPr>
        <w:pStyle w:val="Normal77"/>
        <w:numPr>
          <w:ilvl w:val="0"/>
          <w:numId w:val="33"/>
        </w:numPr>
        <w:spacing w:before="60" w:after="60"/>
        <w:jc w:val="both"/>
        <w:rPr>
          <w:b/>
          <w:noProof/>
          <w:sz w:val="16"/>
          <w:szCs w:val="16"/>
        </w:rPr>
      </w:pPr>
      <w:r>
        <w:rPr>
          <w:rFonts w:ascii="Arial" w:hAnsi="Arial"/>
          <w:b/>
          <w:noProof/>
          <w:sz w:val="16"/>
          <w:szCs w:val="16"/>
        </w:rPr>
        <w:t>Finansinių priemonių tikrosios vertės nustatymas</w:t>
      </w:r>
    </w:p>
    <w:p>
      <w:pPr>
        <w:pStyle w:val="Normal77"/>
        <w:widowControl w:val="0"/>
        <w:autoSpaceDE w:val="0"/>
        <w:spacing w:before="60" w:after="60"/>
        <w:jc w:val="both"/>
        <w:rPr>
          <w:rFonts w:ascii="Arial" w:hAnsi="Arial"/>
          <w:noProof/>
          <w:sz w:val="16"/>
          <w:szCs w:val="16"/>
        </w:rPr>
      </w:pPr>
    </w:p>
    <w:p>
      <w:pPr>
        <w:pStyle w:val="Normal77"/>
        <w:widowControl w:val="0"/>
        <w:autoSpaceDE w:val="0"/>
        <w:spacing w:before="60" w:after="60"/>
        <w:jc w:val="both"/>
        <w:rPr>
          <w:rFonts w:ascii="Arial" w:hAnsi="Arial"/>
          <w:noProof/>
          <w:sz w:val="16"/>
          <w:szCs w:val="16"/>
        </w:rPr>
      </w:pPr>
      <w:r>
        <w:rPr>
          <w:rFonts w:ascii="Arial" w:hAnsi="Arial"/>
          <w:noProof/>
          <w:sz w:val="16"/>
          <w:szCs w:val="16"/>
        </w:rPr>
        <w:t>Finansinio turto (FT) ir finansinių įsipareigojimų (FĮ), kuriais prekiaujama aktyviosiose rinkose, tikroji vertė yra grindžiama kotiruojamomis rinkos kainomis arba finansų maklerių pateiktomis kainomis. Jei tikrosios vertės aktyviosiose rinkose negalima nustatyti, ji nustatoma taikant įvairius vertinimo metodus, įskaitant matematinius modelius. Šių modelių duomenys, jei įmanoma, gaunami iš stebimų rinkų, tačiau, jei tai neįmanoma, nustatant tikrąsias vertes reikia priimti tam tikrą sprendimą. Vertinimai skirstomi į įvairius lygius tikrosios vertės hierarchijoje remiantis duomenimis, naudojamais taikant vertinimo metodus, kaip aprašyta ir atskleista 2.4.2 ir 4 pastabose.</w:t>
      </w:r>
    </w:p>
    <w:p>
      <w:pPr>
        <w:pStyle w:val="Normal77"/>
        <w:widowControl w:val="0"/>
        <w:autoSpaceDE w:val="0"/>
        <w:spacing w:before="60" w:after="60"/>
        <w:jc w:val="both"/>
        <w:rPr>
          <w:rFonts w:ascii="Arial" w:hAnsi="Arial"/>
          <w:noProof/>
          <w:sz w:val="16"/>
          <w:szCs w:val="16"/>
        </w:rPr>
      </w:pPr>
    </w:p>
    <w:p>
      <w:pPr>
        <w:pStyle w:val="Normal77"/>
        <w:numPr>
          <w:ilvl w:val="0"/>
          <w:numId w:val="33"/>
        </w:numPr>
        <w:spacing w:before="60" w:after="60"/>
        <w:jc w:val="both"/>
        <w:rPr>
          <w:rFonts w:ascii="Arial" w:hAnsi="Arial"/>
          <w:b/>
          <w:noProof/>
          <w:sz w:val="16"/>
          <w:szCs w:val="16"/>
        </w:rPr>
      </w:pPr>
      <w:r>
        <w:rPr>
          <w:rFonts w:ascii="Arial" w:hAnsi="Arial"/>
          <w:b/>
          <w:noProof/>
          <w:sz w:val="16"/>
          <w:szCs w:val="16"/>
        </w:rPr>
        <w:t>Nuostoliai dėl paskolų ir išankstinių mokėjimų vertės sumažėjimo</w:t>
      </w:r>
    </w:p>
    <w:p>
      <w:pPr>
        <w:pStyle w:val="Normal77"/>
        <w:spacing w:before="60" w:after="60"/>
        <w:ind w:left="431"/>
        <w:jc w:val="both"/>
        <w:rPr>
          <w:rFonts w:ascii="Arial" w:hAnsi="Arial"/>
          <w:b/>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szCs w:val="16"/>
        </w:rPr>
        <w:t>Tikėtiniems kredito nuostoliams apskaičiuoti reikia, kad vadovybė taikytų svarbius sprendimus, visų pirma įvertintų reikšmingą kredito rizikos padidėjimą nuo pirminio pripažinimo, įtrauktų į ateitį orientuotą informaciją ir toliau apskaičiuotų būsimų pinigų srautų ir užtikrinimo priemonių verčių sumą ir laiką, kai nustatomi vertės sumažėjimo nuostoliai. Šiuos įverčius lemia įvairūs veiksniai, dėl kurių pokyčių gali labai keistis galimų pripažintinų kredito nuostolių laikas ir suma (2.4.2 pastaba).</w:t>
      </w:r>
    </w:p>
    <w:p>
      <w:pPr>
        <w:rPr>
          <w:rFonts w:ascii="Arial" w:hAnsi="Arial"/>
          <w:b/>
          <w:noProof/>
          <w:sz w:val="16"/>
          <w:szCs w:val="16"/>
        </w:rPr>
      </w:pPr>
    </w:p>
    <w:p>
      <w:pPr>
        <w:pStyle w:val="Normal77"/>
        <w:numPr>
          <w:ilvl w:val="0"/>
          <w:numId w:val="33"/>
        </w:numPr>
        <w:spacing w:before="60" w:after="60"/>
        <w:jc w:val="both"/>
        <w:rPr>
          <w:rFonts w:ascii="Arial" w:hAnsi="Arial"/>
          <w:b/>
          <w:noProof/>
          <w:sz w:val="16"/>
          <w:szCs w:val="16"/>
        </w:rPr>
      </w:pPr>
      <w:r>
        <w:rPr>
          <w:rFonts w:ascii="Arial" w:hAnsi="Arial"/>
          <w:b/>
          <w:noProof/>
          <w:sz w:val="16"/>
          <w:szCs w:val="16"/>
        </w:rPr>
        <w:t>Investicijų į nekotiruojamus nuosavybės vertybinius popierius vertinimas</w:t>
      </w:r>
    </w:p>
    <w:p>
      <w:pPr>
        <w:pStyle w:val="Normal77"/>
        <w:widowControl w:val="0"/>
        <w:autoSpaceDE w:val="0"/>
        <w:spacing w:before="60" w:after="60"/>
        <w:jc w:val="both"/>
        <w:rPr>
          <w:rFonts w:ascii="Arial" w:hAnsi="Arial"/>
          <w:noProof/>
          <w:sz w:val="16"/>
          <w:szCs w:val="16"/>
        </w:rPr>
      </w:pPr>
    </w:p>
    <w:p>
      <w:pPr>
        <w:pStyle w:val="Normal77"/>
        <w:widowControl w:val="0"/>
        <w:autoSpaceDE w:val="0"/>
        <w:spacing w:before="60" w:after="60"/>
        <w:jc w:val="both"/>
        <w:rPr>
          <w:rFonts w:ascii="Arial" w:hAnsi="Arial"/>
          <w:noProof/>
          <w:sz w:val="16"/>
          <w:szCs w:val="16"/>
        </w:rPr>
      </w:pPr>
      <w:r>
        <w:rPr>
          <w:rFonts w:ascii="Arial" w:hAnsi="Arial"/>
          <w:noProof/>
          <w:sz w:val="16"/>
          <w:szCs w:val="16"/>
        </w:rPr>
        <w:t xml:space="preserve">Investicijų į nekotiruojamus nuosavybės vertybinius popierius vertinimas paprastai grindžiamas vienu iš šių veiksnių: </w:t>
      </w:r>
    </w:p>
    <w:p>
      <w:pPr>
        <w:pStyle w:val="Normal77"/>
        <w:widowControl w:val="0"/>
        <w:autoSpaceDE w:val="0"/>
        <w:spacing w:before="60" w:after="60"/>
        <w:jc w:val="both"/>
        <w:rPr>
          <w:rFonts w:ascii="Arial" w:hAnsi="Arial"/>
          <w:noProof/>
          <w:sz w:val="16"/>
          <w:szCs w:val="16"/>
        </w:rPr>
      </w:pPr>
    </w:p>
    <w:p>
      <w:pPr>
        <w:pStyle w:val="Normal77"/>
        <w:widowControl w:val="0"/>
        <w:numPr>
          <w:ilvl w:val="0"/>
          <w:numId w:val="34"/>
        </w:numPr>
        <w:autoSpaceDE w:val="0"/>
        <w:spacing w:before="60" w:after="60"/>
        <w:jc w:val="both"/>
        <w:rPr>
          <w:rFonts w:ascii="Arial" w:hAnsi="Arial"/>
          <w:noProof/>
          <w:sz w:val="16"/>
          <w:szCs w:val="16"/>
        </w:rPr>
      </w:pPr>
      <w:r>
        <w:rPr>
          <w:rFonts w:ascii="Arial" w:hAnsi="Arial"/>
          <w:noProof/>
          <w:sz w:val="16"/>
          <w:szCs w:val="16"/>
        </w:rPr>
        <w:t xml:space="preserve">naujausiomis rinkos operacijomis tarp lygiaverčių šalių, </w:t>
      </w:r>
    </w:p>
    <w:p>
      <w:pPr>
        <w:pStyle w:val="Normal77"/>
        <w:widowControl w:val="0"/>
        <w:numPr>
          <w:ilvl w:val="0"/>
          <w:numId w:val="34"/>
        </w:numPr>
        <w:autoSpaceDE w:val="0"/>
        <w:spacing w:before="60" w:after="60"/>
        <w:jc w:val="both"/>
        <w:rPr>
          <w:rFonts w:ascii="Arial" w:hAnsi="Arial"/>
          <w:noProof/>
          <w:sz w:val="16"/>
          <w:szCs w:val="16"/>
        </w:rPr>
      </w:pPr>
      <w:r>
        <w:rPr>
          <w:rFonts w:ascii="Arial" w:hAnsi="Arial"/>
          <w:noProof/>
          <w:sz w:val="16"/>
          <w:szCs w:val="16"/>
        </w:rPr>
        <w:t xml:space="preserve">kitos priemonės, kuri iš esmės yra tokia pati, dabartine tikrąja verte, </w:t>
      </w:r>
    </w:p>
    <w:p>
      <w:pPr>
        <w:pStyle w:val="Normal77"/>
        <w:widowControl w:val="0"/>
        <w:numPr>
          <w:ilvl w:val="0"/>
          <w:numId w:val="34"/>
        </w:numPr>
        <w:autoSpaceDE w:val="0"/>
        <w:spacing w:before="60" w:after="60"/>
        <w:jc w:val="both"/>
        <w:rPr>
          <w:rFonts w:ascii="Arial" w:hAnsi="Arial"/>
          <w:noProof/>
          <w:sz w:val="16"/>
          <w:szCs w:val="16"/>
        </w:rPr>
      </w:pPr>
      <w:r>
        <w:rPr>
          <w:rFonts w:ascii="Arial" w:hAnsi="Arial"/>
          <w:noProof/>
          <w:sz w:val="16"/>
          <w:szCs w:val="16"/>
        </w:rPr>
        <w:t xml:space="preserve">tikėtinais pinigų srautais, diskontuotais dabartinėmis normomis, taikomomis panašių terminų ir panašios rizikos priemonėms, </w:t>
      </w:r>
    </w:p>
    <w:p>
      <w:pPr>
        <w:pStyle w:val="Normal77"/>
        <w:widowControl w:val="0"/>
        <w:numPr>
          <w:ilvl w:val="0"/>
          <w:numId w:val="34"/>
        </w:numPr>
        <w:autoSpaceDE w:val="0"/>
        <w:spacing w:before="60" w:after="60"/>
        <w:jc w:val="both"/>
        <w:rPr>
          <w:rFonts w:ascii="Arial" w:hAnsi="Arial"/>
          <w:noProof/>
          <w:sz w:val="16"/>
          <w:szCs w:val="16"/>
        </w:rPr>
      </w:pPr>
      <w:r>
        <w:rPr>
          <w:rFonts w:ascii="Arial" w:hAnsi="Arial"/>
          <w:noProof/>
          <w:sz w:val="16"/>
          <w:szCs w:val="16"/>
        </w:rPr>
        <w:t xml:space="preserve">patikslintos grynosios vertės metodu arba </w:t>
      </w:r>
    </w:p>
    <w:p>
      <w:pPr>
        <w:pStyle w:val="Normal77"/>
        <w:widowControl w:val="0"/>
        <w:numPr>
          <w:ilvl w:val="0"/>
          <w:numId w:val="34"/>
        </w:numPr>
        <w:autoSpaceDE w:val="0"/>
        <w:spacing w:before="60" w:after="60"/>
        <w:jc w:val="both"/>
        <w:rPr>
          <w:rFonts w:ascii="Arial" w:hAnsi="Arial"/>
          <w:noProof/>
          <w:sz w:val="16"/>
          <w:szCs w:val="16"/>
        </w:rPr>
      </w:pPr>
      <w:r>
        <w:rPr>
          <w:rFonts w:ascii="Arial" w:hAnsi="Arial"/>
          <w:noProof/>
          <w:sz w:val="16"/>
          <w:szCs w:val="16"/>
        </w:rPr>
        <w:t>kitais vertinimo modeliais.</w:t>
      </w:r>
    </w:p>
    <w:p>
      <w:pPr>
        <w:pStyle w:val="Normal77"/>
        <w:widowControl w:val="0"/>
        <w:autoSpaceDE w:val="0"/>
        <w:spacing w:before="60" w:after="60"/>
        <w:jc w:val="both"/>
        <w:rPr>
          <w:rFonts w:ascii="Arial" w:hAnsi="Arial"/>
          <w:noProof/>
          <w:sz w:val="16"/>
          <w:szCs w:val="16"/>
        </w:rPr>
      </w:pPr>
    </w:p>
    <w:p>
      <w:pPr>
        <w:pStyle w:val="Normal77"/>
        <w:widowControl w:val="0"/>
        <w:autoSpaceDE w:val="0"/>
        <w:spacing w:before="60" w:after="60"/>
        <w:jc w:val="both"/>
        <w:rPr>
          <w:rFonts w:ascii="Arial" w:hAnsi="Arial"/>
          <w:noProof/>
          <w:sz w:val="16"/>
          <w:szCs w:val="16"/>
        </w:rPr>
      </w:pPr>
      <w:r>
        <w:rPr>
          <w:rFonts w:ascii="Arial" w:hAnsi="Arial"/>
          <w:noProof/>
          <w:sz w:val="16"/>
          <w:szCs w:val="16"/>
        </w:rPr>
        <w:t>Norint nustatyti investicijų į nekotiruojamus nuosavybės vertybinius popierius pinigų srautus ir diskonto veiksnius, reikia atlikti reikšmingą įvertinimą. Taikant Priemonę periodiškai tikrinami vertinimo metodai bei jų galiojimas, taikant stebimų dabartinių rinkų operacijų ta pačia priemone kainą arba kainą, kuri grindžiama kitais turimais stebimais rinkos duomenimis.</w:t>
      </w:r>
    </w:p>
    <w:p>
      <w:pPr>
        <w:pStyle w:val="Normal77"/>
        <w:widowControl w:val="0"/>
        <w:autoSpaceDE w:val="0"/>
        <w:spacing w:before="60" w:after="60"/>
        <w:jc w:val="both"/>
        <w:rPr>
          <w:rFonts w:ascii="Arial" w:hAnsi="Arial"/>
          <w:noProof/>
          <w:sz w:val="16"/>
          <w:szCs w:val="16"/>
        </w:rPr>
      </w:pPr>
    </w:p>
    <w:p>
      <w:pPr>
        <w:pStyle w:val="Normal77"/>
        <w:numPr>
          <w:ilvl w:val="0"/>
          <w:numId w:val="33"/>
        </w:numPr>
        <w:spacing w:before="60" w:after="60"/>
        <w:jc w:val="both"/>
        <w:rPr>
          <w:rFonts w:ascii="Arial" w:hAnsi="Arial"/>
          <w:b/>
          <w:noProof/>
          <w:sz w:val="16"/>
          <w:szCs w:val="16"/>
        </w:rPr>
      </w:pPr>
      <w:r>
        <w:rPr>
          <w:rFonts w:ascii="Arial" w:hAnsi="Arial"/>
          <w:b/>
          <w:noProof/>
          <w:sz w:val="16"/>
          <w:szCs w:val="16"/>
        </w:rPr>
        <w:t xml:space="preserve">Subjektų, kuriuose Priemonė turi dalių, konsolidavimas </w:t>
      </w:r>
    </w:p>
    <w:p>
      <w:pPr>
        <w:pStyle w:val="Normal77"/>
        <w:widowControl w:val="0"/>
        <w:autoSpaceDE w:val="0"/>
        <w:spacing w:before="60" w:after="60"/>
        <w:jc w:val="both"/>
        <w:rPr>
          <w:rFonts w:ascii="Arial" w:hAnsi="Arial"/>
          <w:noProof/>
          <w:sz w:val="16"/>
          <w:szCs w:val="16"/>
        </w:rPr>
      </w:pPr>
    </w:p>
    <w:p>
      <w:pPr>
        <w:pStyle w:val="Normal77"/>
        <w:widowControl w:val="0"/>
        <w:autoSpaceDE w:val="0"/>
        <w:spacing w:before="60" w:after="60"/>
        <w:jc w:val="both"/>
        <w:rPr>
          <w:rFonts w:ascii="Arial" w:hAnsi="Arial"/>
          <w:noProof/>
          <w:sz w:val="16"/>
          <w:szCs w:val="16"/>
        </w:rPr>
      </w:pPr>
      <w:r>
        <w:rPr>
          <w:rFonts w:ascii="Arial" w:hAnsi="Arial"/>
          <w:noProof/>
          <w:sz w:val="16"/>
          <w:szCs w:val="16"/>
        </w:rPr>
        <w:t>Taikant Priemonę priimti svarbūs sprendimai, kad subjektai, kuriuose Priemonė turi dalių, nebūtų kontroliuojami tos Priemonės. Taip yra dėl to, kad visuose tokiuose subjektuose arba bendrasis partneris, arba fondo valdytojas ar valdyba yra vieninteliai atsakingi už partnerystės reikalų ir veiklos valdymą ir kontrolę ir yra įgalioti atlikti visus reikiamus veiksmus, kad pasiektų partnerystės tikslą ir įvykdytų uždavinius, laikydamiesi investavimo ir politikos gairių.</w:t>
      </w:r>
    </w:p>
    <w:p>
      <w:pPr>
        <w:pStyle w:val="Normal77"/>
        <w:widowControl w:val="0"/>
        <w:autoSpaceDE w:val="0"/>
        <w:spacing w:before="60" w:after="60"/>
        <w:jc w:val="both"/>
        <w:rPr>
          <w:rFonts w:ascii="Arial" w:hAnsi="Arial"/>
          <w:noProof/>
          <w:sz w:val="16"/>
          <w:szCs w:val="16"/>
        </w:rPr>
      </w:pPr>
    </w:p>
    <w:p>
      <w:pPr>
        <w:pStyle w:val="Title110"/>
        <w:numPr>
          <w:ilvl w:val="1"/>
          <w:numId w:val="35"/>
        </w:numPr>
        <w:rPr>
          <w:b/>
          <w:noProof/>
          <w:sz w:val="16"/>
          <w:szCs w:val="16"/>
        </w:rPr>
      </w:pPr>
      <w:r>
        <w:rPr>
          <w:b/>
          <w:noProof/>
          <w:sz w:val="16"/>
          <w:szCs w:val="16"/>
        </w:rPr>
        <w:t>Apskaitos politikos pokyčiai</w:t>
      </w:r>
    </w:p>
    <w:p>
      <w:pPr>
        <w:pStyle w:val="Title110"/>
        <w:numPr>
          <w:ilvl w:val="0"/>
          <w:numId w:val="0"/>
        </w:numPr>
        <w:spacing w:after="60"/>
        <w:rPr>
          <w:noProof/>
          <w:sz w:val="16"/>
          <w:szCs w:val="16"/>
        </w:rPr>
      </w:pPr>
    </w:p>
    <w:p>
      <w:pPr>
        <w:pStyle w:val="Title110"/>
        <w:numPr>
          <w:ilvl w:val="0"/>
          <w:numId w:val="0"/>
        </w:numPr>
        <w:spacing w:before="60" w:after="60"/>
        <w:rPr>
          <w:rFonts w:cs="Arial"/>
          <w:noProof/>
          <w:sz w:val="16"/>
          <w:szCs w:val="16"/>
        </w:rPr>
      </w:pPr>
      <w:r>
        <w:rPr>
          <w:noProof/>
          <w:sz w:val="16"/>
          <w:szCs w:val="16"/>
        </w:rPr>
        <w:t>Išskyrus toliau nurodytus pokyčius, taikant Priemonę visais šiose finansinėse ataskaitoje pateiktiems laikotarpiais buvo nuosekliai laikomasi 2.4 pastaboje nustatytos politikos. Taikant Priemonę priimti toliau nurodyti nauji standartai ir standartų pataisos.</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b/>
          <w:noProof/>
          <w:sz w:val="16"/>
          <w:szCs w:val="16"/>
        </w:rPr>
      </w:pPr>
      <w:r>
        <w:rPr>
          <w:b/>
          <w:noProof/>
          <w:sz w:val="16"/>
          <w:szCs w:val="16"/>
        </w:rPr>
        <w:t>Priimti standartai</w:t>
      </w:r>
    </w:p>
    <w:p>
      <w:pPr>
        <w:pStyle w:val="Title110"/>
        <w:numPr>
          <w:ilvl w:val="0"/>
          <w:numId w:val="0"/>
        </w:numPr>
        <w:spacing w:before="60" w:after="60"/>
        <w:rPr>
          <w:rFonts w:cs="Arial"/>
          <w:b/>
          <w:noProof/>
          <w:sz w:val="16"/>
          <w:szCs w:val="16"/>
        </w:rPr>
      </w:pPr>
    </w:p>
    <w:p>
      <w:pPr>
        <w:pStyle w:val="Normal90"/>
        <w:widowControl w:val="0"/>
        <w:autoSpaceDE w:val="0"/>
        <w:spacing w:before="60" w:after="60"/>
        <w:jc w:val="both"/>
        <w:rPr>
          <w:rFonts w:ascii="Arial" w:hAnsi="Arial" w:cs="Arial"/>
          <w:noProof/>
          <w:sz w:val="16"/>
          <w:szCs w:val="16"/>
        </w:rPr>
      </w:pPr>
      <w:r>
        <w:rPr>
          <w:rFonts w:ascii="Arial" w:hAnsi="Arial"/>
          <w:noProof/>
          <w:sz w:val="16"/>
          <w:szCs w:val="16"/>
        </w:rPr>
        <w:t>Nuo 2019 m. sausio 1 d. Priemonės finansinėms ataskaitoms taikomi toliau nurodyti aiškinimai, taip pat esamų standartų pakeitimai ir peržiūrėtos nuostatos:</w:t>
      </w:r>
    </w:p>
    <w:p>
      <w:pPr>
        <w:pStyle w:val="Title110"/>
        <w:numPr>
          <w:ilvl w:val="0"/>
          <w:numId w:val="0"/>
        </w:numPr>
        <w:spacing w:before="60" w:after="60"/>
        <w:rPr>
          <w:rFonts w:cs="Arial"/>
          <w:b/>
          <w:noProof/>
          <w:sz w:val="16"/>
          <w:szCs w:val="16"/>
        </w:rPr>
      </w:pPr>
    </w:p>
    <w:p>
      <w:pPr>
        <w:pStyle w:val="Normal100"/>
        <w:keepNext/>
        <w:autoSpaceDE w:val="0"/>
        <w:autoSpaceDN w:val="0"/>
        <w:rPr>
          <w:rFonts w:cs="Arial"/>
          <w:i/>
          <w:noProof/>
          <w:sz w:val="16"/>
          <w:szCs w:val="16"/>
        </w:rPr>
      </w:pPr>
      <w:r>
        <w:rPr>
          <w:i/>
          <w:noProof/>
          <w:sz w:val="16"/>
          <w:szCs w:val="16"/>
        </w:rPr>
        <w:t>16-asis TFAS „Nuoma“</w:t>
      </w:r>
    </w:p>
    <w:p>
      <w:pPr>
        <w:pStyle w:val="Normal100"/>
        <w:keepNext/>
        <w:autoSpaceDE w:val="0"/>
        <w:autoSpaceDN w:val="0"/>
        <w:rPr>
          <w:rFonts w:cs="Arial"/>
          <w:i/>
          <w:noProof/>
          <w:sz w:val="16"/>
          <w:szCs w:val="16"/>
        </w:rPr>
      </w:pPr>
    </w:p>
    <w:p>
      <w:pPr>
        <w:pStyle w:val="Normal100"/>
        <w:spacing w:before="60" w:after="60" w:line="240" w:lineRule="auto"/>
        <w:rPr>
          <w:rFonts w:cs="Arial"/>
          <w:noProof/>
          <w:sz w:val="16"/>
          <w:szCs w:val="16"/>
          <w:bdr w:val="none" w:sz="0" w:space="0" w:color="auto" w:frame="1"/>
        </w:rPr>
      </w:pPr>
      <w:r>
        <w:rPr>
          <w:noProof/>
          <w:sz w:val="16"/>
          <w:szCs w:val="16"/>
          <w:bdr w:val="none" w:sz="0" w:space="0" w:color="auto" w:frame="1"/>
        </w:rPr>
        <w:t xml:space="preserve">16-asis TFAS pradedamas taikyti metiniams ataskaitiniams laikotarpiams, prasidedantiems 2019 m. sausio 1 d. arba vėliau, ir juo pakeičiami esami 17-ojo TAS nurodymai. Jį taikant beveik visos nuomos sutartys pripažįstamos balanse, nes panaikintas skirstymas į veiklos ir finansinę nuomą. Pagal naująjį standartą pripažįstamas turtas (teisė naudoti nuomojamą daiktą) ir finansinis įsipareigojimas mokėti nuomos mokesčius. Vienintelės išimtys yra trumpalaikė ir mažos vertės nuoma. Nuomotojų vykdoma apskaita labai nepasikeitė. </w:t>
      </w:r>
    </w:p>
    <w:p>
      <w:pPr>
        <w:pStyle w:val="Normal100"/>
        <w:spacing w:before="60" w:after="60" w:line="240" w:lineRule="auto"/>
        <w:rPr>
          <w:rFonts w:cs="Arial"/>
          <w:noProof/>
          <w:sz w:val="16"/>
          <w:szCs w:val="16"/>
          <w:bdr w:val="none" w:sz="0" w:space="0" w:color="auto" w:frame="1"/>
        </w:rPr>
      </w:pPr>
    </w:p>
    <w:p>
      <w:pPr>
        <w:pStyle w:val="Normal100"/>
        <w:spacing w:before="60" w:after="60" w:line="240" w:lineRule="auto"/>
        <w:rPr>
          <w:rFonts w:cs="Arial"/>
          <w:noProof/>
          <w:sz w:val="16"/>
          <w:szCs w:val="16"/>
          <w:bdr w:val="none" w:sz="0" w:space="0" w:color="auto" w:frame="1"/>
        </w:rPr>
      </w:pPr>
      <w:r>
        <w:rPr>
          <w:noProof/>
          <w:sz w:val="16"/>
          <w:szCs w:val="16"/>
          <w:bdr w:val="none" w:sz="0" w:space="0" w:color="auto" w:frame="1"/>
        </w:rPr>
        <w:t>Šis pokytis neturėjo reikšmingo poveikio priemonės finansinėms ataskaitoms.</w:t>
      </w:r>
    </w:p>
    <w:p>
      <w:pPr>
        <w:rPr>
          <w:rFonts w:ascii="Arial" w:hAnsi="Arial" w:cs="Arial"/>
          <w:noProof/>
          <w:sz w:val="16"/>
          <w:szCs w:val="16"/>
          <w:highlight w:val="yellow"/>
        </w:rPr>
      </w:pPr>
      <w:r>
        <w:rPr>
          <w:noProof/>
        </w:rPr>
        <w:br w:type="page"/>
      </w:r>
    </w:p>
    <w:p>
      <w:pPr>
        <w:pStyle w:val="Normal90"/>
        <w:widowControl w:val="0"/>
        <w:autoSpaceDE w:val="0"/>
        <w:spacing w:before="60"/>
        <w:jc w:val="both"/>
        <w:rPr>
          <w:rFonts w:ascii="Arial" w:hAnsi="Arial" w:cs="Arial"/>
          <w:i/>
          <w:noProof/>
          <w:sz w:val="16"/>
          <w:szCs w:val="16"/>
        </w:rPr>
      </w:pPr>
      <w:r>
        <w:rPr>
          <w:rFonts w:ascii="Arial" w:hAnsi="Arial"/>
          <w:i/>
          <w:noProof/>
          <w:sz w:val="16"/>
          <w:szCs w:val="16"/>
        </w:rPr>
        <w:t>Išankstinio mokėjimo savybės su neigiama kompensacija. 9-ojo TFAS pataisos</w:t>
      </w:r>
    </w:p>
    <w:p>
      <w:pPr>
        <w:pStyle w:val="Normal90"/>
        <w:widowControl w:val="0"/>
        <w:autoSpaceDE w:val="0"/>
        <w:spacing w:after="60"/>
        <w:jc w:val="both"/>
        <w:rPr>
          <w:rFonts w:ascii="Arial" w:hAnsi="Arial"/>
          <w:i/>
          <w:noProof/>
          <w:sz w:val="16"/>
        </w:rPr>
      </w:pPr>
    </w:p>
    <w:p>
      <w:pPr>
        <w:pStyle w:val="Normal90"/>
        <w:widowControl w:val="0"/>
        <w:autoSpaceDE w:val="0"/>
        <w:spacing w:before="60" w:after="60"/>
        <w:jc w:val="both"/>
        <w:rPr>
          <w:rFonts w:ascii="Arial" w:hAnsi="Arial" w:cs="Arial"/>
          <w:noProof/>
          <w:sz w:val="16"/>
          <w:szCs w:val="16"/>
        </w:rPr>
      </w:pPr>
      <w:r>
        <w:rPr>
          <w:rFonts w:ascii="Arial" w:hAnsi="Arial"/>
          <w:noProof/>
          <w:sz w:val="16"/>
          <w:szCs w:val="16"/>
        </w:rPr>
        <w:t>Pataisose paaiškinama, kad finansinis turtas atitinka tik pagrindinės sumos ir palūkanų mokėjimo (toliau – SPPI) kriterijų, nepriklausomai nuo įvykio ar aplinkybių, dėl kurių sutartis nutraukiama anksčiau laiko, ir nepriklausomai nuo to, kuri šalis moka arba gauna pagrįstą kompensaciją už sutarties nutraukimą anksčiau laiko. Pataisų išvadų pagrinde paaiškinta, kad sutartis gali būti nutraukta anksčiau laiko dėl sutarties sąlygos arba įvykio, kurio sutarties šalys negali kontroliuoti, pavyzdžiui, dėl įstatymų ar kitų teisės aktų pakeitimo, dėl kurio sutartį reikia nutraukti anksčiau laiko.</w:t>
      </w:r>
    </w:p>
    <w:p>
      <w:pPr>
        <w:pStyle w:val="Normal90"/>
        <w:widowControl w:val="0"/>
        <w:autoSpaceDE w:val="0"/>
        <w:spacing w:before="60" w:after="60"/>
        <w:jc w:val="both"/>
        <w:rPr>
          <w:rFonts w:ascii="Arial" w:hAnsi="Arial" w:cs="Arial"/>
          <w:noProof/>
          <w:sz w:val="16"/>
          <w:szCs w:val="16"/>
        </w:rPr>
      </w:pPr>
    </w:p>
    <w:p>
      <w:pPr>
        <w:pStyle w:val="Normal90"/>
        <w:widowControl w:val="0"/>
        <w:autoSpaceDE w:val="0"/>
        <w:spacing w:before="60" w:after="60"/>
        <w:jc w:val="both"/>
        <w:rPr>
          <w:rFonts w:ascii="Arial" w:hAnsi="Arial" w:cs="Arial"/>
          <w:noProof/>
          <w:sz w:val="16"/>
          <w:szCs w:val="16"/>
        </w:rPr>
      </w:pPr>
      <w:r>
        <w:rPr>
          <w:rFonts w:ascii="Arial" w:hAnsi="Arial"/>
          <w:noProof/>
          <w:sz w:val="16"/>
          <w:szCs w:val="16"/>
        </w:rPr>
        <w:t>Pataisų priėmimas reikšmingo poveikio Priemonės finansinėms ataskaitoms neturėjo.</w:t>
      </w:r>
    </w:p>
    <w:p>
      <w:pPr>
        <w:pStyle w:val="Normal90"/>
        <w:widowControl w:val="0"/>
        <w:autoSpaceDE w:val="0"/>
        <w:spacing w:before="60" w:after="60"/>
        <w:jc w:val="both"/>
        <w:rPr>
          <w:rFonts w:ascii="Arial" w:hAnsi="Arial" w:cs="Arial"/>
          <w:noProof/>
          <w:sz w:val="16"/>
          <w:szCs w:val="16"/>
          <w:highlight w:val="yellow"/>
        </w:rPr>
      </w:pPr>
    </w:p>
    <w:p>
      <w:pPr>
        <w:pStyle w:val="Normal900"/>
        <w:keepNext/>
        <w:spacing w:line="240" w:lineRule="auto"/>
        <w:rPr>
          <w:i/>
          <w:noProof/>
          <w:sz w:val="16"/>
        </w:rPr>
      </w:pPr>
      <w:r>
        <w:rPr>
          <w:i/>
          <w:noProof/>
          <w:sz w:val="16"/>
        </w:rPr>
        <w:t xml:space="preserve">Ilgalaikiai interesai asocijuotosiose įmonėse ir bendrose įmonėse (28-ojo TAS pataisos) </w:t>
      </w:r>
    </w:p>
    <w:p>
      <w:pPr>
        <w:pStyle w:val="Normal900"/>
        <w:keepNext/>
        <w:spacing w:after="60" w:line="240" w:lineRule="auto"/>
        <w:rPr>
          <w:i/>
          <w:noProof/>
          <w:sz w:val="16"/>
        </w:rPr>
      </w:pPr>
    </w:p>
    <w:p>
      <w:pPr>
        <w:pStyle w:val="Normal900"/>
        <w:keepNext/>
        <w:spacing w:line="240" w:lineRule="auto"/>
        <w:rPr>
          <w:noProof/>
          <w:sz w:val="16"/>
        </w:rPr>
      </w:pPr>
      <w:r>
        <w:rPr>
          <w:noProof/>
          <w:sz w:val="16"/>
        </w:rPr>
        <w:t>Pataisose paaiškinama, kad ūkio subjektas taiko 9-ąjį TFAS ilgalaikiams interesams asocijuotojoje ar bendroje įmonėje, kuriai nuosavybės metodas netaikomas, tačiau kurie iš esmės sudaro grynosios investicijos į asocijuotąją ar bendrą įmonę dalį (ilgalaikiai interesai). Šis paaiškinimas yra svarbus, nes tai reiškia, kad tokiems ilgalaikiams interesams taikomas 9-ajame TFAS nustatytas tikėtinų kredito nuostolių modelis.</w:t>
      </w:r>
    </w:p>
    <w:p>
      <w:pPr>
        <w:pStyle w:val="Normal90"/>
        <w:widowControl w:val="0"/>
        <w:autoSpaceDE w:val="0"/>
        <w:spacing w:before="60" w:after="60"/>
        <w:jc w:val="both"/>
        <w:rPr>
          <w:rFonts w:ascii="Arial" w:hAnsi="Arial" w:cs="Arial"/>
          <w:noProof/>
          <w:sz w:val="16"/>
          <w:szCs w:val="16"/>
          <w:highlight w:val="yellow"/>
        </w:rPr>
      </w:pPr>
    </w:p>
    <w:p>
      <w:pPr>
        <w:pStyle w:val="Normal90"/>
        <w:widowControl w:val="0"/>
        <w:autoSpaceDE w:val="0"/>
        <w:spacing w:before="60" w:after="60"/>
        <w:jc w:val="both"/>
        <w:rPr>
          <w:rFonts w:ascii="Arial" w:hAnsi="Arial" w:cs="Arial"/>
          <w:noProof/>
          <w:sz w:val="16"/>
          <w:szCs w:val="16"/>
        </w:rPr>
      </w:pPr>
      <w:r>
        <w:rPr>
          <w:rFonts w:ascii="Arial" w:hAnsi="Arial"/>
          <w:noProof/>
          <w:sz w:val="16"/>
          <w:szCs w:val="16"/>
        </w:rPr>
        <w:t>Pataisose taip pat paaiškinama, kad taikydamas 9-ąjį TFAS ūkio subjektas neatsižvelgia į asocijuotosios ar bendros įmonės nuostolius arba grynosios investicijos vertės sumažėjimo nuostolius, kurie pripažįstami kaip grynosios investicijos į asocijuotąją ar bendrą įmonę koregavimai, atsirandantys taikant 28-ąjį TAS „Investicijos į asocijuotąsias įmones ir bendras įmones“.</w:t>
      </w:r>
    </w:p>
    <w:p>
      <w:pPr>
        <w:pStyle w:val="Normal90"/>
        <w:widowControl w:val="0"/>
        <w:autoSpaceDE w:val="0"/>
        <w:spacing w:before="60" w:after="60"/>
        <w:jc w:val="both"/>
        <w:rPr>
          <w:rFonts w:ascii="Arial" w:hAnsi="Arial" w:cs="Arial"/>
          <w:noProof/>
          <w:sz w:val="16"/>
          <w:szCs w:val="16"/>
        </w:rPr>
      </w:pPr>
    </w:p>
    <w:p>
      <w:pPr>
        <w:pStyle w:val="Normal90"/>
        <w:widowControl w:val="0"/>
        <w:autoSpaceDE w:val="0"/>
        <w:spacing w:before="60" w:after="60"/>
        <w:jc w:val="both"/>
        <w:rPr>
          <w:rFonts w:ascii="Arial" w:hAnsi="Arial" w:cs="Arial"/>
          <w:noProof/>
          <w:sz w:val="16"/>
          <w:szCs w:val="16"/>
        </w:rPr>
      </w:pPr>
      <w:r>
        <w:rPr>
          <w:rFonts w:ascii="Arial" w:hAnsi="Arial"/>
          <w:noProof/>
          <w:sz w:val="16"/>
          <w:szCs w:val="16"/>
        </w:rPr>
        <w:t>Šios pataisos reikšmingo poveikio Priemonės finansinėms ataskaitoms neturėjo.</w:t>
      </w:r>
    </w:p>
    <w:p>
      <w:pPr>
        <w:rPr>
          <w:rFonts w:ascii="Arial" w:hAnsi="Arial" w:cs="Arial"/>
          <w:noProof/>
          <w:sz w:val="16"/>
          <w:szCs w:val="16"/>
          <w:highlight w:val="yellow"/>
        </w:rPr>
      </w:pPr>
    </w:p>
    <w:p>
      <w:pPr>
        <w:pStyle w:val="Normal900"/>
        <w:keepNext/>
        <w:spacing w:line="240" w:lineRule="auto"/>
        <w:rPr>
          <w:rFonts w:cs="Arial"/>
          <w:i/>
          <w:noProof/>
          <w:sz w:val="16"/>
          <w:szCs w:val="16"/>
        </w:rPr>
      </w:pPr>
      <w:r>
        <w:rPr>
          <w:i/>
          <w:noProof/>
          <w:sz w:val="16"/>
          <w:szCs w:val="16"/>
        </w:rPr>
        <w:t xml:space="preserve">Plano pakeitimas, sumažinimas arba įvykdymas (19-ojo TAS pataisos) </w:t>
      </w:r>
    </w:p>
    <w:p>
      <w:pPr>
        <w:pStyle w:val="Normal900"/>
        <w:keepNext/>
        <w:spacing w:line="240" w:lineRule="auto"/>
        <w:rPr>
          <w:i/>
          <w:noProof/>
          <w:sz w:val="16"/>
        </w:rPr>
      </w:pPr>
    </w:p>
    <w:p>
      <w:pPr>
        <w:pStyle w:val="Normal90"/>
        <w:widowControl w:val="0"/>
        <w:autoSpaceDE w:val="0"/>
        <w:spacing w:before="60" w:after="60"/>
        <w:jc w:val="both"/>
        <w:rPr>
          <w:rFonts w:ascii="Arial" w:hAnsi="Arial"/>
          <w:noProof/>
          <w:sz w:val="16"/>
        </w:rPr>
      </w:pPr>
      <w:r>
        <w:rPr>
          <w:rFonts w:ascii="Arial" w:hAnsi="Arial"/>
          <w:noProof/>
          <w:sz w:val="16"/>
          <w:szCs w:val="16"/>
        </w:rPr>
        <w:t>Pataisose nurodoma, kad tais atvejais, kai per metinį ataskaitinį laikotarpį planas pakeičiamas, sumažinamas arba įvykdomas, ūkio subjektas turi:</w:t>
      </w:r>
    </w:p>
    <w:p>
      <w:pPr>
        <w:pStyle w:val="Normal90"/>
        <w:widowControl w:val="0"/>
        <w:autoSpaceDE w:val="0"/>
        <w:spacing w:before="60" w:after="60"/>
        <w:jc w:val="both"/>
        <w:rPr>
          <w:rFonts w:cs="Arial"/>
          <w:noProof/>
          <w:sz w:val="16"/>
          <w:szCs w:val="16"/>
        </w:rPr>
      </w:pPr>
    </w:p>
    <w:p>
      <w:pPr>
        <w:pStyle w:val="Normal90"/>
        <w:widowControl w:val="0"/>
        <w:numPr>
          <w:ilvl w:val="0"/>
          <w:numId w:val="36"/>
        </w:numPr>
        <w:autoSpaceDE w:val="0"/>
        <w:spacing w:before="60" w:after="60"/>
        <w:jc w:val="both"/>
        <w:rPr>
          <w:rFonts w:cs="Arial"/>
          <w:noProof/>
          <w:sz w:val="16"/>
          <w:szCs w:val="16"/>
        </w:rPr>
      </w:pPr>
      <w:r>
        <w:rPr>
          <w:rFonts w:ascii="Arial" w:hAnsi="Arial"/>
          <w:noProof/>
          <w:sz w:val="16"/>
          <w:szCs w:val="16"/>
        </w:rPr>
        <w:t>po plano pakeitimo, sumažinimo ar įvykdymo nustatyti likusio laikotarpio einamąją paslaugų savikainą naudodamas aktuarines prielaidas, naudotas grynajam apibrėžtųjų išmokų įsipareigojimui, atspindinčiam pagal planą siūlomas išmokas ir plano turtą po to įvykio, pakartotinai įvertinti;</w:t>
      </w:r>
    </w:p>
    <w:p>
      <w:pPr>
        <w:pStyle w:val="Normal90"/>
        <w:widowControl w:val="0"/>
        <w:numPr>
          <w:ilvl w:val="0"/>
          <w:numId w:val="36"/>
        </w:numPr>
        <w:autoSpaceDE w:val="0"/>
        <w:spacing w:before="60" w:after="60"/>
        <w:jc w:val="both"/>
        <w:rPr>
          <w:rFonts w:cs="Arial"/>
          <w:noProof/>
          <w:sz w:val="16"/>
          <w:szCs w:val="16"/>
        </w:rPr>
      </w:pPr>
      <w:r>
        <w:rPr>
          <w:rFonts w:ascii="Arial" w:hAnsi="Arial"/>
          <w:noProof/>
          <w:sz w:val="16"/>
          <w:szCs w:val="16"/>
        </w:rPr>
        <w:t xml:space="preserve">po plano pakeitimo, sumažinimo ar įvykdymo nustatyti likusio laikotarpio grynąsias palūkanas naudodamas: grynąjį apibrėžtųjų išmokų įsipareigojimą, atspindintį išmokas, siūlomas pagal planą, bei plano turtą po to įvykio ir diskonto normą, naudotą tam grynajam apibrėžtųjų išmokų įsipareigojimui pakartotinai įvertinti. </w:t>
      </w:r>
    </w:p>
    <w:p>
      <w:pPr>
        <w:pStyle w:val="Normal900"/>
        <w:keepNext/>
        <w:spacing w:line="240" w:lineRule="auto"/>
        <w:rPr>
          <w:rFonts w:cs="Arial"/>
          <w:noProof/>
          <w:sz w:val="16"/>
          <w:szCs w:val="16"/>
          <w:lang w:eastAsia="ar-SA"/>
        </w:rPr>
      </w:pPr>
    </w:p>
    <w:p>
      <w:pPr>
        <w:pStyle w:val="Normal400"/>
        <w:spacing w:before="60" w:after="60"/>
        <w:rPr>
          <w:rFonts w:ascii="Arial" w:eastAsia="Times New Roman" w:hAnsi="Arial"/>
          <w:noProof/>
          <w:sz w:val="16"/>
          <w:szCs w:val="16"/>
        </w:rPr>
      </w:pPr>
      <w:r>
        <w:rPr>
          <w:rFonts w:ascii="Arial" w:hAnsi="Arial"/>
          <w:noProof/>
          <w:sz w:val="16"/>
          <w:szCs w:val="16"/>
        </w:rPr>
        <w:t>Šios pataisos poveikio Priemonės finansinėms ataskaitoms neturėjo.</w:t>
      </w:r>
    </w:p>
    <w:p>
      <w:pPr>
        <w:pStyle w:val="Normal77"/>
        <w:spacing w:after="60"/>
        <w:jc w:val="both"/>
        <w:rPr>
          <w:rFonts w:ascii="Arial" w:hAnsi="Arial" w:cs="Arial"/>
          <w:noProof/>
          <w:sz w:val="16"/>
          <w:szCs w:val="16"/>
          <w:highlight w:val="yellow"/>
        </w:rPr>
      </w:pPr>
    </w:p>
    <w:p>
      <w:pPr>
        <w:pStyle w:val="Normal900"/>
        <w:keepNext/>
        <w:spacing w:line="240" w:lineRule="auto"/>
        <w:rPr>
          <w:rFonts w:cs="Arial"/>
          <w:noProof/>
          <w:sz w:val="16"/>
          <w:szCs w:val="16"/>
          <w:highlight w:val="yellow"/>
          <w:bdr w:val="none" w:sz="0" w:space="0" w:color="auto" w:frame="1"/>
        </w:rPr>
      </w:pPr>
      <w:r>
        <w:rPr>
          <w:i/>
          <w:noProof/>
          <w:sz w:val="16"/>
          <w:szCs w:val="16"/>
        </w:rPr>
        <w:t>2015–2017 m. ciklo TFAS metiniai patobulinimai (3-ojo ir 11-ojo TFAS pataisos)</w:t>
      </w:r>
    </w:p>
    <w:p>
      <w:pPr>
        <w:pStyle w:val="Normal900"/>
        <w:keepNext/>
        <w:spacing w:line="240" w:lineRule="auto"/>
        <w:rPr>
          <w:rFonts w:cs="Arial"/>
          <w:noProof/>
          <w:sz w:val="16"/>
          <w:szCs w:val="16"/>
        </w:rPr>
      </w:pPr>
    </w:p>
    <w:p>
      <w:pPr>
        <w:pStyle w:val="Normal90"/>
        <w:widowControl w:val="0"/>
        <w:autoSpaceDE w:val="0"/>
        <w:spacing w:before="60" w:after="60"/>
        <w:jc w:val="both"/>
        <w:rPr>
          <w:rFonts w:cs="Arial"/>
          <w:noProof/>
          <w:sz w:val="16"/>
          <w:szCs w:val="16"/>
        </w:rPr>
      </w:pPr>
      <w:r>
        <w:rPr>
          <w:rFonts w:ascii="Arial" w:hAnsi="Arial"/>
          <w:noProof/>
          <w:sz w:val="16"/>
          <w:szCs w:val="16"/>
        </w:rPr>
        <w:t>Šios pataisos poveikio Priemonės finansinėms ataskaitoms neturėjo, nes nėra sandorio, per kurį gaunama bendra kontrolė.</w:t>
      </w:r>
    </w:p>
    <w:p>
      <w:pPr>
        <w:pStyle w:val="Normal900"/>
        <w:keepNext/>
        <w:spacing w:line="240" w:lineRule="auto"/>
        <w:rPr>
          <w:rFonts w:cs="Arial"/>
          <w:noProof/>
          <w:sz w:val="16"/>
          <w:szCs w:val="16"/>
        </w:rPr>
      </w:pPr>
    </w:p>
    <w:p>
      <w:pPr>
        <w:pStyle w:val="Normal901"/>
        <w:widowControl w:val="0"/>
        <w:autoSpaceDE w:val="0"/>
        <w:spacing w:before="60" w:after="60"/>
        <w:jc w:val="both"/>
        <w:rPr>
          <w:rFonts w:ascii="Arial" w:hAnsi="Arial" w:cs="Arial"/>
          <w:b/>
          <w:noProof/>
          <w:sz w:val="16"/>
          <w:szCs w:val="16"/>
        </w:rPr>
      </w:pPr>
      <w:r>
        <w:rPr>
          <w:rFonts w:ascii="Arial" w:hAnsi="Arial"/>
          <w:b/>
          <w:noProof/>
          <w:sz w:val="16"/>
          <w:szCs w:val="16"/>
        </w:rPr>
        <w:t>Paskelbti, bet dar nepriimti standartai</w:t>
      </w:r>
    </w:p>
    <w:p>
      <w:pPr>
        <w:pStyle w:val="Normal901"/>
        <w:widowControl w:val="0"/>
        <w:autoSpaceDE w:val="0"/>
        <w:spacing w:before="60" w:after="60"/>
        <w:jc w:val="both"/>
        <w:rPr>
          <w:rFonts w:ascii="Arial" w:hAnsi="Arial" w:cs="Arial"/>
          <w:b/>
          <w:noProof/>
          <w:sz w:val="16"/>
          <w:szCs w:val="16"/>
        </w:rPr>
      </w:pPr>
    </w:p>
    <w:p>
      <w:pPr>
        <w:pStyle w:val="Normal900"/>
        <w:keepNext/>
        <w:spacing w:line="240" w:lineRule="auto"/>
        <w:rPr>
          <w:rFonts w:cs="Arial"/>
          <w:noProof/>
          <w:sz w:val="16"/>
          <w:szCs w:val="16"/>
        </w:rPr>
      </w:pPr>
      <w:r>
        <w:rPr>
          <w:i/>
          <w:noProof/>
          <w:sz w:val="16"/>
          <w:szCs w:val="16"/>
        </w:rPr>
        <w:t>Sąvokos „reikšminga“ apibrėžtis. 1-ojo TAS „Finansinių ataskaitų pateikimas“ ir 8-ojo TAS „Apskaitos politika, apskaitinių įvertinimų keitimas ir klaidos“ pataisos. Taikoma 2020 m. sausio 1 d. arba vėliau prasidedantiems metiniams ataskaitiniams laikotarpiams.</w:t>
      </w:r>
    </w:p>
    <w:p>
      <w:pPr>
        <w:pStyle w:val="Normal900"/>
        <w:keepNext/>
        <w:spacing w:line="240" w:lineRule="auto"/>
        <w:rPr>
          <w:rFonts w:cs="Arial"/>
          <w:noProof/>
          <w:sz w:val="16"/>
          <w:szCs w:val="16"/>
          <w:lang w:eastAsia="ar-SA"/>
        </w:rPr>
      </w:pPr>
    </w:p>
    <w:p>
      <w:pPr>
        <w:pStyle w:val="Normal100"/>
        <w:spacing w:before="60" w:after="60" w:line="240" w:lineRule="auto"/>
        <w:rPr>
          <w:rFonts w:cs="Arial"/>
          <w:noProof/>
          <w:sz w:val="16"/>
          <w:szCs w:val="16"/>
          <w:bdr w:val="none" w:sz="0" w:space="0" w:color="auto" w:frame="1"/>
        </w:rPr>
      </w:pPr>
      <w:r>
        <w:rPr>
          <w:noProof/>
          <w:sz w:val="16"/>
          <w:szCs w:val="16"/>
          <w:bdr w:val="none" w:sz="0" w:space="0" w:color="auto" w:frame="1"/>
        </w:rPr>
        <w:t>Pataisose paaiškinama sąvokos „reikšminga“ apibrėžtis ir suderinama konceptualiuosiuose pagrinduose ir pačiuose standartuose vartojama sąvokos apibrėžtis.</w:t>
      </w:r>
    </w:p>
    <w:p>
      <w:pPr>
        <w:pStyle w:val="Normal100"/>
        <w:spacing w:before="60" w:after="60" w:line="240" w:lineRule="auto"/>
        <w:rPr>
          <w:rFonts w:cs="Arial"/>
          <w:noProof/>
          <w:sz w:val="16"/>
          <w:szCs w:val="16"/>
          <w:bdr w:val="none" w:sz="0" w:space="0" w:color="auto" w:frame="1"/>
        </w:rPr>
      </w:pPr>
    </w:p>
    <w:p>
      <w:pPr>
        <w:pStyle w:val="Normal100"/>
        <w:spacing w:before="60" w:after="60" w:line="240" w:lineRule="auto"/>
        <w:rPr>
          <w:rFonts w:cs="Arial"/>
          <w:noProof/>
          <w:sz w:val="16"/>
          <w:szCs w:val="16"/>
          <w:bdr w:val="none" w:sz="0" w:space="0" w:color="auto" w:frame="1"/>
        </w:rPr>
      </w:pPr>
      <w:r>
        <w:rPr>
          <w:noProof/>
          <w:sz w:val="16"/>
          <w:szCs w:val="16"/>
          <w:bdr w:val="none" w:sz="0" w:space="0" w:color="auto" w:frame="1"/>
        </w:rPr>
        <w:t>Pagal pataisytą sąvokos apibrėžtį reikšminga „yra tokia informacija, kurios nepateikimas arba klaidingas ar neaiškus pateikimas pagrįstai tikėtina gali daryti įtaką sprendimams, kuriuos pagrindiniai bendrosios paskirties finansinių ataskaitų vartotojai priima remdamiesi tomis finansinėmis ataskaitomis, kuriose pateikiama finansinė informacija apie konkretų ataskaitas teikiantį ūkio subjektą“.</w:t>
      </w:r>
    </w:p>
    <w:p>
      <w:pPr>
        <w:pStyle w:val="Normal100"/>
        <w:spacing w:before="60" w:after="60" w:line="240" w:lineRule="auto"/>
        <w:rPr>
          <w:rFonts w:cs="Arial"/>
          <w:noProof/>
          <w:sz w:val="16"/>
          <w:szCs w:val="16"/>
          <w:bdr w:val="none" w:sz="0" w:space="0" w:color="auto" w:frame="1"/>
        </w:rPr>
      </w:pPr>
      <w:r>
        <w:rPr>
          <w:noProof/>
          <w:sz w:val="16"/>
          <w:szCs w:val="16"/>
          <w:bdr w:val="none" w:sz="0" w:space="0" w:color="auto" w:frame="1"/>
        </w:rPr>
        <w:t xml:space="preserve">  </w:t>
      </w:r>
    </w:p>
    <w:p>
      <w:pPr>
        <w:pStyle w:val="Normal100"/>
        <w:spacing w:before="60" w:after="60" w:line="240" w:lineRule="auto"/>
        <w:rPr>
          <w:rFonts w:cs="Arial"/>
          <w:noProof/>
          <w:sz w:val="16"/>
          <w:szCs w:val="16"/>
          <w:bdr w:val="none" w:sz="0" w:space="0" w:color="auto" w:frame="1"/>
        </w:rPr>
      </w:pPr>
      <w:r>
        <w:rPr>
          <w:noProof/>
          <w:sz w:val="16"/>
          <w:szCs w:val="16"/>
          <w:bdr w:val="none" w:sz="0" w:space="0" w:color="auto" w:frame="1"/>
        </w:rPr>
        <w:t>Šioje pataisoje taip pat patikslinama „pagrindinių bendrosios paskirties finansinių ataskaitų vartotojų“, kuriems šios finansinės ataskaitos yra skirtos, reikšmė, apibrėžiant juos kaip „esamus ir potencialius investuotojus, skolintojus ir kitus kreditorius“, kurie norėdami gauti jiems reikalingą finansinę informaciją turi kliautis bendrosios paskirties finansinėmis ataskaitomis.</w:t>
      </w:r>
    </w:p>
    <w:p>
      <w:pPr>
        <w:pStyle w:val="Normal100"/>
        <w:spacing w:before="60" w:after="60" w:line="240" w:lineRule="auto"/>
        <w:rPr>
          <w:rFonts w:cs="Arial"/>
          <w:noProof/>
          <w:sz w:val="16"/>
          <w:szCs w:val="16"/>
          <w:bdr w:val="none" w:sz="0" w:space="0" w:color="auto" w:frame="1"/>
        </w:rPr>
      </w:pPr>
      <w:r>
        <w:rPr>
          <w:noProof/>
          <w:sz w:val="16"/>
          <w:szCs w:val="16"/>
          <w:bdr w:val="none" w:sz="0" w:space="0" w:color="auto" w:frame="1"/>
        </w:rPr>
        <w:t xml:space="preserve"> </w:t>
      </w:r>
    </w:p>
    <w:p>
      <w:pPr>
        <w:pStyle w:val="Normal100"/>
        <w:spacing w:before="60" w:after="60" w:line="240" w:lineRule="auto"/>
        <w:rPr>
          <w:rFonts w:cs="Arial"/>
          <w:noProof/>
          <w:sz w:val="16"/>
          <w:szCs w:val="16"/>
          <w:bdr w:val="none" w:sz="0" w:space="0" w:color="auto" w:frame="1"/>
        </w:rPr>
      </w:pPr>
      <w:r>
        <w:rPr>
          <w:noProof/>
          <w:sz w:val="16"/>
          <w:szCs w:val="16"/>
          <w:bdr w:val="none" w:sz="0" w:space="0" w:color="auto" w:frame="1"/>
        </w:rPr>
        <w:t>Pataisos taikomos metiniams ataskaitiniams laikotarpiams, prasidedantiems 2020 m. sausio 1 d. arba vėliau. Priemonei taikyti šios pataisos nebuvo priimtos anksčiau ir nemanoma, kad tai turės kokio nors reikšmingo poveikio jos finansinėms ataskaitoms.</w:t>
      </w:r>
    </w:p>
    <w:p>
      <w:pPr>
        <w:pStyle w:val="Normal901"/>
        <w:widowControl w:val="0"/>
        <w:autoSpaceDE w:val="0"/>
        <w:spacing w:before="60" w:after="60"/>
        <w:jc w:val="both"/>
        <w:rPr>
          <w:rFonts w:ascii="Arial" w:hAnsi="Arial" w:cs="Arial"/>
          <w:b/>
          <w:noProof/>
          <w:sz w:val="16"/>
          <w:szCs w:val="16"/>
        </w:rPr>
      </w:pPr>
    </w:p>
    <w:p>
      <w:pPr>
        <w:rPr>
          <w:rFonts w:ascii="Arial" w:hAnsi="Arial" w:cs="Arial"/>
          <w:i/>
          <w:noProof/>
          <w:sz w:val="16"/>
          <w:szCs w:val="16"/>
          <w:bdr w:val="none" w:sz="0" w:space="0" w:color="auto" w:frame="1"/>
        </w:rPr>
      </w:pPr>
      <w:r>
        <w:rPr>
          <w:noProof/>
        </w:rPr>
        <w:br w:type="page"/>
      </w:r>
    </w:p>
    <w:p>
      <w:pPr>
        <w:pStyle w:val="Normal900"/>
        <w:keepNext/>
        <w:spacing w:line="240" w:lineRule="auto"/>
        <w:rPr>
          <w:rFonts w:cs="Arial"/>
          <w:i/>
          <w:noProof/>
          <w:sz w:val="16"/>
          <w:szCs w:val="16"/>
          <w:bdr w:val="none" w:sz="0" w:space="0" w:color="auto" w:frame="1"/>
        </w:rPr>
      </w:pPr>
      <w:r>
        <w:rPr>
          <w:i/>
          <w:noProof/>
          <w:sz w:val="16"/>
          <w:szCs w:val="16"/>
          <w:bdr w:val="none" w:sz="0" w:space="0" w:color="auto" w:frame="1"/>
        </w:rPr>
        <w:t>Palūkanų normų lyginamojo indekso reforma. 9-ojo TFAS, 39-ojo TAS ir 7-ojo TFAS pataisos</w:t>
      </w:r>
    </w:p>
    <w:p>
      <w:pPr>
        <w:pStyle w:val="Normal900"/>
        <w:keepNext/>
        <w:spacing w:line="240" w:lineRule="auto"/>
        <w:rPr>
          <w:rFonts w:cs="Arial"/>
          <w:i/>
          <w:noProof/>
          <w:sz w:val="16"/>
          <w:szCs w:val="16"/>
          <w:bdr w:val="none" w:sz="0" w:space="0" w:color="auto" w:frame="1"/>
        </w:rPr>
      </w:pPr>
    </w:p>
    <w:p>
      <w:pPr>
        <w:pStyle w:val="Normal100"/>
        <w:spacing w:before="60" w:after="60" w:line="240" w:lineRule="auto"/>
        <w:rPr>
          <w:rFonts w:cs="Arial"/>
          <w:noProof/>
          <w:sz w:val="16"/>
          <w:szCs w:val="16"/>
          <w:bdr w:val="none" w:sz="0" w:space="0" w:color="auto" w:frame="1"/>
        </w:rPr>
      </w:pPr>
      <w:r>
        <w:rPr>
          <w:noProof/>
          <w:sz w:val="16"/>
          <w:szCs w:val="16"/>
          <w:bdr w:val="none" w:sz="0" w:space="0" w:color="auto" w:frame="1"/>
        </w:rPr>
        <w:t>2019 m. rugsėjo mėn. TASV paskelbė 9-ojo TFAS, 39-ojo TAS ir 7-ojo TFAS pataisas, pagal kurias numatytos laikinos lengvatos, kurios leistų neapibrėžtumo laikotarpiu tęsti apsidraudimo apskaitą prieš pakeičiant esamą palūkanų normos lyginamąjį indeksą alternatyvia beveik nerizikinga palūkanų norma.</w:t>
      </w:r>
    </w:p>
    <w:p>
      <w:pPr>
        <w:rPr>
          <w:rFonts w:ascii="Arial" w:hAnsi="Arial" w:cs="Arial"/>
          <w:noProof/>
          <w:sz w:val="16"/>
          <w:szCs w:val="16"/>
        </w:rPr>
      </w:pPr>
    </w:p>
    <w:p>
      <w:pPr>
        <w:pStyle w:val="Title110"/>
        <w:numPr>
          <w:ilvl w:val="0"/>
          <w:numId w:val="0"/>
        </w:numPr>
        <w:spacing w:before="60" w:after="60"/>
        <w:rPr>
          <w:rFonts w:cs="Arial"/>
          <w:noProof/>
          <w:sz w:val="16"/>
          <w:szCs w:val="16"/>
        </w:rPr>
      </w:pPr>
      <w:r>
        <w:rPr>
          <w:noProof/>
          <w:sz w:val="16"/>
          <w:szCs w:val="16"/>
        </w:rPr>
        <w:t xml:space="preserve">Į 9-ojo TFAS pataisas įtrauktos kelios lengvatos, taikomos visiems apsidraudimo sandoriams, kuriems palūkanų normos lyginamojo indekso reforma daro tiesioginį poveikį. Pirmosiomis trimis lengvatomis numatoma: </w:t>
      </w:r>
    </w:p>
    <w:p>
      <w:pPr>
        <w:pStyle w:val="Title110"/>
        <w:numPr>
          <w:ilvl w:val="0"/>
          <w:numId w:val="0"/>
        </w:numPr>
        <w:spacing w:before="60" w:after="60"/>
        <w:rPr>
          <w:rFonts w:cs="Arial"/>
          <w:noProof/>
          <w:sz w:val="16"/>
          <w:szCs w:val="16"/>
        </w:rPr>
      </w:pPr>
    </w:p>
    <w:p>
      <w:pPr>
        <w:pStyle w:val="Title110"/>
        <w:numPr>
          <w:ilvl w:val="0"/>
          <w:numId w:val="37"/>
        </w:numPr>
        <w:spacing w:before="60" w:after="60"/>
        <w:rPr>
          <w:rFonts w:cs="Arial"/>
          <w:noProof/>
          <w:sz w:val="16"/>
          <w:szCs w:val="16"/>
        </w:rPr>
      </w:pPr>
      <w:r>
        <w:rPr>
          <w:noProof/>
          <w:sz w:val="16"/>
          <w:szCs w:val="16"/>
        </w:rPr>
        <w:t>įvertinti, ar prognozuojamas sandoris (arba jo sudedamoji dalis) yra labai tikėtinas;</w:t>
      </w:r>
    </w:p>
    <w:p>
      <w:pPr>
        <w:pStyle w:val="Title110"/>
        <w:numPr>
          <w:ilvl w:val="0"/>
          <w:numId w:val="37"/>
        </w:numPr>
        <w:spacing w:before="60" w:after="60"/>
        <w:rPr>
          <w:rFonts w:cs="Arial"/>
          <w:noProof/>
          <w:sz w:val="16"/>
          <w:szCs w:val="16"/>
        </w:rPr>
      </w:pPr>
      <w:r>
        <w:rPr>
          <w:noProof/>
          <w:sz w:val="16"/>
          <w:szCs w:val="16"/>
        </w:rPr>
        <w:t>įvertinti, kada pinigų srautų apsidraudimo rezervo sumą reikia perklasifikuoti į pelną ir nuostolius;</w:t>
      </w:r>
    </w:p>
    <w:p>
      <w:pPr>
        <w:pStyle w:val="Title110"/>
        <w:numPr>
          <w:ilvl w:val="0"/>
          <w:numId w:val="37"/>
        </w:numPr>
        <w:spacing w:before="60" w:after="60"/>
        <w:rPr>
          <w:rFonts w:cs="Arial"/>
          <w:noProof/>
          <w:sz w:val="16"/>
          <w:szCs w:val="16"/>
        </w:rPr>
      </w:pPr>
      <w:r>
        <w:rPr>
          <w:noProof/>
          <w:sz w:val="16"/>
          <w:szCs w:val="16"/>
        </w:rPr>
        <w:t>įvertinti apdraustojo objekto ir apsidraudimo priemonės ekonominį ryšį.</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noProof/>
          <w:sz w:val="16"/>
          <w:szCs w:val="16"/>
        </w:rPr>
        <w:t>Kiekvienos iš šių lengvatų atveju daroma prielaida, kad lyginamasis indeksas, kuriuo pagrįsti apdraustieji pinigų srautai, dėl IBOR reformos nesikeičia.</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noProof/>
          <w:sz w:val="16"/>
          <w:szCs w:val="16"/>
        </w:rPr>
        <w:t xml:space="preserve">Ketvirtoji lengvata numato, kad sutartyje nenurodytas rizikos komponentas turi būti atskirai identifikuotas tik pirminio apsidraudimo priemonės priskyrimo metu, o ne nuolat. </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noProof/>
          <w:sz w:val="16"/>
          <w:szCs w:val="16"/>
        </w:rPr>
        <w:t xml:space="preserve">Lengvatų taikymas yra privalomas ir, jei neįvyksta jokių pataisose aprašytų įvykių, lengvatos galioja neribotą laiką. </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noProof/>
          <w:sz w:val="16"/>
          <w:szCs w:val="16"/>
        </w:rPr>
        <w:t>Pataisomis taip pat nustatomi specialūs informacijos atskleidimo reikalavimai apsidraudimo sandoriams, kuriems taikomos lengvatos.</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noProof/>
          <w:sz w:val="16"/>
          <w:szCs w:val="16"/>
        </w:rPr>
        <w:t xml:space="preserve">Pataisos taikomos metiniams ataskaitiniams laikotarpiams, prasidedantiems 2020 m. sausio 1 d. arba vėliau. Priemonei taikyti šios pataisos nebuvo priimtos anksčiau, o Bankas sudarė įvairias tarnybas apimančią IBOR darbo grupę poveikiui įvertinti ir perėjimui valdyti. </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noProof/>
          <w:sz w:val="16"/>
          <w:szCs w:val="16"/>
        </w:rPr>
        <w:t>Nuorodų į TFAS konceptualiuosius pagrindus pataisos įsigaliojo 2020 m. sausio 1 d.</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noProof/>
          <w:sz w:val="16"/>
          <w:szCs w:val="16"/>
        </w:rPr>
        <w:t>Patikslintuose konceptualiuosiuose pagrinduose pateikiamas išsamus sąvokų, susijusi su finansine atskaitomybe, standartų nustatymu, nuoseklios apskaitos politikos rengimo gairėmis ir pagalba kitiems siekiant suprasti ir aiškinti standartus, rinkinys.</w:t>
      </w:r>
    </w:p>
    <w:p>
      <w:pPr>
        <w:pStyle w:val="Title110"/>
        <w:numPr>
          <w:ilvl w:val="0"/>
          <w:numId w:val="0"/>
        </w:numPr>
        <w:spacing w:before="60" w:after="60"/>
        <w:rPr>
          <w:rFonts w:cs="Arial"/>
          <w:noProof/>
          <w:sz w:val="16"/>
          <w:szCs w:val="16"/>
        </w:rPr>
      </w:pPr>
      <w:r>
        <w:rPr>
          <w:noProof/>
          <w:sz w:val="16"/>
          <w:szCs w:val="16"/>
        </w:rPr>
        <w:t xml:space="preserve"> </w:t>
      </w:r>
    </w:p>
    <w:p>
      <w:pPr>
        <w:pStyle w:val="Title110"/>
        <w:numPr>
          <w:ilvl w:val="0"/>
          <w:numId w:val="0"/>
        </w:numPr>
        <w:spacing w:before="60" w:after="60"/>
        <w:rPr>
          <w:rFonts w:cs="Arial"/>
          <w:noProof/>
          <w:sz w:val="16"/>
          <w:szCs w:val="16"/>
        </w:rPr>
      </w:pPr>
      <w:r>
        <w:rPr>
          <w:noProof/>
          <w:sz w:val="16"/>
          <w:szCs w:val="16"/>
        </w:rPr>
        <w:t>Patikslinti konceptualieji finansinės atskaitomybės pagrindai nėra standartas ir nė viena iš sąvokų nėra viršesnė už kuriame nors standarte vartojamas sąvokas ar standarto reikalavimus; jos pagrindinis tikslas – padėti Valdybai rengti standartus, padėti rengėjams sukurti nuoseklią apskaitos politiką, jei taikytino standarto nėra, ir padėti visoms šalims suprasti ir aiškinti standartus.</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noProof/>
          <w:sz w:val="16"/>
          <w:szCs w:val="16"/>
        </w:rPr>
        <w:t>Konceptualiuose pagrinduose įtraukta keletas naujų sąvokų, pateiktos atnaujintos turto ir įsipareigojimų apibrėžtys bei pripažinimo kriterijai ir paaiškintos kai kurios svarbios sąvokos. Konceptualieji pagrindai taikomi metiniams ataskaitiniams laikotarpiams, prasidedantiems 2020 m. sausio 1 d. arba vėliau.</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noProof/>
          <w:sz w:val="16"/>
          <w:szCs w:val="16"/>
        </w:rPr>
        <w:t>Priemonei taikyti patikslinti konceptualieji pagrindai nebuvo priimti anksčiau ir nemanoma, kad tai turės kokio nors reikšmingo poveikio jos finansinėms ataskaitoms.</w:t>
      </w:r>
    </w:p>
    <w:p>
      <w:pPr>
        <w:pStyle w:val="Normal77"/>
        <w:spacing w:after="60"/>
        <w:rPr>
          <w:rFonts w:ascii="Arial" w:hAnsi="Arial"/>
          <w:noProof/>
          <w:sz w:val="16"/>
          <w:szCs w:val="16"/>
        </w:rPr>
      </w:pPr>
    </w:p>
    <w:p>
      <w:pPr>
        <w:pStyle w:val="Title110"/>
        <w:numPr>
          <w:ilvl w:val="1"/>
          <w:numId w:val="38"/>
        </w:numPr>
        <w:ind w:left="357" w:hanging="357"/>
        <w:rPr>
          <w:b/>
          <w:noProof/>
          <w:sz w:val="16"/>
          <w:szCs w:val="16"/>
        </w:rPr>
      </w:pPr>
      <w:r>
        <w:rPr>
          <w:b/>
          <w:noProof/>
          <w:sz w:val="16"/>
          <w:szCs w:val="16"/>
        </w:rPr>
        <w:t>Svarbiausių apskaitos principų santrauka</w:t>
      </w:r>
    </w:p>
    <w:p>
      <w:pPr>
        <w:pStyle w:val="Title110"/>
        <w:numPr>
          <w:ilvl w:val="0"/>
          <w:numId w:val="0"/>
        </w:numPr>
        <w:spacing w:after="60"/>
        <w:rPr>
          <w:noProof/>
          <w:sz w:val="16"/>
          <w:szCs w:val="16"/>
        </w:rPr>
      </w:pPr>
    </w:p>
    <w:p>
      <w:pPr>
        <w:pStyle w:val="Title110"/>
        <w:numPr>
          <w:ilvl w:val="0"/>
          <w:numId w:val="0"/>
        </w:numPr>
        <w:spacing w:before="60" w:after="60"/>
        <w:rPr>
          <w:noProof/>
          <w:sz w:val="16"/>
          <w:szCs w:val="16"/>
        </w:rPr>
      </w:pPr>
      <w:r>
        <w:rPr>
          <w:noProof/>
          <w:sz w:val="16"/>
          <w:szCs w:val="16"/>
        </w:rPr>
        <w:t>Finansinės būklės ataskaitoje turtas ir įsipareigojimai pateikiami likvidumo mažėjimo tvarka ir jame neišskiriami trumpalaikiai ir ilgalaikiai įsipareigojimai.</w:t>
      </w:r>
    </w:p>
    <w:p>
      <w:pPr>
        <w:pStyle w:val="Title110"/>
        <w:numPr>
          <w:ilvl w:val="0"/>
          <w:numId w:val="0"/>
        </w:numPr>
        <w:spacing w:before="60" w:after="60"/>
        <w:rPr>
          <w:noProof/>
          <w:sz w:val="16"/>
          <w:szCs w:val="16"/>
        </w:rPr>
      </w:pPr>
    </w:p>
    <w:p>
      <w:pPr>
        <w:pStyle w:val="Title1110"/>
        <w:numPr>
          <w:ilvl w:val="2"/>
          <w:numId w:val="35"/>
        </w:numPr>
        <w:spacing w:before="60"/>
        <w:ind w:left="357" w:hanging="357"/>
        <w:rPr>
          <w:b/>
          <w:noProof/>
          <w:sz w:val="16"/>
          <w:szCs w:val="16"/>
        </w:rPr>
      </w:pPr>
      <w:bookmarkStart w:id="158" w:name="_Ref110032770_0"/>
      <w:r>
        <w:rPr>
          <w:b/>
          <w:noProof/>
          <w:sz w:val="16"/>
          <w:szCs w:val="16"/>
        </w:rPr>
        <w:t xml:space="preserve"> </w:t>
      </w:r>
      <w:r>
        <w:rPr>
          <w:b/>
          <w:noProof/>
          <w:sz w:val="16"/>
          <w:szCs w:val="16"/>
        </w:rPr>
        <w:tab/>
        <w:t>Užsienio valiutos perskaičiavimas</w:t>
      </w:r>
      <w:bookmarkEnd w:id="158"/>
    </w:p>
    <w:p>
      <w:pPr>
        <w:pStyle w:val="Title1110"/>
        <w:numPr>
          <w:ilvl w:val="0"/>
          <w:numId w:val="0"/>
        </w:numPr>
        <w:spacing w:after="60"/>
        <w:rPr>
          <w:noProof/>
          <w:sz w:val="16"/>
          <w:szCs w:val="16"/>
        </w:rPr>
      </w:pPr>
    </w:p>
    <w:p>
      <w:pPr>
        <w:pStyle w:val="Normal77"/>
        <w:spacing w:before="60" w:after="60"/>
        <w:jc w:val="both"/>
        <w:rPr>
          <w:rFonts w:ascii="Arial" w:hAnsi="Arial"/>
          <w:noProof/>
          <w:sz w:val="16"/>
          <w:szCs w:val="16"/>
        </w:rPr>
      </w:pPr>
      <w:r>
        <w:rPr>
          <w:rFonts w:ascii="Arial" w:hAnsi="Arial"/>
          <w:noProof/>
          <w:sz w:val="16"/>
          <w:szCs w:val="16"/>
        </w:rPr>
        <w:t xml:space="preserve">Priemonės finansinės ataskaitos pateikiamos eurais (EUR), kurie yra ir funkcinė valiuta. Jeigu nenurodyta kitaip, eurais pateikiama finansinė informacija yra suapvalinta iki artimiausio tūkstančio. </w:t>
      </w:r>
    </w:p>
    <w:p>
      <w:pPr>
        <w:pStyle w:val="Normal77"/>
        <w:spacing w:before="60" w:after="60"/>
        <w:jc w:val="both"/>
        <w:rPr>
          <w:rFonts w:ascii="Arial" w:hAnsi="Arial"/>
          <w:noProof/>
          <w:sz w:val="16"/>
          <w:szCs w:val="16"/>
        </w:rPr>
      </w:pPr>
    </w:p>
    <w:p>
      <w:pPr>
        <w:pStyle w:val="NotesText0"/>
        <w:spacing w:before="60" w:line="240" w:lineRule="auto"/>
        <w:rPr>
          <w:rFonts w:cs="Times New Roman"/>
          <w:noProof/>
          <w:sz w:val="16"/>
          <w:szCs w:val="16"/>
        </w:rPr>
      </w:pPr>
      <w:r>
        <w:rPr>
          <w:noProof/>
          <w:sz w:val="16"/>
          <w:szCs w:val="16"/>
        </w:rPr>
        <w:t xml:space="preserve">Sandoriai užsienio valiuta yra perskaičiuojami taikant sandorio atlikimo dieną galiojantį valiutos keitimo kursą. </w:t>
      </w:r>
    </w:p>
    <w:p>
      <w:pPr>
        <w:pStyle w:val="NotesText0"/>
        <w:spacing w:before="60" w:line="240" w:lineRule="auto"/>
        <w:rPr>
          <w:rFonts w:cs="Times New Roman"/>
          <w:noProof/>
          <w:sz w:val="16"/>
          <w:szCs w:val="16"/>
        </w:rPr>
      </w:pPr>
    </w:p>
    <w:p>
      <w:pPr>
        <w:pStyle w:val="NotesText0"/>
        <w:spacing w:before="60" w:line="240" w:lineRule="auto"/>
        <w:rPr>
          <w:rFonts w:cs="Times New Roman"/>
          <w:noProof/>
          <w:sz w:val="16"/>
          <w:szCs w:val="16"/>
        </w:rPr>
      </w:pPr>
      <w:r>
        <w:rPr>
          <w:noProof/>
          <w:sz w:val="16"/>
          <w:szCs w:val="16"/>
        </w:rPr>
        <w:t>Piniginis turtas ir įsipareigojimai kita nei euras valiuta perskaičiuojami į eurus pagal finansinės būklės ataskaitos sudarymo dieną galiojantį valiutos keitimo kursą. Tokio perskaičiavimo pelnas arba nuostoliai įtraukiami į pelno arba nuostolių ir kitų bendrųjų pajamų ataskaitą.</w:t>
      </w:r>
    </w:p>
    <w:p>
      <w:pPr>
        <w:pStyle w:val="NotesText0"/>
        <w:spacing w:before="60" w:line="240" w:lineRule="auto"/>
        <w:rPr>
          <w:rFonts w:cs="Times New Roman"/>
          <w:noProof/>
          <w:sz w:val="16"/>
          <w:szCs w:val="16"/>
        </w:rPr>
      </w:pPr>
    </w:p>
    <w:p>
      <w:pPr>
        <w:pStyle w:val="NotesText0"/>
        <w:spacing w:before="60" w:line="240" w:lineRule="auto"/>
        <w:rPr>
          <w:rFonts w:cs="Times New Roman"/>
          <w:noProof/>
          <w:sz w:val="16"/>
          <w:szCs w:val="16"/>
        </w:rPr>
      </w:pPr>
      <w:r>
        <w:rPr>
          <w:noProof/>
          <w:sz w:val="16"/>
          <w:szCs w:val="16"/>
        </w:rPr>
        <w:t>Nepiniginiai straipsniai, kurie vertinami įsigijimo savikaina užsienio valiuta, perskaičiuojami taikant pirminių operacijų atlikimo dieną galiojusį valiutos keitimo kursą. Nepiniginiai straipsniai, kurie vertinami tikrąja verte užsienio valiuta, perskaičiuojami taikant tikrosios vertės nustatymo dieną galiojusį valiutos keitimo kursą.</w:t>
      </w:r>
    </w:p>
    <w:p>
      <w:pPr>
        <w:pStyle w:val="NotesText0"/>
        <w:spacing w:before="60" w:line="240" w:lineRule="auto"/>
        <w:rPr>
          <w:rFonts w:cs="Times New Roman"/>
          <w:noProof/>
          <w:sz w:val="16"/>
          <w:szCs w:val="16"/>
        </w:rPr>
      </w:pPr>
      <w:r>
        <w:rPr>
          <w:noProof/>
          <w:sz w:val="16"/>
          <w:szCs w:val="16"/>
        </w:rPr>
        <w:t>Valiutos keitimo skirtumai, susidarę atsiskaitant už operacijas kitu nei operacijos dieną galiojusiu valiutos keitimo kursu, ir nerealizuotas užsienio valiutos keitimo kurso skirtumas, susidaręs dėl užsienio valiutos piniginio turto ir įsipareigojimų, už kuriuos neatsiskaityta, įtraukiami į pelno arba nuostolių ir kitų bendrųjų pajamų ataskaitą</w:t>
      </w:r>
    </w:p>
    <w:p>
      <w:pPr>
        <w:pStyle w:val="NotesText0"/>
        <w:spacing w:before="60" w:line="240" w:lineRule="auto"/>
        <w:rPr>
          <w:noProof/>
          <w:sz w:val="16"/>
        </w:rPr>
      </w:pPr>
    </w:p>
    <w:p>
      <w:pPr>
        <w:pStyle w:val="Title1110"/>
        <w:numPr>
          <w:ilvl w:val="2"/>
          <w:numId w:val="40"/>
        </w:numPr>
        <w:spacing w:before="60"/>
        <w:ind w:left="357" w:hanging="357"/>
        <w:rPr>
          <w:b/>
          <w:noProof/>
          <w:sz w:val="16"/>
          <w:szCs w:val="16"/>
        </w:rPr>
      </w:pPr>
      <w:r>
        <w:rPr>
          <w:b/>
          <w:noProof/>
          <w:sz w:val="16"/>
          <w:szCs w:val="16"/>
        </w:rPr>
        <w:tab/>
        <w:t>Finansinis turtas, išskyrus išvestines finansines priemones</w:t>
      </w:r>
    </w:p>
    <w:p>
      <w:pPr>
        <w:pStyle w:val="Title1110"/>
        <w:numPr>
          <w:ilvl w:val="0"/>
          <w:numId w:val="0"/>
        </w:numPr>
        <w:spacing w:after="60"/>
        <w:rPr>
          <w:rStyle w:val="Title111Char0"/>
          <w:b/>
          <w:noProof/>
          <w:sz w:val="16"/>
          <w:szCs w:val="16"/>
        </w:rPr>
      </w:pPr>
    </w:p>
    <w:p>
      <w:pPr>
        <w:pStyle w:val="Normal910"/>
        <w:spacing w:line="240" w:lineRule="auto"/>
        <w:rPr>
          <w:noProof/>
        </w:rPr>
      </w:pPr>
      <w:r>
        <w:rPr>
          <w:noProof/>
          <w:sz w:val="16"/>
          <w:szCs w:val="16"/>
        </w:rPr>
        <w:t>Neišvestinės finansinės priemonės pirmą kartą pripažįstamos atsiskaitymo dieną.</w:t>
      </w:r>
    </w:p>
    <w:p>
      <w:pPr>
        <w:pStyle w:val="Title1110"/>
        <w:numPr>
          <w:ilvl w:val="0"/>
          <w:numId w:val="0"/>
        </w:numPr>
        <w:spacing w:before="60" w:after="60"/>
        <w:ind w:left="680" w:hanging="680"/>
        <w:rPr>
          <w:rFonts w:cs="Arial"/>
          <w:noProof/>
          <w:sz w:val="16"/>
          <w:szCs w:val="16"/>
        </w:rPr>
      </w:pPr>
    </w:p>
    <w:p>
      <w:pPr>
        <w:pStyle w:val="Title1110"/>
        <w:numPr>
          <w:ilvl w:val="0"/>
          <w:numId w:val="0"/>
        </w:numPr>
        <w:spacing w:before="60" w:after="60"/>
        <w:rPr>
          <w:rFonts w:cs="Arial"/>
          <w:b/>
          <w:noProof/>
          <w:sz w:val="16"/>
          <w:szCs w:val="16"/>
        </w:rPr>
      </w:pPr>
      <w:r>
        <w:rPr>
          <w:b/>
          <w:noProof/>
          <w:sz w:val="16"/>
          <w:szCs w:val="16"/>
        </w:rPr>
        <w:t>Klasifikavimas ir vertinimas</w:t>
      </w:r>
    </w:p>
    <w:p>
      <w:pPr>
        <w:pStyle w:val="Title1110"/>
        <w:numPr>
          <w:ilvl w:val="0"/>
          <w:numId w:val="0"/>
        </w:numPr>
        <w:spacing w:before="60" w:after="60"/>
        <w:rPr>
          <w:rFonts w:cs="Arial"/>
          <w:noProof/>
          <w:sz w:val="16"/>
          <w:szCs w:val="16"/>
        </w:rPr>
      </w:pPr>
    </w:p>
    <w:p>
      <w:pPr>
        <w:pStyle w:val="Normal1000"/>
        <w:rPr>
          <w:rFonts w:ascii="Arial" w:hAnsi="Arial" w:cs="Arial"/>
          <w:i/>
          <w:noProof/>
          <w:sz w:val="16"/>
          <w:szCs w:val="16"/>
        </w:rPr>
      </w:pPr>
      <w:r>
        <w:rPr>
          <w:rFonts w:ascii="Arial" w:hAnsi="Arial"/>
          <w:i/>
          <w:noProof/>
          <w:sz w:val="16"/>
          <w:szCs w:val="16"/>
        </w:rPr>
        <w:t xml:space="preserve">Finansinis turtas </w:t>
      </w:r>
    </w:p>
    <w:p>
      <w:pPr>
        <w:pStyle w:val="Normal1000"/>
        <w:rPr>
          <w:rFonts w:ascii="Arial" w:hAnsi="Arial" w:cs="Arial"/>
          <w:i/>
          <w:noProof/>
          <w:sz w:val="16"/>
          <w:szCs w:val="16"/>
        </w:rPr>
      </w:pPr>
    </w:p>
    <w:p>
      <w:pPr>
        <w:pStyle w:val="NotesText0"/>
        <w:spacing w:before="60" w:line="240" w:lineRule="auto"/>
        <w:rPr>
          <w:noProof/>
          <w:sz w:val="16"/>
          <w:szCs w:val="16"/>
        </w:rPr>
      </w:pPr>
      <w:r>
        <w:rPr>
          <w:noProof/>
          <w:sz w:val="16"/>
          <w:szCs w:val="16"/>
        </w:rPr>
        <w:t>Pirminio pripažinimo metu finansinis turtas klasifikuojamas kaip finansinis turtas, vertinamas amortizuota savikaina, vertinamas tikrąja verte, kurios pokyčiai pripažįstami kitomis bendrosiomis pajamomis, arba vertinamas tikrąja verte, kurios pokyčiai pripažįstami pelnu arba nuostoliais, o finansinis įsipareigojimas – kaip finansinis įsipareigojimas, vertinamas amortizuota savikaina arba tikrąja verte, kurios pokyčiai pripažįstami pelnu arba nuostoliais.</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Pagal 9-ąjį TFAS klasifikavimas pradedamas nustatant, ar finansinis turtas laikomas skolos ar nuosavo kapitalo priemone. 9-ajame TFAS pateikiamos nuorodos į 32-ojo TAS „Finansinės priemonės. Pateikimas“ apibrėžtis.</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Skolos priemonės – priemonės, kurios sandorio šalies požiūriu atitinka finansinio įsipareigojimo apibrėžtį, paskolos ir skolos vertybiniai popieriai, įskaitant struktūrizuotų ūkio subjektų, valdžios sektoriaus ar bendrovių išleistas obligacijas, vekselius ar sertifikatus.</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Skolos priemonė klasifikuojama amortizuota savikaina, jeigu ji atitinka abi toliau nurodomas sąlygas ir nėra nurodyta tikrąja verte, kurios pokyčiai pripažįstami pelnu arba nuostoliais:</w:t>
      </w:r>
    </w:p>
    <w:p>
      <w:pPr>
        <w:pStyle w:val="NotesText0"/>
        <w:spacing w:before="60" w:line="240" w:lineRule="auto"/>
        <w:rPr>
          <w:noProof/>
          <w:sz w:val="16"/>
          <w:szCs w:val="16"/>
        </w:rPr>
      </w:pPr>
    </w:p>
    <w:p>
      <w:pPr>
        <w:pStyle w:val="NotesText0"/>
        <w:numPr>
          <w:ilvl w:val="0"/>
          <w:numId w:val="41"/>
        </w:numPr>
        <w:spacing w:before="60" w:line="240" w:lineRule="auto"/>
        <w:rPr>
          <w:noProof/>
          <w:sz w:val="16"/>
          <w:szCs w:val="16"/>
        </w:rPr>
      </w:pPr>
      <w:r>
        <w:rPr>
          <w:noProof/>
          <w:sz w:val="16"/>
          <w:szCs w:val="16"/>
        </w:rPr>
        <w:t>turtas laikomas pagal verslo modelį, kurio tikslas – laikyti turtą siekiant surinkti sutartyje numatytus pinigų srautus, ir</w:t>
      </w:r>
    </w:p>
    <w:p>
      <w:pPr>
        <w:pStyle w:val="NotesText0"/>
        <w:numPr>
          <w:ilvl w:val="0"/>
          <w:numId w:val="41"/>
        </w:numPr>
        <w:spacing w:before="60" w:line="240" w:lineRule="auto"/>
        <w:rPr>
          <w:noProof/>
          <w:sz w:val="16"/>
          <w:szCs w:val="16"/>
        </w:rPr>
      </w:pPr>
      <w:r>
        <w:rPr>
          <w:noProof/>
          <w:sz w:val="16"/>
          <w:szCs w:val="16"/>
        </w:rPr>
        <w:t>dėl finansinio turto sutarties sąlygų nustatytomis datomis gali atsirasti pinigų srautų, kurie yra tik pagrindinės sumos ir pagrindinės nepadengtosios sumos palūkanų mokėjimai (toliau – SPPI kriterijai).</w:t>
      </w:r>
    </w:p>
    <w:p>
      <w:pPr>
        <w:pStyle w:val="NotesText0"/>
        <w:spacing w:before="60" w:line="240" w:lineRule="auto"/>
        <w:ind w:firstLine="720"/>
        <w:rPr>
          <w:noProof/>
          <w:sz w:val="16"/>
          <w:szCs w:val="16"/>
        </w:rPr>
      </w:pPr>
    </w:p>
    <w:p>
      <w:pPr>
        <w:pStyle w:val="NotesText0"/>
        <w:spacing w:before="60" w:line="240" w:lineRule="auto"/>
        <w:rPr>
          <w:noProof/>
          <w:sz w:val="16"/>
          <w:szCs w:val="16"/>
        </w:rPr>
      </w:pPr>
      <w:r>
        <w:rPr>
          <w:noProof/>
          <w:sz w:val="16"/>
          <w:szCs w:val="16"/>
        </w:rPr>
        <w:t>Skolos priemonė klasifikuojama tikrąja verte, kurios pokyčiai pripažįstami kitomis bendrosiomis pajamomis, jeigu ji atitinka abi toliau nurodomas sąlygas ir nėra nurodyta tikrąja verte, kurios pokyčiai pripažįstami pelnu arba nuostoliais:</w:t>
      </w:r>
    </w:p>
    <w:p>
      <w:pPr>
        <w:pStyle w:val="NotesText0"/>
        <w:spacing w:before="60" w:line="240" w:lineRule="auto"/>
        <w:rPr>
          <w:noProof/>
          <w:sz w:val="16"/>
          <w:szCs w:val="16"/>
        </w:rPr>
      </w:pPr>
    </w:p>
    <w:p>
      <w:pPr>
        <w:pStyle w:val="NotesText0"/>
        <w:numPr>
          <w:ilvl w:val="0"/>
          <w:numId w:val="42"/>
        </w:numPr>
        <w:spacing w:before="60" w:line="240" w:lineRule="auto"/>
        <w:rPr>
          <w:noProof/>
          <w:sz w:val="16"/>
          <w:szCs w:val="16"/>
        </w:rPr>
      </w:pPr>
      <w:r>
        <w:rPr>
          <w:noProof/>
          <w:sz w:val="16"/>
          <w:szCs w:val="16"/>
        </w:rPr>
        <w:t>turtas laikomas pagal verslo modelį, kurio tikslas pasiekiamas renkant sutartyje numatytus pinigų srautus ir parduodant finansinį turtą, ir</w:t>
      </w:r>
    </w:p>
    <w:p>
      <w:pPr>
        <w:pStyle w:val="NotesText0"/>
        <w:numPr>
          <w:ilvl w:val="0"/>
          <w:numId w:val="42"/>
        </w:numPr>
        <w:spacing w:before="60" w:line="240" w:lineRule="auto"/>
        <w:rPr>
          <w:noProof/>
          <w:sz w:val="16"/>
          <w:szCs w:val="16"/>
        </w:rPr>
      </w:pPr>
      <w:r>
        <w:rPr>
          <w:noProof/>
          <w:sz w:val="16"/>
          <w:szCs w:val="16"/>
        </w:rPr>
        <w:t>dėl finansinio turto sutarties sąlygų nustatytomis datomis gali atsirasti pinigų srautų, kurie atitinka SPPI kriterijus.</w:t>
      </w:r>
    </w:p>
    <w:p>
      <w:pPr>
        <w:pStyle w:val="NotesText0"/>
        <w:spacing w:before="60" w:line="240" w:lineRule="auto"/>
        <w:ind w:firstLine="720"/>
        <w:rPr>
          <w:noProof/>
          <w:sz w:val="16"/>
          <w:szCs w:val="16"/>
        </w:rPr>
      </w:pPr>
    </w:p>
    <w:p>
      <w:pPr>
        <w:pStyle w:val="NotesText0"/>
        <w:spacing w:line="240" w:lineRule="auto"/>
        <w:rPr>
          <w:noProof/>
          <w:sz w:val="16"/>
          <w:szCs w:val="16"/>
        </w:rPr>
      </w:pPr>
      <w:r>
        <w:rPr>
          <w:noProof/>
          <w:sz w:val="16"/>
          <w:szCs w:val="16"/>
        </w:rPr>
        <w:t>Pirmiau nurodyti reikalavimai turėtų būti taikomi visam finansiniam turtui, net jei jis apima įterptąją išvestinę finansinę priemonę.</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Nuosavybės priemonės yra priemonės, kurios atitinka nuosavybės apibrėžtį emitento požiūriu; t. y. priemonės, kuriose nėra sutartinių įsipareigojimų mokėti ir kurios įrodo likutinę emitento grynojo turto dalį. Nuosavybės priemonės vertinamos tikrąja verte, kurios pokyčiai pripažįstami pelnu arba nuostoliais.</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 xml:space="preserve">Investicijų į nuosavą kapitalą, kurios nėra skirtos parduoti, pirminio pripažinimo metu pagal Priemonę gali būti neatšaukiamai nuspręsta pateikti vėlesnius kitų bendrųjų pajamų pokyčius. Ši galimybė pasirenkama vertinant konkrečią investiciją. </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Visas kitas finansinis turtas klasifikuojamas vertinant tikrąja verte, kurios pokyčiai pripažįstami pelnu arba nuostoliais.</w:t>
      </w:r>
    </w:p>
    <w:p>
      <w:pPr>
        <w:pStyle w:val="NotesText0"/>
        <w:spacing w:before="60" w:line="240" w:lineRule="auto"/>
        <w:rPr>
          <w:noProof/>
          <w:sz w:val="16"/>
          <w:szCs w:val="16"/>
        </w:rPr>
      </w:pPr>
    </w:p>
    <w:p>
      <w:pPr>
        <w:pStyle w:val="NotesText0"/>
        <w:spacing w:before="60" w:after="0" w:line="240" w:lineRule="auto"/>
        <w:rPr>
          <w:i/>
          <w:noProof/>
          <w:sz w:val="16"/>
          <w:szCs w:val="16"/>
        </w:rPr>
      </w:pPr>
      <w:r>
        <w:rPr>
          <w:i/>
          <w:noProof/>
          <w:sz w:val="16"/>
          <w:szCs w:val="16"/>
        </w:rPr>
        <w:t>Verslo modelio vertinimas</w:t>
      </w:r>
    </w:p>
    <w:p>
      <w:pPr>
        <w:pStyle w:val="NotesText0"/>
        <w:spacing w:line="240" w:lineRule="auto"/>
        <w:rPr>
          <w:noProof/>
          <w:sz w:val="16"/>
          <w:szCs w:val="16"/>
        </w:rPr>
      </w:pPr>
    </w:p>
    <w:p>
      <w:pPr>
        <w:pStyle w:val="NotesText0"/>
        <w:spacing w:before="60" w:line="240" w:lineRule="auto"/>
        <w:rPr>
          <w:noProof/>
          <w:sz w:val="16"/>
          <w:szCs w:val="16"/>
        </w:rPr>
      </w:pPr>
      <w:r>
        <w:rPr>
          <w:noProof/>
          <w:sz w:val="16"/>
          <w:szCs w:val="16"/>
        </w:rPr>
        <w:t>EIB, kaip Priemonės valdytojas, įvertina verslo modelio, pagal kurį skolos priemonė laikoma portfelio lygmeniu, tikslą, nes tai geriausiai atspindi tai, kaip valdoma įmonė ir informacija teikiama vadovybei. Ta informaciją apima:</w:t>
      </w:r>
    </w:p>
    <w:p>
      <w:pPr>
        <w:pStyle w:val="NotesText0"/>
        <w:numPr>
          <w:ilvl w:val="0"/>
          <w:numId w:val="43"/>
        </w:numPr>
        <w:spacing w:before="60" w:line="240" w:lineRule="auto"/>
        <w:rPr>
          <w:noProof/>
          <w:sz w:val="16"/>
          <w:szCs w:val="16"/>
        </w:rPr>
      </w:pPr>
      <w:r>
        <w:rPr>
          <w:noProof/>
          <w:sz w:val="16"/>
          <w:szCs w:val="16"/>
        </w:rPr>
        <w:t>portfelio politiką bei tikslus ir tos politikos praktinį veikimą. Visų pirma, ar vadovybės strategijoje dėmesys sutelkiamas į tai, kad būtų gaunamos sutartinės pajamos iš palūkanų, išlaikomas tam tikras palūkanų normos profilis, finansinio turto trukmė atitiktų įsipareigojimų, kuriais finansuojamas tas turtas, trukmę arba parduodant turtą būtų realizuojami pinigų srautai;</w:t>
      </w:r>
    </w:p>
    <w:p>
      <w:pPr>
        <w:pStyle w:val="NotesText0"/>
        <w:numPr>
          <w:ilvl w:val="0"/>
          <w:numId w:val="43"/>
        </w:numPr>
        <w:spacing w:before="60" w:line="240" w:lineRule="auto"/>
        <w:rPr>
          <w:noProof/>
          <w:sz w:val="16"/>
          <w:szCs w:val="16"/>
        </w:rPr>
      </w:pPr>
      <w:r>
        <w:rPr>
          <w:noProof/>
          <w:sz w:val="16"/>
          <w:szCs w:val="16"/>
        </w:rPr>
        <w:t>būdą, kaip įvertinami portfelio veiklos rezultatai ir apie juos pranešama Priemonės vadovybei,</w:t>
      </w:r>
    </w:p>
    <w:p>
      <w:pPr>
        <w:pStyle w:val="NotesText0"/>
        <w:numPr>
          <w:ilvl w:val="0"/>
          <w:numId w:val="43"/>
        </w:numPr>
        <w:spacing w:before="60" w:line="240" w:lineRule="auto"/>
        <w:rPr>
          <w:noProof/>
          <w:sz w:val="16"/>
          <w:szCs w:val="16"/>
        </w:rPr>
      </w:pPr>
      <w:r>
        <w:rPr>
          <w:noProof/>
          <w:sz w:val="16"/>
          <w:szCs w:val="16"/>
        </w:rPr>
        <w:t>riziką, kuri turi įtakos verslo modelio veikimui (ir pagal tą verslo modelį laikomam finansiniam turtui), ir kaip ta rizika valdoma, ir</w:t>
      </w:r>
    </w:p>
    <w:p>
      <w:pPr>
        <w:pStyle w:val="NotesText0"/>
        <w:numPr>
          <w:ilvl w:val="0"/>
          <w:numId w:val="43"/>
        </w:numPr>
        <w:spacing w:before="60" w:line="240" w:lineRule="auto"/>
        <w:rPr>
          <w:noProof/>
          <w:sz w:val="16"/>
          <w:szCs w:val="16"/>
        </w:rPr>
      </w:pPr>
      <w:r>
        <w:rPr>
          <w:noProof/>
          <w:sz w:val="16"/>
          <w:szCs w:val="16"/>
        </w:rPr>
        <w:t xml:space="preserve">ankstesnių laikotarpių pardavimų dažnumą, apimtį ir laiką, tokio pardavimo priežastis ir jos lūkesčius, susijusius su būsima pardavimo veikla. </w:t>
      </w:r>
    </w:p>
    <w:p>
      <w:pPr>
        <w:pStyle w:val="NotesText0"/>
        <w:spacing w:before="60" w:line="240" w:lineRule="auto"/>
        <w:rPr>
          <w:noProof/>
          <w:sz w:val="16"/>
          <w:szCs w:val="16"/>
        </w:rPr>
      </w:pPr>
      <w:r>
        <w:rPr>
          <w:noProof/>
          <w:sz w:val="16"/>
          <w:szCs w:val="16"/>
        </w:rPr>
        <w:t>Tačiau informacija apie pardavimo veiklą vertinama ne atskirai, o bendrai vertinant, kaip yra pasiektas paskelbtas Priemonės finansinio turto valdymo tikslas ir kaip panaudojami pinigų srautai.</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Poveikio finansavimo priemonių paketo tiesioginių skolinimo operacijų verslo modelis yra pakeistas, kaip aprašyta ir atskleista 7 ir 24 pastabose.</w:t>
      </w:r>
    </w:p>
    <w:p>
      <w:pPr>
        <w:pStyle w:val="Normal77"/>
        <w:rPr>
          <w:rFonts w:ascii="Arial" w:hAnsi="Arial" w:cs="Arial"/>
          <w:i/>
          <w:noProof/>
          <w:sz w:val="16"/>
          <w:szCs w:val="16"/>
        </w:rPr>
      </w:pPr>
      <w:r>
        <w:rPr>
          <w:rFonts w:ascii="Arial" w:hAnsi="Arial"/>
          <w:i/>
          <w:noProof/>
          <w:sz w:val="16"/>
          <w:szCs w:val="16"/>
        </w:rPr>
        <w:t>Tik pinigų srautų, kurie yra tik pagrindinės sumos ir palūkanų mokėjimo (SPPI) kriterijai</w:t>
      </w:r>
    </w:p>
    <w:p>
      <w:pPr>
        <w:pStyle w:val="NotesText0"/>
        <w:spacing w:line="240" w:lineRule="auto"/>
        <w:rPr>
          <w:noProof/>
          <w:sz w:val="16"/>
          <w:szCs w:val="16"/>
        </w:rPr>
      </w:pPr>
    </w:p>
    <w:p>
      <w:pPr>
        <w:pStyle w:val="NotesText0"/>
        <w:spacing w:before="60" w:line="240" w:lineRule="auto"/>
        <w:rPr>
          <w:noProof/>
          <w:sz w:val="16"/>
          <w:szCs w:val="16"/>
        </w:rPr>
      </w:pPr>
      <w:r>
        <w:rPr>
          <w:noProof/>
          <w:sz w:val="16"/>
          <w:szCs w:val="16"/>
        </w:rPr>
        <w:t>Šiame vertinime terminas „pagrindinis“ apibrėžiamas kaip skolos priemonės tikroji vertė pirminio pripažinimo metu. Terminas „palūkanos“ apibrėžiamas kaip atlygis už pinigų laiko vertę ir už kredito riziką, susijusią su per tam tikrą laikotarpį nepadengta pagrindine suma, ir už kitą pagrindinę skolinimo riziką ir išlaidas (pvz., likvidumo riziką ir administracines išlaidas), taip pat kaip pelno marža.</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Vertinant, ar sutartyje numatyti pinigų srautai yra tik pagrindinės sumos ir palūkanų mokėjimai, atsižvelgiama į Priemonės sutarties sąlygas. Tai apima vertinimą, ar į finansinį turtą įtraukta sutarties sąlyga, dėl kurios galėtų pakisti sutartyje numatytų pinigų srautų laikas ar suma taip, kad jis neatitiktų šios sąlygos.</w:t>
      </w:r>
    </w:p>
    <w:p>
      <w:pPr>
        <w:pStyle w:val="NotesText0"/>
        <w:spacing w:before="60" w:line="240" w:lineRule="auto"/>
        <w:rPr>
          <w:i/>
          <w:noProof/>
          <w:sz w:val="16"/>
          <w:szCs w:val="16"/>
        </w:rPr>
      </w:pPr>
    </w:p>
    <w:p>
      <w:pPr>
        <w:pStyle w:val="NotesText0"/>
        <w:spacing w:before="60" w:after="0" w:line="240" w:lineRule="auto"/>
        <w:rPr>
          <w:i/>
          <w:noProof/>
          <w:sz w:val="16"/>
          <w:szCs w:val="16"/>
        </w:rPr>
      </w:pPr>
      <w:r>
        <w:rPr>
          <w:i/>
          <w:noProof/>
          <w:sz w:val="16"/>
          <w:szCs w:val="16"/>
        </w:rPr>
        <w:t>Pripažinimo nutraukimas</w:t>
      </w:r>
    </w:p>
    <w:p>
      <w:pPr>
        <w:pStyle w:val="NotesText0"/>
        <w:spacing w:line="240" w:lineRule="auto"/>
        <w:rPr>
          <w:i/>
          <w:noProof/>
          <w:sz w:val="16"/>
          <w:szCs w:val="16"/>
        </w:rPr>
      </w:pPr>
    </w:p>
    <w:p>
      <w:pPr>
        <w:pStyle w:val="Normal901"/>
        <w:tabs>
          <w:tab w:val="left" w:pos="1560"/>
        </w:tabs>
        <w:suppressAutoHyphens w:val="0"/>
        <w:spacing w:before="60" w:after="60"/>
        <w:jc w:val="both"/>
        <w:rPr>
          <w:noProof/>
          <w:sz w:val="16"/>
          <w:szCs w:val="16"/>
        </w:rPr>
      </w:pPr>
      <w:r>
        <w:rPr>
          <w:rFonts w:ascii="Arial" w:hAnsi="Arial"/>
          <w:noProof/>
          <w:sz w:val="16"/>
          <w:szCs w:val="16"/>
        </w:rPr>
        <w:t>Priemonei taikyti finansinio turto pripažinimas nutraukiamas, kai nustoja galioti sutartyje numatytos teisės į finansinio turto pinigų srautus arba teisės gauti sutartyje numatytus pinigų srautus yra perduodamos atliekant operaciją, per kurią taikant Priemonę perduodama iš esmės visa su finansinio turto nuosavybe susijusi rizika ir nauda, arba iš esmės išlaikoma visa su nuosavybe susijusi rizika ir nauda, bet neišlaikoma finansinio turto kontrolė.</w:t>
      </w:r>
    </w:p>
    <w:p>
      <w:pPr>
        <w:pStyle w:val="Normal901"/>
        <w:tabs>
          <w:tab w:val="left" w:pos="1560"/>
        </w:tabs>
        <w:suppressAutoHyphens w:val="0"/>
        <w:spacing w:before="60" w:after="60"/>
        <w:jc w:val="both"/>
        <w:rPr>
          <w:rFonts w:ascii="Arial" w:hAnsi="Arial"/>
          <w:noProof/>
          <w:sz w:val="16"/>
          <w:szCs w:val="16"/>
        </w:rPr>
      </w:pPr>
    </w:p>
    <w:p>
      <w:pPr>
        <w:pStyle w:val="Normal1000"/>
        <w:jc w:val="both"/>
        <w:rPr>
          <w:rFonts w:ascii="Arial" w:hAnsi="Arial" w:cs="Arial"/>
          <w:noProof/>
          <w:sz w:val="16"/>
          <w:szCs w:val="16"/>
        </w:rPr>
      </w:pPr>
      <w:r>
        <w:rPr>
          <w:rFonts w:ascii="Arial" w:hAnsi="Arial"/>
          <w:noProof/>
          <w:sz w:val="16"/>
          <w:szCs w:val="16"/>
        </w:rPr>
        <w:t>Kai nutraukiamas finansinio turto arba finansinio įsipareigojimo pripažinimas (2.4.4 pastaba), skirtumas tarp turto arba įsipareigojimo balansinės vertės (arba balansinės vertės, priskiriamos turto ar įsipareigojimo, kurio pripažinimas nutrauktas, daliai) ir i) gauto ar sumokėto atlygio ir ii) bet kokio sukaupto pelno ar nuostolių, pripažintų kitomis bendrosiomis pajamomis, sumos yra pripažįstamas pelno arba nuostolių ataskaitoje, išskyrus sukauptą pelną arba nuostolius, pripažintus kitomis bendrosiomis pajamomis iš investicijų į nuosavą kapitalą, vertinamų tikrąja verte, kurios pokyčiai pripažįstami kitomis bendrosiomis pajamomis, kurios pervedamos į rezervo fondą, o ne perleidžiamu pelnu arba nuostoliais.</w:t>
      </w:r>
    </w:p>
    <w:p>
      <w:pPr>
        <w:pStyle w:val="NotesText0"/>
        <w:spacing w:before="60" w:line="240" w:lineRule="auto"/>
        <w:rPr>
          <w:noProof/>
          <w:sz w:val="16"/>
          <w:szCs w:val="16"/>
        </w:rPr>
      </w:pPr>
    </w:p>
    <w:p>
      <w:pPr>
        <w:pStyle w:val="Normal1000"/>
        <w:rPr>
          <w:rFonts w:cs="Arial"/>
          <w:i/>
          <w:noProof/>
        </w:rPr>
      </w:pPr>
      <w:r>
        <w:rPr>
          <w:rFonts w:ascii="Arial" w:hAnsi="Arial"/>
          <w:i/>
          <w:noProof/>
          <w:sz w:val="16"/>
          <w:szCs w:val="16"/>
        </w:rPr>
        <w:t>Perklasifikavimas</w:t>
      </w:r>
    </w:p>
    <w:p>
      <w:pPr>
        <w:pStyle w:val="Normal90"/>
        <w:tabs>
          <w:tab w:val="left" w:pos="1560"/>
        </w:tabs>
        <w:suppressAutoHyphens w:val="0"/>
        <w:spacing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Finansinis turtas nėra perklasifikuojamas po jo pirminio pripažinimo, išskyrus laikotarpį, kai Priemonei taikyti pakeičiamas finansinio turto verslo valdymo modelis.</w:t>
      </w:r>
    </w:p>
    <w:p>
      <w:pPr>
        <w:pStyle w:val="Normal90"/>
        <w:tabs>
          <w:tab w:val="left" w:pos="1560"/>
        </w:tabs>
        <w:suppressAutoHyphens w:val="0"/>
        <w:spacing w:before="60" w:after="60"/>
        <w:jc w:val="both"/>
        <w:rPr>
          <w:rFonts w:ascii="Arial" w:hAnsi="Arial"/>
          <w:noProof/>
          <w:sz w:val="16"/>
          <w:szCs w:val="16"/>
        </w:rPr>
      </w:pPr>
    </w:p>
    <w:p>
      <w:pPr>
        <w:pStyle w:val="Normal1000"/>
        <w:rPr>
          <w:rFonts w:ascii="Arial" w:hAnsi="Arial" w:cs="Arial"/>
          <w:i/>
          <w:noProof/>
          <w:sz w:val="16"/>
          <w:szCs w:val="16"/>
        </w:rPr>
      </w:pPr>
      <w:r>
        <w:rPr>
          <w:rFonts w:ascii="Arial" w:hAnsi="Arial"/>
          <w:i/>
          <w:noProof/>
          <w:sz w:val="16"/>
          <w:szCs w:val="16"/>
        </w:rPr>
        <w:t xml:space="preserve">Pakeitimas </w:t>
      </w:r>
    </w:p>
    <w:p>
      <w:pPr>
        <w:pStyle w:val="Normal1000"/>
        <w:rPr>
          <w:rFonts w:ascii="Arial" w:hAnsi="Arial" w:cs="Arial"/>
          <w:i/>
          <w:noProof/>
          <w:sz w:val="16"/>
          <w:szCs w:val="16"/>
        </w:rPr>
      </w:pPr>
    </w:p>
    <w:p>
      <w:pPr>
        <w:pStyle w:val="Normal901"/>
        <w:tabs>
          <w:tab w:val="left" w:pos="1560"/>
        </w:tabs>
        <w:suppressAutoHyphens w:val="0"/>
        <w:spacing w:before="60" w:after="60"/>
        <w:jc w:val="both"/>
        <w:rPr>
          <w:rFonts w:ascii="Arial" w:hAnsi="Arial"/>
          <w:noProof/>
          <w:sz w:val="16"/>
          <w:szCs w:val="16"/>
        </w:rPr>
      </w:pPr>
      <w:r>
        <w:rPr>
          <w:rFonts w:ascii="Arial" w:hAnsi="Arial"/>
          <w:noProof/>
          <w:sz w:val="16"/>
          <w:szCs w:val="16"/>
        </w:rPr>
        <w:t>Amortizuota savikaina vertinamas finansinis turtas laikomas pakeistu, kai jo sutartyje numatyti pinigų srautai persvarstomi arba kitaip pakeičiami. Dėl persvarstymo arba pakeitimo gali būti panaikintas senosios finansinės priemonės pripažinimas ir pripažinta nauja finansinė priemonė, bet gali ir nebūti.</w:t>
      </w:r>
    </w:p>
    <w:p>
      <w:pPr>
        <w:pStyle w:val="Normal901"/>
        <w:tabs>
          <w:tab w:val="left" w:pos="1560"/>
        </w:tabs>
        <w:suppressAutoHyphens w:val="0"/>
        <w:spacing w:before="60" w:after="60"/>
        <w:jc w:val="both"/>
        <w:rPr>
          <w:rFonts w:ascii="Arial" w:hAnsi="Arial"/>
          <w:noProof/>
          <w:sz w:val="16"/>
          <w:szCs w:val="16"/>
        </w:rPr>
      </w:pPr>
    </w:p>
    <w:p>
      <w:pPr>
        <w:pStyle w:val="Normal901"/>
        <w:tabs>
          <w:tab w:val="left" w:pos="1560"/>
        </w:tabs>
        <w:suppressAutoHyphens w:val="0"/>
        <w:spacing w:before="60" w:after="60"/>
        <w:jc w:val="both"/>
        <w:rPr>
          <w:rFonts w:ascii="Arial" w:hAnsi="Arial"/>
          <w:noProof/>
          <w:sz w:val="16"/>
          <w:szCs w:val="16"/>
        </w:rPr>
      </w:pPr>
      <w:r>
        <w:rPr>
          <w:rFonts w:ascii="Arial" w:hAnsi="Arial"/>
          <w:noProof/>
          <w:sz w:val="16"/>
          <w:szCs w:val="16"/>
        </w:rPr>
        <w:t>Esminis sutartyje numatytas finansinio turto, vertinamo amortizuota savikaina, pinigų srautų pakeitimas, dėl kurio panaikinamas finansinio turto pripažinimas, reiškia, kad naujas finansinis turtas pripažįstamas tikrąja verte, o pakeitimo poveikis pelnui arba nuostoliams įrašomas konsoliduotoje pelno (nuostolių) ataskaitoje kaip finansinių operacijų rezultatas.</w:t>
      </w:r>
    </w:p>
    <w:p>
      <w:pPr>
        <w:pStyle w:val="Normal90"/>
        <w:tabs>
          <w:tab w:val="left" w:pos="1560"/>
        </w:tabs>
        <w:suppressAutoHyphens w:val="0"/>
        <w:spacing w:before="60" w:after="60"/>
        <w:jc w:val="both"/>
        <w:rPr>
          <w:rFonts w:ascii="Arial" w:hAnsi="Arial"/>
          <w:noProof/>
          <w:sz w:val="16"/>
          <w:szCs w:val="16"/>
        </w:rPr>
      </w:pPr>
    </w:p>
    <w:p>
      <w:pPr>
        <w:pStyle w:val="Normal90"/>
        <w:widowControl w:val="0"/>
        <w:autoSpaceDE w:val="0"/>
        <w:spacing w:before="60"/>
        <w:jc w:val="both"/>
        <w:rPr>
          <w:rFonts w:ascii="Arial" w:hAnsi="Arial"/>
          <w:i/>
          <w:noProof/>
          <w:sz w:val="16"/>
          <w:szCs w:val="16"/>
        </w:rPr>
      </w:pPr>
      <w:r>
        <w:rPr>
          <w:rFonts w:ascii="Arial" w:hAnsi="Arial"/>
          <w:i/>
          <w:noProof/>
          <w:sz w:val="16"/>
          <w:szCs w:val="16"/>
        </w:rPr>
        <w:t>Finansinių priemonių tikrosios vertės nustatymas</w:t>
      </w:r>
    </w:p>
    <w:p>
      <w:pPr>
        <w:pStyle w:val="Normal90"/>
        <w:widowControl w:val="0"/>
        <w:autoSpaceDE w:val="0"/>
        <w:spacing w:after="60"/>
        <w:jc w:val="both"/>
        <w:rPr>
          <w:rFonts w:ascii="Arial" w:hAnsi="Arial"/>
          <w:i/>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 xml:space="preserve">Tikroji vertė yra kaina, už kurią vertinimo dieną būtų parduotas turtas arba perleistas įsipareigojimas pagal tvarkingą sandorį tarp rinkos dalyvių pagrindinėje, o jos nesant – palankiausioje rinkoje, prie kurios Priemonė tuo metu turi prieigą. </w:t>
      </w:r>
    </w:p>
    <w:p>
      <w:pPr>
        <w:pStyle w:val="Normal90"/>
        <w:tabs>
          <w:tab w:val="left" w:pos="1560"/>
        </w:tabs>
        <w:suppressAutoHyphens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Kai taikoma, Priemonės vardu EIB apskaičiuoja priemonės tikrąją vertę, remdamasis tos priemonės aktyviojoje rinkoje kotiruojama kaina. Rinka laikoma aktyviąja rinka, jei sandoriai dėl turto arba įsipareigojimo sudaromi gana dažnai ir jų apimtis yra gana didelė, kad būtų galima nuolat gauti informacijos apie kainų nustatymą.</w:t>
      </w:r>
    </w:p>
    <w:p>
      <w:pPr>
        <w:pStyle w:val="Normal90"/>
        <w:tabs>
          <w:tab w:val="left" w:pos="1560"/>
        </w:tabs>
        <w:suppressAutoHyphens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Jei į finansinės būklės ataskaitą įtraukto finansinio turto ir finansinių įsipareigojimų tikrosios vertės aktyviosiose rinkose negalima nustatyti, ji nustatoma taikant įvairius vertinimo metodus, įskaitant matematinius modelius. Šių modelių duomenys, jei įmanoma, gaunami iš stebimų rinkų, tačiau, jei tai neįmanoma, nustatant tikrąsias vertes reikia priimti tam tikrą sprendimą. Pasirinktas vertinimo metodas apima visus veiksnius, į kuriuos atsižvelgtų rinkos dalyviai nustatydami sandorio kainą.</w:t>
      </w:r>
    </w:p>
    <w:p>
      <w:pPr>
        <w:pStyle w:val="Normal90"/>
        <w:widowControl w:val="0"/>
        <w:autoSpaceDE w:val="0"/>
        <w:spacing w:before="60" w:after="60"/>
        <w:jc w:val="both"/>
        <w:rPr>
          <w:rFonts w:ascii="Arial" w:hAnsi="Arial"/>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szCs w:val="16"/>
        </w:rPr>
        <w:t xml:space="preserve">Šie vertinimo metodai gali apimti grynosios dabartinės vertės ir diskontuotų pinigų srautų modelius, palyginimą su panašiomis priemonėmis, kurių stebimos rinkos kainos jau egzistuoja, </w:t>
      </w:r>
      <w:r>
        <w:rPr>
          <w:rFonts w:ascii="Arial" w:hAnsi="Arial"/>
          <w:i/>
          <w:iCs/>
          <w:noProof/>
          <w:sz w:val="16"/>
          <w:szCs w:val="16"/>
        </w:rPr>
        <w:t>Black-Scholes</w:t>
      </w:r>
      <w:r>
        <w:rPr>
          <w:rFonts w:ascii="Arial" w:hAnsi="Arial"/>
          <w:noProof/>
          <w:sz w:val="16"/>
          <w:szCs w:val="16"/>
        </w:rPr>
        <w:t xml:space="preserve"> ir polinominius pasirinkimo sandorių kainų nustatymo modelius ir kitus vertinimo modelius. Vertinimo metodams naudojamos prielaidos ir duomenys apima nerizikingas palūkanų normas ir palūkanų normų lyginamuosius indeksus, kredito maržas, naudojamas apskaičiuojant diskonto normas, obligacijų ir akcijų kainas, užsienio valiutos keitimo kursus, akcijų ir akcijų indeksų kainas ir tikėtinus kainų svyravimus ir koreliacijas.</w:t>
      </w:r>
    </w:p>
    <w:p>
      <w:pPr>
        <w:pStyle w:val="Normal90"/>
        <w:widowControl w:val="0"/>
        <w:autoSpaceDE w:val="0"/>
        <w:spacing w:before="60" w:after="60"/>
        <w:jc w:val="both"/>
        <w:rPr>
          <w:rFonts w:ascii="Arial" w:hAnsi="Arial"/>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szCs w:val="16"/>
        </w:rPr>
        <w:t>Vertinimo metodų tikslas – nustatyti tikrąją vertę, kuri yra kaina, už kurią vertinimo dieną būtų parduotas turtas arba perleistas įsipareigojimas pagal tvarkingą sandorį tarp rinkos dalyvių.</w:t>
      </w:r>
    </w:p>
    <w:p>
      <w:pPr>
        <w:pStyle w:val="Normal90"/>
        <w:widowControl w:val="0"/>
        <w:autoSpaceDE w:val="0"/>
        <w:spacing w:before="60" w:after="60"/>
        <w:jc w:val="both"/>
        <w:rPr>
          <w:rFonts w:ascii="Arial" w:hAnsi="Arial"/>
          <w:noProof/>
          <w:sz w:val="16"/>
          <w:szCs w:val="16"/>
        </w:rPr>
      </w:pPr>
    </w:p>
    <w:p>
      <w:pPr>
        <w:rPr>
          <w:rFonts w:ascii="Arial" w:hAnsi="Arial"/>
          <w:noProof/>
          <w:sz w:val="16"/>
          <w:szCs w:val="16"/>
        </w:rPr>
      </w:pPr>
      <w:r>
        <w:rPr>
          <w:noProof/>
        </w:rPr>
        <w:br w:type="page"/>
      </w:r>
    </w:p>
    <w:p>
      <w:pPr>
        <w:pStyle w:val="Normal90"/>
        <w:widowControl w:val="0"/>
        <w:autoSpaceDE w:val="0"/>
        <w:spacing w:before="60" w:after="60"/>
        <w:jc w:val="both"/>
        <w:rPr>
          <w:rFonts w:ascii="Arial" w:hAnsi="Arial"/>
          <w:noProof/>
          <w:sz w:val="16"/>
          <w:szCs w:val="16"/>
        </w:rPr>
      </w:pPr>
      <w:r>
        <w:rPr>
          <w:rFonts w:ascii="Arial" w:hAnsi="Arial"/>
          <w:noProof/>
          <w:sz w:val="16"/>
          <w:szCs w:val="16"/>
        </w:rPr>
        <w:t>Priemonei taikyti naudojami plačiai pripažinti vertinimo modeliai įprastų ir nesudėtingų finansinių priemonių, tokių kaip palūkanų normos ir valiutos apsikeitimo sandoriai, tikrajai vertei nustatyti; šie modeliai remiasi tik stebimais rinkos duomenimis ir nereikalauja ypatingo vadovybės vertinimo ir skaičiavimų. Stebimas kainas ir modelių duomenis paprastai galima gauti oficialiojo sąrašo skolos ir nuosavybės vertybinių popierių, biržinių išvestinių finansinių priemonių ir paprastų ne biržos išvestinių finansinių priemonių, tokių kaip palūkanų normų apsikeitimo sandoriai, rinkose. Stebimų rinkos kainų ir modelių duomenų prieinamumas sumažina vadovybės vertinimo ir skaičiavimų poreikį, taip pat sumažina netikrumą, susijusį su tikrosios vertės nustatymu. Stebimų rinkos kainų ir duomenų prieinamumas skiriasi, priklausomai nuo produktų ir rinkų, ir yra linkęs kisti dėl konkrečių įvykių ir bendrų finansų rinkų sąlygų.</w:t>
      </w:r>
    </w:p>
    <w:p>
      <w:pPr>
        <w:pStyle w:val="Normal90"/>
        <w:widowControl w:val="0"/>
        <w:autoSpaceDE w:val="0"/>
        <w:spacing w:before="60" w:after="60"/>
        <w:jc w:val="both"/>
        <w:rPr>
          <w:rFonts w:ascii="Arial" w:hAnsi="Arial"/>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szCs w:val="16"/>
        </w:rPr>
        <w:t>Sudėtingesnėms priemonės naudojami pačios Priemonės vertinimo modeliai, sukurti pagal pripažintus vertinimo modelius. Kai kurių arba visų svarbių duomenų, naudojamų šiuose modeliuose, gali nebūti rinkoje; jie yra išvesti iš rinkos kainų arba normų arba apskaičiuoti remiantis prielaidomis. Priemonių, susijusių su svarbiais rinkoje negaunamais duomenimis, pavyzdžiai apima tam tikras paskolas ir garantijas, kurių aktyvioji rinka neegzistuoja. Vertinimo modeliai, kuriems naudojami svarbūs rinkoje negaunami duomenys, reikalauja aukštesnio lygio vadovybės vertinimo ir skaičiavimų nustatant tikrąją vertę. Vadovybės vertinimo ir skaičiavimų paprastai reikia renkantis tinkamą vertinimo modelį, kuris bus naudojamas, nustatant vertinamos finansinės priemonės tikėtinus būsimuosius pinigų srautus, nustatant sandorio šalių įsipareigojimų nevykdymo ir išankstinių mokėjimų tikimybę ir pasirenkant tinkamas diskonto normas.</w:t>
      </w:r>
    </w:p>
    <w:p>
      <w:pPr>
        <w:pStyle w:val="Normal90"/>
        <w:widowControl w:val="0"/>
        <w:autoSpaceDE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Taikant Priemonę apskaičiuojama tikroji vertė, naudojant tokią tikrosios vertės hierarchiją, atspindinčią apskaičiavimams naudotų duomenų svarbą:</w:t>
      </w:r>
    </w:p>
    <w:p>
      <w:pPr>
        <w:pStyle w:val="Normal90"/>
        <w:tabs>
          <w:tab w:val="left" w:pos="1560"/>
        </w:tabs>
        <w:suppressAutoHyphens w:val="0"/>
        <w:spacing w:before="60" w:after="60"/>
        <w:jc w:val="both"/>
        <w:rPr>
          <w:rFonts w:ascii="Arial" w:hAnsi="Arial"/>
          <w:noProof/>
          <w:sz w:val="16"/>
          <w:szCs w:val="16"/>
        </w:rPr>
      </w:pPr>
    </w:p>
    <w:p>
      <w:pPr>
        <w:pStyle w:val="Normal90"/>
        <w:numPr>
          <w:ilvl w:val="0"/>
          <w:numId w:val="44"/>
        </w:numPr>
        <w:tabs>
          <w:tab w:val="left" w:pos="1560"/>
        </w:tabs>
        <w:suppressAutoHyphens w:val="0"/>
        <w:spacing w:before="60" w:after="60"/>
        <w:jc w:val="both"/>
        <w:rPr>
          <w:rFonts w:ascii="Arial" w:hAnsi="Arial"/>
          <w:noProof/>
          <w:sz w:val="16"/>
          <w:szCs w:val="16"/>
        </w:rPr>
      </w:pPr>
      <w:r>
        <w:rPr>
          <w:rFonts w:ascii="Arial" w:hAnsi="Arial"/>
          <w:noProof/>
          <w:sz w:val="16"/>
          <w:szCs w:val="16"/>
        </w:rPr>
        <w:t>1 lygis – duomenys, kurie yra identiškų priemonių netikslintos kotiruojamos rinkos kainos aktyviosiose rinkose, prie kurių Priemonė turi prieigą.</w:t>
      </w:r>
    </w:p>
    <w:p>
      <w:pPr>
        <w:pStyle w:val="Normal90"/>
        <w:numPr>
          <w:ilvl w:val="0"/>
          <w:numId w:val="44"/>
        </w:numPr>
        <w:tabs>
          <w:tab w:val="left" w:pos="1560"/>
        </w:tabs>
        <w:suppressAutoHyphens w:val="0"/>
        <w:spacing w:before="60" w:after="60"/>
        <w:jc w:val="both"/>
        <w:rPr>
          <w:rFonts w:ascii="Arial" w:hAnsi="Arial"/>
          <w:noProof/>
          <w:sz w:val="16"/>
          <w:szCs w:val="16"/>
        </w:rPr>
      </w:pPr>
      <w:r>
        <w:rPr>
          <w:rFonts w:ascii="Arial" w:hAnsi="Arial"/>
          <w:noProof/>
          <w:sz w:val="16"/>
          <w:szCs w:val="16"/>
        </w:rPr>
        <w:t>2 lygis – kiti nei kotiruojamos kainos 1 lygio duomenys, kurie stebimi tiesiogiai (t. y. kaip kainos) arba netiesiogiai (t. y. gauti iš kainų). Šiai kategorijai priklauso priemonės, vertinamos naudojantis panašių priemonių kotiruojamomis rinkos kainomis aktyviosiose rinkose, identiškų arba panašių priemonių kotiruojamomis rinkos kainomis rinkose, kurios laikomos ne tokiomis aktyviomis, arba taikant kitus vertinimo metodus, kai visi reikšmingi duomenys yra tiesiogiai arba netiesiogiai nustatomi iš rinkos duomenų.</w:t>
      </w:r>
    </w:p>
    <w:p>
      <w:pPr>
        <w:pStyle w:val="Normal90"/>
        <w:numPr>
          <w:ilvl w:val="0"/>
          <w:numId w:val="44"/>
        </w:numPr>
        <w:tabs>
          <w:tab w:val="left" w:pos="1560"/>
        </w:tabs>
        <w:suppressAutoHyphens w:val="0"/>
        <w:spacing w:before="60" w:after="60"/>
        <w:jc w:val="both"/>
        <w:rPr>
          <w:rFonts w:ascii="Arial" w:hAnsi="Arial"/>
          <w:noProof/>
          <w:sz w:val="16"/>
          <w:szCs w:val="16"/>
        </w:rPr>
      </w:pPr>
      <w:r>
        <w:rPr>
          <w:rFonts w:ascii="Arial" w:hAnsi="Arial"/>
          <w:noProof/>
          <w:sz w:val="16"/>
          <w:szCs w:val="16"/>
        </w:rPr>
        <w:t>3 lygis – duomenys, kurie nėra stebimi. Šiai kategorijai priklauso visos priemonės, kurių vertinimo metodas remiasi duomenimis, nepagrįstais stebimais duomenimis, o rinkoje negaunami duomenys turi didelį poveikį priemonės vertinimui. Šiai kategorijai priklauso priemonės, kurios vertinamos remiantis panašių priemonių kotiruojamomis kainomis, kai siekiant atspindėti priemonių skirtumus reikia atlikti svarbius patikslinimus arba prielaidas, remiantis rinkoje negaunamais duomenimis.</w:t>
      </w:r>
    </w:p>
    <w:p>
      <w:pPr>
        <w:pStyle w:val="Normal90"/>
        <w:tabs>
          <w:tab w:val="left" w:pos="1560"/>
        </w:tabs>
        <w:suppressAutoHyphens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cs="Arial"/>
          <w:noProof/>
          <w:sz w:val="16"/>
          <w:szCs w:val="16"/>
        </w:rPr>
      </w:pPr>
      <w:r>
        <w:rPr>
          <w:rFonts w:ascii="Arial" w:hAnsi="Arial"/>
          <w:noProof/>
          <w:sz w:val="16"/>
          <w:szCs w:val="16"/>
        </w:rPr>
        <w:t>Taikant Priemonę perkėlimai tarp tikrosios vertės hierarchijos lygių pripažįstami ataskaitinio laikotarpio, per kurį įvyko pokytis, pabaigoje.</w:t>
      </w:r>
    </w:p>
    <w:p>
      <w:pPr>
        <w:pStyle w:val="Normal90"/>
        <w:tabs>
          <w:tab w:val="left" w:pos="1560"/>
        </w:tabs>
        <w:suppressAutoHyphens w:val="0"/>
        <w:spacing w:before="60" w:after="60"/>
        <w:jc w:val="both"/>
        <w:rPr>
          <w:rFonts w:ascii="Arial" w:hAnsi="Arial" w:cs="Arial"/>
          <w:bCs/>
          <w:i/>
          <w:noProof/>
          <w:sz w:val="16"/>
          <w:szCs w:val="16"/>
          <w:lang w:eastAsia="en-GB"/>
        </w:rPr>
      </w:pPr>
    </w:p>
    <w:p>
      <w:pPr>
        <w:pStyle w:val="Normal90"/>
        <w:tabs>
          <w:tab w:val="left" w:pos="1560"/>
        </w:tabs>
        <w:suppressAutoHyphens w:val="0"/>
        <w:spacing w:before="60"/>
        <w:jc w:val="both"/>
        <w:rPr>
          <w:rFonts w:ascii="Arial" w:hAnsi="Arial" w:cs="Arial"/>
          <w:bCs/>
          <w:i/>
          <w:noProof/>
          <w:sz w:val="16"/>
          <w:szCs w:val="16"/>
        </w:rPr>
      </w:pPr>
      <w:r>
        <w:rPr>
          <w:rFonts w:ascii="Arial" w:hAnsi="Arial"/>
          <w:bCs/>
          <w:i/>
          <w:noProof/>
          <w:sz w:val="16"/>
          <w:szCs w:val="16"/>
        </w:rPr>
        <w:t>Finansinio turto vertės sumažėjimas</w:t>
      </w:r>
    </w:p>
    <w:p>
      <w:pPr>
        <w:pStyle w:val="NotesText0"/>
        <w:spacing w:line="240" w:lineRule="auto"/>
        <w:rPr>
          <w:bCs/>
          <w:i/>
          <w:noProof/>
          <w:sz w:val="16"/>
          <w:szCs w:val="16"/>
          <w:lang w:eastAsia="en-GB"/>
        </w:rPr>
      </w:pPr>
    </w:p>
    <w:p>
      <w:pPr>
        <w:pStyle w:val="Notes10"/>
        <w:numPr>
          <w:ilvl w:val="0"/>
          <w:numId w:val="0"/>
        </w:numPr>
        <w:tabs>
          <w:tab w:val="right" w:pos="-2700"/>
        </w:tabs>
        <w:spacing w:before="60" w:after="60"/>
        <w:rPr>
          <w:rFonts w:cs="Arial"/>
          <w:b w:val="0"/>
          <w:iCs/>
          <w:noProof/>
          <w:sz w:val="16"/>
          <w:szCs w:val="16"/>
        </w:rPr>
      </w:pPr>
      <w:r>
        <w:rPr>
          <w:b w:val="0"/>
          <w:iCs/>
          <w:noProof/>
          <w:sz w:val="16"/>
          <w:szCs w:val="16"/>
        </w:rPr>
        <w:t>9-ajame TFAS numatytas perspektyvus tikėtinų kredito nuostolių vertės sumažėjimo modelis taikomas finansiniam turtui, kuris vertinamas amortizuota savikaina, finansinių garantijų sutartims, taip pat nebalansiniams įsipareigojimams. Reikia įvertinimo, kad būtų galima nustatyti susietąjį kintamąjį (įsipareigojimų neįvykdymo tikimybės, nuostolių dėl įsipareigojimų neįvykdymo ir pozicijos vertės esant įsipareigojimų neįvykdymui), naudojamą norint įvertinti, kaip ekonominių ir kitų veiksnių pokyčiai veikia tikėtinus kredito nuostolius, kurie bus apskaičiuojami tikimybės pagrindu.</w:t>
      </w:r>
    </w:p>
    <w:p>
      <w:pPr>
        <w:pStyle w:val="Notes10"/>
        <w:numPr>
          <w:ilvl w:val="0"/>
          <w:numId w:val="0"/>
        </w:numPr>
        <w:tabs>
          <w:tab w:val="right" w:pos="-2700"/>
        </w:tabs>
        <w:spacing w:before="60" w:after="60"/>
        <w:rPr>
          <w:rFonts w:cs="Arial"/>
          <w:b w:val="0"/>
          <w:iCs/>
          <w:noProof/>
          <w:sz w:val="16"/>
          <w:szCs w:val="16"/>
        </w:rPr>
      </w:pPr>
    </w:p>
    <w:p>
      <w:pPr>
        <w:pStyle w:val="Notes10"/>
        <w:numPr>
          <w:ilvl w:val="0"/>
          <w:numId w:val="0"/>
        </w:numPr>
        <w:tabs>
          <w:tab w:val="right" w:pos="-2700"/>
        </w:tabs>
        <w:spacing w:before="60" w:after="60"/>
        <w:rPr>
          <w:b w:val="0"/>
          <w:noProof/>
          <w:sz w:val="16"/>
        </w:rPr>
      </w:pPr>
      <w:r>
        <w:rPr>
          <w:b w:val="0"/>
          <w:iCs/>
          <w:noProof/>
          <w:sz w:val="16"/>
          <w:szCs w:val="16"/>
        </w:rPr>
        <w:t>Vadovaujantis 9-uoju TFAS, atidėjiniai nuostoliams vertinami remiantis vienu iš toliau nurodytų pagrindų:</w:t>
      </w:r>
    </w:p>
    <w:p>
      <w:pPr>
        <w:pStyle w:val="Notes10"/>
        <w:numPr>
          <w:ilvl w:val="0"/>
          <w:numId w:val="0"/>
        </w:numPr>
        <w:tabs>
          <w:tab w:val="right" w:pos="-2700"/>
        </w:tabs>
        <w:spacing w:before="60" w:after="60"/>
        <w:rPr>
          <w:rFonts w:cs="Arial"/>
          <w:iCs/>
          <w:noProof/>
          <w:sz w:val="16"/>
          <w:szCs w:val="16"/>
        </w:rPr>
      </w:pPr>
    </w:p>
    <w:p>
      <w:pPr>
        <w:pStyle w:val="Notes10"/>
        <w:numPr>
          <w:ilvl w:val="0"/>
          <w:numId w:val="46"/>
        </w:numPr>
        <w:tabs>
          <w:tab w:val="right" w:pos="-2700"/>
        </w:tabs>
        <w:spacing w:before="60" w:after="60"/>
        <w:rPr>
          <w:rFonts w:cs="Arial"/>
          <w:iCs/>
          <w:noProof/>
          <w:sz w:val="16"/>
          <w:szCs w:val="16"/>
        </w:rPr>
      </w:pPr>
      <w:r>
        <w:rPr>
          <w:b w:val="0"/>
          <w:iCs/>
          <w:noProof/>
          <w:sz w:val="16"/>
          <w:szCs w:val="16"/>
        </w:rPr>
        <w:t>tikėtinais kredito nuostoliais 12-os mėnesių laikotarpiu. Tai tikėtini kredito nuostoliai, kurių dėl galimų įsipareigojimų neįvykdymo įvykių gali atsirasti per 12 mėnesių nuo finansinių ataskaitų sudarymo dienos, ir</w:t>
      </w:r>
    </w:p>
    <w:p>
      <w:pPr>
        <w:pStyle w:val="Notes10"/>
        <w:numPr>
          <w:ilvl w:val="0"/>
          <w:numId w:val="46"/>
        </w:numPr>
        <w:tabs>
          <w:tab w:val="right" w:pos="-2700"/>
        </w:tabs>
        <w:spacing w:before="60" w:after="60"/>
        <w:rPr>
          <w:rFonts w:cs="Arial"/>
          <w:b w:val="0"/>
          <w:iCs/>
          <w:noProof/>
          <w:sz w:val="16"/>
          <w:szCs w:val="16"/>
        </w:rPr>
      </w:pPr>
      <w:r>
        <w:rPr>
          <w:b w:val="0"/>
          <w:iCs/>
          <w:noProof/>
          <w:sz w:val="16"/>
          <w:szCs w:val="16"/>
        </w:rPr>
        <w:t>tikėtinais kredito nuostoliais visu finansinės priemonės galiojimo laikotarpiu. Tai tikėtini kredito nuostoliai, kurių dėl visų galimų įsipareigojimų neįvykdymo įvykių gali atsirasti per visą tikėtiną finansinės priemonės galiojimo laikotarpį.</w:t>
      </w:r>
    </w:p>
    <w:p>
      <w:pPr>
        <w:pStyle w:val="Notes10"/>
        <w:numPr>
          <w:ilvl w:val="0"/>
          <w:numId w:val="0"/>
        </w:numPr>
        <w:tabs>
          <w:tab w:val="right" w:pos="-2700"/>
        </w:tabs>
        <w:spacing w:before="60" w:after="60"/>
        <w:rPr>
          <w:rFonts w:cs="Arial"/>
          <w:iCs/>
          <w:noProof/>
          <w:sz w:val="16"/>
          <w:szCs w:val="16"/>
        </w:rPr>
      </w:pPr>
    </w:p>
    <w:p>
      <w:pPr>
        <w:pStyle w:val="Normal1000"/>
        <w:jc w:val="both"/>
        <w:rPr>
          <w:rFonts w:ascii="Arial" w:hAnsi="Arial" w:cs="Arial"/>
          <w:noProof/>
          <w:sz w:val="16"/>
          <w:szCs w:val="16"/>
        </w:rPr>
      </w:pPr>
      <w:r>
        <w:rPr>
          <w:rFonts w:ascii="Arial" w:hAnsi="Arial"/>
          <w:noProof/>
          <w:sz w:val="16"/>
          <w:szCs w:val="16"/>
        </w:rPr>
        <w:t xml:space="preserve">9-ajame TFAS nustatytas trijų etapų vertės sumažėjimo modelis, pagrįstas kredito kokybės pokyčiais nuo pirminio pripažinimo. Finansinės priemonės klasifikuojamos 1 etape, išskyrus tas priemones, kurių kredito rizika nuo pirminio pripažinimo reikšmingai padidėjo. Tai apima tiek kiekybinę, tiek kokybinę informaciją ir analizę, pagrįstą Banko ekspertinėmis žiniomis, įskaitant į ateitį orientuotą informaciją. </w:t>
      </w:r>
    </w:p>
    <w:p>
      <w:pPr>
        <w:pStyle w:val="Normal1000"/>
        <w:spacing w:before="60" w:after="60"/>
        <w:jc w:val="both"/>
        <w:rPr>
          <w:rFonts w:ascii="Arial" w:hAnsi="Arial" w:cs="Arial"/>
          <w:noProof/>
          <w:sz w:val="16"/>
          <w:szCs w:val="16"/>
        </w:rPr>
      </w:pPr>
    </w:p>
    <w:p>
      <w:pPr>
        <w:pStyle w:val="Normal1000"/>
        <w:jc w:val="both"/>
        <w:rPr>
          <w:rFonts w:cs="Arial"/>
          <w:b/>
          <w:noProof/>
          <w:sz w:val="16"/>
          <w:szCs w:val="16"/>
        </w:rPr>
      </w:pPr>
      <w:r>
        <w:rPr>
          <w:rFonts w:ascii="Arial" w:hAnsi="Arial"/>
          <w:noProof/>
          <w:sz w:val="16"/>
          <w:szCs w:val="16"/>
        </w:rPr>
        <w:t>Nusipirktas arba suteiktas dėl kredito rizikos sumažėjusios vertės turtas yra finansinis turtas, kuris nuo pirminio pripažinimo momento priskiriamas 3 etapui. Nusipirkto arba suteikto dėl kredito rizikos sumažėjusios vertės finansinio turto atveju sukaupti tikėtinų galiojimo laikotarpio kredito nuostoliai nuo pradinio pripažinimo yra pripažįstami pelno arba nuostolių ataskaitoje.</w:t>
      </w:r>
    </w:p>
    <w:p>
      <w:pPr>
        <w:pStyle w:val="Normal1000"/>
        <w:spacing w:before="60" w:after="60"/>
        <w:jc w:val="both"/>
        <w:rPr>
          <w:rFonts w:ascii="Arial" w:hAnsi="Arial" w:cs="Arial"/>
          <w:noProof/>
          <w:sz w:val="16"/>
          <w:szCs w:val="16"/>
        </w:rPr>
      </w:pPr>
    </w:p>
    <w:p>
      <w:pPr>
        <w:pStyle w:val="Normal1000"/>
        <w:jc w:val="both"/>
        <w:rPr>
          <w:rFonts w:ascii="Arial" w:hAnsi="Arial" w:cs="Arial"/>
          <w:noProof/>
          <w:sz w:val="16"/>
          <w:szCs w:val="16"/>
        </w:rPr>
      </w:pPr>
      <w:r>
        <w:rPr>
          <w:rFonts w:ascii="Arial" w:hAnsi="Arial"/>
          <w:noProof/>
          <w:sz w:val="16"/>
          <w:szCs w:val="16"/>
        </w:rPr>
        <w:t xml:space="preserve">Pagal Priemonę atliktas etapo vertinimas pagrįstas nuosekliu metodu, kuris atitinka Kredito rizikos gaires ir Finansų stebėsenos gaires ir procedūras, apimančias visų pirma stebėjimo sąrašą, vidaus reitingą ir įsiskolinimus. </w:t>
      </w:r>
    </w:p>
    <w:p>
      <w:pPr>
        <w:pStyle w:val="Notes10"/>
        <w:numPr>
          <w:ilvl w:val="0"/>
          <w:numId w:val="0"/>
        </w:numPr>
        <w:tabs>
          <w:tab w:val="right" w:pos="-2700"/>
        </w:tabs>
        <w:spacing w:before="60" w:after="60"/>
        <w:rPr>
          <w:rFonts w:cs="Arial"/>
          <w:iCs/>
          <w:noProof/>
          <w:sz w:val="16"/>
          <w:szCs w:val="16"/>
        </w:rPr>
      </w:pPr>
    </w:p>
    <w:p>
      <w:pPr>
        <w:pStyle w:val="Notes10"/>
        <w:numPr>
          <w:ilvl w:val="0"/>
          <w:numId w:val="0"/>
        </w:numPr>
        <w:tabs>
          <w:tab w:val="right" w:pos="-2700"/>
        </w:tabs>
        <w:spacing w:before="60" w:after="60"/>
        <w:rPr>
          <w:rFonts w:cs="Arial"/>
          <w:b w:val="0"/>
          <w:iCs/>
          <w:noProof/>
          <w:sz w:val="16"/>
          <w:szCs w:val="16"/>
        </w:rPr>
      </w:pPr>
      <w:r>
        <w:rPr>
          <w:b w:val="0"/>
          <w:iCs/>
          <w:noProof/>
          <w:sz w:val="16"/>
          <w:szCs w:val="16"/>
        </w:rPr>
        <w:t>Jei kredito rizika reikšmingai padidėjo, finansinė priemonė perkeliama į 2 etapą, tačiau dar nelaikoma, kad jos vertė sumažėjo dėl kredito rizikos. Jei finansinės priemonės vertė sumažėjo dėl kredito rizikos, finansinė priemonė perkeliama į 3 etapą.</w:t>
      </w:r>
    </w:p>
    <w:p>
      <w:pPr>
        <w:pStyle w:val="Notes10"/>
        <w:numPr>
          <w:ilvl w:val="0"/>
          <w:numId w:val="0"/>
        </w:numPr>
        <w:tabs>
          <w:tab w:val="right" w:pos="-2700"/>
        </w:tabs>
        <w:spacing w:before="60" w:after="60"/>
        <w:rPr>
          <w:rFonts w:cs="Arial"/>
          <w:iCs/>
          <w:noProof/>
          <w:sz w:val="16"/>
          <w:szCs w:val="16"/>
        </w:rPr>
      </w:pPr>
    </w:p>
    <w:p>
      <w:pPr>
        <w:pStyle w:val="Notes10"/>
        <w:numPr>
          <w:ilvl w:val="0"/>
          <w:numId w:val="0"/>
        </w:numPr>
        <w:tabs>
          <w:tab w:val="right" w:pos="-2700"/>
        </w:tabs>
        <w:spacing w:before="60" w:after="60"/>
        <w:rPr>
          <w:rFonts w:cs="Arial"/>
          <w:iCs/>
          <w:noProof/>
          <w:sz w:val="16"/>
          <w:szCs w:val="16"/>
        </w:rPr>
      </w:pPr>
      <w:r>
        <w:rPr>
          <w:b w:val="0"/>
          <w:iCs/>
          <w:noProof/>
          <w:sz w:val="16"/>
          <w:szCs w:val="16"/>
        </w:rPr>
        <w:t>Siekiant nustatyti 3 etapo rizikos poziciją, taikant Priemonę nustatoma, ar yra objektyvių su įsipareigojimų neįvykdymo įvykiu susijusių įrodymų. Laikoma, kad su finansiniu turtu susiję įsipareigojimai nevykdomi, kai mažai tikėtina, kad skolininkas įvykdys visus su Priemone susijusius savo kreditinius įsipareigojimus, Priemonei neturint atgręžtinio reikalavimo teisės, arba kai skolininkas pradelsia bet kokio reikšmingo kreditinio įsipareigojimo Priemonei vykdymą daugiau kaip 90 dienų.</w:t>
      </w:r>
    </w:p>
    <w:p>
      <w:pPr>
        <w:pStyle w:val="Notes10"/>
        <w:numPr>
          <w:ilvl w:val="0"/>
          <w:numId w:val="0"/>
        </w:numPr>
        <w:tabs>
          <w:tab w:val="right" w:pos="-2700"/>
        </w:tabs>
        <w:spacing w:before="60" w:after="60"/>
        <w:rPr>
          <w:rFonts w:cs="Arial"/>
          <w:iCs/>
          <w:noProof/>
          <w:sz w:val="16"/>
          <w:szCs w:val="16"/>
        </w:rPr>
      </w:pPr>
    </w:p>
    <w:p>
      <w:pPr>
        <w:pStyle w:val="Notes10"/>
        <w:numPr>
          <w:ilvl w:val="0"/>
          <w:numId w:val="0"/>
        </w:numPr>
        <w:tabs>
          <w:tab w:val="right" w:pos="-2700"/>
        </w:tabs>
        <w:spacing w:before="60" w:after="60"/>
        <w:rPr>
          <w:rFonts w:cs="Arial"/>
          <w:iCs/>
          <w:noProof/>
          <w:sz w:val="16"/>
          <w:szCs w:val="16"/>
        </w:rPr>
      </w:pPr>
      <w:r>
        <w:rPr>
          <w:b w:val="0"/>
          <w:iCs/>
          <w:noProof/>
          <w:sz w:val="16"/>
          <w:szCs w:val="16"/>
        </w:rPr>
        <w:t>Šiuo atveju laikoma, kad finansinis turtas nuvertėjo, kai nustatoma, jog yra tikėtina, kad taikant Priemonę nebus galima surinkti visų sumų, kurios turi būti sumokėtos pagal pradines sutarties sąlygas, arba lygiavertę vertę. Atskiros kredito pozicijos vertinamos pagal skolininko savybes, bendrą finansinę padėtį, išteklius ir ankstesnius mokėjimus, paramos iš bet kokių finansiškai atsakingų garantų perspektyvas ir, kai taikoma, bet kokio įkaito realizavimo vertę.</w:t>
      </w:r>
    </w:p>
    <w:p>
      <w:pPr>
        <w:pStyle w:val="Notes10"/>
        <w:numPr>
          <w:ilvl w:val="0"/>
          <w:numId w:val="0"/>
        </w:numPr>
        <w:tabs>
          <w:tab w:val="right" w:pos="-2700"/>
        </w:tabs>
        <w:spacing w:before="60" w:after="60"/>
        <w:rPr>
          <w:rFonts w:cs="Arial"/>
          <w:iCs/>
          <w:noProof/>
          <w:sz w:val="16"/>
          <w:szCs w:val="16"/>
        </w:rPr>
      </w:pPr>
    </w:p>
    <w:p>
      <w:pPr>
        <w:pStyle w:val="Notes10"/>
        <w:numPr>
          <w:ilvl w:val="0"/>
          <w:numId w:val="0"/>
        </w:numPr>
        <w:tabs>
          <w:tab w:val="right" w:pos="-2700"/>
        </w:tabs>
        <w:spacing w:before="60" w:after="60"/>
        <w:rPr>
          <w:rFonts w:cs="Arial"/>
          <w:iCs/>
          <w:noProof/>
          <w:sz w:val="16"/>
          <w:szCs w:val="16"/>
        </w:rPr>
      </w:pPr>
      <w:r>
        <w:rPr>
          <w:b w:val="0"/>
          <w:iCs/>
          <w:noProof/>
          <w:sz w:val="16"/>
          <w:szCs w:val="16"/>
        </w:rPr>
        <w:t>Visi su vertės sumažėjimu susiję reikalavimai peržiūrimi ir analizuojami bent kas pusmetį. Bet kokie vėlesni tikėtinų būsimų pinigų srautų sumų ir laiko pokyčiai, palyginti su ankstesnėmis sąmatomis, lems atidėjinių kredito nuostoliams pokytį ir bus įtraukti arba įskaityti į pajamų ataskaitą. Sumažinimas dėl vertės sumažėjimo panaikinamas tik tada, kai kredito kokybė pagerėja tiek, kad būtų galima pagrįstai užtikrinti, jog pagal reikalavimų susitarimo pradines sutarties sąlygas bus laiku surinkta pagrindinė suma ir palūkanos. Nurašymas atliekamas tada, kai laikoma, kad viso reikalavimo arba jo dalies nepavyks atgauti arba jo nebebus reikalaujama. Nurašytos sumos išskaičiuojamos iš anksčiau nustatytų vertės sumažėjimo sumų arba tiesiogiai pajamų ataskaitoje ir jomis sumažinama pagrindinė reikalavimo suma. Iš dalies arba visiškai susigrąžintos anksčiau nurašytos sumos įtraukiamos į pajamų ataskaitą.</w:t>
      </w:r>
    </w:p>
    <w:p>
      <w:pPr>
        <w:pStyle w:val="Normal1000"/>
        <w:rPr>
          <w:rFonts w:ascii="Arial" w:hAnsi="Arial" w:cs="Arial"/>
          <w:i/>
          <w:noProof/>
          <w:sz w:val="16"/>
          <w:szCs w:val="16"/>
        </w:rPr>
      </w:pPr>
    </w:p>
    <w:p>
      <w:pPr>
        <w:pStyle w:val="Normal1000"/>
        <w:rPr>
          <w:rFonts w:ascii="Arial" w:hAnsi="Arial" w:cs="Arial"/>
          <w:i/>
          <w:noProof/>
          <w:sz w:val="16"/>
          <w:szCs w:val="16"/>
        </w:rPr>
      </w:pPr>
      <w:r>
        <w:rPr>
          <w:rFonts w:ascii="Arial" w:hAnsi="Arial"/>
          <w:i/>
          <w:noProof/>
          <w:sz w:val="16"/>
          <w:szCs w:val="16"/>
        </w:rPr>
        <w:t>Tikėtinų kredito nuostolių apskaičiavimas. Duomenys, prielaidos ir metodai</w:t>
      </w:r>
    </w:p>
    <w:p>
      <w:pPr>
        <w:pStyle w:val="Normal1000"/>
        <w:rPr>
          <w:rFonts w:ascii="Arial" w:hAnsi="Arial"/>
          <w:noProof/>
          <w:sz w:val="16"/>
        </w:rPr>
      </w:pPr>
    </w:p>
    <w:p>
      <w:pPr>
        <w:pStyle w:val="Notes10"/>
        <w:numPr>
          <w:ilvl w:val="0"/>
          <w:numId w:val="0"/>
        </w:numPr>
        <w:tabs>
          <w:tab w:val="right" w:pos="-2700"/>
        </w:tabs>
        <w:spacing w:before="60" w:after="60"/>
        <w:rPr>
          <w:rFonts w:cs="Arial"/>
          <w:iCs/>
          <w:noProof/>
          <w:sz w:val="16"/>
          <w:szCs w:val="16"/>
        </w:rPr>
      </w:pPr>
      <w:r>
        <w:rPr>
          <w:b w:val="0"/>
          <w:iCs/>
          <w:noProof/>
          <w:sz w:val="16"/>
          <w:szCs w:val="16"/>
        </w:rPr>
        <w:t xml:space="preserve">Tikėtinų kredito nuostolių finansinės priemonės galiojimo laikotarpiu apskaičiavimas taikomas 2 ir 3 etapų turtui, o tikėtinų kredito nuostolių 12-os mėnesių laikotarpiu apskaičiavimas taikomas 1 etapo turtui. </w:t>
      </w:r>
    </w:p>
    <w:p>
      <w:pPr>
        <w:pStyle w:val="Notes10"/>
        <w:numPr>
          <w:ilvl w:val="0"/>
          <w:numId w:val="0"/>
        </w:numPr>
        <w:tabs>
          <w:tab w:val="right" w:pos="-2700"/>
        </w:tabs>
        <w:spacing w:before="60" w:after="60"/>
        <w:rPr>
          <w:b w:val="0"/>
          <w:noProof/>
          <w:sz w:val="16"/>
        </w:rPr>
      </w:pPr>
    </w:p>
    <w:p>
      <w:pPr>
        <w:pStyle w:val="Notes10"/>
        <w:numPr>
          <w:ilvl w:val="0"/>
          <w:numId w:val="0"/>
        </w:numPr>
        <w:tabs>
          <w:tab w:val="right" w:pos="-2700"/>
        </w:tabs>
        <w:spacing w:before="60" w:after="60"/>
        <w:rPr>
          <w:rFonts w:cs="Arial"/>
          <w:b w:val="0"/>
          <w:iCs/>
          <w:noProof/>
          <w:sz w:val="16"/>
          <w:szCs w:val="16"/>
        </w:rPr>
      </w:pPr>
      <w:r>
        <w:rPr>
          <w:b w:val="0"/>
          <w:iCs/>
          <w:noProof/>
          <w:sz w:val="16"/>
          <w:szCs w:val="16"/>
        </w:rPr>
        <w:t>Tikėtini kredito nuostoliai buvo apskaičiuoti remiantis šiais kintamaisiais:</w:t>
      </w:r>
    </w:p>
    <w:p>
      <w:pPr>
        <w:pStyle w:val="Notes10"/>
        <w:numPr>
          <w:ilvl w:val="0"/>
          <w:numId w:val="0"/>
        </w:numPr>
        <w:tabs>
          <w:tab w:val="right" w:pos="-2700"/>
        </w:tabs>
        <w:spacing w:before="60" w:after="60"/>
        <w:rPr>
          <w:rFonts w:cs="Arial"/>
          <w:iCs/>
          <w:noProof/>
          <w:sz w:val="16"/>
          <w:szCs w:val="16"/>
        </w:rPr>
      </w:pPr>
    </w:p>
    <w:p>
      <w:pPr>
        <w:pStyle w:val="Notes10"/>
        <w:numPr>
          <w:ilvl w:val="0"/>
          <w:numId w:val="47"/>
        </w:numPr>
        <w:tabs>
          <w:tab w:val="right" w:pos="-2700"/>
        </w:tabs>
        <w:spacing w:before="60" w:after="60"/>
        <w:rPr>
          <w:rFonts w:cs="Arial"/>
          <w:iCs/>
          <w:noProof/>
          <w:sz w:val="16"/>
          <w:szCs w:val="16"/>
        </w:rPr>
      </w:pPr>
      <w:r>
        <w:rPr>
          <w:b w:val="0"/>
          <w:iCs/>
          <w:noProof/>
          <w:sz w:val="16"/>
          <w:szCs w:val="16"/>
        </w:rPr>
        <w:t>įsipareigojimų neįvykdymo tikimybe;</w:t>
      </w:r>
    </w:p>
    <w:p>
      <w:pPr>
        <w:pStyle w:val="Notes10"/>
        <w:numPr>
          <w:ilvl w:val="0"/>
          <w:numId w:val="47"/>
        </w:numPr>
        <w:tabs>
          <w:tab w:val="right" w:pos="-2700"/>
        </w:tabs>
        <w:spacing w:before="60" w:after="60"/>
        <w:rPr>
          <w:rFonts w:cs="Arial"/>
          <w:iCs/>
          <w:noProof/>
          <w:sz w:val="16"/>
          <w:szCs w:val="16"/>
        </w:rPr>
      </w:pPr>
      <w:r>
        <w:rPr>
          <w:b w:val="0"/>
          <w:iCs/>
          <w:noProof/>
          <w:sz w:val="16"/>
          <w:szCs w:val="16"/>
        </w:rPr>
        <w:t>nuostoliu dėl įsipareigojimų neįvykdymo (LGD);</w:t>
      </w:r>
    </w:p>
    <w:p>
      <w:pPr>
        <w:pStyle w:val="Notes10"/>
        <w:numPr>
          <w:ilvl w:val="0"/>
          <w:numId w:val="47"/>
        </w:numPr>
        <w:tabs>
          <w:tab w:val="right" w:pos="-2700"/>
        </w:tabs>
        <w:spacing w:before="60" w:after="60"/>
        <w:rPr>
          <w:rFonts w:cs="Arial"/>
          <w:iCs/>
          <w:noProof/>
          <w:sz w:val="16"/>
          <w:szCs w:val="16"/>
        </w:rPr>
      </w:pPr>
      <w:r>
        <w:rPr>
          <w:b w:val="0"/>
          <w:iCs/>
          <w:noProof/>
          <w:sz w:val="16"/>
          <w:szCs w:val="16"/>
        </w:rPr>
        <w:t>pozicija esant įsipareigojimų neįvykdymui.</w:t>
      </w:r>
    </w:p>
    <w:p>
      <w:pPr>
        <w:pStyle w:val="Notes10"/>
        <w:numPr>
          <w:ilvl w:val="0"/>
          <w:numId w:val="0"/>
        </w:numPr>
        <w:tabs>
          <w:tab w:val="right" w:pos="-2700"/>
        </w:tabs>
        <w:spacing w:before="60" w:after="60"/>
        <w:rPr>
          <w:b w:val="0"/>
          <w:noProof/>
          <w:sz w:val="16"/>
        </w:rPr>
      </w:pPr>
    </w:p>
    <w:p>
      <w:pPr>
        <w:pStyle w:val="Notes10"/>
        <w:numPr>
          <w:ilvl w:val="0"/>
          <w:numId w:val="0"/>
        </w:numPr>
        <w:tabs>
          <w:tab w:val="right" w:pos="-2700"/>
        </w:tabs>
        <w:spacing w:before="60" w:after="60"/>
        <w:rPr>
          <w:rFonts w:cs="Arial"/>
          <w:b w:val="0"/>
          <w:iCs/>
          <w:noProof/>
          <w:sz w:val="16"/>
          <w:szCs w:val="16"/>
        </w:rPr>
      </w:pPr>
      <w:r>
        <w:rPr>
          <w:b w:val="0"/>
          <w:iCs/>
          <w:noProof/>
          <w:sz w:val="16"/>
          <w:szCs w:val="16"/>
        </w:rPr>
        <w:t xml:space="preserve">Įsipareigojimų neįvykdymo tikimybė yra tikimybė, kad sandorio šalis neįvykdys savo finansinių įsipareigojimų per artimiausius 12 mėnesių arba per likusį įsipareigojimo galiojimo laikotarpį. Įsipareigojimų neįvykdymo tikimybė yra apskaičiuojama tam tikrą datą remiantis statistiniais reitingų modeliais ir vertinama naudojant reitingavimo priemones, pritaikytas įvairioms sandorio šalių ir pozicijų kategorijoms. </w:t>
      </w:r>
    </w:p>
    <w:p>
      <w:pPr>
        <w:pStyle w:val="Notes10"/>
        <w:numPr>
          <w:ilvl w:val="0"/>
          <w:numId w:val="0"/>
        </w:numPr>
        <w:tabs>
          <w:tab w:val="right" w:pos="-2700"/>
        </w:tabs>
        <w:spacing w:before="60" w:after="60"/>
        <w:rPr>
          <w:rFonts w:cs="Arial"/>
          <w:iCs/>
          <w:noProof/>
          <w:sz w:val="16"/>
          <w:szCs w:val="16"/>
        </w:rPr>
      </w:pPr>
    </w:p>
    <w:p>
      <w:pPr>
        <w:pStyle w:val="Notes10"/>
        <w:numPr>
          <w:ilvl w:val="0"/>
          <w:numId w:val="0"/>
        </w:numPr>
        <w:tabs>
          <w:tab w:val="right" w:pos="-2700"/>
        </w:tabs>
        <w:spacing w:before="60" w:after="60"/>
        <w:rPr>
          <w:rFonts w:cs="Arial"/>
          <w:b w:val="0"/>
          <w:iCs/>
          <w:noProof/>
          <w:sz w:val="16"/>
          <w:szCs w:val="16"/>
        </w:rPr>
      </w:pPr>
      <w:r>
        <w:rPr>
          <w:b w:val="0"/>
          <w:iCs/>
          <w:noProof/>
          <w:sz w:val="16"/>
          <w:szCs w:val="16"/>
        </w:rPr>
        <w:t>Reitingai – pagrindiniai duomenys, naudojami nustatant pozicijų įsipareigojimų neįvykdymo tikimybės struktūrą pagal terminą. EIB surenka su Priemonės kredito rizikos pozicijomis susijusią informaciją apie veiklos rezultatus ir įsipareigojimų neįvykdymą. Surinkti duomenys suskirstomi pagal pramonės rūšį ir regiono tipą. Skirtingos pramonės šakos ir regionai, kurie vienodai reaguoja į kredito ciklus, analizuojami kartu.</w:t>
      </w:r>
    </w:p>
    <w:p>
      <w:pPr>
        <w:pStyle w:val="Notes10"/>
        <w:numPr>
          <w:ilvl w:val="0"/>
          <w:numId w:val="0"/>
        </w:numPr>
        <w:tabs>
          <w:tab w:val="right" w:pos="-2700"/>
        </w:tabs>
        <w:spacing w:before="60" w:after="60"/>
        <w:rPr>
          <w:rFonts w:cs="Arial"/>
          <w:iCs/>
          <w:noProof/>
          <w:sz w:val="16"/>
          <w:szCs w:val="16"/>
        </w:rPr>
      </w:pPr>
    </w:p>
    <w:p>
      <w:pPr>
        <w:pStyle w:val="Notes10"/>
        <w:numPr>
          <w:ilvl w:val="0"/>
          <w:numId w:val="0"/>
        </w:numPr>
        <w:tabs>
          <w:tab w:val="right" w:pos="-2700"/>
        </w:tabs>
        <w:spacing w:before="60" w:after="60"/>
        <w:rPr>
          <w:rFonts w:cs="Arial"/>
          <w:iCs/>
          <w:noProof/>
          <w:sz w:val="16"/>
          <w:szCs w:val="16"/>
        </w:rPr>
      </w:pPr>
      <w:r>
        <w:rPr>
          <w:b w:val="0"/>
          <w:iCs/>
          <w:noProof/>
          <w:sz w:val="16"/>
          <w:szCs w:val="16"/>
        </w:rPr>
        <w:t xml:space="preserve">EIB taiko statistinius modelius, kad išanalizuotų surinktus duomenis ir sugeneruotų likusio pozicijų galiojimo laikotarpio įsipareigojimų neįvykdymo tikimybės įverčius ir kaip jie turėtų keistis laikui bėgant. </w:t>
      </w:r>
    </w:p>
    <w:p>
      <w:pPr>
        <w:pStyle w:val="Notes10"/>
        <w:numPr>
          <w:ilvl w:val="0"/>
          <w:numId w:val="0"/>
        </w:numPr>
        <w:tabs>
          <w:tab w:val="right" w:pos="-2700"/>
        </w:tabs>
        <w:spacing w:before="60" w:after="60"/>
        <w:rPr>
          <w:rFonts w:cs="Arial"/>
          <w:iCs/>
          <w:noProof/>
          <w:sz w:val="16"/>
          <w:szCs w:val="16"/>
        </w:rPr>
      </w:pPr>
    </w:p>
    <w:p>
      <w:pPr>
        <w:pStyle w:val="Notes10"/>
        <w:numPr>
          <w:ilvl w:val="0"/>
          <w:numId w:val="0"/>
        </w:numPr>
        <w:tabs>
          <w:tab w:val="right" w:pos="-2700"/>
        </w:tabs>
        <w:spacing w:before="60" w:after="60"/>
        <w:rPr>
          <w:rFonts w:cs="Arial"/>
          <w:b w:val="0"/>
          <w:iCs/>
          <w:noProof/>
          <w:sz w:val="16"/>
          <w:szCs w:val="16"/>
        </w:rPr>
      </w:pPr>
      <w:r>
        <w:rPr>
          <w:b w:val="0"/>
          <w:iCs/>
          <w:noProof/>
          <w:sz w:val="16"/>
          <w:szCs w:val="16"/>
        </w:rPr>
        <w:t>Nuostoliai dėl įsipareigojimų neįvykdymo reiškia EIB numatomą pozicijos nuostolių, susidariusių dėl sandorio šalies įsipareigojimų neįvykdymo, ir neįvykdytų įsipareigojimų sumos santykį. Nuostoliai dėl įsipareigojimų neįvykdymo taip pat gali būti apibrėžiami kaip „1. Susigrąžinimo norma“. Nuostolių dėl įsipareigojimų neįvykdymo įverčiai daugiausia nustatomi pagal sandorio šalies pobūdį ir tipą, nurodant penkias pagrindines pozicijų klases: valstybės, valstybės institucijų, finansų įstaigų, bendrovių ir projektų finansų. Nuostolių dėl įsipareigojimų neįvykdymo vertės gali būti toliau tikslinamos pagal pozicijos produkto ir sutarties specifines savybes.</w:t>
      </w:r>
    </w:p>
    <w:p>
      <w:pPr>
        <w:pStyle w:val="Notes10"/>
        <w:numPr>
          <w:ilvl w:val="0"/>
          <w:numId w:val="0"/>
        </w:numPr>
        <w:tabs>
          <w:tab w:val="right" w:pos="-2700"/>
        </w:tabs>
        <w:spacing w:before="60" w:after="60"/>
        <w:rPr>
          <w:rFonts w:cs="Arial"/>
          <w:b w:val="0"/>
          <w:iCs/>
          <w:noProof/>
          <w:sz w:val="16"/>
          <w:szCs w:val="16"/>
        </w:rPr>
      </w:pPr>
    </w:p>
    <w:p>
      <w:pPr>
        <w:pStyle w:val="Notes10"/>
        <w:numPr>
          <w:ilvl w:val="0"/>
          <w:numId w:val="0"/>
        </w:numPr>
        <w:tabs>
          <w:tab w:val="right" w:pos="-2700"/>
        </w:tabs>
        <w:spacing w:before="60" w:after="60"/>
        <w:rPr>
          <w:rFonts w:cs="Arial"/>
          <w:b w:val="0"/>
          <w:iCs/>
          <w:noProof/>
          <w:sz w:val="16"/>
          <w:szCs w:val="16"/>
        </w:rPr>
      </w:pPr>
      <w:r>
        <w:rPr>
          <w:b w:val="0"/>
          <w:iCs/>
          <w:noProof/>
          <w:sz w:val="16"/>
          <w:szCs w:val="16"/>
        </w:rPr>
        <w:t>Pozicija esant įsipareigojimų neįvykdymui reiškia tikėtiną poziciją įsipareigojimų neįvykdymo atveju ir yra pagrįsta dabartine pozicija sandorio šalies atžvilgiu ir galimais pagal sutartį leidžiamos dabartinės sumos pokyčiais, įskaitant amortizaciją. Finansinio turto pozicija esant įsipareigojimų neįvykdymui yra jo bendra balansinė vertė. Skolinimo įsipareigojimų ir finansinių garantijų atveju pozicija esant įsipareigojimų neįvykdymui apima panaudotą sumą ir sumas, kurios pagal sutartį gali būti panaudotos ateityje.</w:t>
      </w:r>
    </w:p>
    <w:p>
      <w:pPr>
        <w:pStyle w:val="Notes10"/>
        <w:numPr>
          <w:ilvl w:val="0"/>
          <w:numId w:val="0"/>
        </w:numPr>
        <w:tabs>
          <w:tab w:val="right" w:pos="-2700"/>
        </w:tabs>
        <w:spacing w:before="60" w:after="60"/>
        <w:rPr>
          <w:rFonts w:cs="Arial"/>
          <w:iCs/>
          <w:noProof/>
          <w:sz w:val="16"/>
          <w:szCs w:val="16"/>
        </w:rPr>
      </w:pPr>
    </w:p>
    <w:p>
      <w:pPr>
        <w:pStyle w:val="Notes10"/>
        <w:numPr>
          <w:ilvl w:val="0"/>
          <w:numId w:val="0"/>
        </w:numPr>
        <w:tabs>
          <w:tab w:val="right" w:pos="-2700"/>
        </w:tabs>
        <w:spacing w:before="60" w:after="60"/>
        <w:rPr>
          <w:rFonts w:cs="Arial"/>
          <w:b w:val="0"/>
          <w:iCs/>
          <w:noProof/>
          <w:sz w:val="16"/>
          <w:szCs w:val="16"/>
        </w:rPr>
      </w:pPr>
      <w:r>
        <w:rPr>
          <w:b w:val="0"/>
          <w:iCs/>
          <w:noProof/>
          <w:sz w:val="16"/>
          <w:szCs w:val="16"/>
        </w:rPr>
        <w:t>EIB į savo vertinimą įtraukia į ateitį orientuotą informaciją apie tai, ar priemonės kredito rizika nuo pirminio jos pripažinimo ir tikėtinų kredito nuostolių apskaičiavimo reikšmingai padidėjo.</w:t>
      </w:r>
    </w:p>
    <w:p>
      <w:pPr>
        <w:spacing w:after="60"/>
        <w:rPr>
          <w:noProof/>
          <w:sz w:val="16"/>
        </w:rPr>
      </w:pPr>
    </w:p>
    <w:p>
      <w:pPr>
        <w:pStyle w:val="Title1110"/>
        <w:numPr>
          <w:ilvl w:val="3"/>
          <w:numId w:val="48"/>
        </w:numPr>
        <w:rPr>
          <w:b/>
          <w:noProof/>
          <w:sz w:val="16"/>
          <w:szCs w:val="16"/>
        </w:rPr>
      </w:pPr>
      <w:r>
        <w:rPr>
          <w:b/>
          <w:noProof/>
          <w:sz w:val="16"/>
          <w:szCs w:val="16"/>
        </w:rPr>
        <w:t xml:space="preserve"> Pinigai ir pinigų ekvivalentai</w:t>
      </w:r>
    </w:p>
    <w:p>
      <w:pPr>
        <w:pStyle w:val="Title1110"/>
        <w:numPr>
          <w:ilvl w:val="0"/>
          <w:numId w:val="0"/>
        </w:numPr>
        <w:spacing w:after="60"/>
        <w:ind w:left="720"/>
        <w:rPr>
          <w:noProof/>
          <w:sz w:val="16"/>
          <w:szCs w:val="16"/>
        </w:rPr>
      </w:pPr>
    </w:p>
    <w:p>
      <w:pPr>
        <w:pStyle w:val="NotesText0"/>
        <w:spacing w:after="0" w:line="240" w:lineRule="auto"/>
        <w:rPr>
          <w:noProof/>
          <w:sz w:val="16"/>
          <w:szCs w:val="16"/>
        </w:rPr>
      </w:pPr>
      <w:r>
        <w:rPr>
          <w:noProof/>
          <w:sz w:val="16"/>
          <w:szCs w:val="16"/>
        </w:rPr>
        <w:t>Taikant Priemonę pinigai ir pinigų ekvivalentai apibrėžiami kaip einamosios sąskaitos, trumpalaikiai indėliai arba komerciniai vekseliai, kurių pradinis terminas ne ilgesnis kaip trys mėnesiai. Pinigai ir pinigų ekvivalentai finansinės būklės ataskaitoje perkeliami amortizuota savikaina.</w:t>
      </w:r>
    </w:p>
    <w:p>
      <w:pPr>
        <w:pStyle w:val="Title1110"/>
        <w:numPr>
          <w:ilvl w:val="0"/>
          <w:numId w:val="0"/>
        </w:numPr>
        <w:spacing w:before="60" w:after="60"/>
        <w:ind w:left="680" w:hanging="680"/>
        <w:rPr>
          <w:b/>
          <w:noProof/>
          <w:sz w:val="16"/>
          <w:szCs w:val="16"/>
        </w:rPr>
      </w:pPr>
    </w:p>
    <w:p>
      <w:pPr>
        <w:pStyle w:val="Title1110"/>
        <w:numPr>
          <w:ilvl w:val="3"/>
          <w:numId w:val="49"/>
        </w:numPr>
        <w:rPr>
          <w:b/>
          <w:noProof/>
          <w:sz w:val="16"/>
          <w:szCs w:val="16"/>
        </w:rPr>
      </w:pPr>
      <w:r>
        <w:rPr>
          <w:b/>
          <w:noProof/>
          <w:sz w:val="16"/>
          <w:szCs w:val="16"/>
        </w:rPr>
        <w:t>Iždo finansinis turtas</w:t>
      </w:r>
    </w:p>
    <w:p>
      <w:pPr>
        <w:pStyle w:val="NotesText0"/>
        <w:spacing w:line="240" w:lineRule="auto"/>
        <w:rPr>
          <w:noProof/>
          <w:sz w:val="16"/>
          <w:szCs w:val="16"/>
        </w:rPr>
      </w:pPr>
    </w:p>
    <w:p>
      <w:pPr>
        <w:pStyle w:val="NotesText0"/>
        <w:spacing w:line="240" w:lineRule="auto"/>
        <w:rPr>
          <w:noProof/>
          <w:sz w:val="16"/>
          <w:szCs w:val="16"/>
        </w:rPr>
      </w:pPr>
      <w:r>
        <w:rPr>
          <w:noProof/>
          <w:sz w:val="16"/>
          <w:szCs w:val="16"/>
        </w:rPr>
        <w:t>Iždo finansinį turtą sudaro kotiruojamos ir nekotiruojamos obligacijos, kurias ketinama laikyti iki išpirkimo termino, ir komerciniai vekseliai, kurių pradinis terminas ne ilgesnis kaip trys mėnesiai, ir jis galiausiai klasifikuojamas amortizuota savikaina.</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Šios obligacijos ir komerciniai vekseliai iš pradžių vertinami kaina, kuri parodo tikrąją vertę kartu su bet kokiomis tiesiogiai priskirtinomis sandorio išlaidomis. Pradinės kainos ir išpirkimo vertės skirtumas amortizuojamas taikant faktinių palūkanų metodą per likusį priemonės galiojimo laikotarpį.</w:t>
      </w:r>
    </w:p>
    <w:p>
      <w:pPr>
        <w:pStyle w:val="Title1110"/>
        <w:numPr>
          <w:ilvl w:val="0"/>
          <w:numId w:val="0"/>
        </w:numPr>
        <w:spacing w:before="60" w:after="60"/>
        <w:rPr>
          <w:noProof/>
          <w:sz w:val="16"/>
          <w:szCs w:val="16"/>
        </w:rPr>
      </w:pPr>
    </w:p>
    <w:p>
      <w:pPr>
        <w:rPr>
          <w:rFonts w:ascii="Arial" w:hAnsi="Arial"/>
          <w:b/>
          <w:noProof/>
          <w:sz w:val="16"/>
          <w:szCs w:val="16"/>
        </w:rPr>
      </w:pPr>
      <w:r>
        <w:rPr>
          <w:noProof/>
        </w:rPr>
        <w:br w:type="page"/>
      </w:r>
    </w:p>
    <w:p>
      <w:pPr>
        <w:pStyle w:val="Title1110"/>
        <w:numPr>
          <w:ilvl w:val="3"/>
          <w:numId w:val="50"/>
        </w:numPr>
        <w:rPr>
          <w:b/>
          <w:noProof/>
          <w:sz w:val="16"/>
          <w:szCs w:val="16"/>
        </w:rPr>
      </w:pPr>
      <w:r>
        <w:rPr>
          <w:b/>
          <w:noProof/>
          <w:sz w:val="16"/>
          <w:szCs w:val="16"/>
        </w:rPr>
        <w:t>Paskolos ir išankstiniai mokėjimai</w:t>
      </w:r>
    </w:p>
    <w:p>
      <w:pPr>
        <w:pStyle w:val="NotesText0"/>
        <w:spacing w:line="240" w:lineRule="auto"/>
        <w:rPr>
          <w:noProof/>
          <w:sz w:val="16"/>
          <w:szCs w:val="16"/>
        </w:rPr>
      </w:pPr>
    </w:p>
    <w:p>
      <w:pPr>
        <w:pStyle w:val="Normal77"/>
        <w:jc w:val="both"/>
        <w:rPr>
          <w:rFonts w:ascii="Arial" w:hAnsi="Arial" w:cs="Arial"/>
          <w:noProof/>
          <w:sz w:val="16"/>
          <w:szCs w:val="16"/>
        </w:rPr>
      </w:pPr>
      <w:r>
        <w:rPr>
          <w:rFonts w:ascii="Arial" w:hAnsi="Arial"/>
          <w:noProof/>
          <w:sz w:val="16"/>
          <w:szCs w:val="16"/>
        </w:rPr>
        <w:t xml:space="preserve">Paskolų ir išankstinių mokėjimų portfelį gali sudaryti skolos priemonės, pavyzdžiui, paskolos ir skolos vertybiniai popieriai, įskaitant obligacijas, vekselius ar sertifikatus, kuriuos išleido struktūrizuoti ūkio subjektai, ketindami laikyti juos iki išpirkimo termino ir surinkti sutartyje numatytus pinigų srautus. </w:t>
      </w:r>
    </w:p>
    <w:p>
      <w:pPr>
        <w:pStyle w:val="NotesText0"/>
        <w:spacing w:before="60" w:line="240" w:lineRule="auto"/>
        <w:rPr>
          <w:noProof/>
          <w:sz w:val="16"/>
          <w:szCs w:val="16"/>
        </w:rPr>
      </w:pPr>
    </w:p>
    <w:p>
      <w:pPr>
        <w:pStyle w:val="NotesText0"/>
        <w:spacing w:after="0" w:line="240" w:lineRule="auto"/>
        <w:rPr>
          <w:noProof/>
          <w:sz w:val="16"/>
          <w:szCs w:val="16"/>
        </w:rPr>
      </w:pPr>
      <w:r>
        <w:rPr>
          <w:noProof/>
          <w:sz w:val="16"/>
          <w:szCs w:val="16"/>
        </w:rPr>
        <w:t>Paskolos ir išankstiniai mokėjimai apima:</w:t>
      </w:r>
    </w:p>
    <w:p>
      <w:pPr>
        <w:pStyle w:val="NotesText0"/>
        <w:spacing w:after="0" w:line="240" w:lineRule="auto"/>
        <w:rPr>
          <w:noProof/>
          <w:sz w:val="16"/>
          <w:szCs w:val="16"/>
        </w:rPr>
      </w:pPr>
    </w:p>
    <w:p>
      <w:pPr>
        <w:pStyle w:val="ListParagraph0"/>
        <w:numPr>
          <w:ilvl w:val="0"/>
          <w:numId w:val="51"/>
        </w:numPr>
        <w:suppressAutoHyphens w:val="0"/>
        <w:autoSpaceDE w:val="0"/>
        <w:autoSpaceDN w:val="0"/>
        <w:adjustRightInd w:val="0"/>
        <w:jc w:val="both"/>
        <w:rPr>
          <w:rFonts w:ascii="Arial" w:hAnsi="Arial" w:cs="Arial"/>
          <w:noProof/>
          <w:sz w:val="16"/>
          <w:szCs w:val="16"/>
        </w:rPr>
      </w:pPr>
      <w:r>
        <w:rPr>
          <w:rFonts w:ascii="Arial" w:hAnsi="Arial"/>
          <w:noProof/>
          <w:sz w:val="16"/>
          <w:szCs w:val="16"/>
        </w:rPr>
        <w:t>paskolas ir išankstinius mokėjimus, įvertintus amortizuota savikaina,</w:t>
      </w:r>
    </w:p>
    <w:p>
      <w:pPr>
        <w:pStyle w:val="ListParagraph0"/>
        <w:numPr>
          <w:ilvl w:val="0"/>
          <w:numId w:val="51"/>
        </w:numPr>
        <w:suppressAutoHyphens w:val="0"/>
        <w:autoSpaceDE w:val="0"/>
        <w:autoSpaceDN w:val="0"/>
        <w:adjustRightInd w:val="0"/>
        <w:spacing w:after="60"/>
        <w:ind w:left="714" w:hanging="357"/>
        <w:jc w:val="both"/>
        <w:rPr>
          <w:rFonts w:ascii="Arial" w:hAnsi="Arial" w:cs="Arial"/>
          <w:noProof/>
          <w:sz w:val="16"/>
          <w:szCs w:val="16"/>
        </w:rPr>
      </w:pPr>
      <w:r>
        <w:rPr>
          <w:rFonts w:ascii="Arial" w:hAnsi="Arial"/>
          <w:noProof/>
          <w:sz w:val="16"/>
          <w:szCs w:val="16"/>
        </w:rPr>
        <w:t>paskolas ir išankstinius mokėjimus, privalomai įvertintus tikrąja verte, kurios pokyčiai pripažįstami pelnu arba nuostoliais.</w:t>
      </w:r>
    </w:p>
    <w:p>
      <w:pPr>
        <w:pStyle w:val="ListParagraph0"/>
        <w:suppressAutoHyphens w:val="0"/>
        <w:autoSpaceDE w:val="0"/>
        <w:autoSpaceDN w:val="0"/>
        <w:adjustRightInd w:val="0"/>
        <w:spacing w:before="60" w:after="60"/>
        <w:jc w:val="both"/>
        <w:rPr>
          <w:rFonts w:ascii="Arial" w:hAnsi="Arial"/>
          <w:noProof/>
          <w:sz w:val="16"/>
        </w:rPr>
      </w:pPr>
    </w:p>
    <w:p>
      <w:pPr>
        <w:pStyle w:val="NotesText0"/>
        <w:spacing w:after="0" w:line="240" w:lineRule="auto"/>
        <w:rPr>
          <w:noProof/>
          <w:sz w:val="16"/>
          <w:szCs w:val="16"/>
        </w:rPr>
      </w:pPr>
      <w:r>
        <w:rPr>
          <w:noProof/>
          <w:sz w:val="16"/>
          <w:szCs w:val="16"/>
        </w:rPr>
        <w:t>Priemonės paskolos pripažįstamos Priemonės turtu tada, kai pinigai iš anksto sumokami skolininkams. Neišmokėtos paskolos dalys įrašomos į nebalansinius straipsnius jų nominaliąja verte. Paskolos, kurioms taikomas SPPI testas, iš pradžių įrašomos savikaina (jų grynąja išmokėta suma), t. y. tikrąja pinigų verte, reikalinga paskolai suteikti, įskaitant bet kokias sandorio išlaidas, o vėliau vertinamos amortizuota savikaina pagal faktinės palūkanų normos metodą.</w:t>
      </w:r>
    </w:p>
    <w:p>
      <w:pPr>
        <w:pStyle w:val="NotesText0"/>
        <w:spacing w:before="60" w:line="240" w:lineRule="auto"/>
        <w:rPr>
          <w:noProof/>
          <w:sz w:val="16"/>
          <w:szCs w:val="16"/>
        </w:rPr>
      </w:pPr>
    </w:p>
    <w:p>
      <w:pPr>
        <w:pStyle w:val="Normal77"/>
        <w:spacing w:before="60" w:after="60"/>
        <w:jc w:val="both"/>
        <w:rPr>
          <w:rFonts w:ascii="Arial" w:hAnsi="Arial" w:cs="Arial"/>
          <w:noProof/>
          <w:sz w:val="16"/>
          <w:szCs w:val="16"/>
        </w:rPr>
      </w:pPr>
      <w:r>
        <w:rPr>
          <w:rFonts w:ascii="Arial" w:hAnsi="Arial"/>
          <w:noProof/>
          <w:sz w:val="16"/>
          <w:szCs w:val="16"/>
        </w:rPr>
        <w:t>Skolos vertybiniai popieriai pripažįstami Priemonės turtu, kai pinigai iš anksto sumokami emitentui ir gali būti sutartimi susieta arba vieno segmento skolos priemonė. Neišmokėtos skolos vertybinių popierių dalys įrašomos į nebalansinius straipsnius jų nominaliąja verte. Skolos vertybiniai popieriai iš pradžių vertinami savikaina, t. y. tikrąja verte, pridėjus bet kokias tiesiogiai priskirtinas sandorio sąnaudas, o vėliau vertinami amortizuota savikaina pagal faktinės palūkanų normos metodą. Pradinės kainos ir išpirkimo vertės skirtumas amortizuojamas taikant faktinių palūkanų metodą per likusį priemonės galiojimo laikotarpį.</w:t>
      </w:r>
    </w:p>
    <w:p>
      <w:pPr>
        <w:pStyle w:val="NotesText0"/>
        <w:spacing w:before="60" w:line="240" w:lineRule="auto"/>
        <w:rPr>
          <w:noProof/>
          <w:sz w:val="16"/>
          <w:szCs w:val="16"/>
        </w:rPr>
      </w:pPr>
    </w:p>
    <w:p>
      <w:pPr>
        <w:pStyle w:val="NotesText0"/>
        <w:spacing w:after="0" w:line="240" w:lineRule="auto"/>
        <w:rPr>
          <w:noProof/>
          <w:sz w:val="16"/>
          <w:szCs w:val="16"/>
        </w:rPr>
      </w:pPr>
      <w:r>
        <w:rPr>
          <w:noProof/>
          <w:sz w:val="16"/>
          <w:szCs w:val="16"/>
        </w:rPr>
        <w:t>Paskolų ir išankstinių mokėjimų vertės sumažėjimo politika aprašyta 2.4.2 pastaboje.</w:t>
      </w:r>
    </w:p>
    <w:p>
      <w:pPr>
        <w:pStyle w:val="NotesText0"/>
        <w:spacing w:before="60" w:line="240" w:lineRule="auto"/>
        <w:rPr>
          <w:noProof/>
          <w:sz w:val="16"/>
          <w:szCs w:val="16"/>
        </w:rPr>
      </w:pPr>
    </w:p>
    <w:p>
      <w:pPr>
        <w:pStyle w:val="NotesText0"/>
        <w:spacing w:after="0" w:line="240" w:lineRule="auto"/>
        <w:rPr>
          <w:noProof/>
          <w:sz w:val="16"/>
          <w:szCs w:val="16"/>
        </w:rPr>
      </w:pPr>
      <w:r>
        <w:rPr>
          <w:noProof/>
          <w:sz w:val="16"/>
          <w:szCs w:val="16"/>
        </w:rPr>
        <w:t>Paskolos ir išankstiniai mokėjimai, neatitinkantys SPPI kriterijaus, privalomai vertinami tikrąja verte, kurios pokyčiai pripažįstami pelnu arba nuostoliais. Tikrosios vertės nustatymo metodas yra pagrįstas diskontuotų pinigų srautų metodu.</w:t>
      </w:r>
    </w:p>
    <w:p>
      <w:pPr>
        <w:pStyle w:val="Title1110"/>
        <w:numPr>
          <w:ilvl w:val="0"/>
          <w:numId w:val="0"/>
        </w:numPr>
        <w:spacing w:before="60" w:after="60"/>
        <w:rPr>
          <w:noProof/>
          <w:sz w:val="16"/>
          <w:szCs w:val="16"/>
        </w:rPr>
      </w:pPr>
    </w:p>
    <w:p>
      <w:pPr>
        <w:pStyle w:val="Title1110"/>
        <w:numPr>
          <w:ilvl w:val="3"/>
          <w:numId w:val="52"/>
        </w:numPr>
        <w:rPr>
          <w:b/>
          <w:noProof/>
          <w:sz w:val="16"/>
          <w:szCs w:val="16"/>
        </w:rPr>
      </w:pPr>
      <w:r>
        <w:rPr>
          <w:b/>
          <w:noProof/>
          <w:sz w:val="16"/>
          <w:szCs w:val="16"/>
        </w:rPr>
        <w:t>Akcijos ir kiti kintamo pelningumo vertybiniai popieriai</w:t>
      </w:r>
    </w:p>
    <w:p>
      <w:pPr>
        <w:pStyle w:val="Normal77"/>
        <w:autoSpaceDE w:val="0"/>
        <w:autoSpaceDN w:val="0"/>
        <w:adjustRightInd w:val="0"/>
        <w:spacing w:after="60"/>
        <w:jc w:val="both"/>
        <w:rPr>
          <w:rFonts w:ascii="Arial" w:hAnsi="Arial" w:cs="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noProof/>
          <w:sz w:val="16"/>
          <w:szCs w:val="16"/>
        </w:rPr>
        <w:t>Priemonės investicijos į nuosavą kapitalą yra dviejų rūšių: i) tiesioginės investicijos į nuosavą kapitalą ir ii) investicijos į rizikos kapitalo fondus. Akcijos ir kiti kintamo pelningumo vertybiniai popieriai pirmą kartą pripažįstami tikrąja verte, pridėjus sandorių išlaidas. Vėliau tikrosios vertės pokyčiai, įskaitant užsienio valiutos keitimo pelną ir nuostolius, pripažįstami pelno arba nuostolių ataskaitoje, o kitos bendrosios pajamos – pagal grynąjį akcijų ir kitų kintamo pelningumo vertybinių popierių rezultatą.</w:t>
      </w:r>
    </w:p>
    <w:p>
      <w:pPr>
        <w:pStyle w:val="Normal77"/>
        <w:autoSpaceDE w:val="0"/>
        <w:autoSpaceDN w:val="0"/>
        <w:adjustRightInd w:val="0"/>
        <w:spacing w:before="60" w:after="60"/>
        <w:jc w:val="both"/>
        <w:rPr>
          <w:rFonts w:ascii="Arial" w:hAnsi="Arial" w:cs="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noProof/>
          <w:sz w:val="16"/>
          <w:szCs w:val="16"/>
        </w:rPr>
        <w:t>Nekotiruojamų investicijų atveju, kai tikrosios vertės negalima gauti iš aktyvių rinkų, tikroji vertė nustatoma taikant pripažintus vertinimo metodus (4.2.1 pastaba).</w:t>
      </w:r>
    </w:p>
    <w:p>
      <w:pPr>
        <w:pStyle w:val="Normal77"/>
        <w:autoSpaceDE w:val="0"/>
        <w:autoSpaceDN w:val="0"/>
        <w:adjustRightInd w:val="0"/>
        <w:spacing w:before="60" w:after="60"/>
        <w:jc w:val="both"/>
        <w:rPr>
          <w:rFonts w:cs="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noProof/>
          <w:sz w:val="16"/>
          <w:szCs w:val="16"/>
        </w:rPr>
        <w:t>Taikant Priemonę įsigytos dalyvavimo teisės paprastai yra investicijos į privatų kapitalą arba rizikos kapitalo fondus. Remiantis pramonės sektoriaus praktika, paprastai tokios investicijos yra investicijos, kurias bendrai pasirašė keletas investuotojų, iš kurių nė vienas atskirai negali turėti įtakos tokio fondo kasdienėms operacijoms ir investicinei veiklai. Todėl investuotojo narystė tokio fondo valdymo organe iš esmės nesuteikia jam galios daryti įtakos kasdienėms fondo operacijoms. Be to, individualūs privataus kapitalo arba rizikos kapitalo fondo investuotojai nenustato fondo politikos, kaip antai dividendų paskirstymo ar kitokios paskirstymo politikos. Tokius sprendimus paprastai priima fondo vadovybė, remdamasi akcininkų susitarimu dėl fondo vadovybės ir visų akcininkų teisių bei įsipareigojimų. Akcininkų susitarimas paprastai padeda išvengti to, kad atskiri investuotojai vykdytų dvišalius svarbius sandorius su fondu, keistų vadovaujančius darbuotojus ar įgytų privilegijų susipažinti su esmine technine informacija. Priemonės investicijos vykdomos remiantis pirmiau išdėstyta pramonės sektoriaus praktika, užtikrinant, kad pagal Priemonę nebūtų kontroliuojam nė viena iš šių investicijų, įskaitant investicijas, kurių atveju Priemonei priklauso daugiau kaip 20 % balsavimo teisių, ir joms Priemonė nedarytų jokios didelės įtakos, kaip nurodyta 10-ajame TFAS ir 28-ajame TAS.</w:t>
      </w:r>
    </w:p>
    <w:p>
      <w:pPr>
        <w:spacing w:before="60"/>
        <w:rPr>
          <w:rFonts w:ascii="Arial" w:hAnsi="Arial"/>
          <w:noProof/>
          <w:sz w:val="16"/>
          <w:szCs w:val="16"/>
        </w:rPr>
      </w:pPr>
    </w:p>
    <w:p>
      <w:pPr>
        <w:pStyle w:val="Title1110"/>
        <w:numPr>
          <w:ilvl w:val="2"/>
          <w:numId w:val="53"/>
        </w:numPr>
        <w:spacing w:before="60"/>
        <w:rPr>
          <w:b/>
          <w:noProof/>
          <w:sz w:val="16"/>
          <w:szCs w:val="16"/>
        </w:rPr>
      </w:pPr>
      <w:r>
        <w:rPr>
          <w:b/>
          <w:noProof/>
          <w:sz w:val="16"/>
          <w:szCs w:val="16"/>
        </w:rPr>
        <w:t>Finansinės garantijos</w:t>
      </w:r>
    </w:p>
    <w:p>
      <w:pPr>
        <w:pStyle w:val="Title1110"/>
        <w:numPr>
          <w:ilvl w:val="0"/>
          <w:numId w:val="0"/>
        </w:numPr>
        <w:spacing w:after="60"/>
        <w:rPr>
          <w:noProof/>
          <w:sz w:val="16"/>
          <w:szCs w:val="16"/>
        </w:rPr>
      </w:pPr>
    </w:p>
    <w:p>
      <w:pPr>
        <w:pStyle w:val="Normal77"/>
        <w:spacing w:after="60"/>
        <w:jc w:val="both"/>
        <w:rPr>
          <w:rFonts w:ascii="Arial" w:hAnsi="Arial"/>
          <w:noProof/>
          <w:sz w:val="16"/>
          <w:szCs w:val="16"/>
        </w:rPr>
      </w:pPr>
      <w:r>
        <w:rPr>
          <w:rFonts w:ascii="Arial" w:hAnsi="Arial"/>
          <w:noProof/>
          <w:sz w:val="16"/>
          <w:szCs w:val="16"/>
        </w:rPr>
        <w:t>Finansinių garantijų sutartys – sutartys, pagal kurias reikalaujama, kad pagal Priemonę būtų sumokėtos konkrečios sumos garantijos turėtojui, kad būtų atlyginti nuostoliai, kuriuos šis patiria dėl konkretaus skolininko laiku nesumokėtų įmokų pagal skolos priemonės sąlygas.</w:t>
      </w:r>
    </w:p>
    <w:p>
      <w:pPr>
        <w:pStyle w:val="Normal77"/>
        <w:spacing w:before="60" w:after="60"/>
        <w:jc w:val="both"/>
        <w:rPr>
          <w:rFonts w:ascii="Arial" w:hAnsi="Arial"/>
          <w:noProof/>
          <w:sz w:val="16"/>
          <w:szCs w:val="16"/>
        </w:rPr>
      </w:pPr>
    </w:p>
    <w:p>
      <w:pPr>
        <w:pStyle w:val="Title1110"/>
        <w:numPr>
          <w:ilvl w:val="0"/>
          <w:numId w:val="0"/>
        </w:numPr>
        <w:spacing w:before="60" w:after="60"/>
        <w:rPr>
          <w:noProof/>
          <w:sz w:val="16"/>
          <w:szCs w:val="16"/>
        </w:rPr>
      </w:pPr>
      <w:r>
        <w:rPr>
          <w:noProof/>
          <w:sz w:val="16"/>
          <w:szCs w:val="16"/>
        </w:rPr>
        <w:t>Remiantis galiojančiomis taisyklėmis, šios garantijos neatitinka draudimo sutarties apibrėžties (4-ojo TFAS „Draudimo sutartys“).</w:t>
      </w:r>
    </w:p>
    <w:p>
      <w:pPr>
        <w:pStyle w:val="Normal77"/>
        <w:autoSpaceDE w:val="0"/>
        <w:autoSpaceDN w:val="0"/>
        <w:adjustRightInd w:val="0"/>
        <w:spacing w:after="60"/>
        <w:jc w:val="both"/>
        <w:rPr>
          <w:rFonts w:ascii="Arial" w:hAnsi="Arial" w:cs="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noProof/>
          <w:sz w:val="16"/>
          <w:szCs w:val="16"/>
        </w:rPr>
        <w:t>Finansinės garantijos apskaitomos pagal 9-ąjį TFAS „Finansinės priemonės“ kaip išvestinės finansinės priemonės arba kaip finansinės garantijos, priklausomai nuo jų savybių ir ypatybių, kaip apibrėžta 9-ajame TFAS.</w:t>
      </w:r>
    </w:p>
    <w:p>
      <w:pPr>
        <w:pStyle w:val="Normal77"/>
        <w:autoSpaceDE w:val="0"/>
        <w:autoSpaceDN w:val="0"/>
        <w:adjustRightInd w:val="0"/>
        <w:spacing w:before="60"/>
        <w:jc w:val="both"/>
        <w:rPr>
          <w:rFonts w:ascii="Arial" w:hAnsi="Arial" w:cs="Arial"/>
          <w:noProof/>
          <w:sz w:val="16"/>
          <w:szCs w:val="16"/>
        </w:rPr>
      </w:pPr>
    </w:p>
    <w:p>
      <w:pPr>
        <w:pStyle w:val="Normal90"/>
        <w:spacing w:before="60" w:after="60"/>
        <w:jc w:val="both"/>
        <w:rPr>
          <w:rFonts w:ascii="Arial" w:hAnsi="Arial"/>
          <w:noProof/>
          <w:sz w:val="16"/>
          <w:szCs w:val="16"/>
        </w:rPr>
      </w:pPr>
      <w:r>
        <w:rPr>
          <w:rFonts w:ascii="Arial" w:hAnsi="Arial"/>
          <w:noProof/>
          <w:sz w:val="16"/>
          <w:szCs w:val="16"/>
        </w:rPr>
        <w:t>Išvestinių finansinių priemonių apskaitos politika išdėstyta 2.4.5 pastaboje.</w:t>
      </w:r>
    </w:p>
    <w:p>
      <w:pPr>
        <w:pStyle w:val="Normal77"/>
        <w:autoSpaceDE w:val="0"/>
        <w:autoSpaceDN w:val="0"/>
        <w:adjustRightInd w:val="0"/>
        <w:spacing w:after="60"/>
        <w:jc w:val="both"/>
        <w:rPr>
          <w:rFonts w:ascii="Arial" w:hAnsi="Arial" w:cs="Arial"/>
          <w:noProof/>
          <w:sz w:val="16"/>
          <w:szCs w:val="16"/>
        </w:rPr>
      </w:pPr>
    </w:p>
    <w:p>
      <w:pPr>
        <w:pStyle w:val="Normal77"/>
        <w:autoSpaceDE w:val="0"/>
        <w:autoSpaceDN w:val="0"/>
        <w:adjustRightInd w:val="0"/>
        <w:jc w:val="both"/>
        <w:rPr>
          <w:rFonts w:cs="Arial"/>
          <w:i/>
          <w:noProof/>
          <w:sz w:val="16"/>
          <w:szCs w:val="16"/>
        </w:rPr>
      </w:pPr>
      <w:r>
        <w:rPr>
          <w:rFonts w:ascii="Arial" w:hAnsi="Arial"/>
          <w:noProof/>
          <w:sz w:val="16"/>
          <w:szCs w:val="16"/>
        </w:rPr>
        <w:t>Finansinės garantijos pirmą kartą pripažįstamos finansinės būklės ataskaitos antraštinėje dalyje „Atidėjiniai suteiktoms garantijoms“ tikrąja verte, pridėjus sandorio išlaidas, kurios yra tiesiogiai priskirtinos finansinių garantijų suteikimui. Įpareigojimas sumokėti pirminio pripažinimo metu parodomas tikrąja verte, kuri atitinka numatomų priedų įplaukų arba pradinių tikėtinų nuostolių grynąją dabartinę vertę.</w:t>
      </w:r>
    </w:p>
    <w:p>
      <w:pPr>
        <w:pStyle w:val="Normal77"/>
        <w:autoSpaceDE w:val="0"/>
        <w:autoSpaceDN w:val="0"/>
        <w:adjustRightInd w:val="0"/>
        <w:jc w:val="both"/>
        <w:rPr>
          <w:rFonts w:ascii="Arial" w:hAnsi="Arial"/>
          <w:noProof/>
          <w:sz w:val="16"/>
        </w:rPr>
      </w:pPr>
    </w:p>
    <w:p>
      <w:pPr>
        <w:pStyle w:val="Normal77"/>
        <w:autoSpaceDE w:val="0"/>
        <w:autoSpaceDN w:val="0"/>
        <w:adjustRightInd w:val="0"/>
        <w:jc w:val="both"/>
        <w:rPr>
          <w:rFonts w:ascii="Arial" w:hAnsi="Arial" w:cs="Arial"/>
          <w:noProof/>
          <w:sz w:val="16"/>
          <w:szCs w:val="16"/>
        </w:rPr>
      </w:pPr>
      <w:r>
        <w:rPr>
          <w:rFonts w:ascii="Arial" w:hAnsi="Arial"/>
          <w:noProof/>
          <w:sz w:val="16"/>
          <w:szCs w:val="16"/>
        </w:rPr>
        <w:t>Po pirminio pripažinimo finansinės garantijos vertinamos didesniąja iš šių verčių:</w:t>
      </w:r>
    </w:p>
    <w:p>
      <w:pPr>
        <w:pStyle w:val="Normal77"/>
        <w:autoSpaceDE w:val="0"/>
        <w:autoSpaceDN w:val="0"/>
        <w:adjustRightInd w:val="0"/>
        <w:jc w:val="both"/>
        <w:rPr>
          <w:rFonts w:ascii="Arial" w:hAnsi="Arial" w:cs="Arial"/>
          <w:noProof/>
          <w:sz w:val="16"/>
          <w:szCs w:val="16"/>
        </w:rPr>
      </w:pPr>
    </w:p>
    <w:p>
      <w:pPr>
        <w:pStyle w:val="Normal77"/>
        <w:autoSpaceDE w:val="0"/>
        <w:autoSpaceDN w:val="0"/>
        <w:adjustRightInd w:val="0"/>
        <w:ind w:firstLine="720"/>
        <w:jc w:val="both"/>
        <w:rPr>
          <w:rFonts w:ascii="Arial" w:hAnsi="Arial" w:cs="Arial"/>
          <w:noProof/>
          <w:sz w:val="16"/>
          <w:szCs w:val="16"/>
        </w:rPr>
      </w:pPr>
      <w:r>
        <w:rPr>
          <w:rFonts w:ascii="Arial" w:hAnsi="Arial"/>
          <w:noProof/>
          <w:sz w:val="16"/>
          <w:szCs w:val="16"/>
        </w:rPr>
        <w:t>– atidėjinio nuostoliams suma, kaip nustatyta pagal 9-ąjį TFAS, ir</w:t>
      </w:r>
    </w:p>
    <w:p>
      <w:pPr>
        <w:pStyle w:val="Normal77"/>
        <w:autoSpaceDE w:val="0"/>
        <w:autoSpaceDN w:val="0"/>
        <w:adjustRightInd w:val="0"/>
        <w:ind w:firstLine="720"/>
        <w:jc w:val="both"/>
        <w:rPr>
          <w:rFonts w:ascii="Arial" w:hAnsi="Arial" w:cs="Arial"/>
          <w:noProof/>
          <w:sz w:val="16"/>
          <w:szCs w:val="16"/>
        </w:rPr>
      </w:pPr>
      <w:r>
        <w:rPr>
          <w:rFonts w:ascii="Arial" w:hAnsi="Arial"/>
          <w:noProof/>
          <w:sz w:val="16"/>
          <w:szCs w:val="16"/>
        </w:rPr>
        <w:t>– pirmą kartą pripažintu priedu, atėmus pajamas, pripažintas pagal 15-ojo TFAS principus.</w:t>
      </w:r>
    </w:p>
    <w:p>
      <w:pPr>
        <w:pStyle w:val="Normal77"/>
        <w:autoSpaceDE w:val="0"/>
        <w:autoSpaceDN w:val="0"/>
        <w:adjustRightInd w:val="0"/>
        <w:spacing w:before="60" w:after="60"/>
        <w:ind w:firstLine="720"/>
        <w:jc w:val="both"/>
        <w:rPr>
          <w:rFonts w:ascii="Arial" w:hAnsi="Arial" w:cs="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noProof/>
          <w:sz w:val="16"/>
          <w:szCs w:val="16"/>
        </w:rPr>
        <w:t>Bet koks grynosios įsipareigojimų sumos padidėjimas arba sumažėjimas (vertinamas pagal 9-ąjį TFAS), susijęs su finansinėms garantijoms, išskyrus reikalavimus dėl garantijos išmokėjimo, pripažįstamas pelno arba nuostolių ir kitų bendrųjų pajamų ataskaitos antraštinėje dalyje „Atidėjinių garantijoms pokytis“.</w:t>
      </w:r>
    </w:p>
    <w:p>
      <w:pPr>
        <w:pStyle w:val="Normal77"/>
        <w:autoSpaceDE w:val="0"/>
        <w:autoSpaceDN w:val="0"/>
        <w:adjustRightInd w:val="0"/>
        <w:spacing w:before="60" w:after="60"/>
        <w:ind w:firstLine="720"/>
        <w:jc w:val="both"/>
        <w:rPr>
          <w:rFonts w:ascii="Arial" w:hAnsi="Arial" w:cs="Arial"/>
          <w:noProof/>
          <w:sz w:val="16"/>
          <w:szCs w:val="16"/>
        </w:rPr>
      </w:pPr>
    </w:p>
    <w:p>
      <w:pPr>
        <w:pStyle w:val="Normal77"/>
        <w:autoSpaceDE w:val="0"/>
        <w:autoSpaceDN w:val="0"/>
        <w:adjustRightInd w:val="0"/>
        <w:jc w:val="both"/>
        <w:rPr>
          <w:rFonts w:cs="Arial"/>
          <w:noProof/>
          <w:sz w:val="16"/>
          <w:szCs w:val="16"/>
        </w:rPr>
      </w:pPr>
      <w:r>
        <w:rPr>
          <w:rFonts w:ascii="Arial" w:hAnsi="Arial"/>
          <w:noProof/>
          <w:sz w:val="16"/>
          <w:szCs w:val="16"/>
        </w:rPr>
        <w:t>Gauti priedai pelno arba nuostolių ir kitų bendrųjų pajamų ataskaitoje parodomi kaip mokesčių ir komisinės pajamos, remiantis 15-ajame TFAS nustatytu amortizacijos grafiku, taikomu visą finansinės garantijos galiojimo laikotarpį.</w:t>
      </w:r>
    </w:p>
    <w:p>
      <w:pPr>
        <w:pStyle w:val="Normal77"/>
        <w:autoSpaceDE w:val="0"/>
        <w:autoSpaceDN w:val="0"/>
        <w:adjustRightInd w:val="0"/>
        <w:spacing w:before="60" w:after="60"/>
        <w:jc w:val="both"/>
        <w:rPr>
          <w:rFonts w:cs="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noProof/>
          <w:sz w:val="16"/>
          <w:szCs w:val="16"/>
        </w:rPr>
        <w:t>Be to, pasirašius garantijos susitarimą, jis parodomas kaip Priemonės neapibrėžtasis įsipareigojimas, o kai garantija naudojama – kaip Priemonės įsipareigojimas.</w:t>
      </w:r>
    </w:p>
    <w:p>
      <w:pPr>
        <w:pStyle w:val="Normal77"/>
        <w:autoSpaceDE w:val="0"/>
        <w:autoSpaceDN w:val="0"/>
        <w:adjustRightInd w:val="0"/>
        <w:spacing w:before="60"/>
        <w:jc w:val="both"/>
        <w:rPr>
          <w:rFonts w:ascii="Arial" w:hAnsi="Arial" w:cs="Arial"/>
          <w:noProof/>
          <w:sz w:val="16"/>
          <w:szCs w:val="16"/>
        </w:rPr>
      </w:pPr>
    </w:p>
    <w:p>
      <w:pPr>
        <w:pStyle w:val="Title1110"/>
        <w:numPr>
          <w:ilvl w:val="2"/>
          <w:numId w:val="53"/>
        </w:numPr>
        <w:spacing w:before="60"/>
        <w:rPr>
          <w:b/>
          <w:noProof/>
          <w:sz w:val="16"/>
        </w:rPr>
      </w:pPr>
      <w:r>
        <w:rPr>
          <w:b/>
          <w:noProof/>
          <w:sz w:val="16"/>
        </w:rPr>
        <w:tab/>
        <w:t>Finansiniai įsipareigojimai, išskyrus išvestines finansines priemones</w:t>
      </w:r>
    </w:p>
    <w:p>
      <w:pPr>
        <w:pStyle w:val="Normal77"/>
        <w:spacing w:after="60"/>
        <w:jc w:val="both"/>
        <w:rPr>
          <w:rFonts w:ascii="Arial" w:hAnsi="Arial"/>
          <w:noProof/>
          <w:sz w:val="16"/>
          <w:szCs w:val="16"/>
        </w:rPr>
      </w:pPr>
    </w:p>
    <w:p>
      <w:pPr>
        <w:pStyle w:val="Title1110"/>
        <w:numPr>
          <w:ilvl w:val="0"/>
          <w:numId w:val="0"/>
        </w:numPr>
        <w:spacing w:after="60"/>
        <w:ind w:left="680" w:hanging="680"/>
        <w:rPr>
          <w:rFonts w:cs="Arial"/>
          <w:b/>
          <w:i/>
          <w:noProof/>
          <w:sz w:val="16"/>
          <w:szCs w:val="16"/>
        </w:rPr>
      </w:pPr>
      <w:r>
        <w:rPr>
          <w:b/>
          <w:i/>
          <w:noProof/>
          <w:sz w:val="16"/>
          <w:szCs w:val="16"/>
        </w:rPr>
        <w:t>Klasifikavimas ir vertinimas</w:t>
      </w:r>
    </w:p>
    <w:p>
      <w:pPr>
        <w:pStyle w:val="Title1110"/>
        <w:numPr>
          <w:ilvl w:val="0"/>
          <w:numId w:val="0"/>
        </w:numPr>
        <w:spacing w:before="60" w:after="60"/>
        <w:rPr>
          <w:rFonts w:cs="Arial"/>
          <w:noProof/>
          <w:sz w:val="16"/>
          <w:szCs w:val="16"/>
        </w:rPr>
      </w:pPr>
    </w:p>
    <w:p>
      <w:pPr>
        <w:pStyle w:val="Normal160"/>
        <w:jc w:val="both"/>
        <w:rPr>
          <w:rFonts w:ascii="Arial" w:hAnsi="Arial" w:cs="Arial"/>
          <w:i/>
          <w:noProof/>
          <w:sz w:val="16"/>
          <w:szCs w:val="16"/>
        </w:rPr>
      </w:pPr>
      <w:r>
        <w:rPr>
          <w:rFonts w:ascii="Arial" w:hAnsi="Arial"/>
          <w:i/>
          <w:noProof/>
          <w:sz w:val="16"/>
          <w:szCs w:val="16"/>
        </w:rPr>
        <w:t xml:space="preserve">Finansiniai įsipareigojimai </w:t>
      </w:r>
    </w:p>
    <w:p>
      <w:pPr>
        <w:pStyle w:val="Title1110"/>
        <w:numPr>
          <w:ilvl w:val="0"/>
          <w:numId w:val="0"/>
        </w:numPr>
        <w:spacing w:after="60"/>
        <w:ind w:left="680" w:hanging="680"/>
        <w:rPr>
          <w:rFonts w:cs="Arial"/>
          <w:i/>
          <w:noProof/>
          <w:sz w:val="16"/>
          <w:szCs w:val="16"/>
        </w:rPr>
      </w:pPr>
    </w:p>
    <w:p>
      <w:pPr>
        <w:pStyle w:val="Normal77"/>
        <w:autoSpaceDE w:val="0"/>
        <w:autoSpaceDN w:val="0"/>
        <w:adjustRightInd w:val="0"/>
        <w:jc w:val="both"/>
        <w:rPr>
          <w:rFonts w:ascii="Arial" w:hAnsi="Arial" w:cs="Arial"/>
          <w:noProof/>
          <w:sz w:val="16"/>
          <w:szCs w:val="16"/>
        </w:rPr>
      </w:pPr>
      <w:r>
        <w:rPr>
          <w:rFonts w:ascii="Arial" w:hAnsi="Arial"/>
          <w:noProof/>
          <w:sz w:val="16"/>
          <w:szCs w:val="16"/>
        </w:rPr>
        <w:t>Finansinis įsipareigojimas, išskyrus finansinius įsipareigojimus, kurie atitinka skirtų parduoti apibrėžtį (pvz., išvestinių finansinių priemonių įsipareigojimus), yra vertinamas amortizuota savikaina.</w:t>
      </w:r>
    </w:p>
    <w:p>
      <w:pPr>
        <w:pStyle w:val="Title1110"/>
        <w:numPr>
          <w:ilvl w:val="0"/>
          <w:numId w:val="0"/>
        </w:numPr>
        <w:spacing w:before="60" w:after="60"/>
        <w:rPr>
          <w:rFonts w:cs="Arial"/>
          <w:noProof/>
          <w:sz w:val="16"/>
          <w:szCs w:val="16"/>
          <w:lang w:eastAsia="en-GB"/>
        </w:rPr>
      </w:pPr>
    </w:p>
    <w:p>
      <w:pPr>
        <w:pStyle w:val="Default0"/>
        <w:jc w:val="both"/>
        <w:rPr>
          <w:noProof/>
          <w:sz w:val="16"/>
          <w:szCs w:val="16"/>
        </w:rPr>
      </w:pPr>
      <w:r>
        <w:rPr>
          <w:noProof/>
          <w:sz w:val="16"/>
          <w:szCs w:val="16"/>
        </w:rPr>
        <w:t xml:space="preserve">Taikant Priemonę nutraukiamas finansinio įsipareigojimo pripažinimas, kai sutartiniai įsipareigojimai įvykdomi, anuliuojami arba pasibaigia jų galiojimo laikotarpis. </w:t>
      </w:r>
    </w:p>
    <w:p>
      <w:pPr>
        <w:pStyle w:val="Normal77"/>
        <w:spacing w:before="60"/>
        <w:rPr>
          <w:rFonts w:ascii="Arial" w:hAnsi="Arial"/>
          <w:noProof/>
          <w:sz w:val="16"/>
          <w:szCs w:val="16"/>
        </w:rPr>
      </w:pPr>
    </w:p>
    <w:p>
      <w:pPr>
        <w:pStyle w:val="Title1110"/>
        <w:numPr>
          <w:ilvl w:val="2"/>
          <w:numId w:val="53"/>
        </w:numPr>
        <w:spacing w:before="60"/>
        <w:rPr>
          <w:b/>
          <w:noProof/>
          <w:sz w:val="16"/>
        </w:rPr>
      </w:pPr>
      <w:r>
        <w:rPr>
          <w:b/>
          <w:noProof/>
          <w:sz w:val="16"/>
        </w:rPr>
        <w:t>Išvestinės finansinės priemonės</w:t>
      </w:r>
    </w:p>
    <w:p>
      <w:pPr>
        <w:pStyle w:val="Normal77"/>
        <w:spacing w:after="60"/>
        <w:jc w:val="both"/>
        <w:rPr>
          <w:rFonts w:ascii="Arial" w:hAnsi="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noProof/>
          <w:sz w:val="16"/>
          <w:szCs w:val="16"/>
        </w:rPr>
        <w:t>Išvestinės finansinės priemonės apima skirtingų valiutų apsikeitimo sandorius, skirtingų valiutų palūkanų normų apsikeitimo sandorius, trumpalaikius valiutų apsikeitimo sandorius ir palūkanų normų apsikeitimo sandorius.</w:t>
      </w:r>
    </w:p>
    <w:p>
      <w:pPr>
        <w:pStyle w:val="Normal77"/>
        <w:autoSpaceDE w:val="0"/>
        <w:autoSpaceDN w:val="0"/>
        <w:adjustRightInd w:val="0"/>
        <w:rPr>
          <w:rFonts w:ascii="Arial" w:hAnsi="Arial" w:cs="Arial"/>
          <w:noProof/>
          <w:sz w:val="16"/>
          <w:szCs w:val="16"/>
        </w:rPr>
      </w:pPr>
    </w:p>
    <w:p>
      <w:pPr>
        <w:pStyle w:val="Normal77"/>
        <w:autoSpaceDE w:val="0"/>
        <w:autoSpaceDN w:val="0"/>
        <w:adjustRightInd w:val="0"/>
        <w:rPr>
          <w:rFonts w:cs="Arial"/>
          <w:noProof/>
          <w:sz w:val="16"/>
          <w:szCs w:val="16"/>
        </w:rPr>
      </w:pPr>
      <w:r>
        <w:rPr>
          <w:rFonts w:ascii="Arial" w:hAnsi="Arial"/>
          <w:noProof/>
          <w:sz w:val="16"/>
          <w:szCs w:val="16"/>
        </w:rPr>
        <w:t>Išvestinės finansinės priemonės pirmą kartą pripažįstamos naudojantis prekybos data.</w:t>
      </w:r>
    </w:p>
    <w:p>
      <w:pPr>
        <w:pStyle w:val="Normal77"/>
        <w:autoSpaceDE w:val="0"/>
        <w:autoSpaceDN w:val="0"/>
        <w:adjustRightInd w:val="0"/>
        <w:rPr>
          <w:rFonts w:ascii="Arial" w:hAnsi="Arial" w:cs="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noProof/>
          <w:sz w:val="16"/>
          <w:szCs w:val="16"/>
        </w:rPr>
        <w:t>Vykdant įprastinę veiklą pagal Priemonę gali būti sudaryti apsikeitimo sandoriai, siekiant apdrausti nuo rizikos specialias skolinimo operacijas, arba išankstinius valiutos sandorius kitomis nei euras aktyviai prekiaujamomis valiutomis, valiutos pozicijai apdrausti nuo rizikos, kad būtų išlygintas pelnas arba nuostoliai dėl užsienio valiutos kursų svyravimų.</w:t>
      </w:r>
    </w:p>
    <w:p>
      <w:pPr>
        <w:pStyle w:val="Normal77"/>
        <w:autoSpaceDE w:val="0"/>
        <w:autoSpaceDN w:val="0"/>
        <w:adjustRightInd w:val="0"/>
        <w:rPr>
          <w:rFonts w:ascii="Arial" w:hAnsi="Arial" w:cs="Arial"/>
          <w:noProof/>
          <w:sz w:val="16"/>
          <w:szCs w:val="16"/>
        </w:rPr>
      </w:pPr>
    </w:p>
    <w:p>
      <w:pPr>
        <w:pStyle w:val="Normal77"/>
        <w:autoSpaceDE w:val="0"/>
        <w:autoSpaceDN w:val="0"/>
        <w:adjustRightInd w:val="0"/>
        <w:rPr>
          <w:rFonts w:ascii="Arial" w:hAnsi="Arial" w:cs="Arial"/>
          <w:noProof/>
          <w:sz w:val="16"/>
          <w:szCs w:val="16"/>
        </w:rPr>
      </w:pPr>
      <w:r>
        <w:rPr>
          <w:rFonts w:ascii="Arial" w:hAnsi="Arial"/>
          <w:noProof/>
          <w:sz w:val="16"/>
          <w:szCs w:val="16"/>
        </w:rPr>
        <w:t>Visos išvestinės finansinės priemonės vertinamos tikrąja verte, kurios pokyčiai pripažįstami pelnu arba nuostoliais, ir nurodomos kaip išvestinės finansinės priemonės. Tikroji vertė gaunama visų pirma iš diskontuotų pinigų srautų modelių, pasirinkimo sandorių kainų nustatymo modelių ir trečiųjų šalių skelbiamų kainų.</w:t>
      </w:r>
    </w:p>
    <w:p>
      <w:pPr>
        <w:pStyle w:val="Normal77"/>
        <w:autoSpaceDE w:val="0"/>
        <w:autoSpaceDN w:val="0"/>
        <w:adjustRightInd w:val="0"/>
        <w:rPr>
          <w:rFonts w:ascii="Arial" w:hAnsi="Arial" w:cs="Arial"/>
          <w:noProof/>
          <w:sz w:val="16"/>
          <w:szCs w:val="16"/>
        </w:rPr>
      </w:pPr>
    </w:p>
    <w:p>
      <w:pPr>
        <w:pStyle w:val="Normal77"/>
        <w:autoSpaceDE w:val="0"/>
        <w:autoSpaceDN w:val="0"/>
        <w:adjustRightInd w:val="0"/>
        <w:jc w:val="both"/>
        <w:rPr>
          <w:rFonts w:cs="Arial"/>
          <w:noProof/>
          <w:sz w:val="16"/>
          <w:szCs w:val="16"/>
        </w:rPr>
      </w:pPr>
      <w:r>
        <w:rPr>
          <w:rFonts w:ascii="Arial" w:hAnsi="Arial"/>
          <w:noProof/>
          <w:sz w:val="16"/>
          <w:szCs w:val="16"/>
        </w:rPr>
        <w:t>Išvestinės finansinės priemonės įrašomos tikrąja verte ir apskaitomos kaip turtas, kai jų tikroji vertė yra teigiama, ir kaip įsipareigojimai, kai jų tikroji vertė neigiama. Išvestinių finansinių priemonių tikrosios vertės pokyčiai parodomi pelno arba nuostolių ir kitų bendrųjų pajamų ataskaitos dalyje „Išvestinių finansinių priemonių tikrosios vertės pokytis“.</w:t>
      </w:r>
    </w:p>
    <w:p>
      <w:pPr>
        <w:pStyle w:val="Normal77"/>
        <w:autoSpaceDE w:val="0"/>
        <w:autoSpaceDN w:val="0"/>
        <w:adjustRightInd w:val="0"/>
        <w:rPr>
          <w:rFonts w:cs="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noProof/>
          <w:sz w:val="16"/>
          <w:szCs w:val="16"/>
        </w:rPr>
        <w:t>Pagal 9-ąjį TFAS finansiniam turtui arba finansiniams įsipareigojimams taikytini reikalavimai dėl įterptųjų išvestinių finansinių priemonių išskaidymo buvo panaikinti, todėl į mišriąją sutartį apskritai atsižvelgiama atitinkamai klasifikuojant finansinį turtą arba finansinį įsipareigojimą.</w:t>
      </w:r>
    </w:p>
    <w:p>
      <w:pPr>
        <w:spacing w:before="60"/>
        <w:rPr>
          <w:rFonts w:ascii="Arial" w:hAnsi="Arial"/>
          <w:noProof/>
          <w:sz w:val="16"/>
          <w:szCs w:val="16"/>
        </w:rPr>
      </w:pPr>
    </w:p>
    <w:p>
      <w:pPr>
        <w:pStyle w:val="Title1110"/>
        <w:numPr>
          <w:ilvl w:val="2"/>
          <w:numId w:val="53"/>
        </w:numPr>
        <w:spacing w:before="60"/>
        <w:rPr>
          <w:b/>
          <w:noProof/>
          <w:sz w:val="16"/>
        </w:rPr>
      </w:pPr>
      <w:r>
        <w:rPr>
          <w:b/>
          <w:noProof/>
          <w:sz w:val="16"/>
        </w:rPr>
        <w:t xml:space="preserve"> Įnašai</w:t>
      </w:r>
    </w:p>
    <w:p>
      <w:pPr>
        <w:pStyle w:val="Normal77"/>
        <w:spacing w:after="60"/>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Valstybių narių įnašai finansinės būklės ataskaitoje kaip gautinos sumos pripažįstami Tarybos sprendimo, kuriuo nustatomi valstybių narių mokėtini Priemonės finansiniai įnašai, dieną.</w:t>
      </w:r>
    </w:p>
    <w:p>
      <w:pPr>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Valstybių narių įnašai atitinka toliau nurodytas sąlygas ir todėl priskiriami prie nuosavo kapitalo:</w:t>
      </w:r>
    </w:p>
    <w:p>
      <w:pPr>
        <w:pStyle w:val="Normal77"/>
        <w:numPr>
          <w:ilvl w:val="0"/>
          <w:numId w:val="54"/>
        </w:numPr>
        <w:tabs>
          <w:tab w:val="left" w:pos="340"/>
        </w:tabs>
        <w:spacing w:before="60" w:after="60"/>
        <w:jc w:val="both"/>
        <w:rPr>
          <w:rFonts w:ascii="Arial" w:hAnsi="Arial"/>
          <w:noProof/>
          <w:sz w:val="16"/>
          <w:szCs w:val="16"/>
        </w:rPr>
      </w:pPr>
      <w:r>
        <w:rPr>
          <w:rFonts w:ascii="Arial" w:hAnsi="Arial"/>
          <w:noProof/>
          <w:sz w:val="16"/>
          <w:szCs w:val="16"/>
        </w:rPr>
        <w:t>kaip apibrėžta susitarime dėl įnašų, jie suteikia teisę valstybėms narėms priimti sprendimą dėl Priemonės grynojo turto panaudojimo Priemonės likvidavimo atveju;</w:t>
      </w:r>
    </w:p>
    <w:p>
      <w:pPr>
        <w:pStyle w:val="Normal77"/>
        <w:numPr>
          <w:ilvl w:val="0"/>
          <w:numId w:val="54"/>
        </w:numPr>
        <w:tabs>
          <w:tab w:val="left" w:pos="340"/>
        </w:tabs>
        <w:spacing w:before="60" w:after="60"/>
        <w:jc w:val="both"/>
        <w:rPr>
          <w:rFonts w:ascii="Arial" w:hAnsi="Arial"/>
          <w:noProof/>
          <w:sz w:val="16"/>
          <w:szCs w:val="16"/>
        </w:rPr>
      </w:pPr>
      <w:r>
        <w:rPr>
          <w:rFonts w:ascii="Arial" w:hAnsi="Arial"/>
          <w:noProof/>
          <w:sz w:val="16"/>
          <w:szCs w:val="16"/>
        </w:rPr>
        <w:t>jie priskiriami prie priemonių grupės, kuri yra žemesnė už visas kitas priemonių grupes;</w:t>
      </w:r>
    </w:p>
    <w:p>
      <w:pPr>
        <w:pStyle w:val="Normal77"/>
        <w:numPr>
          <w:ilvl w:val="0"/>
          <w:numId w:val="54"/>
        </w:numPr>
        <w:tabs>
          <w:tab w:val="left" w:pos="340"/>
        </w:tabs>
        <w:spacing w:before="60" w:after="60"/>
        <w:jc w:val="both"/>
        <w:rPr>
          <w:rFonts w:ascii="Arial" w:hAnsi="Arial"/>
          <w:noProof/>
          <w:sz w:val="16"/>
          <w:szCs w:val="16"/>
        </w:rPr>
      </w:pPr>
      <w:r>
        <w:rPr>
          <w:rFonts w:ascii="Arial" w:hAnsi="Arial"/>
          <w:noProof/>
          <w:sz w:val="16"/>
          <w:szCs w:val="16"/>
        </w:rPr>
        <w:t>visos finansinės priemonės, priklausančios priemonių grupei, kuri yra žemesnė už visas kitas priemonių grupes, turi vienodas savybes;</w:t>
      </w:r>
    </w:p>
    <w:p>
      <w:pPr>
        <w:pStyle w:val="Normal77"/>
        <w:numPr>
          <w:ilvl w:val="0"/>
          <w:numId w:val="54"/>
        </w:numPr>
        <w:tabs>
          <w:tab w:val="left" w:pos="340"/>
        </w:tabs>
        <w:spacing w:before="60" w:after="60"/>
        <w:jc w:val="both"/>
        <w:rPr>
          <w:rFonts w:ascii="Arial" w:hAnsi="Arial"/>
          <w:noProof/>
          <w:sz w:val="16"/>
          <w:szCs w:val="16"/>
        </w:rPr>
      </w:pPr>
      <w:r>
        <w:rPr>
          <w:rFonts w:ascii="Arial" w:hAnsi="Arial"/>
          <w:noProof/>
          <w:sz w:val="16"/>
          <w:szCs w:val="16"/>
        </w:rPr>
        <w:t>priemonei nebūdingos savybės, dėl kurių ją reikėtų priskirti prie įsipareigojimų, ir</w:t>
      </w:r>
    </w:p>
    <w:p>
      <w:pPr>
        <w:pStyle w:val="Normal77"/>
        <w:numPr>
          <w:ilvl w:val="0"/>
          <w:numId w:val="54"/>
        </w:numPr>
        <w:tabs>
          <w:tab w:val="left" w:pos="340"/>
        </w:tabs>
        <w:spacing w:before="60"/>
        <w:jc w:val="both"/>
        <w:rPr>
          <w:rFonts w:ascii="Arial" w:hAnsi="Arial"/>
          <w:noProof/>
          <w:sz w:val="16"/>
          <w:szCs w:val="16"/>
        </w:rPr>
      </w:pPr>
      <w:r>
        <w:rPr>
          <w:rFonts w:ascii="Arial" w:hAnsi="Arial"/>
          <w:noProof/>
          <w:sz w:val="16"/>
          <w:szCs w:val="16"/>
        </w:rPr>
        <w:t>bendri laukiami pinigų srautai, priskiriami priemonei per jos galiojimo laikotarpį, iš esmės yra pagrįsti pelnu arba nuostoliais, pripažinto grynojo turto pokyčiu arba Priemonės pripažinto ir nepripažinto grynojo turto tikrosios vertės pokyčiu per priemonės galiojimo laikotarpį.</w:t>
      </w:r>
    </w:p>
    <w:p>
      <w:pPr>
        <w:pStyle w:val="Normal77"/>
        <w:tabs>
          <w:tab w:val="left" w:pos="340"/>
        </w:tabs>
        <w:jc w:val="both"/>
        <w:rPr>
          <w:rFonts w:ascii="Arial" w:hAnsi="Arial"/>
          <w:noProof/>
          <w:sz w:val="16"/>
          <w:szCs w:val="16"/>
        </w:rPr>
      </w:pPr>
      <w:r>
        <w:rPr>
          <w:rFonts w:ascii="Arial" w:hAnsi="Arial"/>
          <w:noProof/>
          <w:sz w:val="16"/>
          <w:szCs w:val="16"/>
        </w:rPr>
        <w:t xml:space="preserve">                      </w:t>
      </w:r>
    </w:p>
    <w:p>
      <w:pPr>
        <w:pStyle w:val="Normal77"/>
        <w:autoSpaceDE w:val="0"/>
        <w:autoSpaceDN w:val="0"/>
        <w:adjustRightInd w:val="0"/>
        <w:rPr>
          <w:rFonts w:cs="Arial"/>
          <w:noProof/>
          <w:sz w:val="16"/>
          <w:szCs w:val="16"/>
        </w:rPr>
      </w:pPr>
      <w:r>
        <w:rPr>
          <w:rFonts w:ascii="Arial" w:hAnsi="Arial"/>
          <w:noProof/>
          <w:sz w:val="16"/>
          <w:szCs w:val="16"/>
        </w:rPr>
        <w:t>Finansinėse ataskaitose įnašai klasifikuojami ir vertinami amortizuota savikaina.</w:t>
      </w:r>
    </w:p>
    <w:p>
      <w:pPr>
        <w:pStyle w:val="Normal77"/>
        <w:tabs>
          <w:tab w:val="left" w:pos="340"/>
        </w:tabs>
        <w:spacing w:before="60" w:after="60"/>
        <w:jc w:val="both"/>
        <w:rPr>
          <w:rFonts w:ascii="Arial" w:hAnsi="Arial"/>
          <w:noProof/>
          <w:sz w:val="16"/>
          <w:szCs w:val="16"/>
        </w:rPr>
      </w:pPr>
    </w:p>
    <w:p>
      <w:pPr>
        <w:rPr>
          <w:rFonts w:ascii="Arial" w:hAnsi="Arial"/>
          <w:b/>
          <w:noProof/>
          <w:sz w:val="16"/>
          <w:szCs w:val="20"/>
        </w:rPr>
      </w:pPr>
      <w:r>
        <w:rPr>
          <w:noProof/>
        </w:rPr>
        <w:br w:type="page"/>
      </w:r>
    </w:p>
    <w:p>
      <w:pPr>
        <w:pStyle w:val="Title1110"/>
        <w:numPr>
          <w:ilvl w:val="2"/>
          <w:numId w:val="53"/>
        </w:numPr>
        <w:spacing w:before="60"/>
        <w:rPr>
          <w:b/>
          <w:noProof/>
          <w:sz w:val="16"/>
        </w:rPr>
      </w:pPr>
      <w:r>
        <w:rPr>
          <w:b/>
          <w:noProof/>
          <w:sz w:val="16"/>
        </w:rPr>
        <w:t xml:space="preserve"> Palūkanos ir panašios pajamos </w:t>
      </w:r>
    </w:p>
    <w:p>
      <w:pPr>
        <w:pStyle w:val="Normal77"/>
        <w:spacing w:after="60"/>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Priemonės paskolų palūkanos įrašomos pelno arba nuostolių ir kitų bendrųjų pajamų ataskaitoje („Palūkanos ir panašios pajamos“) ir finansinės būklės ataskaitoje („Paskolos ir išankstiniai mokėjimai“) pagal kaupiamąjį principą, taikant faktinę palūkanų normą, t. y. normą, kuria tiksliai diskontuojami numatomi būsimi pinigų mokėjimai arba įplaukos per tikėtiną paskolos galiojimo laikotarpį paskolos grynąja apskaitine verte. Kai apskaityta paskolos vertė sumažinama dėl vertės sumažėjimo, pajamos iš palūkanų ir toliau parodomos taikant pradinę faktinę palūkanų normą, taikomą naujai balansinei vertei.</w:t>
      </w:r>
    </w:p>
    <w:p>
      <w:pPr>
        <w:pStyle w:val="Normal77"/>
        <w:jc w:val="both"/>
        <w:rPr>
          <w:rFonts w:ascii="Arial" w:hAnsi="Arial"/>
          <w:noProof/>
          <w:sz w:val="16"/>
          <w:szCs w:val="16"/>
        </w:rPr>
      </w:pPr>
    </w:p>
    <w:p>
      <w:pPr>
        <w:pStyle w:val="Normal90"/>
        <w:spacing w:before="60" w:after="60"/>
        <w:jc w:val="both"/>
        <w:rPr>
          <w:rFonts w:ascii="Arial" w:hAnsi="Arial"/>
          <w:noProof/>
          <w:sz w:val="16"/>
          <w:szCs w:val="16"/>
        </w:rPr>
      </w:pPr>
      <w:r>
        <w:rPr>
          <w:rFonts w:ascii="Arial" w:hAnsi="Arial"/>
          <w:noProof/>
          <w:sz w:val="16"/>
          <w:szCs w:val="16"/>
        </w:rPr>
        <w:t>Nusipirktų arba suteiktų dėl kredito rizikos sumažėjusios vertės paskolų palūkanos įrašomos pelno arba nuostolių ir kitų bendrųjų pajamų ataskaitoje („Palūkanos ir panašios pajamos“) ir finansinės būklės ataskaitoje („Paskolos ir išankstiniai mokėjimai“) pagal kaupiamąjį principą, per visą paskolos galiojimo laikotarpį taikant pagal kreditą patikslintą faktinę palūkanų normą, t. y. normą, kuria tiksliai diskontuojami numatomi būsimi pinigų mokėjimai arba įplaukos per tikėtiną paskolos galiojimo laikotarpį paskolos amortizuota savikaina.</w:t>
      </w:r>
    </w:p>
    <w:p>
      <w:pPr>
        <w:pStyle w:val="Normal77"/>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Įsipareigojimo mokesčiai yra laikomi būsimojo laikotarpio pajamomis ir yra pripažįstami taikant faktinių palūkanų metodą per laikotarpį nuo susijusios paskolos išmokėjimo iki grąžinimo, ir pelno arba nuostolių ir kitų bendrųjų pajamų ataskaitoje yra nurodomi prie palūkanų ir panašių pajamų.</w:t>
      </w:r>
    </w:p>
    <w:p>
      <w:pPr>
        <w:pStyle w:val="Normal77"/>
        <w:spacing w:before="60" w:after="60"/>
        <w:jc w:val="both"/>
        <w:rPr>
          <w:rFonts w:ascii="Arial" w:hAnsi="Arial"/>
          <w:noProof/>
          <w:sz w:val="16"/>
          <w:szCs w:val="16"/>
        </w:rPr>
      </w:pPr>
    </w:p>
    <w:p>
      <w:pPr>
        <w:pStyle w:val="Title1110"/>
        <w:numPr>
          <w:ilvl w:val="2"/>
          <w:numId w:val="53"/>
        </w:numPr>
        <w:spacing w:before="60"/>
        <w:rPr>
          <w:b/>
          <w:noProof/>
          <w:sz w:val="16"/>
        </w:rPr>
      </w:pPr>
      <w:r>
        <w:rPr>
          <w:b/>
          <w:noProof/>
          <w:sz w:val="16"/>
        </w:rPr>
        <w:t>Palūkanų subsidijos ir techninė pagalba</w:t>
      </w:r>
    </w:p>
    <w:p>
      <w:pPr>
        <w:pStyle w:val="Normal77"/>
        <w:spacing w:after="60"/>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Viena iš Priemonės veiklos sričių – valstybių narių vardu administruojamos palūkanų subsidijos ir techninė pagalba.</w:t>
      </w:r>
    </w:p>
    <w:p>
      <w:pPr>
        <w:pStyle w:val="Normal77"/>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Valstybių narių įnašų, skirtų palūkanų subsidijoms ir techninei pagalbai mokėti, dalis nepriskiriama Priemonės įnašų mokėtojų ištekliams, bet klasifikuojama kaip trečiosioms šalims mokėtinos sumos. Pagal Priemonę atliekami mokėjimai galutiniams gavėjams, o tada sumažinamos trečiosioms šalims mokėtinos sumos.</w:t>
      </w:r>
    </w:p>
    <w:p>
      <w:pPr>
        <w:pStyle w:val="Normal77"/>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Kai su palūkanų subsidijomis ir technine pagalba susijusios įneštos sumos iki galo nesuteikiamos, jos perklasifikuojamos kaip Priemonei skirti įnašai.</w:t>
      </w:r>
    </w:p>
    <w:p>
      <w:pPr>
        <w:pStyle w:val="Normal77"/>
        <w:rPr>
          <w:rFonts w:ascii="Arial" w:hAnsi="Arial"/>
          <w:noProof/>
          <w:sz w:val="16"/>
          <w:szCs w:val="16"/>
        </w:rPr>
      </w:pPr>
    </w:p>
    <w:p>
      <w:pPr>
        <w:pStyle w:val="Title1110"/>
        <w:numPr>
          <w:ilvl w:val="2"/>
          <w:numId w:val="53"/>
        </w:numPr>
        <w:spacing w:before="60"/>
        <w:rPr>
          <w:b/>
          <w:noProof/>
          <w:sz w:val="16"/>
        </w:rPr>
      </w:pPr>
      <w:r>
        <w:rPr>
          <w:b/>
          <w:noProof/>
          <w:sz w:val="16"/>
        </w:rPr>
        <w:t>Pajamos iš pinigų ir pinigų ekvivalentų palūkanų</w:t>
      </w:r>
    </w:p>
    <w:p>
      <w:pPr>
        <w:pStyle w:val="Normal77"/>
        <w:spacing w:after="60"/>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Pajamos iš pinigų ir pinigų ekvivalentų palūkanų pripažįstamos Priemonės pelno arba nuostolių ir kitų bendrųjų pajamų ataskaitoje pagal kaupiamąjį principą.</w:t>
      </w:r>
    </w:p>
    <w:p>
      <w:pPr>
        <w:pStyle w:val="Normal77"/>
        <w:rPr>
          <w:rFonts w:ascii="Arial" w:hAnsi="Arial"/>
          <w:noProof/>
          <w:sz w:val="16"/>
          <w:szCs w:val="16"/>
        </w:rPr>
      </w:pPr>
    </w:p>
    <w:p>
      <w:pPr>
        <w:pStyle w:val="Title1110"/>
        <w:numPr>
          <w:ilvl w:val="2"/>
          <w:numId w:val="53"/>
        </w:numPr>
        <w:spacing w:before="60"/>
        <w:rPr>
          <w:b/>
          <w:noProof/>
          <w:sz w:val="16"/>
        </w:rPr>
      </w:pPr>
      <w:r>
        <w:rPr>
          <w:b/>
          <w:noProof/>
          <w:sz w:val="16"/>
        </w:rPr>
        <w:t>Mokesčiai, komisiniai ir dividendai</w:t>
      </w:r>
    </w:p>
    <w:p>
      <w:pPr>
        <w:pStyle w:val="Normal77"/>
        <w:spacing w:after="60"/>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 xml:space="preserve">Už suteiktas paslaugas per laikotarpį gauti mokesčiai pripažįstami pajamomis paslaugų suteikimo momentu, o mokesčiai, gauti vykdant svarbią veiklą, pripažįstami pajamomis, kai užbaigiama svarbi veikla. Šie mokesčiai pelno arba nuostolių ir kitų bendrųjų pajamų ataskaitoje nurodomi prie mokesčių ir komisinių pajamų. </w:t>
      </w:r>
    </w:p>
    <w:p>
      <w:pPr>
        <w:pStyle w:val="Normal77"/>
        <w:spacing w:before="60" w:after="60"/>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Dividendai, susiję su akcijomis ir kitais kintamo pelningumo vertybiniais popieriais, pripažįstami tada, kai gaunami, ir pelno arba nuostolių ir kitų bendrųjų pajamų ataskaitoje nurodomi prie grynojo realizuoto pelno iš akcijų ir kitų kintamo pelningumo vertybinių popierių.</w:t>
      </w:r>
    </w:p>
    <w:p>
      <w:pPr>
        <w:rPr>
          <w:rFonts w:ascii="Arial" w:hAnsi="Arial"/>
          <w:noProof/>
          <w:sz w:val="16"/>
          <w:szCs w:val="16"/>
        </w:rPr>
      </w:pPr>
    </w:p>
    <w:p>
      <w:pPr>
        <w:pStyle w:val="Title1110"/>
        <w:numPr>
          <w:ilvl w:val="2"/>
          <w:numId w:val="53"/>
        </w:numPr>
        <w:spacing w:before="60"/>
        <w:rPr>
          <w:b/>
          <w:noProof/>
          <w:sz w:val="16"/>
        </w:rPr>
      </w:pPr>
      <w:r>
        <w:rPr>
          <w:b/>
          <w:noProof/>
          <w:sz w:val="16"/>
        </w:rPr>
        <w:t>Mokesčių sistema</w:t>
      </w:r>
    </w:p>
    <w:p>
      <w:pPr>
        <w:pStyle w:val="Title1110"/>
        <w:numPr>
          <w:ilvl w:val="0"/>
          <w:numId w:val="0"/>
        </w:numPr>
        <w:spacing w:after="60"/>
        <w:ind w:left="680"/>
        <w:rPr>
          <w:b/>
          <w:noProof/>
          <w:sz w:val="16"/>
        </w:rPr>
      </w:pPr>
    </w:p>
    <w:p>
      <w:pPr>
        <w:pStyle w:val="xx0"/>
        <w:spacing w:before="60" w:after="60"/>
        <w:rPr>
          <w:rFonts w:ascii="Arial" w:hAnsi="Arial"/>
          <w:noProof/>
          <w:sz w:val="16"/>
          <w:szCs w:val="16"/>
        </w:rPr>
      </w:pPr>
      <w:r>
        <w:rPr>
          <w:rFonts w:ascii="Arial" w:hAnsi="Arial"/>
          <w:noProof/>
          <w:sz w:val="16"/>
          <w:szCs w:val="16"/>
        </w:rPr>
        <w:t>Protokole dėl Europos Sąjungos privilegijų ir imunitetų, pridedamame prie Europos Sąjungos sutarties ir Sutarties dėl Europos Sąjungos veikimo, nustatyta, kad Sąjungos institucijų turtas, pajamos ir kita nuosavybė yra neapmokestinami jokiais tiesioginiais mokesčiais.</w:t>
      </w:r>
    </w:p>
    <w:p>
      <w:pPr>
        <w:pStyle w:val="Notes5"/>
        <w:pageBreakBefore/>
        <w:ind w:left="431" w:hanging="431"/>
        <w:rPr>
          <w:noProof/>
        </w:rPr>
      </w:pPr>
      <w:r>
        <w:rPr>
          <w:noProof/>
        </w:rPr>
        <w:t>3.</w:t>
      </w:r>
      <w:r>
        <w:rPr>
          <w:noProof/>
        </w:rPr>
        <w:tab/>
        <w:t>Rizikos valdymas</w:t>
      </w:r>
    </w:p>
    <w:p>
      <w:pPr>
        <w:pStyle w:val="Title12"/>
        <w:numPr>
          <w:ilvl w:val="0"/>
          <w:numId w:val="0"/>
        </w:numPr>
        <w:spacing w:before="60"/>
        <w:rPr>
          <w:noProof/>
          <w:sz w:val="16"/>
          <w:szCs w:val="16"/>
        </w:rPr>
      </w:pPr>
      <w:r>
        <w:rPr>
          <w:noProof/>
          <w:sz w:val="16"/>
          <w:szCs w:val="16"/>
        </w:rPr>
        <w:t>3</w:t>
      </w:r>
    </w:p>
    <w:p>
      <w:pPr>
        <w:pStyle w:val="Notes5"/>
        <w:tabs>
          <w:tab w:val="clear" w:pos="4320"/>
          <w:tab w:val="clear" w:pos="8640"/>
          <w:tab w:val="right" w:pos="-2700"/>
        </w:tabs>
        <w:spacing w:before="0" w:after="60"/>
        <w:ind w:left="0" w:firstLine="0"/>
        <w:rPr>
          <w:b w:val="0"/>
          <w:iCs/>
          <w:noProof/>
          <w:sz w:val="16"/>
          <w:szCs w:val="16"/>
        </w:rPr>
      </w:pPr>
      <w:r>
        <w:rPr>
          <w:b w:val="0"/>
          <w:iCs/>
          <w:noProof/>
          <w:sz w:val="16"/>
          <w:szCs w:val="16"/>
        </w:rPr>
        <w:t>Šioje pastaboje pateikiama informacija apie Priemonės kredito ir finansinę riziką bei šios rizikos valdymą ir kontrolę, visų pirma apie pagrindinę riziką, susijusią su taikomomis finansinėmis priemonėmis. Tai:</w:t>
      </w:r>
    </w:p>
    <w:p>
      <w:pPr>
        <w:pStyle w:val="Notes5"/>
        <w:tabs>
          <w:tab w:val="clear" w:pos="4320"/>
          <w:tab w:val="clear" w:pos="8640"/>
          <w:tab w:val="right" w:pos="-2700"/>
        </w:tabs>
        <w:spacing w:before="0" w:after="60"/>
        <w:ind w:left="0" w:firstLine="0"/>
        <w:rPr>
          <w:b w:val="0"/>
          <w:iCs/>
          <w:noProof/>
          <w:sz w:val="16"/>
          <w:szCs w:val="16"/>
        </w:rPr>
      </w:pPr>
    </w:p>
    <w:p>
      <w:pPr>
        <w:pStyle w:val="Notes5"/>
        <w:numPr>
          <w:ilvl w:val="0"/>
          <w:numId w:val="56"/>
        </w:numPr>
        <w:spacing w:before="60" w:after="60"/>
        <w:rPr>
          <w:b w:val="0"/>
          <w:noProof/>
          <w:sz w:val="16"/>
          <w:szCs w:val="16"/>
        </w:rPr>
      </w:pPr>
      <w:r>
        <w:rPr>
          <w:b w:val="0"/>
          <w:noProof/>
          <w:sz w:val="16"/>
          <w:szCs w:val="16"/>
        </w:rPr>
        <w:t>kredito rizika – nuostolių rizika, kylanti dėl to, kad klientas arba kita sandorio šalis nevykdo įsipareigojimų, įvairiais būdais gresiančią kreditui, įskaitant atsiskaitymų riziką;</w:t>
      </w:r>
    </w:p>
    <w:p>
      <w:pPr>
        <w:pStyle w:val="Notes5"/>
        <w:numPr>
          <w:ilvl w:val="0"/>
          <w:numId w:val="56"/>
        </w:numPr>
        <w:spacing w:before="60" w:after="60"/>
        <w:rPr>
          <w:b w:val="0"/>
          <w:noProof/>
          <w:sz w:val="16"/>
          <w:szCs w:val="16"/>
        </w:rPr>
      </w:pPr>
      <w:r>
        <w:rPr>
          <w:b w:val="0"/>
          <w:noProof/>
          <w:sz w:val="16"/>
          <w:szCs w:val="16"/>
        </w:rPr>
        <w:t>likvidumo rizika – rizika, kad subjektas negalės finansuoti turto padidėjimo ir suėjus terminui įvykdyti įsipareigojimų, nepatirdamas nepriimtinų nuostolių;</w:t>
      </w:r>
    </w:p>
    <w:p>
      <w:pPr>
        <w:pStyle w:val="Notes5"/>
        <w:numPr>
          <w:ilvl w:val="0"/>
          <w:numId w:val="56"/>
        </w:numPr>
        <w:spacing w:before="60" w:after="60"/>
        <w:rPr>
          <w:noProof/>
          <w:sz w:val="16"/>
          <w:szCs w:val="16"/>
        </w:rPr>
      </w:pPr>
      <w:r>
        <w:rPr>
          <w:b w:val="0"/>
          <w:noProof/>
          <w:sz w:val="16"/>
          <w:szCs w:val="16"/>
        </w:rPr>
        <w:t>rinkos rizika – rizika, kad rinkos kainų ir normų, kaip antai palūkanų normų, akcijų kainų ir užsienio valiutų kursų, pokyčiai turės poveikio subjekto pajamoms arba turimų finansinių priemonių vertei.</w:t>
      </w:r>
    </w:p>
    <w:p>
      <w:pPr>
        <w:pStyle w:val="Notes5"/>
        <w:spacing w:before="60" w:after="60"/>
        <w:ind w:left="0" w:firstLine="0"/>
        <w:rPr>
          <w:b w:val="0"/>
          <w:noProof/>
          <w:sz w:val="16"/>
          <w:szCs w:val="16"/>
        </w:rPr>
      </w:pPr>
    </w:p>
    <w:p>
      <w:pPr>
        <w:pStyle w:val="Title111"/>
        <w:numPr>
          <w:ilvl w:val="1"/>
          <w:numId w:val="57"/>
        </w:numPr>
        <w:spacing w:before="60"/>
        <w:ind w:left="357" w:hanging="357"/>
        <w:rPr>
          <w:b/>
          <w:noProof/>
          <w:sz w:val="16"/>
          <w:szCs w:val="16"/>
        </w:rPr>
      </w:pPr>
      <w:r>
        <w:rPr>
          <w:b/>
          <w:noProof/>
          <w:sz w:val="16"/>
          <w:szCs w:val="16"/>
        </w:rPr>
        <w:t>Rizikos valdymo organizavimas</w:t>
      </w:r>
    </w:p>
    <w:p>
      <w:pPr>
        <w:pStyle w:val="Title111"/>
        <w:numPr>
          <w:ilvl w:val="0"/>
          <w:numId w:val="0"/>
        </w:numPr>
        <w:tabs>
          <w:tab w:val="left" w:pos="758"/>
        </w:tabs>
        <w:jc w:val="left"/>
        <w:rPr>
          <w:noProof/>
          <w:sz w:val="16"/>
          <w:szCs w:val="16"/>
        </w:rPr>
      </w:pPr>
      <w:r>
        <w:rPr>
          <w:noProof/>
          <w:sz w:val="16"/>
          <w:szCs w:val="16"/>
        </w:rPr>
        <w:tab/>
      </w:r>
      <w:r>
        <w:rPr>
          <w:noProof/>
          <w:sz w:val="16"/>
          <w:szCs w:val="16"/>
        </w:rPr>
        <w:tab/>
      </w:r>
    </w:p>
    <w:p>
      <w:pPr>
        <w:pStyle w:val="Notes5"/>
        <w:tabs>
          <w:tab w:val="clear" w:pos="4320"/>
          <w:tab w:val="clear" w:pos="8640"/>
          <w:tab w:val="right" w:pos="-2700"/>
        </w:tabs>
        <w:spacing w:before="60" w:after="60"/>
        <w:ind w:left="0" w:firstLine="0"/>
        <w:rPr>
          <w:b w:val="0"/>
          <w:noProof/>
          <w:sz w:val="16"/>
          <w:szCs w:val="16"/>
        </w:rPr>
      </w:pPr>
      <w:r>
        <w:rPr>
          <w:b w:val="0"/>
          <w:noProof/>
          <w:sz w:val="16"/>
          <w:szCs w:val="16"/>
        </w:rPr>
        <w:t>EIB nuolat pritaiko IP rizikos valdymo sistemą.</w:t>
      </w:r>
    </w:p>
    <w:p>
      <w:pPr>
        <w:pStyle w:val="Title12"/>
        <w:spacing w:before="60" w:after="60"/>
        <w:ind w:left="0" w:firstLine="0"/>
        <w:rPr>
          <w:noProof/>
          <w:sz w:val="16"/>
          <w:szCs w:val="16"/>
        </w:rPr>
      </w:pPr>
    </w:p>
    <w:p>
      <w:pPr>
        <w:pStyle w:val="Title12"/>
        <w:spacing w:before="60" w:after="60"/>
        <w:ind w:left="0" w:firstLine="0"/>
        <w:rPr>
          <w:b w:val="0"/>
          <w:noProof/>
          <w:sz w:val="16"/>
          <w:szCs w:val="16"/>
        </w:rPr>
      </w:pPr>
      <w:r>
        <w:rPr>
          <w:b w:val="0"/>
          <w:noProof/>
          <w:sz w:val="16"/>
          <w:szCs w:val="16"/>
        </w:rPr>
        <w:t>EIB rizikos valdymo direktoratas nepriklausomai nustato, įvertina, stebi ir praneša apie Priemonei kylančią riziką. Remiantis pareigų atskyrimą užtikrinančia sistema, rizikos valdymo direktoratas yra nepriklausomas nuo veiklos padalinio. EIB atveju Rizikos valdymo padalinio generalinis direktorius teikia ataskaitas rizikos klausimais paskirtajam už rizikos valdymą atsakingam pirmininko pavaduotojui. Paskirtasis pirmininko pavaduotojas taip pat atsakingas už rizikos ataskaitų teikimo EIB valdymo komitetui ir direktorių valdybai priežiūrą.</w:t>
      </w:r>
    </w:p>
    <w:p>
      <w:pPr>
        <w:pStyle w:val="Normal78"/>
        <w:tabs>
          <w:tab w:val="left" w:pos="1065"/>
        </w:tabs>
        <w:spacing w:before="60" w:after="60"/>
        <w:jc w:val="both"/>
        <w:rPr>
          <w:rFonts w:ascii="Arial" w:hAnsi="Arial" w:cs="Arial"/>
          <w:iCs/>
          <w:noProof/>
          <w:sz w:val="16"/>
          <w:szCs w:val="16"/>
        </w:rPr>
      </w:pPr>
      <w:r>
        <w:rPr>
          <w:noProof/>
        </w:rPr>
        <w:t xml:space="preserve"> </w:t>
      </w:r>
    </w:p>
    <w:p>
      <w:pPr>
        <w:pStyle w:val="Title111"/>
        <w:numPr>
          <w:ilvl w:val="1"/>
          <w:numId w:val="57"/>
        </w:numPr>
        <w:spacing w:before="60"/>
        <w:ind w:left="357" w:hanging="357"/>
        <w:rPr>
          <w:b/>
          <w:noProof/>
          <w:sz w:val="16"/>
          <w:szCs w:val="16"/>
        </w:rPr>
      </w:pPr>
      <w:r>
        <w:rPr>
          <w:b/>
          <w:noProof/>
          <w:sz w:val="16"/>
          <w:szCs w:val="16"/>
        </w:rPr>
        <w:t>Kredito rizika</w:t>
      </w:r>
    </w:p>
    <w:p>
      <w:pPr>
        <w:pStyle w:val="Title112"/>
        <w:spacing w:after="60"/>
        <w:ind w:left="0" w:firstLine="0"/>
        <w:rPr>
          <w:noProof/>
          <w:sz w:val="16"/>
          <w:szCs w:val="16"/>
        </w:rPr>
      </w:pPr>
    </w:p>
    <w:p>
      <w:pPr>
        <w:pStyle w:val="Normal79"/>
        <w:spacing w:before="60" w:after="60"/>
        <w:jc w:val="both"/>
        <w:rPr>
          <w:rFonts w:ascii="Arial" w:hAnsi="Arial"/>
          <w:noProof/>
          <w:sz w:val="16"/>
          <w:szCs w:val="16"/>
        </w:rPr>
      </w:pPr>
      <w:r>
        <w:rPr>
          <w:rFonts w:ascii="Arial" w:hAnsi="Arial"/>
          <w:noProof/>
          <w:sz w:val="16"/>
          <w:szCs w:val="16"/>
        </w:rPr>
        <w:t>Kredito rizika – potencialūs nuostoliai, kurie gali būti patirti dėl to, kad klientas arba kita sandorio šalis nevykdo įsipareigojimų, ši rizika kreditui gali kilti įvairiais būdais, įskaitant atsiskaitymų riziką.</w:t>
      </w:r>
    </w:p>
    <w:p>
      <w:pPr>
        <w:pStyle w:val="Normal79"/>
        <w:spacing w:before="60" w:after="60"/>
        <w:jc w:val="both"/>
        <w:rPr>
          <w:rFonts w:ascii="Arial" w:hAnsi="Arial"/>
          <w:noProof/>
          <w:sz w:val="16"/>
          <w:szCs w:val="16"/>
        </w:rPr>
      </w:pPr>
    </w:p>
    <w:p>
      <w:pPr>
        <w:pStyle w:val="Title1110"/>
        <w:numPr>
          <w:ilvl w:val="0"/>
          <w:numId w:val="0"/>
        </w:numPr>
        <w:spacing w:before="60"/>
        <w:rPr>
          <w:b/>
          <w:noProof/>
          <w:sz w:val="16"/>
        </w:rPr>
      </w:pPr>
      <w:r>
        <w:rPr>
          <w:b/>
          <w:noProof/>
          <w:sz w:val="16"/>
        </w:rPr>
        <w:t>3.2.1.</w:t>
      </w:r>
      <w:r>
        <w:rPr>
          <w:b/>
          <w:noProof/>
          <w:sz w:val="16"/>
        </w:rPr>
        <w:tab/>
        <w:t>Kredito rizikos politika</w:t>
      </w:r>
    </w:p>
    <w:p>
      <w:pPr>
        <w:pStyle w:val="Normal79"/>
        <w:spacing w:after="60"/>
        <w:jc w:val="both"/>
        <w:rPr>
          <w:rFonts w:ascii="Arial" w:hAnsi="Arial"/>
          <w:noProof/>
          <w:sz w:val="16"/>
          <w:szCs w:val="16"/>
        </w:rPr>
      </w:pPr>
    </w:p>
    <w:p>
      <w:pPr>
        <w:pStyle w:val="Normal79"/>
        <w:autoSpaceDE w:val="0"/>
        <w:autoSpaceDN w:val="0"/>
        <w:adjustRightInd w:val="0"/>
        <w:spacing w:before="60" w:after="60"/>
        <w:jc w:val="both"/>
        <w:rPr>
          <w:rFonts w:ascii="Arial" w:hAnsi="Arial"/>
          <w:noProof/>
          <w:sz w:val="16"/>
          <w:szCs w:val="16"/>
        </w:rPr>
      </w:pPr>
      <w:r>
        <w:rPr>
          <w:rFonts w:ascii="Arial" w:hAnsi="Arial"/>
          <w:noProof/>
          <w:sz w:val="16"/>
          <w:szCs w:val="16"/>
        </w:rPr>
        <w:t>Vykdydamas paskolos sandorio šalių kredito analizę, EIB įvertina kredito riziką ir tikėtinus nuostolius, siekdamas kiekybiškai išreikšti riziką ir ją įkainoti. EIB parengė vidaus reitingo metodiką, skirtą nustatyti su savo kreditais susijusių sandorio šalių (skolininkų ar garantų) vidaus reitingus. Metodika grindžiama vertinimo lapų, parengtų specialiai kiekvienai svarbiai kredito sandorio šaliai (pvz., bendrovėms, bankams, viešojo sektoriaus subjektams ir kt.), sistema. Atsižvelgiant į geriausią bankininkystės praktiką ir Bazelio tarptautinio susitarimo dėl kapitalo („Bazelis II“) principus, visos tam tikro sandorio kredito profiliui svarbios sandorio šalys klasifikuojamos pagal vidaus reitingo kategorijas, taikant tam tikros rūšies sandorio šaliai skirtą vidaus reitingo metodiką. Atlikus išsamią sandorio šalies verslo ir finansinės rizikos profilio analizę ir jos valstybės rizikos analizę, kiekvienai sandorio šaliai priskiriamas vidaus reitingas, kuris atspindi su jos užsienio valiutos reitingu susijusių įsipareigojimų neįvykdymo tikimybe.</w:t>
      </w:r>
    </w:p>
    <w:p>
      <w:pPr>
        <w:pStyle w:val="Normal79"/>
        <w:spacing w:before="60" w:after="60"/>
        <w:jc w:val="both"/>
        <w:rPr>
          <w:rFonts w:ascii="Arial" w:hAnsi="Arial"/>
          <w:noProof/>
          <w:sz w:val="16"/>
          <w:szCs w:val="16"/>
        </w:rPr>
      </w:pPr>
    </w:p>
    <w:p>
      <w:pPr>
        <w:pStyle w:val="Normal79"/>
        <w:autoSpaceDE w:val="0"/>
        <w:autoSpaceDN w:val="0"/>
        <w:adjustRightInd w:val="0"/>
        <w:spacing w:before="60" w:after="60"/>
        <w:jc w:val="both"/>
        <w:rPr>
          <w:rFonts w:ascii="Arial" w:hAnsi="Arial"/>
          <w:noProof/>
          <w:sz w:val="16"/>
          <w:szCs w:val="16"/>
        </w:rPr>
      </w:pPr>
      <w:r>
        <w:rPr>
          <w:rFonts w:ascii="Arial" w:hAnsi="Arial"/>
          <w:noProof/>
          <w:sz w:val="16"/>
          <w:szCs w:val="16"/>
        </w:rPr>
        <w:t>Atliekant projekto finansų ir kitų struktūrinių riboto naudojimo operacijų kredito vertinimą, taikomos atitinkamos sektoriaus kredito rizikos priemonės, daugiausia orientuotos į pinigų srautų buvimą ir gebėjimą vykdyti skolinius įsipareigojimus. Šios priemonės apima projekto sutarties pagrindo ir sandorio šalies analizę, taip pat pinigų srautų modeliavimą. Panašiai kaip bendrovių ir finansų įstaigų atveju, kiekvienam projektui priskiriamas vidaus rizikos reitingas.</w:t>
      </w:r>
    </w:p>
    <w:p>
      <w:pPr>
        <w:pStyle w:val="Normal79"/>
        <w:autoSpaceDE w:val="0"/>
        <w:autoSpaceDN w:val="0"/>
        <w:adjustRightInd w:val="0"/>
        <w:spacing w:before="60" w:after="60"/>
        <w:jc w:val="both"/>
        <w:rPr>
          <w:rFonts w:ascii="Arial" w:hAnsi="Arial"/>
          <w:noProof/>
          <w:sz w:val="16"/>
          <w:szCs w:val="16"/>
        </w:rPr>
      </w:pPr>
    </w:p>
    <w:p>
      <w:pPr>
        <w:pStyle w:val="Normal79"/>
        <w:autoSpaceDE w:val="0"/>
        <w:autoSpaceDN w:val="0"/>
        <w:adjustRightInd w:val="0"/>
        <w:spacing w:before="60" w:after="60"/>
        <w:jc w:val="both"/>
        <w:rPr>
          <w:rFonts w:ascii="Arial" w:hAnsi="Arial"/>
          <w:noProof/>
          <w:sz w:val="16"/>
          <w:szCs w:val="16"/>
        </w:rPr>
      </w:pPr>
      <w:r>
        <w:rPr>
          <w:rFonts w:ascii="Arial" w:hAnsi="Arial"/>
          <w:noProof/>
          <w:sz w:val="16"/>
          <w:szCs w:val="16"/>
        </w:rPr>
        <w:t xml:space="preserve">Visi vidaus reitingai paskolos laikotarpiu stebimi ir reguliariai atnaujinami. </w:t>
      </w:r>
    </w:p>
    <w:p>
      <w:pPr>
        <w:pStyle w:val="Normal79"/>
        <w:autoSpaceDE w:val="0"/>
        <w:autoSpaceDN w:val="0"/>
        <w:adjustRightInd w:val="0"/>
        <w:spacing w:before="60" w:after="60"/>
        <w:jc w:val="both"/>
        <w:rPr>
          <w:rFonts w:ascii="Arial" w:hAnsi="Arial"/>
          <w:noProof/>
          <w:sz w:val="16"/>
          <w:szCs w:val="16"/>
        </w:rPr>
      </w:pPr>
    </w:p>
    <w:p>
      <w:pPr>
        <w:pStyle w:val="Normal79"/>
        <w:autoSpaceDE w:val="0"/>
        <w:autoSpaceDN w:val="0"/>
        <w:adjustRightInd w:val="0"/>
        <w:spacing w:before="60" w:after="60"/>
        <w:jc w:val="both"/>
        <w:rPr>
          <w:rFonts w:ascii="Arial" w:hAnsi="Arial"/>
          <w:noProof/>
          <w:sz w:val="16"/>
          <w:szCs w:val="16"/>
        </w:rPr>
      </w:pPr>
      <w:r>
        <w:rPr>
          <w:rFonts w:ascii="Arial" w:hAnsi="Arial"/>
          <w:noProof/>
          <w:sz w:val="16"/>
          <w:szCs w:val="16"/>
        </w:rPr>
        <w:t>Visoms ne valstybės atliekamoms (arba ne valstybės garantuotoms ar panašioms) operacijoms taikomas tam tikras sandorio lygmuo ir sandorio šalies dydžio ribos. Sandorio šalies apribojimai nustatomi atsižvelgiant į konsoliduotosios grupės rizikos lygmenį, jei taikoma. Šie apribojimai paprastai taikomi, pvz., sandorio šalių nuosavų lėšų dydžiui.</w:t>
      </w:r>
    </w:p>
    <w:p>
      <w:pPr>
        <w:pStyle w:val="Normal79"/>
        <w:autoSpaceDE w:val="0"/>
        <w:autoSpaceDN w:val="0"/>
        <w:adjustRightInd w:val="0"/>
        <w:spacing w:before="60" w:after="60"/>
        <w:jc w:val="both"/>
        <w:rPr>
          <w:rFonts w:ascii="Arial" w:hAnsi="Arial" w:cs="Arial"/>
          <w:iCs/>
          <w:noProof/>
          <w:sz w:val="16"/>
          <w:szCs w:val="16"/>
        </w:rPr>
      </w:pPr>
    </w:p>
    <w:p>
      <w:pPr>
        <w:pStyle w:val="Normal79"/>
        <w:autoSpaceDE w:val="0"/>
        <w:autoSpaceDN w:val="0"/>
        <w:adjustRightInd w:val="0"/>
        <w:spacing w:before="60" w:after="60"/>
        <w:jc w:val="both"/>
        <w:rPr>
          <w:rFonts w:ascii="Arial" w:hAnsi="Arial" w:cs="Arial"/>
          <w:iCs/>
          <w:noProof/>
          <w:sz w:val="16"/>
          <w:szCs w:val="16"/>
        </w:rPr>
      </w:pPr>
      <w:r>
        <w:rPr>
          <w:rFonts w:ascii="Arial" w:hAnsi="Arial"/>
          <w:iCs/>
          <w:noProof/>
          <w:sz w:val="16"/>
          <w:szCs w:val="16"/>
        </w:rPr>
        <w:t>Siekdamas sumažinti kredito riziką EIB, kai tinkama ir atsižvelgdamas į kiekvieną atskirą atvejį, įvairiai didina kredito vertę, pvz.:</w:t>
      </w:r>
    </w:p>
    <w:p>
      <w:pPr>
        <w:pStyle w:val="Normal79"/>
        <w:autoSpaceDE w:val="0"/>
        <w:autoSpaceDN w:val="0"/>
        <w:adjustRightInd w:val="0"/>
        <w:spacing w:before="60" w:after="60"/>
        <w:jc w:val="both"/>
        <w:rPr>
          <w:rFonts w:ascii="Arial" w:hAnsi="Arial" w:cs="Arial"/>
          <w:iCs/>
          <w:noProof/>
          <w:sz w:val="16"/>
          <w:szCs w:val="16"/>
        </w:rPr>
      </w:pPr>
    </w:p>
    <w:p>
      <w:pPr>
        <w:pStyle w:val="Normal79"/>
        <w:numPr>
          <w:ilvl w:val="0"/>
          <w:numId w:val="58"/>
        </w:numPr>
        <w:tabs>
          <w:tab w:val="left" w:pos="1065"/>
        </w:tabs>
        <w:autoSpaceDE w:val="0"/>
        <w:autoSpaceDN w:val="0"/>
        <w:adjustRightInd w:val="0"/>
        <w:spacing w:before="60" w:after="60"/>
        <w:rPr>
          <w:rFonts w:ascii="Arial" w:hAnsi="Arial" w:cs="Arial"/>
          <w:iCs/>
          <w:noProof/>
          <w:sz w:val="16"/>
          <w:szCs w:val="16"/>
        </w:rPr>
      </w:pPr>
      <w:r>
        <w:rPr>
          <w:rFonts w:ascii="Arial" w:hAnsi="Arial"/>
          <w:iCs/>
          <w:noProof/>
          <w:sz w:val="16"/>
          <w:szCs w:val="16"/>
        </w:rPr>
        <w:t>taikomos su sandorio šalimi arba projektu susijusios garantijos (pvz., akcijų užstatas; turto užstatas; teisių suteikimas; sąskaitų užstatas) arba (ir)</w:t>
      </w:r>
    </w:p>
    <w:p>
      <w:pPr>
        <w:pStyle w:val="Normal79"/>
        <w:numPr>
          <w:ilvl w:val="0"/>
          <w:numId w:val="58"/>
        </w:numPr>
        <w:tabs>
          <w:tab w:val="left" w:pos="1065"/>
        </w:tabs>
        <w:autoSpaceDE w:val="0"/>
        <w:autoSpaceDN w:val="0"/>
        <w:adjustRightInd w:val="0"/>
        <w:spacing w:before="60" w:after="60"/>
        <w:rPr>
          <w:rFonts w:ascii="Arial" w:hAnsi="Arial" w:cs="Arial"/>
          <w:iCs/>
          <w:noProof/>
          <w:sz w:val="16"/>
          <w:szCs w:val="16"/>
        </w:rPr>
      </w:pPr>
      <w:r>
        <w:rPr>
          <w:rFonts w:ascii="Arial" w:hAnsi="Arial"/>
          <w:iCs/>
          <w:noProof/>
          <w:sz w:val="16"/>
          <w:szCs w:val="16"/>
        </w:rPr>
        <w:t>garantijos, kurias paprastai teikia finansuojamo projekto rėmėjas (pvz., užbaigimo garantijos, garantijos pagal pirmą pareikalavimą), arba banko garantijos.</w:t>
      </w:r>
    </w:p>
    <w:p>
      <w:pPr>
        <w:pStyle w:val="Normal79"/>
        <w:tabs>
          <w:tab w:val="left" w:pos="1065"/>
        </w:tabs>
        <w:spacing w:before="60" w:after="60"/>
        <w:jc w:val="both"/>
        <w:rPr>
          <w:rFonts w:ascii="Arial" w:hAnsi="Arial" w:cs="Arial"/>
          <w:iCs/>
          <w:noProof/>
          <w:sz w:val="16"/>
          <w:szCs w:val="16"/>
        </w:rPr>
      </w:pPr>
    </w:p>
    <w:p>
      <w:pPr>
        <w:pStyle w:val="Normal79"/>
        <w:tabs>
          <w:tab w:val="left" w:pos="1065"/>
        </w:tabs>
        <w:spacing w:before="60" w:after="60"/>
        <w:jc w:val="both"/>
        <w:rPr>
          <w:rFonts w:ascii="Arial" w:hAnsi="Arial" w:cs="Arial"/>
          <w:iCs/>
          <w:noProof/>
          <w:sz w:val="16"/>
          <w:szCs w:val="16"/>
        </w:rPr>
      </w:pPr>
      <w:r>
        <w:rPr>
          <w:rFonts w:ascii="Arial" w:hAnsi="Arial"/>
          <w:iCs/>
          <w:noProof/>
          <w:sz w:val="16"/>
          <w:szCs w:val="16"/>
        </w:rPr>
        <w:t>Taikant Priemonę nesinaudojama jokiomis kredito išvestinėmis finansinėmis priemonėmis kredito rizikai sumažinti.</w:t>
      </w:r>
    </w:p>
    <w:p>
      <w:pPr>
        <w:pStyle w:val="Title321"/>
        <w:pageBreakBefore/>
        <w:spacing w:before="0" w:after="0"/>
        <w:ind w:hanging="822"/>
        <w:rPr>
          <w:noProof/>
          <w:sz w:val="16"/>
          <w:szCs w:val="16"/>
        </w:rPr>
      </w:pPr>
      <w:r>
        <w:rPr>
          <w:noProof/>
          <w:sz w:val="16"/>
          <w:szCs w:val="16"/>
        </w:rPr>
        <w:t>Didžiausia kredito rizika, neatsižvelgiant į jokį užstatą ir kitokį kredito vertės didinimą</w:t>
      </w:r>
    </w:p>
    <w:p>
      <w:pPr>
        <w:pStyle w:val="Notes7"/>
        <w:tabs>
          <w:tab w:val="clear" w:pos="4320"/>
          <w:tab w:val="clear" w:pos="8640"/>
          <w:tab w:val="right" w:pos="-2700"/>
        </w:tabs>
        <w:spacing w:before="0" w:after="60"/>
        <w:ind w:left="431" w:hanging="431"/>
        <w:rPr>
          <w:noProof/>
          <w:sz w:val="16"/>
          <w:szCs w:val="16"/>
        </w:rPr>
      </w:pPr>
    </w:p>
    <w:p>
      <w:pPr>
        <w:pStyle w:val="Notes7"/>
        <w:tabs>
          <w:tab w:val="clear" w:pos="4320"/>
          <w:tab w:val="clear" w:pos="8640"/>
          <w:tab w:val="right" w:pos="-2700"/>
          <w:tab w:val="right" w:pos="720"/>
        </w:tabs>
        <w:spacing w:before="60" w:after="60"/>
        <w:ind w:left="0" w:firstLine="0"/>
        <w:rPr>
          <w:b w:val="0"/>
          <w:iCs/>
          <w:noProof/>
          <w:sz w:val="16"/>
          <w:szCs w:val="16"/>
        </w:rPr>
      </w:pPr>
      <w:r>
        <w:rPr>
          <w:b w:val="0"/>
          <w:noProof/>
          <w:sz w:val="16"/>
          <w:szCs w:val="16"/>
        </w:rPr>
        <w:t>Toliau pateikiamoje lentelėje nurodoma didžiausia finansinės būklės ataskaitos elementų, įskaitant išvestines finansines priemones, kredito rizika. Pateikta bendroji didžiausia rizika, neatsižvelgiant į sumažinimo poveikį taikant užstatą.</w:t>
      </w:r>
    </w:p>
    <w:p>
      <w:pPr>
        <w:pStyle w:val="Normal80"/>
        <w:spacing w:before="60" w:after="60"/>
        <w:jc w:val="both"/>
        <w:rPr>
          <w:rFonts w:ascii="Arial" w:hAnsi="Arial"/>
          <w:noProof/>
          <w:sz w:val="16"/>
          <w:szCs w:val="16"/>
        </w:rPr>
      </w:pPr>
      <w:r>
        <w:rPr>
          <w:noProof/>
        </w:rPr>
        <w:t xml:space="preserve"> </w:t>
      </w:r>
    </w:p>
    <w:tbl>
      <w:tblPr>
        <w:tblStyle w:val="CDMRange11"/>
        <w:tblW w:w="9975" w:type="dxa"/>
        <w:tblLayout w:type="fixed"/>
        <w:tblLook w:val="0600" w:firstRow="0" w:lastRow="0" w:firstColumn="0" w:lastColumn="0" w:noHBand="1" w:noVBand="1"/>
      </w:tblPr>
      <w:tblGrid>
        <w:gridCol w:w="6975"/>
        <w:gridCol w:w="1500"/>
        <w:gridCol w:w="1500"/>
      </w:tblGrid>
      <w:tr>
        <w:trPr>
          <w:trHeight w:hRule="exact" w:val="250"/>
        </w:trPr>
        <w:tc>
          <w:tcPr>
            <w:tcW w:w="6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1"/>
              <w:rPr>
                <w:rFonts w:ascii="Arial" w:eastAsia="Arial" w:hAnsi="Arial" w:cs="Arial"/>
                <w:b/>
                <w:noProof/>
                <w:color w:val="000000"/>
                <w:sz w:val="16"/>
              </w:rPr>
            </w:pPr>
            <w:r>
              <w:rPr>
                <w:rFonts w:ascii="Arial" w:hAnsi="Arial"/>
                <w:b/>
                <w:noProof/>
                <w:color w:val="000000"/>
                <w:sz w:val="16"/>
              </w:rPr>
              <w:t>Didžiausia rizika (tūkst. EUR)</w:t>
            </w:r>
          </w:p>
        </w:tc>
        <w:tc>
          <w:tcPr>
            <w:tcW w:w="15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2019 12 31</w:t>
            </w:r>
          </w:p>
        </w:tc>
        <w:tc>
          <w:tcPr>
            <w:tcW w:w="15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2018 12 31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69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b/>
                <w:noProof/>
                <w:color w:val="000000"/>
                <w:sz w:val="16"/>
              </w:rPr>
            </w:pPr>
            <w:r>
              <w:rPr>
                <w:rFonts w:ascii="Arial" w:hAnsi="Arial"/>
                <w:b/>
                <w:noProof/>
                <w:color w:val="000000"/>
                <w:sz w:val="16"/>
              </w:rPr>
              <w:t>TURTAS</w:t>
            </w:r>
          </w:p>
        </w:tc>
        <w:tc>
          <w:tcPr>
            <w:tcW w:w="1500" w:type="dxa"/>
            <w:tcBorders>
              <w:top w:val="single" w:sz="4" w:space="0" w:color="000000"/>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Pinigai ir pinigų ekvivalentai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837 777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573 708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Iš įnašų mokėtojų gautinos sumos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86 330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100 000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Iždo finansinis turtas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330 587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335 140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Išvestinės finansinės priemonės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14 184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9 873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Paskolos ir išankstiniai mokėjimai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1 518 675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1 540 991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Kitas turtas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 xml:space="preserve">-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pStyle w:val="Normal81"/>
              <w:rPr>
                <w:rFonts w:ascii="Arial" w:eastAsia="Arial" w:hAnsi="Arial" w:cs="Arial"/>
                <w:b/>
                <w:noProof/>
                <w:color w:val="000000"/>
                <w:sz w:val="16"/>
              </w:rPr>
            </w:pPr>
            <w:r>
              <w:rPr>
                <w:rFonts w:ascii="Arial" w:hAnsi="Arial"/>
                <w:b/>
                <w:noProof/>
                <w:color w:val="000000"/>
                <w:sz w:val="16"/>
              </w:rPr>
              <w:t xml:space="preserve">Iš viso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2 787 553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2 559 883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pStyle w:val="Normal81"/>
              <w:rPr>
                <w:rFonts w:ascii="Arial" w:eastAsia="Arial" w:hAnsi="Arial" w:cs="Arial"/>
                <w:b/>
                <w:noProof/>
                <w:color w:val="000000"/>
                <w:sz w:val="16"/>
              </w:rPr>
            </w:pPr>
            <w:r>
              <w:rPr>
                <w:rFonts w:ascii="Arial" w:hAnsi="Arial"/>
                <w:b/>
                <w:noProof/>
                <w:color w:val="000000"/>
                <w:sz w:val="16"/>
              </w:rPr>
              <w:t>Atidėjiniai kreditavimo įsipareigojimams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−37 269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−23 822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975" w:type="dxa"/>
            <w:tcBorders>
              <w:top w:val="nil"/>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b/>
                <w:noProof/>
                <w:color w:val="000000"/>
                <w:sz w:val="16"/>
              </w:rPr>
            </w:pPr>
            <w:r>
              <w:rPr>
                <w:rFonts w:ascii="Arial" w:hAnsi="Arial"/>
                <w:b/>
                <w:noProof/>
                <w:color w:val="000000"/>
                <w:sz w:val="16"/>
              </w:rPr>
              <w:t>NEBALANSINIAI STRAIPSNIAI</w:t>
            </w: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NEBALANSINIAI STRAIPSNIAI</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Neapibrėžtieji įsipareigojimai</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 Išduotos garantijos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200 013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2 800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Įsipareigojimai</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 Neišmokėtos paskolos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1 357 320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1 283 932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 Neišduotos garantijos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1 359 818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1 553 668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pStyle w:val="Normal81"/>
              <w:rPr>
                <w:rFonts w:ascii="Arial" w:eastAsia="Arial" w:hAnsi="Arial" w:cs="Arial"/>
                <w:b/>
                <w:noProof/>
                <w:color w:val="000000"/>
                <w:sz w:val="16"/>
              </w:rPr>
            </w:pPr>
            <w:r>
              <w:rPr>
                <w:rFonts w:ascii="Arial" w:hAnsi="Arial"/>
                <w:b/>
                <w:noProof/>
                <w:color w:val="000000"/>
                <w:sz w:val="16"/>
              </w:rPr>
              <w:t>Nebalansiniai straipsniai, iš viso</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2 917 151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2 840 400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pStyle w:val="Normal81"/>
              <w:rPr>
                <w:rFonts w:ascii="Arial" w:eastAsia="Arial" w:hAnsi="Arial" w:cs="Arial"/>
                <w:b/>
                <w:noProof/>
                <w:color w:val="000000"/>
                <w:sz w:val="16"/>
              </w:rPr>
            </w:pPr>
            <w:r>
              <w:rPr>
                <w:rFonts w:ascii="Arial" w:hAnsi="Arial"/>
                <w:b/>
                <w:noProof/>
                <w:color w:val="000000"/>
                <w:sz w:val="16"/>
              </w:rPr>
              <w:t>Kredito rizika, iš viso</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5 667 435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5 376 461</w:t>
            </w:r>
          </w:p>
        </w:tc>
      </w:tr>
    </w:tbl>
    <w:p>
      <w:pPr>
        <w:pStyle w:val="Title321"/>
        <w:spacing w:before="360" w:after="0"/>
        <w:ind w:hanging="822"/>
        <w:rPr>
          <w:noProof/>
          <w:sz w:val="16"/>
          <w:szCs w:val="16"/>
        </w:rPr>
      </w:pPr>
      <w:r>
        <w:rPr>
          <w:noProof/>
          <w:sz w:val="16"/>
          <w:szCs w:val="16"/>
        </w:rPr>
        <w:t>Paskolų ir išankstinių mokėjimų kredito rizika</w:t>
      </w:r>
    </w:p>
    <w:p>
      <w:pPr>
        <w:pStyle w:val="Notes8"/>
        <w:tabs>
          <w:tab w:val="clear" w:pos="4320"/>
          <w:tab w:val="clear" w:pos="8640"/>
          <w:tab w:val="right" w:pos="-2700"/>
          <w:tab w:val="right" w:pos="720"/>
        </w:tabs>
        <w:spacing w:before="0" w:after="60"/>
        <w:ind w:left="0" w:firstLine="0"/>
        <w:rPr>
          <w:bCs/>
          <w:noProof/>
          <w:sz w:val="16"/>
          <w:szCs w:val="16"/>
        </w:rPr>
      </w:pPr>
    </w:p>
    <w:p>
      <w:pPr>
        <w:pStyle w:val="Notes8"/>
        <w:numPr>
          <w:ilvl w:val="3"/>
          <w:numId w:val="62"/>
        </w:numPr>
        <w:tabs>
          <w:tab w:val="clear" w:pos="4320"/>
          <w:tab w:val="clear" w:pos="8640"/>
          <w:tab w:val="right" w:pos="-2700"/>
          <w:tab w:val="right" w:pos="720"/>
        </w:tabs>
        <w:spacing w:before="60" w:after="0"/>
        <w:ind w:left="794" w:hanging="794"/>
        <w:rPr>
          <w:bCs/>
          <w:noProof/>
          <w:sz w:val="16"/>
          <w:szCs w:val="16"/>
        </w:rPr>
      </w:pPr>
      <w:r>
        <w:rPr>
          <w:bCs/>
          <w:noProof/>
          <w:sz w:val="16"/>
          <w:szCs w:val="16"/>
        </w:rPr>
        <w:t>Paskolų ir išankstinių mokėjimų kredito rizikos nustatymas</w:t>
      </w:r>
    </w:p>
    <w:p>
      <w:pPr>
        <w:pStyle w:val="Notes8"/>
        <w:tabs>
          <w:tab w:val="clear" w:pos="4320"/>
          <w:tab w:val="clear" w:pos="8640"/>
          <w:tab w:val="right" w:pos="-2700"/>
          <w:tab w:val="right" w:pos="720"/>
        </w:tabs>
        <w:spacing w:before="0" w:after="60"/>
        <w:ind w:left="0" w:firstLine="0"/>
        <w:rPr>
          <w:b w:val="0"/>
          <w:noProof/>
          <w:sz w:val="16"/>
          <w:szCs w:val="16"/>
        </w:rPr>
      </w:pPr>
    </w:p>
    <w:p>
      <w:pPr>
        <w:pStyle w:val="FootnoteText0"/>
        <w:jc w:val="both"/>
        <w:rPr>
          <w:rFonts w:ascii="Arial" w:hAnsi="Arial"/>
          <w:noProof/>
          <w:sz w:val="16"/>
          <w:szCs w:val="16"/>
        </w:rPr>
      </w:pPr>
      <w:r>
        <w:rPr>
          <w:rFonts w:ascii="Arial" w:hAnsi="Arial"/>
          <w:noProof/>
          <w:sz w:val="16"/>
          <w:szCs w:val="16"/>
        </w:rPr>
        <w:t>Pagal Priemonę prisiimtų paskolų ir avansų arba garantijos atveju atliekamas išsamus rizikos vertinimas ir kiekybinis tikėtinų nuostolių įvertinimas, į kuriuos atsižvelgiama klasifikuojant paskolas. Pagal poveikio finansavimo priemonių paketą (apibūdintą 24 pastaboje) atliekamoms operacijoms, išskyrus per tarpininkus teikiamas paskolas, taikoma kita procedūra, o ne kredito rizikos politikos gairės. Paskolų klasifikacija nustatyta remiantis visuotinai priimtais kriterijais, grindžiamais skolininko kokybe, paskolos terminu, garantija ir, prireikus, garantu.</w:t>
      </w:r>
    </w:p>
    <w:p>
      <w:pPr>
        <w:pStyle w:val="Normal82"/>
        <w:autoSpaceDE w:val="0"/>
        <w:autoSpaceDN w:val="0"/>
        <w:adjustRightInd w:val="0"/>
        <w:spacing w:before="60" w:after="60"/>
        <w:jc w:val="both"/>
        <w:rPr>
          <w:rFonts w:ascii="Arial" w:hAnsi="Arial"/>
          <w:noProof/>
          <w:sz w:val="16"/>
          <w:szCs w:val="16"/>
        </w:rPr>
      </w:pPr>
    </w:p>
    <w:p>
      <w:pPr>
        <w:pStyle w:val="Normal82"/>
        <w:autoSpaceDE w:val="0"/>
        <w:autoSpaceDN w:val="0"/>
        <w:adjustRightInd w:val="0"/>
        <w:spacing w:before="60" w:after="60"/>
        <w:jc w:val="both"/>
        <w:rPr>
          <w:rFonts w:ascii="Arial" w:hAnsi="Arial"/>
          <w:noProof/>
          <w:sz w:val="16"/>
          <w:szCs w:val="16"/>
        </w:rPr>
      </w:pPr>
      <w:r>
        <w:rPr>
          <w:rFonts w:ascii="Arial" w:hAnsi="Arial"/>
          <w:noProof/>
          <w:sz w:val="16"/>
          <w:szCs w:val="16"/>
        </w:rPr>
        <w:t>Paskolų klasifikavimo sistema apima metodikas, procesus, duomenų bazes ir IT sistemas, kuriomis atliekamas skolinimo operacijų kredito rizikos vertinimas ir kiekybinis tikėtinų nuostolių įvertinimas. Ja apibendrinama daug informacijos, siekiant nustatyti tinkamą paskolų kredito rizikos reitingą. Paskolų klasifikacija nurodo dabartinę apskaičiuotų tikėtinų nuostolių, kurie įvertinami atsižvelgiant į pagrindinių skolininkų įsipareigojimų nevykdymo tikimybę, riziką ir nuostolių dydį įsipareigojimų nevykdymo atveju, vertę. Paskolų klasifikacijos paskirtis:</w:t>
      </w:r>
    </w:p>
    <w:p>
      <w:pPr>
        <w:pStyle w:val="Normal82"/>
        <w:autoSpaceDE w:val="0"/>
        <w:autoSpaceDN w:val="0"/>
        <w:adjustRightInd w:val="0"/>
        <w:spacing w:before="60" w:after="60"/>
        <w:jc w:val="both"/>
        <w:rPr>
          <w:rFonts w:ascii="Arial" w:hAnsi="Arial"/>
          <w:noProof/>
          <w:sz w:val="16"/>
          <w:szCs w:val="16"/>
        </w:rPr>
      </w:pPr>
    </w:p>
    <w:p>
      <w:pPr>
        <w:pStyle w:val="Normal82"/>
        <w:numPr>
          <w:ilvl w:val="0"/>
          <w:numId w:val="63"/>
        </w:numPr>
        <w:autoSpaceDE w:val="0"/>
        <w:autoSpaceDN w:val="0"/>
        <w:adjustRightInd w:val="0"/>
        <w:spacing w:before="60" w:after="60"/>
        <w:jc w:val="both"/>
        <w:rPr>
          <w:rFonts w:ascii="Arial" w:hAnsi="Arial"/>
          <w:noProof/>
          <w:sz w:val="16"/>
          <w:szCs w:val="16"/>
        </w:rPr>
      </w:pPr>
      <w:r>
        <w:rPr>
          <w:rFonts w:ascii="Arial" w:hAnsi="Arial"/>
          <w:noProof/>
          <w:sz w:val="16"/>
          <w:szCs w:val="16"/>
        </w:rPr>
        <w:t>ji padeda tiksliau ir kiekybiškiau įvertinti skolinimo riziką;</w:t>
      </w:r>
    </w:p>
    <w:p>
      <w:pPr>
        <w:pStyle w:val="Normal82"/>
        <w:numPr>
          <w:ilvl w:val="0"/>
          <w:numId w:val="63"/>
        </w:numPr>
        <w:autoSpaceDE w:val="0"/>
        <w:autoSpaceDN w:val="0"/>
        <w:adjustRightInd w:val="0"/>
        <w:spacing w:before="60" w:after="60"/>
        <w:jc w:val="both"/>
        <w:rPr>
          <w:rFonts w:ascii="Arial" w:hAnsi="Arial"/>
          <w:noProof/>
          <w:sz w:val="16"/>
          <w:szCs w:val="16"/>
        </w:rPr>
      </w:pPr>
      <w:r>
        <w:rPr>
          <w:rFonts w:ascii="Arial" w:hAnsi="Arial"/>
          <w:noProof/>
          <w:sz w:val="16"/>
          <w:szCs w:val="16"/>
        </w:rPr>
        <w:t>padeda paskirstyti stebėseną;</w:t>
      </w:r>
    </w:p>
    <w:p>
      <w:pPr>
        <w:pStyle w:val="Normal82"/>
        <w:numPr>
          <w:ilvl w:val="0"/>
          <w:numId w:val="63"/>
        </w:numPr>
        <w:autoSpaceDE w:val="0"/>
        <w:autoSpaceDN w:val="0"/>
        <w:adjustRightInd w:val="0"/>
        <w:spacing w:before="60" w:after="60"/>
        <w:jc w:val="both"/>
        <w:rPr>
          <w:rFonts w:ascii="Arial" w:hAnsi="Arial"/>
          <w:noProof/>
          <w:sz w:val="16"/>
          <w:szCs w:val="16"/>
        </w:rPr>
      </w:pPr>
      <w:r>
        <w:rPr>
          <w:rFonts w:ascii="Arial" w:hAnsi="Arial"/>
          <w:noProof/>
          <w:sz w:val="16"/>
          <w:szCs w:val="16"/>
        </w:rPr>
        <w:t>ja apibūdinama paskolos portfelio kokybė bet kuriuo konkrečiu metu;</w:t>
      </w:r>
    </w:p>
    <w:p>
      <w:pPr>
        <w:pStyle w:val="Normal82"/>
        <w:numPr>
          <w:ilvl w:val="0"/>
          <w:numId w:val="63"/>
        </w:numPr>
        <w:autoSpaceDE w:val="0"/>
        <w:autoSpaceDN w:val="0"/>
        <w:adjustRightInd w:val="0"/>
        <w:spacing w:before="60" w:after="60"/>
        <w:jc w:val="both"/>
        <w:rPr>
          <w:rFonts w:ascii="Arial" w:hAnsi="Arial"/>
          <w:noProof/>
          <w:sz w:val="16"/>
          <w:szCs w:val="16"/>
        </w:rPr>
      </w:pPr>
      <w:r>
        <w:rPr>
          <w:rFonts w:ascii="Arial" w:hAnsi="Arial"/>
          <w:noProof/>
          <w:sz w:val="16"/>
          <w:szCs w:val="16"/>
        </w:rPr>
        <w:t>ji yra vienas iš rodiklių, į kuriuos atsižvelgiama priimant rizikos įvertinimo sprendimus, grindžiamus tikėtinais nuostoliais.</w:t>
      </w:r>
    </w:p>
    <w:p>
      <w:pPr>
        <w:pStyle w:val="Normal82"/>
        <w:rPr>
          <w:rFonts w:ascii="Arial" w:hAnsi="Arial"/>
          <w:noProof/>
          <w:sz w:val="16"/>
          <w:szCs w:val="16"/>
        </w:rPr>
      </w:pPr>
      <w:r>
        <w:rPr>
          <w:noProof/>
        </w:rPr>
        <w:br w:type="page"/>
      </w:r>
    </w:p>
    <w:p>
      <w:pPr>
        <w:pStyle w:val="Normal82"/>
        <w:autoSpaceDE w:val="0"/>
        <w:autoSpaceDN w:val="0"/>
        <w:adjustRightInd w:val="0"/>
        <w:spacing w:before="60" w:after="60"/>
        <w:jc w:val="both"/>
        <w:rPr>
          <w:rFonts w:ascii="Arial" w:hAnsi="Arial"/>
          <w:noProof/>
          <w:sz w:val="16"/>
          <w:szCs w:val="16"/>
        </w:rPr>
      </w:pPr>
      <w:r>
        <w:rPr>
          <w:rFonts w:ascii="Arial" w:hAnsi="Arial"/>
          <w:noProof/>
          <w:sz w:val="16"/>
          <w:szCs w:val="16"/>
        </w:rPr>
        <w:t>Klasifikuojant paskolas, vertinami tokie veiksniai:</w:t>
      </w:r>
    </w:p>
    <w:p>
      <w:pPr>
        <w:pStyle w:val="Normal82"/>
        <w:autoSpaceDE w:val="0"/>
        <w:autoSpaceDN w:val="0"/>
        <w:adjustRightInd w:val="0"/>
        <w:spacing w:before="60" w:after="60"/>
        <w:ind w:left="360"/>
        <w:jc w:val="both"/>
        <w:rPr>
          <w:rFonts w:ascii="Arial" w:hAnsi="Arial"/>
          <w:noProof/>
          <w:sz w:val="16"/>
          <w:szCs w:val="16"/>
        </w:rPr>
      </w:pPr>
    </w:p>
    <w:p>
      <w:pPr>
        <w:pStyle w:val="Listi0"/>
        <w:numPr>
          <w:ilvl w:val="0"/>
          <w:numId w:val="65"/>
        </w:numPr>
        <w:spacing w:before="60" w:after="60"/>
        <w:rPr>
          <w:sz w:val="16"/>
          <w:szCs w:val="16"/>
        </w:rPr>
      </w:pPr>
      <w:r>
        <w:rPr>
          <w:sz w:val="16"/>
          <w:szCs w:val="16"/>
        </w:rPr>
        <w:t>Skolininko kreditingumas. Rizikos valdymo padalinys nepriklausomai atlieka skolininkų apžvalgą ir, remdamasi vidaus metodika bei išorės duomenimis, įvertina jų kreditingumą. Remdamasis pasirinktu „Bazelis II“ pažangiuoju metodu, bankas parengė vidaus reitingo metodiką, skirtą skolininkų ir garantų vidaus reitingams nustatyti. Ji grindžiama vertinimo lapais, skirtais konkrečios rūšies sandorio šaliai.</w:t>
      </w:r>
    </w:p>
    <w:p>
      <w:pPr>
        <w:pStyle w:val="Normal82"/>
        <w:spacing w:before="60" w:after="60"/>
        <w:ind w:left="360"/>
        <w:rPr>
          <w:rFonts w:ascii="Arial" w:hAnsi="Arial"/>
          <w:noProof/>
          <w:sz w:val="16"/>
          <w:szCs w:val="16"/>
        </w:rPr>
      </w:pPr>
    </w:p>
    <w:p>
      <w:pPr>
        <w:pStyle w:val="Listi0"/>
        <w:numPr>
          <w:ilvl w:val="0"/>
          <w:numId w:val="65"/>
        </w:numPr>
        <w:spacing w:before="60" w:after="60"/>
        <w:rPr>
          <w:sz w:val="16"/>
          <w:szCs w:val="16"/>
        </w:rPr>
      </w:pPr>
      <w:r>
        <w:rPr>
          <w:sz w:val="16"/>
          <w:szCs w:val="16"/>
        </w:rPr>
        <w:t>Įsipareigojimų nevykdymo koreliacija. Ja kiekybiškai įvertinama galimybė, kad skolininkui ir garantui vienu metu kiltų finansinių sunkumų. Kuo didesnė skolininko ir garanto įsipareigojimų nevykdymo tikimybių koreliacija, tuo mažesnė garantijos vertė ir kartu tuo žemesnė (prastesnė) paskolos klasifikacija.</w:t>
      </w:r>
    </w:p>
    <w:p>
      <w:pPr>
        <w:pStyle w:val="Normal82"/>
        <w:spacing w:before="60" w:after="60"/>
        <w:ind w:left="360"/>
        <w:rPr>
          <w:noProof/>
          <w:sz w:val="16"/>
          <w:szCs w:val="16"/>
        </w:rPr>
      </w:pPr>
    </w:p>
    <w:p>
      <w:pPr>
        <w:pStyle w:val="Listi0"/>
        <w:numPr>
          <w:ilvl w:val="0"/>
          <w:numId w:val="65"/>
        </w:numPr>
        <w:spacing w:before="60" w:after="60"/>
        <w:rPr>
          <w:sz w:val="16"/>
          <w:szCs w:val="16"/>
        </w:rPr>
      </w:pPr>
      <w:r>
        <w:rPr>
          <w:sz w:val="16"/>
          <w:szCs w:val="16"/>
        </w:rPr>
        <w:t>Garantijos priemonių ir garantijų vertė. Ši vertė vertinama atsižvelgiant į garantijos pateikėjo kreditingumo ir taikytos priemonės derinį.</w:t>
      </w:r>
    </w:p>
    <w:p>
      <w:pPr>
        <w:pStyle w:val="Normal82"/>
        <w:spacing w:after="60"/>
        <w:ind w:left="357"/>
        <w:rPr>
          <w:rFonts w:ascii="Arial" w:hAnsi="Arial"/>
          <w:noProof/>
          <w:sz w:val="16"/>
        </w:rPr>
      </w:pPr>
    </w:p>
    <w:p>
      <w:pPr>
        <w:pStyle w:val="ListParagraph2"/>
        <w:numPr>
          <w:ilvl w:val="0"/>
          <w:numId w:val="65"/>
        </w:numPr>
        <w:rPr>
          <w:rFonts w:ascii="Arial" w:hAnsi="Arial" w:cs="Arial"/>
          <w:noProof/>
          <w:sz w:val="16"/>
          <w:szCs w:val="16"/>
        </w:rPr>
      </w:pPr>
      <w:r>
        <w:rPr>
          <w:rFonts w:ascii="Arial" w:hAnsi="Arial"/>
          <w:noProof/>
          <w:sz w:val="16"/>
          <w:szCs w:val="16"/>
        </w:rPr>
        <w:t>Taikytina susigrąžinimo norma – suma, kurią numatoma susigrąžinti po to, kai atitinkama sandorio šalis neįvykdo įsipareigojimų, išreikšta atitinkamos paskolos pozicijos procentine dalimi.</w:t>
      </w:r>
    </w:p>
    <w:p>
      <w:pPr>
        <w:pStyle w:val="Normal82"/>
        <w:spacing w:before="60" w:after="60"/>
        <w:ind w:left="360"/>
        <w:rPr>
          <w:noProof/>
          <w:sz w:val="16"/>
          <w:szCs w:val="16"/>
        </w:rPr>
      </w:pPr>
    </w:p>
    <w:p>
      <w:pPr>
        <w:pStyle w:val="Listi0"/>
        <w:numPr>
          <w:ilvl w:val="0"/>
          <w:numId w:val="65"/>
        </w:numPr>
        <w:spacing w:before="60" w:after="60"/>
        <w:rPr>
          <w:sz w:val="16"/>
          <w:szCs w:val="16"/>
        </w:rPr>
      </w:pPr>
      <w:r>
        <w:rPr>
          <w:sz w:val="16"/>
          <w:szCs w:val="16"/>
        </w:rPr>
        <w:t>Sutarties pagrindas. Patikimas sutarties pagrindas didina paskolos kokybę ir jos vidaus klasifikaciją.</w:t>
      </w:r>
    </w:p>
    <w:p>
      <w:pPr>
        <w:pStyle w:val="Normal82"/>
        <w:spacing w:before="60" w:after="60"/>
        <w:ind w:left="360"/>
        <w:rPr>
          <w:noProof/>
          <w:sz w:val="16"/>
          <w:szCs w:val="16"/>
        </w:rPr>
      </w:pPr>
    </w:p>
    <w:p>
      <w:pPr>
        <w:pStyle w:val="Listi0"/>
        <w:numPr>
          <w:ilvl w:val="0"/>
          <w:numId w:val="65"/>
        </w:numPr>
        <w:spacing w:before="60" w:after="60"/>
        <w:rPr>
          <w:sz w:val="16"/>
          <w:szCs w:val="16"/>
        </w:rPr>
      </w:pPr>
      <w:r>
        <w:rPr>
          <w:sz w:val="16"/>
          <w:szCs w:val="16"/>
        </w:rPr>
        <w:t>Paskolos trukmė arba, bendrai paėmus, paskolos pinigų srautai. Visiems kitiems veiksniams esant vienodiems, ilgesnė paskolos trukmė reiškia didesnę riziką patirti su paskola susijusių įsipareigojimų vykdymo sunkumų.</w:t>
      </w:r>
    </w:p>
    <w:p>
      <w:pPr>
        <w:pStyle w:val="Normal82"/>
        <w:autoSpaceDE w:val="0"/>
        <w:autoSpaceDN w:val="0"/>
        <w:adjustRightInd w:val="0"/>
        <w:spacing w:before="60" w:after="60"/>
        <w:jc w:val="both"/>
        <w:rPr>
          <w:rFonts w:ascii="Arial" w:hAnsi="Arial"/>
          <w:noProof/>
          <w:sz w:val="16"/>
          <w:szCs w:val="16"/>
        </w:rPr>
      </w:pPr>
    </w:p>
    <w:p>
      <w:pPr>
        <w:pStyle w:val="Normal140"/>
        <w:autoSpaceDE w:val="0"/>
        <w:autoSpaceDN w:val="0"/>
        <w:adjustRightInd w:val="0"/>
        <w:spacing w:before="60" w:after="60"/>
        <w:jc w:val="both"/>
        <w:rPr>
          <w:rFonts w:ascii="Arial" w:hAnsi="Arial"/>
          <w:noProof/>
          <w:sz w:val="16"/>
          <w:szCs w:val="16"/>
        </w:rPr>
      </w:pPr>
      <w:r>
        <w:rPr>
          <w:rFonts w:ascii="Arial" w:hAnsi="Arial"/>
          <w:noProof/>
          <w:sz w:val="16"/>
          <w:szCs w:val="16"/>
        </w:rPr>
        <w:t>Tikėtini paskolos nuostoliai apskaičiuojami atsižvelgiant į pirma aptartų penkių elementų derinį. Atsižvelgiant į tų nuostolių dydį, paskola priskiriama vienai iš toliau išvardytų paskolos klasifikacijos klasių.</w:t>
      </w:r>
    </w:p>
    <w:p>
      <w:pPr>
        <w:pStyle w:val="Normal140"/>
        <w:autoSpaceDE w:val="0"/>
        <w:autoSpaceDN w:val="0"/>
        <w:adjustRightInd w:val="0"/>
        <w:spacing w:before="60" w:after="60"/>
        <w:jc w:val="both"/>
        <w:rPr>
          <w:rFonts w:ascii="Arial" w:hAnsi="Arial"/>
          <w:noProof/>
          <w:sz w:val="16"/>
          <w:szCs w:val="16"/>
        </w:rPr>
      </w:pPr>
    </w:p>
    <w:p>
      <w:pPr>
        <w:pStyle w:val="Normal850"/>
        <w:tabs>
          <w:tab w:val="left" w:pos="360"/>
        </w:tabs>
        <w:rPr>
          <w:noProof/>
          <w:sz w:val="16"/>
          <w:szCs w:val="16"/>
        </w:rPr>
      </w:pPr>
      <w:r>
        <w:rPr>
          <w:noProof/>
          <w:sz w:val="16"/>
          <w:szCs w:val="16"/>
        </w:rPr>
        <w:t>„A“ – aukščiausios kokybės paskolos; jų yra trys subkategorijos:</w:t>
      </w:r>
    </w:p>
    <w:p>
      <w:pPr>
        <w:pStyle w:val="Normal850"/>
        <w:tabs>
          <w:tab w:val="left" w:pos="360"/>
        </w:tabs>
        <w:spacing w:before="60" w:after="60"/>
        <w:rPr>
          <w:noProof/>
          <w:sz w:val="16"/>
          <w:szCs w:val="16"/>
        </w:rPr>
      </w:pPr>
    </w:p>
    <w:p>
      <w:pPr>
        <w:pStyle w:val="Normal850"/>
        <w:tabs>
          <w:tab w:val="left" w:pos="360"/>
        </w:tabs>
        <w:spacing w:after="120"/>
        <w:ind w:left="357"/>
        <w:rPr>
          <w:noProof/>
          <w:sz w:val="16"/>
          <w:szCs w:val="16"/>
        </w:rPr>
      </w:pPr>
      <w:r>
        <w:rPr>
          <w:noProof/>
          <w:sz w:val="16"/>
          <w:szCs w:val="16"/>
        </w:rPr>
        <w:t xml:space="preserve">„A0“ – ES valstybei narei suteiktos arba jos garantuotos paskolos, kurių tikėtini nuostoliai yra 0 % (remiantis Banko pageidaujamo kreditoriaus statusu ir įstatymu nustatyta apsauga, kurie laikomi užtikrinančiais visišką Banko turto susigrąžinimą suėjus terminui). </w:t>
      </w:r>
    </w:p>
    <w:p>
      <w:pPr>
        <w:pStyle w:val="Normal850"/>
        <w:tabs>
          <w:tab w:val="left" w:pos="360"/>
        </w:tabs>
        <w:spacing w:after="120"/>
        <w:ind w:left="357"/>
        <w:rPr>
          <w:noProof/>
          <w:sz w:val="16"/>
          <w:szCs w:val="16"/>
        </w:rPr>
      </w:pPr>
      <w:r>
        <w:rPr>
          <w:noProof/>
          <w:sz w:val="16"/>
          <w:szCs w:val="16"/>
        </w:rPr>
        <w:t>„A+“ – tai kitiems nei ES valstybės narės subjektams suteiktos (arba jų garantuotos) paskolos, kurių kokybės pablogėjimo nenumatoma jų trukmės metu.</w:t>
      </w:r>
    </w:p>
    <w:p>
      <w:pPr>
        <w:pStyle w:val="Normal850"/>
        <w:tabs>
          <w:tab w:val="left" w:pos="360"/>
        </w:tabs>
        <w:ind w:left="357"/>
        <w:rPr>
          <w:noProof/>
          <w:sz w:val="16"/>
          <w:szCs w:val="16"/>
        </w:rPr>
      </w:pPr>
      <w:r>
        <w:rPr>
          <w:noProof/>
          <w:sz w:val="16"/>
          <w:szCs w:val="16"/>
        </w:rPr>
        <w:t>„A-“– apima tokias skolinimo operacijas, kai esama tam tikrų abejonių dėl esamos padėties išsaugojimo, tačiau numatoma, kad bet kokie neigiami aspektai turėtų būti nežymūs.</w:t>
      </w:r>
    </w:p>
    <w:p>
      <w:pPr>
        <w:pStyle w:val="Normal140"/>
        <w:tabs>
          <w:tab w:val="left" w:pos="360"/>
        </w:tabs>
        <w:spacing w:before="60" w:after="60"/>
        <w:ind w:left="360" w:hanging="360"/>
        <w:jc w:val="both"/>
        <w:rPr>
          <w:rFonts w:ascii="Arial" w:hAnsi="Arial"/>
          <w:noProof/>
          <w:sz w:val="16"/>
          <w:szCs w:val="16"/>
        </w:rPr>
      </w:pPr>
      <w:r>
        <w:rPr>
          <w:rFonts w:ascii="Arial" w:hAnsi="Arial"/>
          <w:noProof/>
          <w:sz w:val="16"/>
          <w:szCs w:val="16"/>
        </w:rPr>
        <w:t xml:space="preserve">         </w:t>
      </w:r>
    </w:p>
    <w:p>
      <w:pPr>
        <w:pStyle w:val="Normal140"/>
        <w:tabs>
          <w:tab w:val="left" w:pos="360"/>
        </w:tabs>
        <w:spacing w:before="60" w:after="60"/>
        <w:ind w:left="360" w:hanging="360"/>
        <w:jc w:val="both"/>
        <w:rPr>
          <w:rFonts w:ascii="Arial" w:hAnsi="Arial"/>
          <w:noProof/>
          <w:sz w:val="16"/>
          <w:szCs w:val="16"/>
        </w:rPr>
      </w:pPr>
      <w:r>
        <w:rPr>
          <w:rFonts w:ascii="Arial" w:hAnsi="Arial"/>
          <w:noProof/>
          <w:sz w:val="16"/>
          <w:szCs w:val="16"/>
        </w:rPr>
        <w:t>„B“ – aukštos kokybės paskolos: tai bankui priimtina turto klasė, nors neatmetama galimybė, kad ateityje padėtis gali šiek tiek pablogėti. B+ ir B- apibūdina reliatyvią tikimybę, kad minėtas pablogėjimas gali įvykti.</w:t>
      </w:r>
    </w:p>
    <w:p>
      <w:pPr>
        <w:pStyle w:val="Normal140"/>
        <w:tabs>
          <w:tab w:val="left" w:pos="360"/>
        </w:tabs>
        <w:spacing w:before="60" w:after="60"/>
        <w:ind w:left="360" w:hanging="360"/>
        <w:jc w:val="both"/>
        <w:rPr>
          <w:rFonts w:ascii="Arial" w:hAnsi="Arial"/>
          <w:noProof/>
          <w:sz w:val="16"/>
          <w:szCs w:val="16"/>
        </w:rPr>
      </w:pPr>
    </w:p>
    <w:p>
      <w:pPr>
        <w:pStyle w:val="Normal140"/>
        <w:tabs>
          <w:tab w:val="left" w:pos="360"/>
        </w:tabs>
        <w:spacing w:before="60" w:after="60"/>
        <w:ind w:left="360" w:hanging="360"/>
        <w:jc w:val="both"/>
        <w:rPr>
          <w:rFonts w:ascii="Arial" w:hAnsi="Arial"/>
          <w:noProof/>
          <w:sz w:val="16"/>
          <w:szCs w:val="16"/>
        </w:rPr>
      </w:pPr>
      <w:r>
        <w:rPr>
          <w:rFonts w:ascii="Arial" w:hAnsi="Arial"/>
          <w:noProof/>
          <w:sz w:val="16"/>
          <w:szCs w:val="16"/>
        </w:rPr>
        <w:t>„C“ – geros kokybės paskolos: pavyzdžiui, paskolos be garantijos, skirtos patikimiems bankams ir bendrovėms, kurių visa suma grąžinama suėjus 7 metų terminui arba kurios grąžinamos dalimis per atitinkamą terminą.</w:t>
      </w:r>
    </w:p>
    <w:p>
      <w:pPr>
        <w:pStyle w:val="Normal140"/>
        <w:tabs>
          <w:tab w:val="left" w:pos="360"/>
        </w:tabs>
        <w:spacing w:before="60" w:after="60"/>
        <w:ind w:left="360" w:hanging="360"/>
        <w:rPr>
          <w:noProof/>
          <w:sz w:val="16"/>
          <w:szCs w:val="16"/>
        </w:rPr>
      </w:pPr>
    </w:p>
    <w:p>
      <w:pPr>
        <w:pStyle w:val="Normal140"/>
        <w:tabs>
          <w:tab w:val="left" w:pos="360"/>
        </w:tabs>
        <w:spacing w:before="60" w:after="60"/>
        <w:ind w:left="360" w:hanging="360"/>
        <w:jc w:val="both"/>
        <w:rPr>
          <w:rFonts w:ascii="Arial" w:hAnsi="Arial"/>
          <w:noProof/>
          <w:sz w:val="16"/>
          <w:szCs w:val="16"/>
        </w:rPr>
      </w:pPr>
      <w:r>
        <w:rPr>
          <w:rFonts w:ascii="Arial" w:hAnsi="Arial"/>
          <w:noProof/>
          <w:sz w:val="16"/>
          <w:szCs w:val="16"/>
        </w:rPr>
        <w:t>„D“ – ši reitingo klasė – skiriamoji riba tarp priimtinos kokybės paskolų ir paskolų, kurių atveju patirta tam tikrų sunkumų. Ši paskolų klasifikavimo takoskyra tiksliau apibrėžiama D+ ir D- subkategorijomis. D- reitingu įvertintoms paskoloms būtina padidinta stebėsena.</w:t>
      </w:r>
    </w:p>
    <w:p>
      <w:pPr>
        <w:pStyle w:val="Normal140"/>
        <w:tabs>
          <w:tab w:val="left" w:pos="360"/>
        </w:tabs>
        <w:spacing w:before="60" w:after="60"/>
        <w:ind w:left="360" w:hanging="360"/>
        <w:jc w:val="both"/>
        <w:rPr>
          <w:rFonts w:ascii="Arial" w:hAnsi="Arial"/>
          <w:noProof/>
          <w:sz w:val="16"/>
          <w:szCs w:val="16"/>
        </w:rPr>
      </w:pPr>
    </w:p>
    <w:p>
      <w:pPr>
        <w:pStyle w:val="Normal140"/>
        <w:tabs>
          <w:tab w:val="left" w:pos="360"/>
        </w:tabs>
        <w:spacing w:before="60" w:after="60"/>
        <w:ind w:left="360" w:hanging="360"/>
        <w:jc w:val="both"/>
        <w:rPr>
          <w:rFonts w:ascii="Arial" w:hAnsi="Arial"/>
          <w:noProof/>
          <w:sz w:val="16"/>
        </w:rPr>
      </w:pPr>
      <w:r>
        <w:rPr>
          <w:rFonts w:ascii="Arial" w:hAnsi="Arial"/>
          <w:noProof/>
          <w:sz w:val="16"/>
          <w:szCs w:val="16"/>
        </w:rPr>
        <w:t>„E“ – ši paskolų klasifikacijos kategorija apima paskolas, kurių rizikos profilis yra didesnis nei paprastai priimtina. Ji taip pat apima paskolas, per kurių galiojimo trukmę patirta rimtų problemų ir negalima atmesti galimybės, kad atsiras nuostolių. Todėl šias paskolas būtina atidžiai ir griežtai stebėti. E+ ir E- subkategorijos skiriasi minėto specialaus stebėsenos proceso intensyvumu, E- subkategorijai priskirtų operacijų atveju esama didelės galimybės, kad su skola susiję įsipareigojimai nebus vykdomi laiku ir todėl reikės tam tikro skolos restruktūrizavimo, dėl kurio kyla galimybė patirti nuostolių dėl vertės sumažėjimo.</w:t>
      </w:r>
    </w:p>
    <w:p>
      <w:pPr>
        <w:pStyle w:val="Normal140"/>
        <w:tabs>
          <w:tab w:val="left" w:pos="360"/>
        </w:tabs>
        <w:spacing w:before="60" w:after="60"/>
        <w:ind w:left="360" w:hanging="360"/>
        <w:jc w:val="both"/>
        <w:rPr>
          <w:noProof/>
          <w:sz w:val="16"/>
          <w:szCs w:val="16"/>
        </w:rPr>
      </w:pPr>
    </w:p>
    <w:p>
      <w:pPr>
        <w:pStyle w:val="Normal140"/>
        <w:tabs>
          <w:tab w:val="left" w:pos="360"/>
        </w:tabs>
        <w:spacing w:before="60" w:after="60"/>
        <w:ind w:left="360" w:hanging="360"/>
        <w:jc w:val="both"/>
        <w:rPr>
          <w:rFonts w:ascii="Arial" w:hAnsi="Arial"/>
          <w:noProof/>
          <w:sz w:val="16"/>
          <w:szCs w:val="16"/>
        </w:rPr>
      </w:pPr>
      <w:r>
        <w:rPr>
          <w:rFonts w:ascii="Arial" w:hAnsi="Arial"/>
          <w:noProof/>
          <w:sz w:val="16"/>
          <w:szCs w:val="16"/>
        </w:rPr>
        <w:t xml:space="preserve">„F“ – „F“ (įsipareigojimų nevykdymas, angl. </w:t>
      </w:r>
      <w:r>
        <w:rPr>
          <w:rFonts w:ascii="Arial" w:hAnsi="Arial"/>
          <w:i/>
          <w:iCs/>
          <w:noProof/>
          <w:sz w:val="16"/>
          <w:szCs w:val="16"/>
        </w:rPr>
        <w:t>fail</w:t>
      </w:r>
      <w:r>
        <w:rPr>
          <w:rFonts w:ascii="Arial" w:hAnsi="Arial"/>
          <w:noProof/>
          <w:sz w:val="16"/>
          <w:szCs w:val="16"/>
        </w:rPr>
        <w:t>) nurodo paskolas, su kuriomis susijusi nepriimtina rizika. F- klasei priskirtos paskolos gali atsirasti tik dėl neįvykdytų sandorių, po kurių pasirašymo susidurta su nenumatytomis, išskirtinėmis ir itin nepalankiomis aplinkybėmis. Visos operacijos, dėl kurių taikant Priemonę patiriama pagrindinės sumos nuostolių, vertinamos F ir joms taikoma speciali nuostata.</w:t>
      </w:r>
    </w:p>
    <w:p>
      <w:pPr>
        <w:pStyle w:val="Normal140"/>
        <w:tabs>
          <w:tab w:val="left" w:pos="360"/>
        </w:tabs>
        <w:spacing w:before="60" w:after="60"/>
        <w:ind w:left="360" w:hanging="360"/>
        <w:jc w:val="both"/>
        <w:rPr>
          <w:rFonts w:ascii="Arial" w:hAnsi="Arial"/>
          <w:noProof/>
          <w:sz w:val="16"/>
          <w:szCs w:val="16"/>
        </w:rPr>
      </w:pPr>
    </w:p>
    <w:p>
      <w:pPr>
        <w:pStyle w:val="Notes40"/>
        <w:tabs>
          <w:tab w:val="right" w:pos="-2700"/>
          <w:tab w:val="right" w:pos="720"/>
        </w:tabs>
        <w:spacing w:before="60" w:after="60"/>
        <w:ind w:left="0" w:firstLine="0"/>
        <w:rPr>
          <w:b w:val="0"/>
          <w:noProof/>
          <w:sz w:val="16"/>
          <w:szCs w:val="16"/>
        </w:rPr>
      </w:pPr>
      <w:r>
        <w:rPr>
          <w:b w:val="0"/>
          <w:noProof/>
          <w:sz w:val="16"/>
          <w:szCs w:val="16"/>
        </w:rPr>
        <w:t>Apskritai paskolos, įvertintos D- ar žemesniu vidaus reitingu, įtraukiamos į stebėjimo sąrašą. Tačiau jeigu paskola iš pradžių buvo patvirtinta su D- ar žemesniu rizikos profiliu, į stebėjimo sąrašą ji bus įtraukta tik atsitikus svarbiam su kreditu susijusiam įvykiui, dėl kurio jos klasifikacija dar sumažėja.</w:t>
      </w:r>
    </w:p>
    <w:p>
      <w:pPr>
        <w:pStyle w:val="Notes8"/>
        <w:tabs>
          <w:tab w:val="clear" w:pos="4320"/>
          <w:tab w:val="clear" w:pos="8640"/>
          <w:tab w:val="right" w:pos="-2700"/>
          <w:tab w:val="right" w:pos="720"/>
        </w:tabs>
        <w:spacing w:before="60" w:after="60"/>
        <w:ind w:left="0" w:firstLine="0"/>
        <w:rPr>
          <w:b w:val="0"/>
          <w:noProof/>
          <w:sz w:val="16"/>
          <w:szCs w:val="16"/>
        </w:rPr>
      </w:pPr>
    </w:p>
    <w:p>
      <w:pPr>
        <w:pStyle w:val="Notes8"/>
        <w:tabs>
          <w:tab w:val="clear" w:pos="4320"/>
          <w:tab w:val="clear" w:pos="8640"/>
          <w:tab w:val="right" w:pos="-2700"/>
          <w:tab w:val="right" w:pos="720"/>
        </w:tabs>
        <w:spacing w:before="60" w:after="60"/>
        <w:ind w:left="0" w:firstLine="0"/>
        <w:rPr>
          <w:b w:val="0"/>
          <w:noProof/>
          <w:sz w:val="16"/>
          <w:szCs w:val="16"/>
        </w:rPr>
      </w:pPr>
      <w:r>
        <w:rPr>
          <w:b w:val="0"/>
          <w:noProof/>
          <w:sz w:val="16"/>
          <w:szCs w:val="16"/>
        </w:rPr>
        <w:t>3.2.3.3 skirsnyje esančioje lentelėje pateikta Priemonės paskolų portfelio kredito kokybės analizė, grindžiama pirma apibūdintomis įvairiomis paskolų klasifikacijos klasėmis.</w:t>
      </w:r>
    </w:p>
    <w:p>
      <w:pPr>
        <w:pStyle w:val="Notes9"/>
        <w:pageBreakBefore/>
        <w:numPr>
          <w:ilvl w:val="3"/>
          <w:numId w:val="67"/>
        </w:numPr>
        <w:tabs>
          <w:tab w:val="clear" w:pos="4320"/>
          <w:tab w:val="clear" w:pos="8640"/>
          <w:tab w:val="right" w:pos="-2700"/>
          <w:tab w:val="right" w:pos="720"/>
        </w:tabs>
        <w:spacing w:before="60" w:after="0"/>
        <w:ind w:left="794" w:hanging="794"/>
        <w:rPr>
          <w:bCs/>
          <w:noProof/>
          <w:sz w:val="16"/>
          <w:szCs w:val="16"/>
        </w:rPr>
      </w:pPr>
      <w:r>
        <w:rPr>
          <w:bCs/>
          <w:noProof/>
          <w:sz w:val="16"/>
          <w:szCs w:val="16"/>
        </w:rPr>
        <w:t>Skolinimo kredito rizikos analizė</w:t>
      </w:r>
    </w:p>
    <w:p>
      <w:pPr>
        <w:pStyle w:val="Notes9"/>
        <w:tabs>
          <w:tab w:val="clear" w:pos="4320"/>
          <w:tab w:val="clear" w:pos="8640"/>
          <w:tab w:val="right" w:pos="-2700"/>
          <w:tab w:val="right" w:pos="720"/>
        </w:tabs>
        <w:spacing w:before="0" w:after="60"/>
        <w:ind w:left="0" w:firstLine="0"/>
        <w:rPr>
          <w:b w:val="0"/>
          <w:noProof/>
          <w:sz w:val="16"/>
          <w:szCs w:val="16"/>
        </w:rPr>
      </w:pPr>
    </w:p>
    <w:p>
      <w:pPr>
        <w:pStyle w:val="Notes9"/>
        <w:tabs>
          <w:tab w:val="clear" w:pos="4320"/>
          <w:tab w:val="clear" w:pos="8640"/>
          <w:tab w:val="right" w:pos="-2700"/>
          <w:tab w:val="right" w:pos="720"/>
        </w:tabs>
        <w:spacing w:before="60" w:after="60"/>
        <w:ind w:left="0" w:firstLine="0"/>
        <w:rPr>
          <w:b w:val="0"/>
          <w:noProof/>
          <w:sz w:val="16"/>
          <w:szCs w:val="16"/>
        </w:rPr>
      </w:pPr>
      <w:r>
        <w:rPr>
          <w:b w:val="0"/>
          <w:noProof/>
          <w:sz w:val="16"/>
          <w:szCs w:val="16"/>
        </w:rPr>
        <w:t>Tolesnėje lentelėje pateikiama didžiausia pasirašytų (išmokėtų ir neišmokėtų) paskolų kredito rizika (grynąja balansine verte) pagal skolininko pobūdį, atsižvelgiant į garantų suteiktas garantijas:</w:t>
      </w:r>
    </w:p>
    <w:p>
      <w:pPr>
        <w:pStyle w:val="Notes9"/>
        <w:tabs>
          <w:tab w:val="clear" w:pos="4320"/>
          <w:tab w:val="clear" w:pos="8640"/>
          <w:tab w:val="right" w:pos="-2700"/>
          <w:tab w:val="right" w:pos="720"/>
        </w:tabs>
        <w:spacing w:before="60" w:after="60"/>
        <w:ind w:left="0" w:firstLine="0"/>
        <w:rPr>
          <w:b w:val="0"/>
          <w:noProof/>
          <w:sz w:val="16"/>
          <w:szCs w:val="16"/>
        </w:rPr>
      </w:pPr>
      <w:r>
        <w:rPr>
          <w:noProof/>
        </w:rPr>
        <w:t xml:space="preserve"> </w:t>
      </w:r>
    </w:p>
    <w:tbl>
      <w:tblPr>
        <w:tblStyle w:val="CDMRange21"/>
        <w:tblW w:w="9975" w:type="dxa"/>
        <w:tblLayout w:type="fixed"/>
        <w:tblLook w:val="0600" w:firstRow="0" w:lastRow="0" w:firstColumn="0" w:lastColumn="0" w:noHBand="1" w:noVBand="1"/>
      </w:tblPr>
      <w:tblGrid>
        <w:gridCol w:w="2475"/>
        <w:gridCol w:w="1500"/>
        <w:gridCol w:w="1500"/>
        <w:gridCol w:w="1500"/>
        <w:gridCol w:w="1500"/>
        <w:gridCol w:w="1500"/>
      </w:tblGrid>
      <w:tr>
        <w:trPr>
          <w:trHeight w:val="300"/>
        </w:trPr>
        <w:tc>
          <w:tcPr>
            <w:tcW w:w="2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b/>
                <w:noProof/>
                <w:color w:val="000000"/>
                <w:sz w:val="16"/>
              </w:rPr>
            </w:pPr>
            <w:r>
              <w:rPr>
                <w:rFonts w:ascii="Arial" w:hAnsi="Arial"/>
                <w:b/>
                <w:noProof/>
                <w:color w:val="000000"/>
                <w:sz w:val="16"/>
              </w:rPr>
              <w:t>2019 12 31</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Su garantija</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Kitoks kredito vertės didinimas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Be garantijos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Iš viso</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Iš viso išmokėta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rPr>
                <w:rFonts w:ascii="Arial" w:eastAsia="Arial" w:hAnsi="Arial" w:cs="Arial"/>
                <w:b/>
                <w:noProof/>
                <w:color w:val="000000"/>
                <w:sz w:val="16"/>
              </w:rPr>
            </w:pPr>
            <w:r>
              <w:rPr>
                <w:rFonts w:ascii="Arial" w:hAnsi="Arial"/>
                <w:b/>
                <w:noProof/>
                <w:color w:val="000000"/>
                <w:sz w:val="16"/>
              </w:rPr>
              <w:t>tūkst. EUR</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color w:val="000000"/>
                <w:sz w:val="16"/>
              </w:rPr>
              <w:t>Bankai</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111 806</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803 861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915 667</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60 %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color w:val="000000"/>
                <w:sz w:val="16"/>
              </w:rPr>
              <w:t>Bendrovės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190 006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36 704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172 082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398 792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26 %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color w:val="000000"/>
                <w:sz w:val="16"/>
              </w:rPr>
              <w:t>Valstybės institucijos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26 908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1 686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28 594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2 %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color w:val="000000"/>
                <w:sz w:val="16"/>
              </w:rPr>
              <w:t>Valstybės</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2 085</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173 537</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175 622</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12 %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rPr>
                <w:rFonts w:ascii="Arial" w:eastAsia="Arial" w:hAnsi="Arial" w:cs="Arial"/>
                <w:b/>
                <w:noProof/>
                <w:color w:val="000000"/>
                <w:sz w:val="16"/>
              </w:rPr>
            </w:pPr>
            <w:r>
              <w:rPr>
                <w:rFonts w:ascii="Arial" w:hAnsi="Arial"/>
                <w:b/>
                <w:noProof/>
                <w:color w:val="000000"/>
                <w:sz w:val="16"/>
              </w:rPr>
              <w:t>Iš viso išmokėta</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328 720</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38 789</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1 151 166</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1 518 675</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100 %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b/>
                <w:noProof/>
                <w:color w:val="000000"/>
                <w:sz w:val="16"/>
              </w:rPr>
            </w:pPr>
            <w:r>
              <w:rPr>
                <w:rFonts w:ascii="Arial" w:hAnsi="Arial"/>
                <w:b/>
                <w:noProof/>
                <w:color w:val="000000"/>
                <w:sz w:val="16"/>
              </w:rPr>
              <w:t>Neišmokėta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191 191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1 128 860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1 320 051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475" w:type="dxa"/>
            <w:tcBorders>
              <w:top w:val="nil"/>
              <w:left w:val="nil"/>
              <w:bottom w:val="nil"/>
              <w:right w:val="nil"/>
              <w:tl2br w:val="nil"/>
              <w:tr2bl w:val="nil"/>
            </w:tcBorders>
            <w:shd w:val="clear" w:color="FFFFFF" w:fill="BFBFBF"/>
            <w:tcMar>
              <w:left w:w="40" w:type="dxa"/>
              <w:right w:w="40" w:type="dxa"/>
            </w:tcMar>
            <w:vAlign w:val="center"/>
          </w:tcPr>
          <w:p>
            <w:pPr>
              <w:pStyle w:val="Normal84"/>
              <w:rPr>
                <w:rFonts w:ascii="Arial" w:eastAsia="Arial" w:hAnsi="Arial" w:cs="Arial"/>
                <w:b/>
                <w:noProof/>
                <w:color w:val="000000"/>
                <w:sz w:val="16"/>
              </w:rPr>
            </w:pPr>
            <w:r>
              <w:rPr>
                <w:rFonts w:ascii="Arial" w:hAnsi="Arial"/>
                <w:b/>
                <w:noProof/>
                <w:color w:val="000000"/>
                <w:sz w:val="16"/>
              </w:rPr>
              <w:t>Iš viso išmokėta ir neišmokėta</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519 911</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38 789</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2 280 026</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2 838 726</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47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b/>
                <w:noProof/>
                <w:color w:val="000000"/>
                <w:sz w:val="16"/>
              </w:rPr>
            </w:pPr>
            <w:r>
              <w:rPr>
                <w:rFonts w:ascii="Arial" w:hAnsi="Arial"/>
                <w:b/>
                <w:noProof/>
                <w:color w:val="000000"/>
                <w:sz w:val="16"/>
              </w:rPr>
              <w:t>2018 12 31</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Su garantija</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Kitoks kredito vertės didinimas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Be garantijos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Iš viso</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Iš viso išmokėta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rPr>
                <w:rFonts w:ascii="Arial" w:eastAsia="Arial" w:hAnsi="Arial" w:cs="Arial"/>
                <w:b/>
                <w:noProof/>
                <w:color w:val="000000"/>
                <w:sz w:val="16"/>
              </w:rPr>
            </w:pPr>
            <w:r>
              <w:rPr>
                <w:rFonts w:ascii="Arial" w:hAnsi="Arial"/>
                <w:b/>
                <w:noProof/>
                <w:color w:val="000000"/>
                <w:sz w:val="16"/>
              </w:rPr>
              <w:t>tūkst. EUR</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color w:val="000000"/>
                <w:sz w:val="16"/>
              </w:rPr>
              <w:t>Bankai</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88 263</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856 484</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944 747</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61 %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color w:val="000000"/>
                <w:sz w:val="16"/>
              </w:rPr>
              <w:t>Bendrovės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147 551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45 820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205 198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398 569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26 %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color w:val="000000"/>
                <w:sz w:val="16"/>
              </w:rPr>
              <w:t>Valstybės institucijos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29 182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29 182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2 %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color w:val="000000"/>
                <w:sz w:val="16"/>
              </w:rPr>
              <w:t>Valstybės</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2 647</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165 846</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168 493</w:t>
            </w:r>
          </w:p>
        </w:tc>
        <w:tc>
          <w:tcPr>
            <w:tcW w:w="1500" w:type="dxa"/>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11 %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rPr>
                <w:rFonts w:ascii="Arial" w:eastAsia="Arial" w:hAnsi="Arial" w:cs="Arial"/>
                <w:b/>
                <w:noProof/>
                <w:color w:val="000000"/>
                <w:sz w:val="16"/>
              </w:rPr>
            </w:pPr>
            <w:r>
              <w:rPr>
                <w:rFonts w:ascii="Arial" w:hAnsi="Arial"/>
                <w:b/>
                <w:noProof/>
                <w:color w:val="000000"/>
                <w:sz w:val="16"/>
              </w:rPr>
              <w:t>Iš viso išmokėta</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264 996</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48 467</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1 227 528</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1 540 991</w:t>
            </w:r>
          </w:p>
        </w:tc>
        <w:tc>
          <w:tcPr>
            <w:tcW w:w="1500" w:type="dxa"/>
            <w:tcBorders>
              <w:top w:val="single" w:sz="4" w:space="0" w:color="auto"/>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100 %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b/>
                <w:noProof/>
                <w:color w:val="000000"/>
                <w:sz w:val="16"/>
              </w:rPr>
            </w:pPr>
            <w:r>
              <w:rPr>
                <w:rFonts w:ascii="Arial" w:hAnsi="Arial"/>
                <w:b/>
                <w:noProof/>
                <w:color w:val="000000"/>
                <w:sz w:val="16"/>
              </w:rPr>
              <w:t>Neišmokėta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170 356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1 089 753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1 260 110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475" w:type="dxa"/>
            <w:tcBorders>
              <w:top w:val="nil"/>
              <w:left w:val="nil"/>
              <w:bottom w:val="nil"/>
              <w:right w:val="nil"/>
              <w:tl2br w:val="nil"/>
              <w:tr2bl w:val="nil"/>
            </w:tcBorders>
            <w:shd w:val="clear" w:color="FFFFFF" w:fill="BFBFBF"/>
            <w:tcMar>
              <w:left w:w="40" w:type="dxa"/>
              <w:right w:w="40" w:type="dxa"/>
            </w:tcMar>
            <w:vAlign w:val="center"/>
          </w:tcPr>
          <w:p>
            <w:pPr>
              <w:pStyle w:val="Normal84"/>
              <w:rPr>
                <w:rFonts w:ascii="Arial" w:eastAsia="Arial" w:hAnsi="Arial" w:cs="Arial"/>
                <w:b/>
                <w:noProof/>
                <w:color w:val="000000"/>
                <w:sz w:val="16"/>
              </w:rPr>
            </w:pPr>
            <w:r>
              <w:rPr>
                <w:rFonts w:ascii="Arial" w:hAnsi="Arial"/>
                <w:b/>
                <w:noProof/>
                <w:color w:val="000000"/>
                <w:sz w:val="16"/>
              </w:rPr>
              <w:t>Iš viso išmokėta ir neišmokėta</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435 352</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48 467</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2 317 281</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2 801 101</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p>
        </w:tc>
      </w:tr>
    </w:tbl>
    <w:p>
      <w:pPr>
        <w:pStyle w:val="Default"/>
        <w:pBdr>
          <w:top w:val="nil"/>
          <w:left w:val="nil"/>
          <w:bottom w:val="nil"/>
          <w:right w:val="nil"/>
          <w:between w:val="nil"/>
          <w:bar w:val="nil"/>
        </w:pBdr>
        <w:spacing w:before="60" w:after="60"/>
        <w:jc w:val="both"/>
        <w:rPr>
          <w:noProof/>
          <w:sz w:val="16"/>
          <w:szCs w:val="16"/>
          <w:bdr w:val="nil"/>
        </w:rPr>
      </w:pPr>
    </w:p>
    <w:p>
      <w:pPr>
        <w:pStyle w:val="Default"/>
        <w:pBdr>
          <w:top w:val="nil"/>
          <w:left w:val="nil"/>
          <w:bottom w:val="nil"/>
          <w:right w:val="nil"/>
          <w:between w:val="nil"/>
          <w:bar w:val="nil"/>
        </w:pBdr>
        <w:jc w:val="both"/>
        <w:rPr>
          <w:noProof/>
          <w:sz w:val="16"/>
          <w:szCs w:val="16"/>
          <w:bdr w:val="nil"/>
        </w:rPr>
      </w:pPr>
      <w:r>
        <w:rPr>
          <w:noProof/>
          <w:sz w:val="16"/>
          <w:szCs w:val="16"/>
          <w:bdr w:val="nil"/>
        </w:rPr>
        <w:t>Operacijų valdymo ir restruktūrizavimo direktoratas yra atsakingas už skolininkų ir garantų stebėjimą, taip pat su projektais susijusią finansinę ir sutarčių priežiūrą. Todėl Priemonės paskolų, skolininkų ir garantų kreditingumas yra nuolat stebimas, tai atliekama ne rečiau kaip kartą per metus, tačiau dažniau – pagal poreikį ir įvykus kredito įvykiui. Operacijų valdymo ir restruktūrizavimo direktoratas visų pirma peržiūri, ar laikomasi sutartyse numatytų teisių, o jeigu pablogėja reitingas ir (arba) neįvykdomi sutartiniai įsipareigojimai, imasi taisomųjų veiksmų. Prireikus, vadovaujantis kredito rizikos gairėmis, taikomos rizikos mažinimo priemonės. Be to, jeigu atnaujinamos paskoloms suteiktos banko garantijos, užtikrinama, kad jos būtų pakeistos arba būtų laiku imamasi veiksmų.</w:t>
      </w:r>
    </w:p>
    <w:p>
      <w:pPr>
        <w:pStyle w:val="Default"/>
        <w:pBdr>
          <w:top w:val="nil"/>
          <w:left w:val="nil"/>
          <w:bottom w:val="nil"/>
          <w:right w:val="nil"/>
          <w:between w:val="nil"/>
          <w:bar w:val="nil"/>
        </w:pBdr>
        <w:jc w:val="both"/>
        <w:rPr>
          <w:noProof/>
          <w:sz w:val="16"/>
          <w:szCs w:val="16"/>
          <w:bdr w:val="nil"/>
        </w:rPr>
      </w:pPr>
      <w:r>
        <w:rPr>
          <w:noProof/>
        </w:rPr>
        <w:t xml:space="preserve"> </w:t>
      </w:r>
    </w:p>
    <w:p>
      <w:pPr>
        <w:pStyle w:val="Notes100"/>
        <w:pageBreakBefore/>
        <w:numPr>
          <w:ilvl w:val="3"/>
          <w:numId w:val="69"/>
        </w:numPr>
        <w:tabs>
          <w:tab w:val="clear" w:pos="4320"/>
          <w:tab w:val="clear" w:pos="8640"/>
          <w:tab w:val="right" w:pos="-2700"/>
          <w:tab w:val="right" w:pos="720"/>
        </w:tabs>
        <w:spacing w:before="60" w:after="0"/>
        <w:ind w:left="794" w:hanging="794"/>
        <w:rPr>
          <w:bCs/>
          <w:noProof/>
          <w:sz w:val="16"/>
          <w:szCs w:val="16"/>
        </w:rPr>
      </w:pPr>
      <w:r>
        <w:rPr>
          <w:noProof/>
          <w:sz w:val="16"/>
          <w:szCs w:val="16"/>
        </w:rPr>
        <w:t>Kredito kokybės analizė pagal skolininko tipą</w:t>
      </w:r>
    </w:p>
    <w:p>
      <w:pPr>
        <w:pStyle w:val="Notes100"/>
        <w:tabs>
          <w:tab w:val="clear" w:pos="4320"/>
          <w:tab w:val="clear" w:pos="8640"/>
          <w:tab w:val="right" w:pos="-2700"/>
          <w:tab w:val="right" w:pos="720"/>
        </w:tabs>
        <w:spacing w:before="0" w:after="60"/>
        <w:ind w:left="0" w:firstLine="0"/>
        <w:rPr>
          <w:b w:val="0"/>
          <w:bCs/>
          <w:noProof/>
          <w:sz w:val="16"/>
          <w:szCs w:val="16"/>
        </w:rPr>
      </w:pPr>
    </w:p>
    <w:p>
      <w:pPr>
        <w:pStyle w:val="Notes100"/>
        <w:tabs>
          <w:tab w:val="clear" w:pos="4320"/>
          <w:tab w:val="clear" w:pos="8640"/>
          <w:tab w:val="right" w:pos="-2700"/>
        </w:tabs>
        <w:spacing w:before="60" w:after="60"/>
        <w:ind w:left="0" w:firstLine="0"/>
        <w:rPr>
          <w:b w:val="0"/>
          <w:noProof/>
          <w:sz w:val="16"/>
          <w:szCs w:val="16"/>
        </w:rPr>
      </w:pPr>
      <w:r>
        <w:rPr>
          <w:b w:val="0"/>
          <w:noProof/>
          <w:sz w:val="16"/>
          <w:szCs w:val="16"/>
        </w:rPr>
        <w:t>Tolesnėje lentelėje pateikiama 2019 m. gruodžio 31 d. ir 2018 m. gruodžio 31 d. Priemonės paskolų portfelio kredito kokybės analizė pagal paskolos klasifikavimo paraiškas, remiantis pasirašytų paskolų (išmokėtų ir neišmokėtų) rizika.</w:t>
      </w:r>
    </w:p>
    <w:p>
      <w:pPr>
        <w:pStyle w:val="Notes100"/>
        <w:tabs>
          <w:tab w:val="clear" w:pos="4320"/>
          <w:tab w:val="clear" w:pos="8640"/>
          <w:tab w:val="right" w:pos="-2700"/>
        </w:tabs>
        <w:spacing w:before="60" w:after="60"/>
        <w:ind w:left="0" w:firstLine="0"/>
        <w:rPr>
          <w:b w:val="0"/>
          <w:noProof/>
          <w:sz w:val="16"/>
          <w:szCs w:val="16"/>
        </w:rPr>
      </w:pPr>
      <w:r>
        <w:rPr>
          <w:noProof/>
        </w:rPr>
        <w:t xml:space="preserve"> </w:t>
      </w:r>
    </w:p>
    <w:tbl>
      <w:tblPr>
        <w:tblStyle w:val="CDMRange12"/>
        <w:tblW w:w="9975" w:type="dxa"/>
        <w:tblLayout w:type="fixed"/>
        <w:tblLook w:val="0600" w:firstRow="0" w:lastRow="0" w:firstColumn="0" w:lastColumn="0" w:noHBand="1" w:noVBand="1"/>
      </w:tblPr>
      <w:tblGrid>
        <w:gridCol w:w="1275"/>
        <w:gridCol w:w="1350"/>
        <w:gridCol w:w="1050"/>
        <w:gridCol w:w="1050"/>
        <w:gridCol w:w="1050"/>
        <w:gridCol w:w="1050"/>
        <w:gridCol w:w="1050"/>
        <w:gridCol w:w="1050"/>
        <w:gridCol w:w="1050"/>
      </w:tblGrid>
      <w:tr>
        <w:trPr>
          <w:trHeight w:val="290"/>
        </w:trPr>
        <w:tc>
          <w:tcPr>
            <w:tcW w:w="12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b/>
                <w:noProof/>
                <w:color w:val="000000"/>
                <w:sz w:val="16"/>
              </w:rPr>
            </w:pPr>
            <w:r>
              <w:rPr>
                <w:rFonts w:ascii="Arial" w:hAnsi="Arial"/>
                <w:b/>
                <w:noProof/>
                <w:color w:val="000000"/>
                <w:sz w:val="16"/>
              </w:rPr>
              <w:t>2019 12 31</w:t>
            </w:r>
          </w:p>
        </w:tc>
        <w:tc>
          <w:tcPr>
            <w:tcW w:w="1350" w:type="dxa"/>
            <w:tcBorders>
              <w:top w:val="single" w:sz="4" w:space="0" w:color="000000"/>
              <w:left w:val="nil"/>
              <w:bottom w:val="nil"/>
              <w:right w:val="nil"/>
              <w:tl2br w:val="nil"/>
              <w:tr2bl w:val="nil"/>
            </w:tcBorders>
            <w:shd w:val="clear" w:color="auto" w:fill="auto"/>
            <w:noWrap/>
            <w:tcMar>
              <w:left w:w="0" w:type="dxa"/>
              <w:right w:w="0" w:type="dxa"/>
            </w:tcMar>
            <w:vAlign w:val="center"/>
          </w:tcPr>
          <w:p>
            <w:pPr>
              <w:pStyle w:val="Normal87"/>
              <w:rPr>
                <w:rFonts w:ascii="Arial" w:eastAsia="Arial" w:hAnsi="Arial" w:cs="Arial"/>
                <w:noProof/>
                <w:color w:val="000000"/>
                <w:sz w:val="16"/>
              </w:rPr>
            </w:pP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Aukštas reitingas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Standartinis reitingas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Mažiausia priimtina rizika</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Didelė rizika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Be reitingo*</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Iš viso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Iš viso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nil"/>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b/>
                <w:noProof/>
                <w:color w:val="000000"/>
                <w:sz w:val="16"/>
              </w:rPr>
            </w:pPr>
            <w:r>
              <w:rPr>
                <w:rFonts w:ascii="Arial" w:hAnsi="Arial"/>
                <w:b/>
                <w:noProof/>
                <w:color w:val="000000"/>
                <w:sz w:val="16"/>
              </w:rPr>
              <w:t>tūkst. EUR</w:t>
            </w:r>
          </w:p>
        </w:tc>
        <w:tc>
          <w:tcPr>
            <w:tcW w:w="1350" w:type="dxa"/>
            <w:tcBorders>
              <w:top w:val="nil"/>
              <w:left w:val="nil"/>
              <w:bottom w:val="nil"/>
              <w:right w:val="nil"/>
              <w:tl2br w:val="nil"/>
              <w:tr2bl w:val="nil"/>
            </w:tcBorders>
            <w:shd w:val="clear" w:color="auto" w:fill="auto"/>
            <w:noWrap/>
            <w:tcMar>
              <w:left w:w="0" w:type="dxa"/>
              <w:right w:w="0" w:type="dxa"/>
            </w:tcMar>
            <w:vAlign w:val="center"/>
          </w:tcPr>
          <w:p>
            <w:pPr>
              <w:pStyle w:val="Normal87"/>
              <w:jc w:val="center"/>
              <w:rPr>
                <w:rFonts w:ascii="Arial" w:eastAsia="Arial" w:hAnsi="Arial" w:cs="Arial"/>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1275"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87"/>
              <w:rPr>
                <w:rFonts w:ascii="Arial" w:eastAsia="Arial" w:hAnsi="Arial" w:cs="Arial"/>
                <w:noProof/>
                <w:color w:val="000000"/>
                <w:sz w:val="16"/>
              </w:rPr>
            </w:pPr>
          </w:p>
        </w:tc>
        <w:tc>
          <w:tcPr>
            <w:tcW w:w="135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87"/>
              <w:rPr>
                <w:rFonts w:ascii="Arial" w:eastAsia="Arial" w:hAnsi="Arial" w:cs="Arial"/>
                <w:noProof/>
                <w:color w:val="000000"/>
                <w:sz w:val="16"/>
              </w:rPr>
            </w:pP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Nuo A iki B- </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C </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D+ </w:t>
            </w:r>
          </w:p>
        </w:tc>
        <w:tc>
          <w:tcPr>
            <w:tcW w:w="10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D- ir žemesnis</w:t>
            </w: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87"/>
              <w:rPr>
                <w:rFonts w:ascii="Arial" w:eastAsia="Arial" w:hAnsi="Arial" w:cs="Arial"/>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rPr>
                <w:rFonts w:ascii="Arial" w:eastAsia="Arial" w:hAnsi="Arial" w:cs="Arial"/>
                <w:noProof/>
                <w:color w:val="000000"/>
                <w:sz w:val="16"/>
              </w:rPr>
            </w:pPr>
            <w:r>
              <w:rPr>
                <w:rFonts w:ascii="Arial" w:hAnsi="Arial"/>
                <w:noProof/>
                <w:color w:val="000000"/>
                <w:sz w:val="16"/>
              </w:rPr>
              <w:t>Skolininkas</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noProof/>
                <w:color w:val="000000"/>
                <w:sz w:val="16"/>
              </w:rPr>
            </w:pPr>
            <w:r>
              <w:rPr>
                <w:rFonts w:ascii="Arial" w:hAnsi="Arial"/>
                <w:noProof/>
                <w:color w:val="000000"/>
                <w:sz w:val="16"/>
              </w:rPr>
              <w:t>Bankai</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234 072</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219 467</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335 841</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817 894</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1 607 274</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57 %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nil"/>
              <w:left w:val="nil"/>
              <w:bottom w:val="nil"/>
              <w:right w:val="nil"/>
              <w:tl2br w:val="nil"/>
              <w:tr2bl w:val="nil"/>
            </w:tcBorders>
            <w:shd w:val="clear" w:color="auto" w:fill="auto"/>
            <w:tcMar>
              <w:left w:w="0" w:type="dxa"/>
              <w:right w:w="0" w:type="dxa"/>
            </w:tcMar>
            <w:vAlign w:val="center"/>
          </w:tcPr>
          <w:p>
            <w:pPr>
              <w:pStyle w:val="Normal87"/>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noProof/>
                <w:color w:val="000000"/>
                <w:sz w:val="16"/>
              </w:rPr>
            </w:pPr>
            <w:r>
              <w:rPr>
                <w:rFonts w:ascii="Arial" w:hAnsi="Arial"/>
                <w:noProof/>
                <w:color w:val="000000"/>
                <w:sz w:val="16"/>
              </w:rPr>
              <w:t>Bendrovės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100 115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49 458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524 532</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95 925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770 030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27 %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vMerge w:val="restart"/>
            <w:tcBorders>
              <w:top w:val="nil"/>
              <w:left w:val="nil"/>
              <w:bottom w:val="nil"/>
              <w:right w:val="nil"/>
              <w:tl2br w:val="nil"/>
              <w:tr2bl w:val="nil"/>
            </w:tcBorders>
            <w:shd w:val="clear" w:color="auto" w:fill="auto"/>
            <w:tcMar>
              <w:left w:w="0" w:type="dxa"/>
              <w:right w:w="0" w:type="dxa"/>
            </w:tcMar>
            <w:vAlign w:val="center"/>
          </w:tcPr>
          <w:p>
            <w:pPr>
              <w:pStyle w:val="Normal87"/>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noProof/>
                <w:color w:val="000000"/>
                <w:sz w:val="16"/>
              </w:rPr>
            </w:pPr>
            <w:r>
              <w:rPr>
                <w:rFonts w:ascii="Arial" w:hAnsi="Arial"/>
                <w:noProof/>
                <w:color w:val="000000"/>
                <w:sz w:val="16"/>
              </w:rPr>
              <w:t>Valstybės institucijos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26 908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1 686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28 594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1 %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vMerge/>
            <w:tcBorders>
              <w:top w:val="nil"/>
              <w:left w:val="nil"/>
              <w:bottom w:val="nil"/>
              <w:right w:val="nil"/>
              <w:tl2br w:val="nil"/>
              <w:tr2bl w:val="nil"/>
            </w:tcBorders>
            <w:shd w:val="clear" w:color="auto" w:fill="auto"/>
            <w:tcMar>
              <w:left w:w="0" w:type="dxa"/>
              <w:right w:w="0" w:type="dxa"/>
            </w:tcMar>
            <w:vAlign w:val="center"/>
          </w:tcPr>
          <w:p>
            <w:pPr>
              <w:pStyle w:val="Normal87"/>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noProof/>
                <w:color w:val="000000"/>
                <w:sz w:val="16"/>
              </w:rPr>
            </w:pPr>
            <w:r>
              <w:rPr>
                <w:rFonts w:ascii="Arial" w:hAnsi="Arial"/>
                <w:noProof/>
                <w:color w:val="000000"/>
                <w:sz w:val="16"/>
              </w:rPr>
              <w:t>Valstybės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6 285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4 486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422 057</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432 828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15 %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nil"/>
              <w:left w:val="nil"/>
              <w:bottom w:val="nil"/>
              <w:right w:val="nil"/>
              <w:tl2br w:val="nil"/>
              <w:tr2bl w:val="nil"/>
            </w:tcBorders>
            <w:shd w:val="clear" w:color="FFFFFF" w:fill="BFBFBF"/>
            <w:noWrap/>
            <w:tcMar>
              <w:left w:w="40" w:type="dxa"/>
              <w:right w:w="40" w:type="dxa"/>
            </w:tcMar>
            <w:vAlign w:val="center"/>
          </w:tcPr>
          <w:p>
            <w:pPr>
              <w:pStyle w:val="Normal87"/>
              <w:rPr>
                <w:rFonts w:ascii="Arial" w:eastAsia="Arial" w:hAnsi="Arial" w:cs="Arial"/>
                <w:b/>
                <w:noProof/>
                <w:color w:val="000000"/>
                <w:sz w:val="16"/>
              </w:rPr>
            </w:pPr>
            <w:r>
              <w:rPr>
                <w:rFonts w:ascii="Arial" w:hAnsi="Arial"/>
                <w:b/>
                <w:noProof/>
                <w:color w:val="000000"/>
                <w:sz w:val="16"/>
              </w:rPr>
              <w:t>Iš viso</w:t>
            </w:r>
          </w:p>
        </w:tc>
        <w:tc>
          <w:tcPr>
            <w:tcW w:w="1350" w:type="dxa"/>
            <w:tcBorders>
              <w:top w:val="nil"/>
              <w:left w:val="nil"/>
              <w:bottom w:val="nil"/>
              <w:right w:val="nil"/>
              <w:tl2br w:val="nil"/>
              <w:tr2bl w:val="nil"/>
            </w:tcBorders>
            <w:shd w:val="clear" w:color="FFFFFF" w:fill="BFBFBF"/>
            <w:noWrap/>
            <w:tcMar>
              <w:left w:w="0" w:type="dxa"/>
              <w:right w:w="0" w:type="dxa"/>
            </w:tcMar>
            <w:vAlign w:val="center"/>
          </w:tcPr>
          <w:p>
            <w:pPr>
              <w:pStyle w:val="Normal87"/>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334 187</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302 118</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340 327</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1 764 483</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97 611</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2 838 726</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100 %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96"/>
        </w:trPr>
        <w:tc>
          <w:tcPr>
            <w:tcW w:w="4725" w:type="dxa"/>
            <w:gridSpan w:val="4"/>
            <w:tcBorders>
              <w:top w:val="nil"/>
              <w:left w:val="nil"/>
              <w:bottom w:val="nil"/>
              <w:right w:val="nil"/>
              <w:tl2br w:val="nil"/>
              <w:tr2bl w:val="nil"/>
            </w:tcBorders>
            <w:shd w:val="clear" w:color="auto" w:fill="auto"/>
            <w:noWrap/>
            <w:tcMar>
              <w:left w:w="0" w:type="dxa"/>
              <w:right w:w="0" w:type="dxa"/>
            </w:tcMar>
          </w:tcPr>
          <w:p>
            <w:pPr>
              <w:pStyle w:val="Normal87"/>
              <w:rPr>
                <w:rFonts w:ascii="Arial" w:eastAsia="Arial" w:hAnsi="Arial" w:cs="Arial"/>
                <w:noProof/>
                <w:color w:val="000000"/>
                <w:sz w:val="20"/>
              </w:rPr>
            </w:pPr>
            <w:r>
              <w:rPr>
                <w:rFonts w:ascii="Arial" w:hAnsi="Arial"/>
                <w:noProof/>
                <w:color w:val="000000"/>
                <w:sz w:val="16"/>
              </w:rPr>
              <w:t>* Skolinimo operacijos, vertinamos tikrąja verte, kurios pokyčiai pripažįstami pelnu arba nuostoliais</w:t>
            </w: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4725" w:type="dxa"/>
            <w:gridSpan w:val="4"/>
            <w:tcBorders>
              <w:top w:val="nil"/>
              <w:left w:val="nil"/>
              <w:bottom w:val="single" w:sz="4" w:space="0" w:color="000000"/>
              <w:right w:val="nil"/>
              <w:tl2br w:val="nil"/>
              <w:tr2bl w:val="nil"/>
            </w:tcBorders>
            <w:shd w:val="clear" w:color="auto" w:fill="auto"/>
            <w:noWrap/>
            <w:tcMar>
              <w:left w:w="0" w:type="dxa"/>
              <w:right w:w="0" w:type="dxa"/>
            </w:tcMar>
          </w:tcPr>
          <w:p>
            <w:pPr>
              <w:pStyle w:val="Normal87"/>
              <w:rPr>
                <w:rFonts w:ascii="Arial" w:eastAsia="Arial" w:hAnsi="Arial" w:cs="Arial"/>
                <w:noProof/>
                <w:color w:val="000000"/>
                <w:sz w:val="16"/>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b/>
                <w:noProof/>
                <w:color w:val="000000"/>
                <w:sz w:val="16"/>
              </w:rPr>
            </w:pPr>
            <w:r>
              <w:rPr>
                <w:rFonts w:ascii="Arial" w:hAnsi="Arial"/>
                <w:b/>
                <w:noProof/>
                <w:color w:val="000000"/>
                <w:sz w:val="16"/>
              </w:rPr>
              <w:t>2018 12 31</w:t>
            </w:r>
          </w:p>
        </w:tc>
        <w:tc>
          <w:tcPr>
            <w:tcW w:w="1350" w:type="dxa"/>
            <w:tcBorders>
              <w:top w:val="single" w:sz="4" w:space="0" w:color="000000"/>
              <w:left w:val="nil"/>
              <w:bottom w:val="nil"/>
              <w:right w:val="nil"/>
              <w:tl2br w:val="nil"/>
              <w:tr2bl w:val="nil"/>
            </w:tcBorders>
            <w:shd w:val="clear" w:color="auto" w:fill="auto"/>
            <w:noWrap/>
            <w:tcMar>
              <w:left w:w="0" w:type="dxa"/>
              <w:right w:w="0" w:type="dxa"/>
            </w:tcMar>
            <w:vAlign w:val="center"/>
          </w:tcPr>
          <w:p>
            <w:pPr>
              <w:pStyle w:val="Normal87"/>
              <w:rPr>
                <w:rFonts w:ascii="Arial" w:eastAsia="Arial" w:hAnsi="Arial" w:cs="Arial"/>
                <w:noProof/>
                <w:color w:val="000000"/>
                <w:sz w:val="16"/>
              </w:rPr>
            </w:pP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Aukštas reitingas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Standartinis reitingas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Mažiausia priimtina rizika</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Didelė rizika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Be reitingo</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Iš viso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Iš viso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nil"/>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b/>
                <w:noProof/>
                <w:color w:val="000000"/>
                <w:sz w:val="16"/>
              </w:rPr>
            </w:pPr>
            <w:r>
              <w:rPr>
                <w:rFonts w:ascii="Arial" w:hAnsi="Arial"/>
                <w:b/>
                <w:noProof/>
                <w:color w:val="000000"/>
                <w:sz w:val="16"/>
              </w:rPr>
              <w:t>tūkst. EUR</w:t>
            </w:r>
          </w:p>
        </w:tc>
        <w:tc>
          <w:tcPr>
            <w:tcW w:w="1350" w:type="dxa"/>
            <w:tcBorders>
              <w:top w:val="nil"/>
              <w:left w:val="nil"/>
              <w:bottom w:val="nil"/>
              <w:right w:val="nil"/>
              <w:tl2br w:val="nil"/>
              <w:tr2bl w:val="nil"/>
            </w:tcBorders>
            <w:shd w:val="clear" w:color="auto" w:fill="auto"/>
            <w:noWrap/>
            <w:tcMar>
              <w:left w:w="0" w:type="dxa"/>
              <w:right w:w="0" w:type="dxa"/>
            </w:tcMar>
            <w:vAlign w:val="center"/>
          </w:tcPr>
          <w:p>
            <w:pPr>
              <w:pStyle w:val="Normal87"/>
              <w:jc w:val="center"/>
              <w:rPr>
                <w:rFonts w:ascii="Arial" w:eastAsia="Arial" w:hAnsi="Arial" w:cs="Arial"/>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1275"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87"/>
              <w:rPr>
                <w:rFonts w:ascii="Arial" w:eastAsia="Arial" w:hAnsi="Arial" w:cs="Arial"/>
                <w:noProof/>
                <w:color w:val="000000"/>
                <w:sz w:val="16"/>
              </w:rPr>
            </w:pPr>
          </w:p>
        </w:tc>
        <w:tc>
          <w:tcPr>
            <w:tcW w:w="135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87"/>
              <w:rPr>
                <w:rFonts w:ascii="Arial" w:eastAsia="Arial" w:hAnsi="Arial" w:cs="Arial"/>
                <w:noProof/>
                <w:color w:val="000000"/>
                <w:sz w:val="16"/>
              </w:rPr>
            </w:pP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Nuo A iki B- </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C </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D+ </w:t>
            </w:r>
          </w:p>
        </w:tc>
        <w:tc>
          <w:tcPr>
            <w:tcW w:w="10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D- ir žemesnis</w:t>
            </w: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87"/>
              <w:rPr>
                <w:rFonts w:ascii="Arial" w:eastAsia="Arial" w:hAnsi="Arial" w:cs="Arial"/>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rPr>
                <w:rFonts w:ascii="Arial" w:eastAsia="Arial" w:hAnsi="Arial" w:cs="Arial"/>
                <w:noProof/>
                <w:color w:val="000000"/>
                <w:sz w:val="16"/>
              </w:rPr>
            </w:pPr>
            <w:r>
              <w:rPr>
                <w:rFonts w:ascii="Arial" w:hAnsi="Arial"/>
                <w:noProof/>
                <w:color w:val="000000"/>
                <w:sz w:val="16"/>
              </w:rPr>
              <w:t>Skolininkas</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noProof/>
                <w:color w:val="000000"/>
                <w:sz w:val="16"/>
              </w:rPr>
            </w:pPr>
            <w:r>
              <w:rPr>
                <w:rFonts w:ascii="Arial" w:hAnsi="Arial"/>
                <w:noProof/>
                <w:color w:val="000000"/>
                <w:sz w:val="16"/>
              </w:rPr>
              <w:t>Bankai</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232 467</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238 619</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349 756</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698 562</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1 519 404</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54 %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nil"/>
              <w:left w:val="nil"/>
              <w:bottom w:val="nil"/>
              <w:right w:val="nil"/>
              <w:tl2br w:val="nil"/>
              <w:tr2bl w:val="nil"/>
            </w:tcBorders>
            <w:shd w:val="clear" w:color="auto" w:fill="auto"/>
            <w:tcMar>
              <w:left w:w="0" w:type="dxa"/>
              <w:right w:w="0" w:type="dxa"/>
            </w:tcMar>
            <w:vAlign w:val="center"/>
          </w:tcPr>
          <w:p>
            <w:pPr>
              <w:pStyle w:val="Normal87"/>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noProof/>
                <w:color w:val="000000"/>
                <w:sz w:val="16"/>
              </w:rPr>
            </w:pPr>
            <w:r>
              <w:rPr>
                <w:rFonts w:ascii="Arial" w:hAnsi="Arial"/>
                <w:noProof/>
                <w:color w:val="000000"/>
                <w:sz w:val="16"/>
              </w:rPr>
              <w:t>Bendrovės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103 845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7 564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744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693 100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50 000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855 253</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31 %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vMerge w:val="restart"/>
            <w:tcBorders>
              <w:top w:val="nil"/>
              <w:left w:val="nil"/>
              <w:bottom w:val="nil"/>
              <w:right w:val="nil"/>
              <w:tl2br w:val="nil"/>
              <w:tr2bl w:val="nil"/>
            </w:tcBorders>
            <w:shd w:val="clear" w:color="auto" w:fill="auto"/>
            <w:tcMar>
              <w:left w:w="0" w:type="dxa"/>
              <w:right w:w="0" w:type="dxa"/>
            </w:tcMar>
            <w:vAlign w:val="center"/>
          </w:tcPr>
          <w:p>
            <w:pPr>
              <w:pStyle w:val="Normal87"/>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noProof/>
                <w:color w:val="000000"/>
                <w:sz w:val="16"/>
              </w:rPr>
            </w:pPr>
            <w:r>
              <w:rPr>
                <w:rFonts w:ascii="Arial" w:hAnsi="Arial"/>
                <w:noProof/>
                <w:color w:val="000000"/>
                <w:sz w:val="16"/>
              </w:rPr>
              <w:t>Valstybės institucijos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29 182</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2 994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32 176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1 %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vMerge/>
            <w:tcBorders>
              <w:top w:val="nil"/>
              <w:left w:val="nil"/>
              <w:bottom w:val="nil"/>
              <w:right w:val="nil"/>
              <w:tl2br w:val="nil"/>
              <w:tr2bl w:val="nil"/>
            </w:tcBorders>
            <w:shd w:val="clear" w:color="auto" w:fill="auto"/>
            <w:tcMar>
              <w:left w:w="0" w:type="dxa"/>
              <w:right w:w="0" w:type="dxa"/>
            </w:tcMar>
            <w:vAlign w:val="center"/>
          </w:tcPr>
          <w:p>
            <w:pPr>
              <w:pStyle w:val="Normal87"/>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noProof/>
                <w:color w:val="000000"/>
                <w:sz w:val="16"/>
              </w:rPr>
            </w:pPr>
            <w:r>
              <w:rPr>
                <w:rFonts w:ascii="Arial" w:hAnsi="Arial"/>
                <w:noProof/>
                <w:color w:val="000000"/>
                <w:sz w:val="16"/>
              </w:rPr>
              <w:t>Valstybės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4 786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7 681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381 801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394 268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14 %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nil"/>
              <w:left w:val="nil"/>
              <w:bottom w:val="nil"/>
              <w:right w:val="nil"/>
              <w:tl2br w:val="nil"/>
              <w:tr2bl w:val="nil"/>
            </w:tcBorders>
            <w:shd w:val="clear" w:color="FFFFFF" w:fill="BFBFBF"/>
            <w:noWrap/>
            <w:tcMar>
              <w:left w:w="40" w:type="dxa"/>
              <w:right w:w="40" w:type="dxa"/>
            </w:tcMar>
            <w:vAlign w:val="center"/>
          </w:tcPr>
          <w:p>
            <w:pPr>
              <w:pStyle w:val="Normal87"/>
              <w:rPr>
                <w:rFonts w:ascii="Arial" w:eastAsia="Arial" w:hAnsi="Arial" w:cs="Arial"/>
                <w:b/>
                <w:noProof/>
                <w:color w:val="000000"/>
                <w:sz w:val="16"/>
              </w:rPr>
            </w:pPr>
            <w:r>
              <w:rPr>
                <w:rFonts w:ascii="Arial" w:hAnsi="Arial"/>
                <w:b/>
                <w:noProof/>
                <w:color w:val="000000"/>
                <w:sz w:val="16"/>
              </w:rPr>
              <w:t>Iš viso</w:t>
            </w:r>
          </w:p>
        </w:tc>
        <w:tc>
          <w:tcPr>
            <w:tcW w:w="1350" w:type="dxa"/>
            <w:tcBorders>
              <w:top w:val="nil"/>
              <w:left w:val="nil"/>
              <w:bottom w:val="nil"/>
              <w:right w:val="nil"/>
              <w:tl2br w:val="nil"/>
              <w:tr2bl w:val="nil"/>
            </w:tcBorders>
            <w:shd w:val="clear" w:color="FFFFFF" w:fill="BFBFBF"/>
            <w:noWrap/>
            <w:tcMar>
              <w:left w:w="0" w:type="dxa"/>
              <w:right w:w="0" w:type="dxa"/>
            </w:tcMar>
            <w:vAlign w:val="center"/>
          </w:tcPr>
          <w:p>
            <w:pPr>
              <w:pStyle w:val="Normal87"/>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336 312</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250 969</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387 363</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1 776 457</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50 000</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2 801 101</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100 %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675" w:type="dxa"/>
            <w:gridSpan w:val="3"/>
            <w:tcBorders>
              <w:top w:val="nil"/>
              <w:left w:val="nil"/>
              <w:bottom w:val="nil"/>
              <w:right w:val="nil"/>
              <w:tl2br w:val="nil"/>
              <w:tr2bl w:val="nil"/>
            </w:tcBorders>
            <w:shd w:val="clear" w:color="auto" w:fill="auto"/>
            <w:tcMar>
              <w:left w:w="40" w:type="dxa"/>
              <w:right w:w="40" w:type="dxa"/>
            </w:tcMar>
            <w:vAlign w:val="center"/>
          </w:tcPr>
          <w:p>
            <w:pPr>
              <w:pStyle w:val="Normal87"/>
              <w:rPr>
                <w:rFonts w:ascii="Arial" w:eastAsia="Arial" w:hAnsi="Arial" w:cs="Arial"/>
                <w:noProof/>
                <w:color w:val="000000"/>
                <w:sz w:val="16"/>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Calibri" w:eastAsia="Calibri" w:hAnsi="Calibri" w:cs="Calibri"/>
                <w:noProof/>
                <w:color w:val="000000"/>
                <w:sz w:val="22"/>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Calibri" w:eastAsia="Calibri" w:hAnsi="Calibri" w:cs="Calibri"/>
                <w:noProof/>
                <w:color w:val="000000"/>
                <w:sz w:val="22"/>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Calibri" w:eastAsia="Calibri" w:hAnsi="Calibri" w:cs="Calibri"/>
                <w:noProof/>
                <w:color w:val="000000"/>
                <w:sz w:val="22"/>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Calibri" w:eastAsia="Calibri" w:hAnsi="Calibri" w:cs="Calibri"/>
                <w:noProof/>
                <w:color w:val="000000"/>
                <w:sz w:val="22"/>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Calibri" w:eastAsia="Calibri" w:hAnsi="Calibri" w:cs="Calibri"/>
                <w:noProof/>
                <w:color w:val="000000"/>
                <w:sz w:val="22"/>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Calibri" w:eastAsia="Calibri" w:hAnsi="Calibri" w:cs="Calibri"/>
                <w:noProof/>
                <w:color w:val="000000"/>
                <w:sz w:val="22"/>
              </w:rPr>
            </w:pPr>
          </w:p>
        </w:tc>
      </w:tr>
    </w:tbl>
    <w:p>
      <w:pPr>
        <w:pStyle w:val="Notes11"/>
        <w:pageBreakBefore/>
        <w:numPr>
          <w:ilvl w:val="3"/>
          <w:numId w:val="71"/>
        </w:numPr>
        <w:tabs>
          <w:tab w:val="clear" w:pos="4320"/>
          <w:tab w:val="clear" w:pos="8640"/>
          <w:tab w:val="right" w:pos="-2700"/>
          <w:tab w:val="right" w:pos="720"/>
        </w:tabs>
        <w:spacing w:before="60" w:after="0"/>
        <w:ind w:left="794" w:hanging="794"/>
        <w:rPr>
          <w:bCs/>
          <w:noProof/>
          <w:sz w:val="16"/>
          <w:szCs w:val="16"/>
        </w:rPr>
      </w:pPr>
      <w:r>
        <w:rPr>
          <w:noProof/>
          <w:sz w:val="16"/>
          <w:szCs w:val="16"/>
        </w:rPr>
        <w:t>Paskolų ir išankstinių mokėjimų rizikos koncentracija</w:t>
      </w:r>
    </w:p>
    <w:p>
      <w:pPr>
        <w:pStyle w:val="Notes11"/>
        <w:tabs>
          <w:tab w:val="clear" w:pos="4320"/>
          <w:tab w:val="clear" w:pos="8640"/>
          <w:tab w:val="right" w:pos="-2700"/>
          <w:tab w:val="right" w:pos="720"/>
        </w:tabs>
        <w:spacing w:before="0" w:after="60"/>
        <w:ind w:left="0" w:firstLine="0"/>
        <w:rPr>
          <w:bCs/>
          <w:noProof/>
          <w:sz w:val="16"/>
          <w:szCs w:val="16"/>
        </w:rPr>
      </w:pPr>
    </w:p>
    <w:p>
      <w:pPr>
        <w:pStyle w:val="Notes11"/>
        <w:numPr>
          <w:ilvl w:val="4"/>
          <w:numId w:val="71"/>
        </w:numPr>
        <w:tabs>
          <w:tab w:val="clear" w:pos="4320"/>
          <w:tab w:val="clear" w:pos="8640"/>
          <w:tab w:val="right" w:pos="-2700"/>
          <w:tab w:val="left" w:pos="993"/>
        </w:tabs>
        <w:spacing w:before="60" w:after="0"/>
        <w:ind w:left="1077" w:hanging="1077"/>
        <w:rPr>
          <w:noProof/>
          <w:sz w:val="16"/>
          <w:szCs w:val="16"/>
        </w:rPr>
      </w:pPr>
      <w:r>
        <w:rPr>
          <w:noProof/>
          <w:sz w:val="16"/>
          <w:szCs w:val="16"/>
        </w:rPr>
        <w:t>Geografinė analizė</w:t>
      </w:r>
    </w:p>
    <w:p>
      <w:pPr>
        <w:pStyle w:val="Notes11"/>
        <w:tabs>
          <w:tab w:val="clear" w:pos="4320"/>
          <w:tab w:val="clear" w:pos="8640"/>
          <w:tab w:val="right" w:pos="-2700"/>
        </w:tabs>
        <w:spacing w:before="0" w:after="60"/>
        <w:ind w:left="0" w:firstLine="0"/>
        <w:rPr>
          <w:b w:val="0"/>
          <w:noProof/>
          <w:sz w:val="16"/>
          <w:szCs w:val="16"/>
        </w:rPr>
      </w:pPr>
    </w:p>
    <w:p>
      <w:pPr>
        <w:pStyle w:val="Notes11"/>
        <w:tabs>
          <w:tab w:val="clear" w:pos="4320"/>
          <w:tab w:val="clear" w:pos="8640"/>
          <w:tab w:val="right" w:pos="-2700"/>
        </w:tabs>
        <w:spacing w:before="60" w:after="60"/>
        <w:ind w:left="0" w:firstLine="0"/>
        <w:rPr>
          <w:b w:val="0"/>
          <w:noProof/>
          <w:sz w:val="16"/>
          <w:szCs w:val="16"/>
        </w:rPr>
      </w:pPr>
      <w:r>
        <w:rPr>
          <w:b w:val="0"/>
          <w:noProof/>
          <w:sz w:val="16"/>
          <w:szCs w:val="16"/>
        </w:rPr>
        <w:t>Atsižvelgiant į skolininko šalį, Priemonės paskolų portfelį galima analizuoti pagal toliau nurodytus geografinius regionus (tūkst. EUR).</w:t>
      </w:r>
    </w:p>
    <w:p>
      <w:pPr>
        <w:pStyle w:val="Notes11"/>
        <w:tabs>
          <w:tab w:val="clear" w:pos="4320"/>
          <w:tab w:val="clear" w:pos="8640"/>
          <w:tab w:val="right" w:pos="-2700"/>
        </w:tabs>
        <w:spacing w:before="60" w:after="60"/>
        <w:ind w:left="0" w:firstLine="0"/>
        <w:rPr>
          <w:b w:val="0"/>
          <w:noProof/>
          <w:sz w:val="16"/>
          <w:szCs w:val="16"/>
        </w:rPr>
      </w:pPr>
      <w:r>
        <w:rPr>
          <w:noProof/>
        </w:rPr>
        <w:t xml:space="preserve"> </w:t>
      </w:r>
    </w:p>
    <w:tbl>
      <w:tblPr>
        <w:tblStyle w:val="CDMRange22"/>
        <w:tblW w:w="9975" w:type="dxa"/>
        <w:tblLayout w:type="fixed"/>
        <w:tblLook w:val="0600" w:firstRow="0" w:lastRow="0" w:firstColumn="0" w:lastColumn="0" w:noHBand="1" w:noVBand="1"/>
      </w:tblPr>
      <w:tblGrid>
        <w:gridCol w:w="6975"/>
        <w:gridCol w:w="1500"/>
        <w:gridCol w:w="1500"/>
      </w:tblGrid>
      <w:tr>
        <w:trPr>
          <w:trHeight w:val="29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9"/>
              <w:rPr>
                <w:rFonts w:ascii="Arial" w:eastAsia="Arial" w:hAnsi="Arial" w:cs="Arial"/>
                <w:b/>
                <w:noProof/>
                <w:color w:val="000000"/>
                <w:sz w:val="16"/>
              </w:rPr>
            </w:pPr>
            <w:r>
              <w:rPr>
                <w:rFonts w:ascii="Arial" w:hAnsi="Arial"/>
                <w:b/>
                <w:noProof/>
                <w:color w:val="000000"/>
                <w:sz w:val="16"/>
              </w:rPr>
              <w:t>Skolininko šalis</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9"/>
              <w:jc w:val="right"/>
              <w:rPr>
                <w:rFonts w:ascii="Arial" w:eastAsia="Arial" w:hAnsi="Arial" w:cs="Arial"/>
                <w:b/>
                <w:noProof/>
                <w:color w:val="000000"/>
                <w:sz w:val="16"/>
              </w:rPr>
            </w:pPr>
            <w:r>
              <w:rPr>
                <w:rFonts w:ascii="Arial" w:hAnsi="Arial"/>
                <w:b/>
                <w:noProof/>
                <w:color w:val="000000"/>
                <w:sz w:val="16"/>
              </w:rPr>
              <w:t>2019 12 31</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9"/>
              <w:jc w:val="right"/>
              <w:rPr>
                <w:rFonts w:ascii="Arial" w:eastAsia="Arial" w:hAnsi="Arial" w:cs="Arial"/>
                <w:b/>
                <w:noProof/>
                <w:color w:val="000000"/>
                <w:sz w:val="16"/>
              </w:rPr>
            </w:pPr>
            <w:r>
              <w:rPr>
                <w:rFonts w:ascii="Arial" w:hAnsi="Arial"/>
                <w:b/>
                <w:noProof/>
                <w:color w:val="000000"/>
                <w:sz w:val="16"/>
              </w:rPr>
              <w:t>2018 12 31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Kenija</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230 837</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233 269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Nigerija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179 499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172 515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Egiptas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101 316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74 431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Tanzanija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96 640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124 718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Mauricijus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96 014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133 132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Barbadosas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75 342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74 638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Kongo Demokratinė Respublika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66 754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62 708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Uganda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64 882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81 766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Etiopija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62 005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55 215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Mauritanija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49 139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50 727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Ruanda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48 839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28 704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Dominikos Respublika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45 393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54 326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Naujoji Kaledonija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43 980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21 124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Zambija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43 036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17 700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Senegalas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42 750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18 330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Jamaika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33 436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72 165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Kamerūnas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32 238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14 784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Gana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31 635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39 246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Malavis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21 800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26 827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Gvinėja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20 399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Angola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19 269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20 651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Togas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18 022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30 634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Žaliasis Kyšulys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17 226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18 923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AKR regionas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14 674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24 335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Mozambikas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12 709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14 719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Prancūzijos Polinezija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12 556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17 453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Kaimanų Salos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12 203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13 213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Nigeris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5 399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9 655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Malis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4 234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4 767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Seišeliai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4 201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4 786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Haitis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3 345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4 748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Samoa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3 036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3 986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Burkina Fasas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1 861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4 649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Vanuatu</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1 527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1 848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Botsvana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1 004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7 278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Palau</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768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1 107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Mikronezija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648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759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Beninas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59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Liberija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1 153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Pietų Afrika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BFBFBF"/>
            <w:tcMar>
              <w:left w:w="40" w:type="dxa"/>
              <w:right w:w="40" w:type="dxa"/>
            </w:tcMar>
            <w:vAlign w:val="center"/>
          </w:tcPr>
          <w:p>
            <w:pPr>
              <w:pStyle w:val="Normal89"/>
              <w:rPr>
                <w:rFonts w:ascii="Arial" w:eastAsia="Arial" w:hAnsi="Arial" w:cs="Arial"/>
                <w:b/>
                <w:noProof/>
                <w:color w:val="000000"/>
                <w:sz w:val="16"/>
              </w:rPr>
            </w:pPr>
            <w:r>
              <w:rPr>
                <w:rFonts w:ascii="Arial" w:hAnsi="Arial"/>
                <w:b/>
                <w:noProof/>
                <w:color w:val="000000"/>
                <w:sz w:val="16"/>
              </w:rPr>
              <w:t>Iš viso</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89"/>
              <w:jc w:val="right"/>
              <w:rPr>
                <w:rFonts w:ascii="Arial" w:eastAsia="Arial" w:hAnsi="Arial" w:cs="Arial"/>
                <w:b/>
                <w:noProof/>
                <w:color w:val="000000"/>
                <w:sz w:val="16"/>
              </w:rPr>
            </w:pPr>
            <w:r>
              <w:rPr>
                <w:rFonts w:ascii="Arial" w:hAnsi="Arial"/>
                <w:b/>
                <w:noProof/>
                <w:color w:val="000000"/>
                <w:sz w:val="16"/>
              </w:rPr>
              <w:t>1 518 675</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89"/>
              <w:jc w:val="right"/>
              <w:rPr>
                <w:rFonts w:ascii="Arial" w:eastAsia="Arial" w:hAnsi="Arial" w:cs="Arial"/>
                <w:b/>
                <w:noProof/>
                <w:color w:val="000000"/>
                <w:sz w:val="16"/>
              </w:rPr>
            </w:pPr>
            <w:r>
              <w:rPr>
                <w:rFonts w:ascii="Arial" w:hAnsi="Arial"/>
                <w:b/>
                <w:noProof/>
                <w:color w:val="000000"/>
                <w:sz w:val="16"/>
              </w:rPr>
              <w:t>1 540 991</w:t>
            </w:r>
          </w:p>
        </w:tc>
      </w:tr>
    </w:tbl>
    <w:p>
      <w:pPr>
        <w:pStyle w:val="Notes12"/>
        <w:pageBreakBefore/>
        <w:numPr>
          <w:ilvl w:val="4"/>
          <w:numId w:val="73"/>
        </w:numPr>
        <w:tabs>
          <w:tab w:val="clear" w:pos="4320"/>
          <w:tab w:val="clear" w:pos="8640"/>
          <w:tab w:val="right" w:pos="-2700"/>
          <w:tab w:val="left" w:pos="993"/>
        </w:tabs>
        <w:spacing w:before="60" w:after="0"/>
        <w:ind w:left="1168" w:hanging="1168"/>
        <w:rPr>
          <w:noProof/>
          <w:sz w:val="16"/>
          <w:szCs w:val="16"/>
        </w:rPr>
      </w:pPr>
      <w:r>
        <w:rPr>
          <w:noProof/>
          <w:sz w:val="16"/>
          <w:szCs w:val="16"/>
        </w:rPr>
        <w:t>Pramonės sektorių analizė</w:t>
      </w:r>
    </w:p>
    <w:p>
      <w:pPr>
        <w:pStyle w:val="Notes12"/>
        <w:tabs>
          <w:tab w:val="clear" w:pos="4320"/>
          <w:tab w:val="clear" w:pos="8640"/>
          <w:tab w:val="right" w:pos="-2700"/>
          <w:tab w:val="left" w:pos="993"/>
        </w:tabs>
        <w:spacing w:before="0" w:after="60"/>
        <w:ind w:left="0" w:firstLine="0"/>
        <w:rPr>
          <w:b w:val="0"/>
          <w:noProof/>
          <w:sz w:val="16"/>
          <w:szCs w:val="16"/>
        </w:rPr>
      </w:pPr>
    </w:p>
    <w:p>
      <w:pPr>
        <w:pStyle w:val="Normal902"/>
        <w:spacing w:before="60" w:after="60"/>
        <w:jc w:val="both"/>
        <w:rPr>
          <w:rFonts w:ascii="Arial" w:hAnsi="Arial"/>
          <w:noProof/>
          <w:sz w:val="16"/>
          <w:szCs w:val="16"/>
        </w:rPr>
      </w:pPr>
      <w:r>
        <w:rPr>
          <w:rFonts w:ascii="Arial" w:hAnsi="Arial"/>
          <w:noProof/>
          <w:sz w:val="16"/>
          <w:szCs w:val="16"/>
        </w:rPr>
        <w:t>Tolesnėje lentelėje Priemonės paskolų portfelis analizuojamas pagal skolininko pramonės sektorių. Operacijos, kai paskolos prieš jas išmokant galutiniam gavėjui pirma išmokamos finansų tarpininkams, parodomos eilutėje „Tretinės paslaugos ir kt.“ (tūkst. EUR).</w:t>
      </w:r>
    </w:p>
    <w:p>
      <w:pPr>
        <w:pStyle w:val="Normal902"/>
        <w:spacing w:before="60" w:after="60"/>
        <w:jc w:val="both"/>
        <w:rPr>
          <w:rFonts w:ascii="Arial" w:hAnsi="Arial" w:cs="Arial"/>
          <w:noProof/>
          <w:sz w:val="16"/>
          <w:szCs w:val="16"/>
        </w:rPr>
      </w:pPr>
      <w:r>
        <w:rPr>
          <w:noProof/>
        </w:rPr>
        <w:t xml:space="preserve"> </w:t>
      </w:r>
    </w:p>
    <w:tbl>
      <w:tblPr>
        <w:tblStyle w:val="CDMRange13"/>
        <w:tblW w:w="9975" w:type="dxa"/>
        <w:tblLayout w:type="fixed"/>
        <w:tblLook w:val="0600" w:firstRow="0" w:lastRow="0" w:firstColumn="0" w:lastColumn="0" w:noHBand="1" w:noVBand="1"/>
      </w:tblPr>
      <w:tblGrid>
        <w:gridCol w:w="6975"/>
        <w:gridCol w:w="1500"/>
        <w:gridCol w:w="1500"/>
      </w:tblGrid>
      <w:tr>
        <w:trPr>
          <w:trHeight w:val="29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1"/>
              <w:rPr>
                <w:rFonts w:ascii="Arial" w:eastAsia="Arial" w:hAnsi="Arial" w:cs="Arial"/>
                <w:b/>
                <w:noProof/>
                <w:color w:val="000000"/>
                <w:sz w:val="16"/>
              </w:rPr>
            </w:pPr>
            <w:r>
              <w:rPr>
                <w:rFonts w:ascii="Arial" w:hAnsi="Arial"/>
                <w:b/>
                <w:noProof/>
                <w:color w:val="000000"/>
                <w:sz w:val="16"/>
              </w:rPr>
              <w:t>Skolininko pramonės sektorius</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1"/>
              <w:jc w:val="right"/>
              <w:rPr>
                <w:rFonts w:ascii="Arial" w:eastAsia="Arial" w:hAnsi="Arial" w:cs="Arial"/>
                <w:b/>
                <w:noProof/>
                <w:color w:val="000000"/>
                <w:sz w:val="16"/>
              </w:rPr>
            </w:pPr>
            <w:r>
              <w:rPr>
                <w:rFonts w:ascii="Arial" w:hAnsi="Arial"/>
                <w:b/>
                <w:noProof/>
                <w:color w:val="000000"/>
                <w:sz w:val="16"/>
              </w:rPr>
              <w:t>2019 12 31</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1"/>
              <w:jc w:val="right"/>
              <w:rPr>
                <w:rFonts w:ascii="Arial" w:eastAsia="Arial" w:hAnsi="Arial" w:cs="Arial"/>
                <w:b/>
                <w:noProof/>
                <w:color w:val="000000"/>
                <w:sz w:val="16"/>
              </w:rPr>
            </w:pPr>
            <w:r>
              <w:rPr>
                <w:rFonts w:ascii="Arial" w:hAnsi="Arial"/>
                <w:b/>
                <w:noProof/>
                <w:color w:val="000000"/>
                <w:sz w:val="16"/>
              </w:rPr>
              <w:t>2018 12 31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Tretinės paslaugos ir kt.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932 901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957 602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Elektros energija, anglys ir kt.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226 314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181 317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Miestų plėtra, renovacija ir transportas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195 042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192 400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Cheminės medžiagos, plastikas ir farmacijos produktai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51 865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20 436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Žaliavos ir kasyba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44 746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45 820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Oro uostų ir oro eismo valdymo sistemos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26 908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29 182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Telekomunikacijos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21 546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26 095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Maisto grandinė</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8 355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15 386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Atliekų perdirbimas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6 812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7 564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Investicinės prekės, ilgo naudojimo prekės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4 186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Žaliavų perdirbimas, statyba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33 144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Keliai ir greitkeliai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32 043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Socialinė infrastruktūra, švietimas ir sveikatos priežiūra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FFFFFF" w:fill="BFBFBF"/>
            <w:tcMar>
              <w:left w:w="40" w:type="dxa"/>
              <w:right w:w="40" w:type="dxa"/>
            </w:tcMar>
            <w:vAlign w:val="center"/>
          </w:tcPr>
          <w:p>
            <w:pPr>
              <w:pStyle w:val="Normal91"/>
              <w:rPr>
                <w:rFonts w:ascii="Arial" w:eastAsia="Arial" w:hAnsi="Arial" w:cs="Arial"/>
                <w:b/>
                <w:noProof/>
                <w:color w:val="000000"/>
                <w:sz w:val="16"/>
              </w:rPr>
            </w:pPr>
            <w:r>
              <w:rPr>
                <w:rFonts w:ascii="Arial" w:hAnsi="Arial"/>
                <w:b/>
                <w:noProof/>
                <w:color w:val="000000"/>
                <w:sz w:val="16"/>
              </w:rPr>
              <w:t>Iš viso</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91"/>
              <w:jc w:val="right"/>
              <w:rPr>
                <w:rFonts w:ascii="Arial" w:eastAsia="Arial" w:hAnsi="Arial" w:cs="Arial"/>
                <w:b/>
                <w:noProof/>
                <w:color w:val="000000"/>
                <w:sz w:val="16"/>
              </w:rPr>
            </w:pPr>
            <w:r>
              <w:rPr>
                <w:rFonts w:ascii="Arial" w:hAnsi="Arial"/>
                <w:b/>
                <w:noProof/>
                <w:color w:val="000000"/>
                <w:sz w:val="16"/>
              </w:rPr>
              <w:t>1 518 675</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91"/>
              <w:jc w:val="right"/>
              <w:rPr>
                <w:rFonts w:ascii="Arial" w:eastAsia="Arial" w:hAnsi="Arial" w:cs="Arial"/>
                <w:b/>
                <w:noProof/>
                <w:color w:val="000000"/>
                <w:sz w:val="16"/>
              </w:rPr>
            </w:pPr>
            <w:r>
              <w:rPr>
                <w:rFonts w:ascii="Arial" w:hAnsi="Arial"/>
                <w:b/>
                <w:noProof/>
                <w:color w:val="000000"/>
                <w:sz w:val="16"/>
              </w:rPr>
              <w:t>1 540 991</w:t>
            </w:r>
          </w:p>
        </w:tc>
      </w:tr>
    </w:tbl>
    <w:p>
      <w:pPr>
        <w:pStyle w:val="Normal92"/>
        <w:spacing w:after="200" w:line="276" w:lineRule="auto"/>
        <w:rPr>
          <w:noProof/>
          <w:sz w:val="22"/>
          <w:szCs w:val="22"/>
        </w:rPr>
      </w:pPr>
    </w:p>
    <w:p>
      <w:pPr>
        <w:rPr>
          <w:rFonts w:ascii="Arial" w:hAnsi="Arial"/>
          <w:b/>
          <w:bCs/>
          <w:noProof/>
          <w:sz w:val="16"/>
          <w:szCs w:val="16"/>
        </w:rPr>
      </w:pPr>
    </w:p>
    <w:p>
      <w:pPr>
        <w:pStyle w:val="Notes11"/>
        <w:pageBreakBefore/>
        <w:numPr>
          <w:ilvl w:val="3"/>
          <w:numId w:val="71"/>
        </w:numPr>
        <w:tabs>
          <w:tab w:val="clear" w:pos="4320"/>
          <w:tab w:val="clear" w:pos="8640"/>
          <w:tab w:val="right" w:pos="-2700"/>
          <w:tab w:val="right" w:pos="720"/>
        </w:tabs>
        <w:spacing w:before="60" w:after="0"/>
        <w:ind w:left="794" w:hanging="794"/>
        <w:rPr>
          <w:noProof/>
          <w:sz w:val="16"/>
          <w:szCs w:val="16"/>
        </w:rPr>
      </w:pPr>
      <w:r>
        <w:rPr>
          <w:noProof/>
          <w:sz w:val="16"/>
          <w:szCs w:val="16"/>
        </w:rPr>
        <w:t>Kiekvieno vidaus rizikos reitingo kredito rizikos pozicija</w:t>
      </w:r>
    </w:p>
    <w:p>
      <w:pPr>
        <w:pStyle w:val="Normal92"/>
        <w:spacing w:after="60" w:line="276" w:lineRule="auto"/>
        <w:contextualSpacing/>
        <w:jc w:val="both"/>
        <w:rPr>
          <w:rFonts w:ascii="Arial" w:hAnsi="Arial"/>
          <w:noProof/>
          <w:sz w:val="16"/>
          <w:szCs w:val="16"/>
          <w:bdr w:val="none" w:sz="0" w:space="0" w:color="auto" w:frame="1"/>
        </w:rPr>
      </w:pPr>
    </w:p>
    <w:p>
      <w:pPr>
        <w:pStyle w:val="Normal902"/>
        <w:spacing w:after="60"/>
        <w:jc w:val="both"/>
        <w:rPr>
          <w:rFonts w:ascii="Arial" w:hAnsi="Arial"/>
          <w:noProof/>
          <w:sz w:val="16"/>
          <w:szCs w:val="16"/>
        </w:rPr>
      </w:pPr>
      <w:r>
        <w:rPr>
          <w:rFonts w:ascii="Arial" w:hAnsi="Arial"/>
          <w:noProof/>
          <w:sz w:val="16"/>
          <w:szCs w:val="16"/>
        </w:rPr>
        <w:t>Taikant Priemonę naudojama vidaus reitingo metodika, atitinkanti vidaus reitingais grindžiamą metodą pagal sistemą „Bazelis III“. Daugumai Priemonės sandorio šalių pagal šią metodiką buvo suteiktas vidaus reitingas. Toliau pateikiamoje lentelėje parodytas Priemonės paskolų portfelio pasiskirstymas pagal geresnius skolininko arba garanto vidaus reitingus, jei tokių yra. Tais atvejais, kai vidaus reitingo nėra, atliekant šią analizę buvo naudojamas išorės reitingas.</w:t>
      </w:r>
    </w:p>
    <w:p>
      <w:pPr>
        <w:pStyle w:val="Normal902"/>
        <w:spacing w:after="60"/>
        <w:jc w:val="both"/>
        <w:rPr>
          <w:rFonts w:ascii="Arial" w:hAnsi="Arial"/>
          <w:noProof/>
          <w:sz w:val="16"/>
          <w:szCs w:val="16"/>
          <w:bdr w:val="none" w:sz="0" w:space="0" w:color="auto" w:frame="1"/>
        </w:rPr>
      </w:pPr>
    </w:p>
    <w:tbl>
      <w:tblPr>
        <w:tblStyle w:val="CDMRange23"/>
        <w:tblpPr w:leftFromText="180" w:rightFromText="180" w:vertAnchor="text" w:horzAnchor="margin" w:tblpY="516"/>
        <w:tblW w:w="5000" w:type="pct"/>
        <w:tblLayout w:type="fixed"/>
        <w:tblLook w:val="0600" w:firstRow="0" w:lastRow="0" w:firstColumn="0" w:lastColumn="0" w:noHBand="1" w:noVBand="1"/>
      </w:tblPr>
      <w:tblGrid>
        <w:gridCol w:w="2832"/>
        <w:gridCol w:w="997"/>
        <w:gridCol w:w="939"/>
        <w:gridCol w:w="1096"/>
        <w:gridCol w:w="960"/>
        <w:gridCol w:w="960"/>
        <w:gridCol w:w="960"/>
        <w:gridCol w:w="935"/>
      </w:tblGrid>
      <w:tr>
        <w:trPr>
          <w:trHeight w:hRule="exact" w:val="113"/>
        </w:trPr>
        <w:tc>
          <w:tcPr>
            <w:tcW w:w="1463" w:type="pct"/>
            <w:tcBorders>
              <w:left w:val="nil"/>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c>
          <w:tcPr>
            <w:tcW w:w="515" w:type="pct"/>
            <w:tcBorders>
              <w:left w:val="nil"/>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b/>
                <w:noProof/>
                <w:sz w:val="16"/>
                <w:szCs w:val="16"/>
                <w:bdr w:val="none" w:sz="0" w:space="0" w:color="auto" w:frame="1"/>
              </w:rPr>
            </w:pPr>
          </w:p>
        </w:tc>
        <w:tc>
          <w:tcPr>
            <w:tcW w:w="3023" w:type="pct"/>
            <w:gridSpan w:val="6"/>
            <w:tcBorders>
              <w:left w:val="nil"/>
              <w:bottom w:val="single" w:sz="4" w:space="0" w:color="000000"/>
              <w:right w:val="nil"/>
              <w:tl2br w:val="nil"/>
              <w:tr2bl w:val="nil"/>
            </w:tcBorders>
            <w:shd w:val="clear" w:color="auto" w:fill="auto"/>
            <w:noWrap/>
            <w:tcMar>
              <w:left w:w="40" w:type="dxa"/>
              <w:right w:w="40" w:type="dxa"/>
            </w:tcMar>
            <w:vAlign w:val="bottom"/>
          </w:tcPr>
          <w:p>
            <w:pPr>
              <w:pStyle w:val="Normal92"/>
              <w:spacing w:line="276" w:lineRule="auto"/>
              <w:contextualSpacing/>
              <w:jc w:val="center"/>
              <w:rPr>
                <w:rFonts w:ascii="Arial" w:hAnsi="Arial"/>
                <w:b/>
                <w:noProof/>
                <w:sz w:val="16"/>
                <w:szCs w:val="16"/>
                <w:bdr w:val="none" w:sz="0" w:space="0" w:color="auto" w:frame="1"/>
              </w:rPr>
            </w:pPr>
          </w:p>
        </w:tc>
      </w:tr>
      <w:tr>
        <w:trPr>
          <w:trHeight w:hRule="exact" w:val="290"/>
        </w:trPr>
        <w:tc>
          <w:tcPr>
            <w:tcW w:w="1463" w:type="pct"/>
            <w:tcBorders>
              <w:left w:val="nil"/>
              <w:bottom w:val="single" w:sz="4" w:space="0" w:color="000000"/>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c>
          <w:tcPr>
            <w:tcW w:w="515" w:type="pct"/>
            <w:tcBorders>
              <w:left w:val="nil"/>
              <w:bottom w:val="single" w:sz="4" w:space="0" w:color="000000"/>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b/>
                <w:noProof/>
                <w:sz w:val="16"/>
                <w:szCs w:val="16"/>
                <w:bdr w:val="none" w:sz="0" w:space="0" w:color="auto" w:frame="1"/>
              </w:rPr>
            </w:pPr>
          </w:p>
        </w:tc>
        <w:tc>
          <w:tcPr>
            <w:tcW w:w="3023" w:type="pct"/>
            <w:gridSpan w:val="6"/>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pStyle w:val="Normal92"/>
              <w:spacing w:line="276" w:lineRule="auto"/>
              <w:contextualSpacing/>
              <w:jc w:val="center"/>
              <w:rPr>
                <w:rFonts w:ascii="Arial" w:hAnsi="Arial"/>
                <w:b/>
                <w:noProof/>
                <w:sz w:val="16"/>
                <w:szCs w:val="16"/>
                <w:bdr w:val="none" w:sz="0" w:space="0" w:color="auto" w:frame="1"/>
              </w:rPr>
            </w:pPr>
            <w:r>
              <w:rPr>
                <w:rFonts w:ascii="Arial" w:hAnsi="Arial"/>
                <w:b/>
                <w:noProof/>
                <w:sz w:val="16"/>
                <w:szCs w:val="16"/>
                <w:bdr w:val="none" w:sz="0" w:space="0" w:color="auto" w:frame="1"/>
              </w:rPr>
              <w:t>2019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146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2"/>
              <w:spacing w:after="120" w:line="276" w:lineRule="auto"/>
              <w:contextualSpacing/>
              <w:jc w:val="both"/>
              <w:rPr>
                <w:rFonts w:ascii="Arial" w:hAnsi="Arial"/>
                <w:b/>
                <w:noProof/>
                <w:sz w:val="12"/>
                <w:szCs w:val="12"/>
                <w:bdr w:val="none" w:sz="0" w:space="0" w:color="auto" w:frame="1"/>
              </w:rPr>
            </w:pPr>
            <w:r>
              <w:rPr>
                <w:rFonts w:ascii="Arial" w:hAnsi="Arial"/>
                <w:b/>
                <w:noProof/>
                <w:sz w:val="12"/>
                <w:szCs w:val="12"/>
                <w:bdr w:val="none" w:sz="0" w:space="0" w:color="auto" w:frame="1"/>
              </w:rPr>
              <w:t>tūkst. EUR</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bottom"/>
          </w:tcPr>
          <w:p>
            <w:pPr>
              <w:pStyle w:val="Normal92"/>
              <w:spacing w:after="120" w:line="276" w:lineRule="auto"/>
              <w:contextualSpacing/>
              <w:jc w:val="both"/>
              <w:rPr>
                <w:rFonts w:ascii="Arial" w:hAnsi="Arial"/>
                <w:b/>
                <w:noProof/>
                <w:sz w:val="12"/>
                <w:szCs w:val="12"/>
                <w:bdr w:val="none" w:sz="0" w:space="0" w:color="auto" w:frame="1"/>
              </w:rPr>
            </w:pPr>
            <w:r>
              <w:rPr>
                <w:rFonts w:ascii="Arial" w:hAnsi="Arial"/>
                <w:b/>
                <w:noProof/>
                <w:sz w:val="12"/>
                <w:szCs w:val="12"/>
                <w:bdr w:val="none" w:sz="0" w:space="0" w:color="auto" w:frame="1"/>
              </w:rPr>
              <w:t>„Moody’s“ reitingo ekvivalentas</w:t>
            </w:r>
          </w:p>
        </w:tc>
        <w:tc>
          <w:tcPr>
            <w:tcW w:w="48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2"/>
              <w:spacing w:after="120" w:line="276" w:lineRule="auto"/>
              <w:contextualSpacing/>
              <w:jc w:val="right"/>
              <w:rPr>
                <w:rFonts w:ascii="Arial" w:hAnsi="Arial"/>
                <w:b/>
                <w:noProof/>
                <w:sz w:val="12"/>
                <w:szCs w:val="12"/>
                <w:bdr w:val="none" w:sz="0" w:space="0" w:color="auto" w:frame="1"/>
              </w:rPr>
            </w:pPr>
            <w:r>
              <w:rPr>
                <w:rFonts w:ascii="Arial" w:hAnsi="Arial"/>
                <w:b/>
                <w:noProof/>
                <w:sz w:val="12"/>
                <w:szCs w:val="12"/>
                <w:bdr w:val="none" w:sz="0" w:space="0" w:color="auto" w:frame="1"/>
              </w:rPr>
              <w:t>Tikėtini kredito nuostoliai 12-os mėnesių laikotarpiu</w:t>
            </w:r>
          </w:p>
        </w:tc>
        <w:tc>
          <w:tcPr>
            <w:tcW w:w="56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2"/>
              <w:spacing w:after="120" w:line="276" w:lineRule="auto"/>
              <w:contextualSpacing/>
              <w:jc w:val="right"/>
              <w:rPr>
                <w:rFonts w:ascii="Arial" w:hAnsi="Arial"/>
                <w:b/>
                <w:noProof/>
                <w:sz w:val="12"/>
                <w:szCs w:val="12"/>
                <w:bdr w:val="none" w:sz="0" w:space="0" w:color="auto" w:frame="1"/>
              </w:rPr>
            </w:pPr>
            <w:r>
              <w:rPr>
                <w:rFonts w:ascii="Arial" w:hAnsi="Arial"/>
                <w:b/>
                <w:noProof/>
                <w:sz w:val="12"/>
                <w:szCs w:val="12"/>
                <w:bdr w:val="none" w:sz="0" w:space="0" w:color="auto" w:frame="1"/>
              </w:rPr>
              <w:t>Tikėtini kredito nuostoliai finansinės priemonės galiojimo laikotarpiu, kurių vertė dėl kredito rizikos nesumažėjusi</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2"/>
              <w:spacing w:after="120" w:line="276" w:lineRule="auto"/>
              <w:contextualSpacing/>
              <w:jc w:val="right"/>
              <w:rPr>
                <w:rFonts w:ascii="Arial" w:hAnsi="Arial"/>
                <w:b/>
                <w:noProof/>
                <w:sz w:val="12"/>
                <w:szCs w:val="12"/>
                <w:bdr w:val="none" w:sz="0" w:space="0" w:color="auto" w:frame="1"/>
              </w:rPr>
            </w:pPr>
            <w:r>
              <w:rPr>
                <w:rFonts w:ascii="Arial" w:hAnsi="Arial"/>
                <w:b/>
                <w:noProof/>
                <w:sz w:val="12"/>
                <w:szCs w:val="12"/>
                <w:bdr w:val="none" w:sz="0" w:space="0" w:color="auto" w:frame="1"/>
              </w:rPr>
              <w:t>Tikėtini kredito nuostoliai finansinės priemonės galiojimo laikotarpiu, kurių vertė dėl kredito rizikos sumažėjusi</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2"/>
              <w:spacing w:after="120" w:line="276" w:lineRule="auto"/>
              <w:contextualSpacing/>
              <w:jc w:val="right"/>
              <w:rPr>
                <w:rFonts w:ascii="Arial" w:hAnsi="Arial"/>
                <w:b/>
                <w:noProof/>
                <w:sz w:val="12"/>
                <w:szCs w:val="12"/>
                <w:bdr w:val="none" w:sz="0" w:space="0" w:color="auto" w:frame="1"/>
              </w:rPr>
            </w:pPr>
            <w:r>
              <w:rPr>
                <w:rFonts w:ascii="Arial" w:hAnsi="Arial"/>
                <w:b/>
                <w:noProof/>
                <w:sz w:val="12"/>
                <w:szCs w:val="12"/>
                <w:bdr w:val="none" w:sz="0" w:space="0" w:color="auto" w:frame="1"/>
              </w:rPr>
              <w:t>Nusipirktos arba suteiktos dėl kredito rizikos sumažėjusios vertės paskolos</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2"/>
              <w:spacing w:after="120" w:line="276" w:lineRule="auto"/>
              <w:contextualSpacing/>
              <w:jc w:val="right"/>
              <w:rPr>
                <w:rFonts w:ascii="Arial" w:hAnsi="Arial"/>
                <w:b/>
                <w:noProof/>
                <w:sz w:val="12"/>
                <w:szCs w:val="12"/>
                <w:bdr w:val="none" w:sz="0" w:space="0" w:color="auto" w:frame="1"/>
              </w:rPr>
            </w:pPr>
            <w:r>
              <w:rPr>
                <w:rFonts w:ascii="Arial" w:hAnsi="Arial"/>
                <w:b/>
                <w:noProof/>
                <w:sz w:val="12"/>
                <w:szCs w:val="12"/>
                <w:bdr w:val="none" w:sz="0" w:space="0" w:color="auto" w:frame="1"/>
              </w:rPr>
              <w:t>Tikroji vertė, kurios pokyčiai pripažįstami pelnu arba nuostoliais</w:t>
            </w:r>
          </w:p>
        </w:tc>
        <w:tc>
          <w:tcPr>
            <w:tcW w:w="48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2"/>
              <w:spacing w:after="120" w:line="276" w:lineRule="auto"/>
              <w:contextualSpacing/>
              <w:jc w:val="right"/>
              <w:rPr>
                <w:rFonts w:ascii="Arial" w:hAnsi="Arial"/>
                <w:b/>
                <w:noProof/>
                <w:sz w:val="12"/>
                <w:szCs w:val="12"/>
                <w:bdr w:val="none" w:sz="0" w:space="0" w:color="auto" w:frame="1"/>
              </w:rPr>
            </w:pPr>
            <w:r>
              <w:rPr>
                <w:rFonts w:ascii="Arial" w:hAnsi="Arial"/>
                <w:b/>
                <w:noProof/>
                <w:sz w:val="12"/>
                <w:szCs w:val="12"/>
                <w:bdr w:val="none" w:sz="0" w:space="0" w:color="auto" w:frame="1"/>
              </w:rPr>
              <w:t>Iš viso</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2"/>
              <w:spacing w:after="120" w:line="276" w:lineRule="auto"/>
              <w:contextualSpacing/>
              <w:rPr>
                <w:rFonts w:ascii="Arial" w:hAnsi="Arial"/>
                <w:b/>
                <w:noProof/>
                <w:sz w:val="16"/>
                <w:szCs w:val="16"/>
                <w:bdr w:val="none" w:sz="0" w:space="0" w:color="auto" w:frame="1"/>
              </w:rPr>
            </w:pPr>
            <w:r>
              <w:rPr>
                <w:rFonts w:ascii="Arial" w:hAnsi="Arial"/>
                <w:b/>
                <w:noProof/>
                <w:sz w:val="16"/>
                <w:szCs w:val="16"/>
                <w:bdr w:val="none" w:sz="0" w:space="0" w:color="auto" w:frame="1"/>
              </w:rPr>
              <w:t>Paskolos ir išankstiniai mokėjimai amortizuota savikaina</w:t>
            </w:r>
          </w:p>
        </w:tc>
        <w:tc>
          <w:tcPr>
            <w:tcW w:w="515"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c>
          <w:tcPr>
            <w:tcW w:w="485"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c>
          <w:tcPr>
            <w:tcW w:w="566"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c>
          <w:tcPr>
            <w:tcW w:w="496"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c>
          <w:tcPr>
            <w:tcW w:w="496"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c>
          <w:tcPr>
            <w:tcW w:w="496"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c>
          <w:tcPr>
            <w:tcW w:w="484"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1 – Minimali kredito rizika</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Aaa</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82 211</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4"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82 211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2 – Labai maža kredito rizika</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Aa1 – Aa3</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75 352</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4"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75 352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3 – Maža kredito rizika</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A1 – A3</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5 399</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4"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5 399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4 – Vidutinė kredito rizika</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Baa1 – Baa3</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60 385</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16 449</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4"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76 834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5 – Finansiškai silpna sandorio šalis</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Ba1 – Ba3</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192 201</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6 199</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4"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198 400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6 – Didelė kredito rizika</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B1 – B3</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708 162</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159 858</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4"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868 020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7 – Labai didelė kredito rizika</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mažesnis nei Caa1</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79 411</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145 176</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4"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224 587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1463"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8 – Įsipareigojimų nevykdanti sandorio šalis</w:t>
            </w:r>
          </w:p>
        </w:tc>
        <w:tc>
          <w:tcPr>
            <w:tcW w:w="515"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mažesnis nei Caa1, bet įsipareigojimai nevykdomi</w:t>
            </w:r>
          </w:p>
        </w:tc>
        <w:tc>
          <w:tcPr>
            <w:tcW w:w="485"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56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136 749</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4"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136 749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Paskolos ir išankstiniai mokėjimai tikrąja verte, kurios pokyčiai pripažįstami pelnu arba nuostoliais</w:t>
            </w:r>
          </w:p>
        </w:tc>
        <w:tc>
          <w:tcPr>
            <w:tcW w:w="515" w:type="pct"/>
            <w:tcBorders>
              <w:top w:val="single" w:sz="4" w:space="0" w:color="auto"/>
              <w:left w:val="nil"/>
              <w:bottom w:val="single" w:sz="4" w:space="0" w:color="000000"/>
              <w:right w:val="nil"/>
              <w:tl2br w:val="nil"/>
              <w:tr2bl w:val="nil"/>
            </w:tcBorders>
            <w:shd w:val="clear" w:color="auto" w:fill="auto"/>
            <w:tcMar>
              <w:left w:w="0" w:type="dxa"/>
              <w:right w:w="0" w:type="dxa"/>
            </w:tcMar>
            <w:vAlign w:val="center"/>
          </w:tcPr>
          <w:p>
            <w:pPr>
              <w:pStyle w:val="Normal93"/>
              <w:rPr>
                <w:rFonts w:ascii="Arial" w:eastAsia="Arial" w:hAnsi="Arial" w:cs="Arial"/>
                <w:b/>
                <w:noProof/>
                <w:color w:val="000000"/>
                <w:sz w:val="16"/>
              </w:rPr>
            </w:pPr>
          </w:p>
        </w:tc>
        <w:tc>
          <w:tcPr>
            <w:tcW w:w="485"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56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37 366</w:t>
            </w:r>
          </w:p>
        </w:tc>
        <w:tc>
          <w:tcPr>
            <w:tcW w:w="484"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37 366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Atidėjinys nuostoliams ir tikrosios vertės koregavimas</w:t>
            </w: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3"/>
              <w:rPr>
                <w:rFonts w:ascii="Arial" w:eastAsia="Arial" w:hAnsi="Arial" w:cs="Arial"/>
                <w:b/>
                <w:noProof/>
                <w:color w:val="000000"/>
                <w:sz w:val="16"/>
              </w:rPr>
            </w:pPr>
          </w:p>
        </w:tc>
        <w:tc>
          <w:tcPr>
            <w:tcW w:w="485"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−17 191</w:t>
            </w:r>
          </w:p>
        </w:tc>
        <w:tc>
          <w:tcPr>
            <w:tcW w:w="56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−38 509</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−114 307</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−16 236</w:t>
            </w:r>
          </w:p>
        </w:tc>
        <w:tc>
          <w:tcPr>
            <w:tcW w:w="484"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−186 243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Paskolų ir kitų išankstinių mokėjimų bendra balansinė vertė</w:t>
            </w:r>
          </w:p>
        </w:tc>
        <w:tc>
          <w:tcPr>
            <w:tcW w:w="515" w:type="pct"/>
            <w:tcBorders>
              <w:top w:val="single" w:sz="4" w:space="0" w:color="000000"/>
              <w:left w:val="nil"/>
              <w:bottom w:val="nil"/>
              <w:right w:val="nil"/>
              <w:tl2br w:val="nil"/>
              <w:tr2bl w:val="nil"/>
            </w:tcBorders>
            <w:shd w:val="clear" w:color="FFFFFF" w:fill="BFBFBF"/>
            <w:tcMar>
              <w:left w:w="0" w:type="dxa"/>
              <w:right w:w="0" w:type="dxa"/>
            </w:tcMar>
            <w:vAlign w:val="center"/>
          </w:tcPr>
          <w:p>
            <w:pPr>
              <w:pStyle w:val="Normal93"/>
              <w:rPr>
                <w:rFonts w:ascii="Arial" w:eastAsia="Arial" w:hAnsi="Arial" w:cs="Arial"/>
                <w:b/>
                <w:noProof/>
                <w:color w:val="000000"/>
                <w:sz w:val="16"/>
              </w:rPr>
            </w:pPr>
          </w:p>
        </w:tc>
        <w:tc>
          <w:tcPr>
            <w:tcW w:w="485"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1 103 719</w:t>
            </w:r>
          </w:p>
        </w:tc>
        <w:tc>
          <w:tcPr>
            <w:tcW w:w="56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371 384</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22 442</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21 130</w:t>
            </w:r>
          </w:p>
        </w:tc>
        <w:tc>
          <w:tcPr>
            <w:tcW w:w="484"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1 518 675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93"/>
              <w:rPr>
                <w:rFonts w:ascii="Arial" w:eastAsia="Arial" w:hAnsi="Arial" w:cs="Arial"/>
                <w:noProof/>
                <w:color w:val="000000"/>
                <w:sz w:val="16"/>
              </w:rPr>
            </w:pPr>
          </w:p>
        </w:tc>
        <w:tc>
          <w:tcPr>
            <w:tcW w:w="485"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56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84"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Kreditavimo įsipareigojimai</w:t>
            </w: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93"/>
              <w:rPr>
                <w:rFonts w:ascii="Arial" w:eastAsia="Arial" w:hAnsi="Arial" w:cs="Arial"/>
                <w:b/>
                <w:noProof/>
                <w:color w:val="000000"/>
                <w:sz w:val="16"/>
              </w:rPr>
            </w:pPr>
          </w:p>
        </w:tc>
        <w:tc>
          <w:tcPr>
            <w:tcW w:w="485"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56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84"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1 – Minimali kredito rizika</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Aaa</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4"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2 – Labai maža kredito rizika</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Aa1 – Aa3</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102 092</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4"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102 092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3 – Maža kredito rizika</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A1 – A3</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12 000</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4"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12 000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4 – Vidutinė kredito rizika</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Baa1 – Baa3</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61 461</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4"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61 461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5 – Finansiškai silpna sandorio šalis</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BA1 – Ba3</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323 080</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4"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323 080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6 – Didelė kredito rizika</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B1 – B3</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405 773</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126 076</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4"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531 849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7 – Labai didelė kredito rizika</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mažesnis nei Caa1</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14 883</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104 328</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4"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119 211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8 – Įsipareigojimų nevykdanti sandorio šalis</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mažesnis nei Caa1, bet įsipareigojimai nevykdomi</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51 377</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4"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51 377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reitingo nėra*</w:t>
            </w:r>
          </w:p>
        </w:tc>
        <w:tc>
          <w:tcPr>
            <w:tcW w:w="515" w:type="pct"/>
            <w:tcBorders>
              <w:top w:val="nil"/>
              <w:left w:val="nil"/>
              <w:bottom w:val="single" w:sz="4" w:space="0" w:color="auto"/>
              <w:right w:val="nil"/>
              <w:tl2br w:val="nil"/>
              <w:tr2bl w:val="nil"/>
            </w:tcBorders>
            <w:shd w:val="clear" w:color="auto" w:fill="auto"/>
            <w:tcMar>
              <w:left w:w="0" w:type="dxa"/>
              <w:right w:w="0" w:type="dxa"/>
            </w:tcMar>
            <w:vAlign w:val="center"/>
          </w:tcPr>
          <w:p>
            <w:pPr>
              <w:pStyle w:val="Normal93"/>
              <w:rPr>
                <w:rFonts w:ascii="Arial" w:eastAsia="Arial" w:hAnsi="Arial" w:cs="Arial"/>
                <w:noProof/>
                <w:color w:val="000000"/>
                <w:sz w:val="16"/>
              </w:rPr>
            </w:pPr>
          </w:p>
        </w:tc>
        <w:tc>
          <w:tcPr>
            <w:tcW w:w="485"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79 669</w:t>
            </w:r>
          </w:p>
        </w:tc>
        <w:tc>
          <w:tcPr>
            <w:tcW w:w="56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4"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79 669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Paskolos ir išankstiniai mokėjimai tikrąja verte, kurios pokyčiai pripažįstami pelnu arba nuostoliais</w:t>
            </w:r>
          </w:p>
        </w:tc>
        <w:tc>
          <w:tcPr>
            <w:tcW w:w="515" w:type="pct"/>
            <w:tcBorders>
              <w:top w:val="single" w:sz="4" w:space="0" w:color="auto"/>
              <w:left w:val="nil"/>
              <w:bottom w:val="single" w:sz="4" w:space="0" w:color="000000"/>
              <w:right w:val="nil"/>
              <w:tl2br w:val="nil"/>
              <w:tr2bl w:val="nil"/>
            </w:tcBorders>
            <w:shd w:val="clear" w:color="auto" w:fill="auto"/>
            <w:tcMar>
              <w:left w:w="0" w:type="dxa"/>
              <w:right w:w="0" w:type="dxa"/>
            </w:tcMar>
            <w:vAlign w:val="center"/>
          </w:tcPr>
          <w:p>
            <w:pPr>
              <w:pStyle w:val="Normal93"/>
              <w:rPr>
                <w:rFonts w:ascii="Arial" w:eastAsia="Arial" w:hAnsi="Arial" w:cs="Arial"/>
                <w:b/>
                <w:noProof/>
                <w:color w:val="000000"/>
                <w:sz w:val="16"/>
              </w:rPr>
            </w:pPr>
          </w:p>
        </w:tc>
        <w:tc>
          <w:tcPr>
            <w:tcW w:w="485"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56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76 581</w:t>
            </w:r>
          </w:p>
        </w:tc>
        <w:tc>
          <w:tcPr>
            <w:tcW w:w="484"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76 581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Atidėjinys nuostoliams ir tikrosios vertės koregavimas</w:t>
            </w: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3"/>
              <w:rPr>
                <w:rFonts w:ascii="Arial" w:eastAsia="Arial" w:hAnsi="Arial" w:cs="Arial"/>
                <w:noProof/>
                <w:color w:val="000000"/>
                <w:sz w:val="16"/>
              </w:rPr>
            </w:pPr>
          </w:p>
        </w:tc>
        <w:tc>
          <w:tcPr>
            <w:tcW w:w="485"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−3 943</w:t>
            </w:r>
          </w:p>
        </w:tc>
        <w:tc>
          <w:tcPr>
            <w:tcW w:w="56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−33 326</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4"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−37 269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Kreditavimo įsipareigojimų balansinė vertė</w:t>
            </w:r>
          </w:p>
        </w:tc>
        <w:tc>
          <w:tcPr>
            <w:tcW w:w="515" w:type="pct"/>
            <w:tcBorders>
              <w:top w:val="single" w:sz="4" w:space="0" w:color="000000"/>
              <w:left w:val="nil"/>
              <w:bottom w:val="nil"/>
              <w:right w:val="nil"/>
              <w:tl2br w:val="nil"/>
              <w:tr2bl w:val="nil"/>
            </w:tcBorders>
            <w:shd w:val="clear" w:color="FFFFFF" w:fill="BFBFBF"/>
            <w:tcMar>
              <w:left w:w="0" w:type="dxa"/>
              <w:right w:w="0" w:type="dxa"/>
            </w:tcMar>
            <w:vAlign w:val="center"/>
          </w:tcPr>
          <w:p>
            <w:pPr>
              <w:pStyle w:val="Normal93"/>
              <w:jc w:val="right"/>
              <w:rPr>
                <w:rFonts w:ascii="Arial" w:eastAsia="Arial" w:hAnsi="Arial" w:cs="Arial"/>
                <w:b/>
                <w:noProof/>
                <w:color w:val="000000"/>
                <w:sz w:val="16"/>
              </w:rPr>
            </w:pPr>
          </w:p>
        </w:tc>
        <w:tc>
          <w:tcPr>
            <w:tcW w:w="485"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995 015</w:t>
            </w:r>
          </w:p>
        </w:tc>
        <w:tc>
          <w:tcPr>
            <w:tcW w:w="56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197 078</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51 377</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76 581</w:t>
            </w:r>
          </w:p>
        </w:tc>
        <w:tc>
          <w:tcPr>
            <w:tcW w:w="484"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1 320 051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5000" w:type="pct"/>
            <w:gridSpan w:val="8"/>
            <w:tcBorders>
              <w:top w:val="nil"/>
              <w:left w:val="nil"/>
              <w:bottom w:val="nil"/>
              <w:right w:val="nil"/>
              <w:tl2br w:val="nil"/>
              <w:tr2bl w:val="nil"/>
            </w:tcBorders>
            <w:shd w:val="clear" w:color="auto" w:fill="auto"/>
            <w:tcMar>
              <w:left w:w="40" w:type="dxa"/>
              <w:right w:w="40" w:type="dxa"/>
            </w:tcMar>
          </w:tcPr>
          <w:p>
            <w:pPr>
              <w:pStyle w:val="Normal93"/>
              <w:spacing w:before="40"/>
              <w:jc w:val="both"/>
              <w:rPr>
                <w:rFonts w:ascii="Arial" w:eastAsia="Arial" w:hAnsi="Arial" w:cs="Arial"/>
                <w:noProof/>
                <w:color w:val="000000"/>
                <w:sz w:val="16"/>
              </w:rPr>
            </w:pPr>
            <w:r>
              <w:rPr>
                <w:rFonts w:ascii="Arial" w:hAnsi="Arial"/>
                <w:noProof/>
                <w:color w:val="000000"/>
                <w:sz w:val="16"/>
              </w:rPr>
              <w:t>* Agentūros susitarimai, kuriuose finansinių ataskaitų sudarymo dieną nėra pagrindinių sandorio šalių.</w:t>
            </w:r>
          </w:p>
        </w:tc>
      </w:tr>
    </w:tbl>
    <w:p>
      <w:pPr>
        <w:pStyle w:val="Normal92"/>
        <w:spacing w:after="60" w:line="276" w:lineRule="auto"/>
        <w:contextualSpacing/>
        <w:jc w:val="both"/>
        <w:rPr>
          <w:rFonts w:ascii="Arial" w:hAnsi="Arial"/>
          <w:noProof/>
          <w:sz w:val="16"/>
          <w:szCs w:val="16"/>
          <w:bdr w:val="none" w:sz="0" w:space="0" w:color="auto" w:frame="1"/>
        </w:rPr>
      </w:pPr>
      <w:r>
        <w:rPr>
          <w:rFonts w:ascii="Arial" w:hAnsi="Arial"/>
          <w:noProof/>
          <w:sz w:val="16"/>
          <w:szCs w:val="16"/>
          <w:bdr w:val="none" w:sz="0" w:space="0" w:color="auto" w:frame="1"/>
        </w:rPr>
        <w:t>Lentelėje parodomos ir pasirašytos (išmokėtos ir neišmokėtos) pozicijos, ir pagal riziką įvertintos pozicijos, pagrįstos vidaus metodika, kuri taikant Priemonę naudojama riboms valdyti.</w:t>
      </w:r>
    </w:p>
    <w:p>
      <w:pPr>
        <w:pStyle w:val="Normal92"/>
        <w:spacing w:after="480" w:line="276" w:lineRule="auto"/>
        <w:contextualSpacing/>
        <w:jc w:val="both"/>
        <w:rPr>
          <w:rFonts w:ascii="Arial" w:hAnsi="Arial"/>
          <w:noProof/>
          <w:sz w:val="16"/>
          <w:bdr w:val="none" w:sz="0" w:space="0" w:color="auto" w:frame="1"/>
        </w:rPr>
      </w:pPr>
    </w:p>
    <w:p>
      <w:pPr>
        <w:pStyle w:val="Normal92"/>
        <w:spacing w:after="240" w:line="276" w:lineRule="auto"/>
        <w:contextualSpacing/>
        <w:jc w:val="both"/>
        <w:rPr>
          <w:rFonts w:ascii="Arial" w:hAnsi="Arial"/>
          <w:noProof/>
          <w:sz w:val="16"/>
          <w:szCs w:val="16"/>
          <w:bdr w:val="none" w:sz="0" w:space="0" w:color="auto" w:frame="1"/>
        </w:rPr>
      </w:pPr>
    </w:p>
    <w:p>
      <w:pPr>
        <w:pStyle w:val="Normal92"/>
        <w:spacing w:after="120" w:line="276" w:lineRule="auto"/>
        <w:contextualSpacing/>
        <w:jc w:val="both"/>
        <w:rPr>
          <w:rFonts w:ascii="Arial" w:hAnsi="Arial"/>
          <w:noProof/>
          <w:sz w:val="16"/>
          <w:szCs w:val="16"/>
          <w:bdr w:val="none" w:sz="0" w:space="0" w:color="auto" w:frame="1"/>
        </w:rPr>
      </w:pPr>
    </w:p>
    <w:p>
      <w:pPr>
        <w:rPr>
          <w:noProof/>
        </w:rPr>
      </w:pPr>
    </w:p>
    <w:p>
      <w:pPr>
        <w:rPr>
          <w:noProof/>
        </w:rPr>
      </w:pPr>
      <w:r>
        <w:rPr>
          <w:noProof/>
        </w:rPr>
        <w:br w:type="page"/>
      </w:r>
    </w:p>
    <w:p>
      <w:pPr>
        <w:pStyle w:val="ListParagraph"/>
        <w:numPr>
          <w:ilvl w:val="3"/>
          <w:numId w:val="73"/>
        </w:numPr>
        <w:tabs>
          <w:tab w:val="left" w:pos="709"/>
        </w:tabs>
        <w:suppressAutoHyphens w:val="0"/>
        <w:rPr>
          <w:rFonts w:ascii="Arial" w:hAnsi="Arial" w:cs="Arial"/>
          <w:b/>
          <w:noProof/>
          <w:sz w:val="16"/>
        </w:rPr>
      </w:pPr>
      <w:r>
        <w:rPr>
          <w:rFonts w:ascii="Arial" w:hAnsi="Arial"/>
          <w:b/>
          <w:noProof/>
          <w:sz w:val="16"/>
        </w:rPr>
        <w:t>Kiekvieno vidaus rizikos reitingo kredito rizikos pozicija (tęsinys)</w:t>
      </w:r>
    </w:p>
    <w:p>
      <w:pPr>
        <w:pStyle w:val="ListParagraph"/>
        <w:tabs>
          <w:tab w:val="left" w:pos="709"/>
        </w:tabs>
        <w:suppressAutoHyphens w:val="0"/>
        <w:spacing w:after="60"/>
        <w:ind w:left="794"/>
        <w:rPr>
          <w:rFonts w:ascii="Arial" w:hAnsi="Arial"/>
          <w:b/>
          <w:noProof/>
          <w:sz w:val="16"/>
        </w:rPr>
      </w:pPr>
    </w:p>
    <w:tbl>
      <w:tblPr>
        <w:tblStyle w:val="CDMRange14"/>
        <w:tblW w:w="5000" w:type="pct"/>
        <w:tblLayout w:type="fixed"/>
        <w:tblLook w:val="0600" w:firstRow="0" w:lastRow="0" w:firstColumn="0" w:lastColumn="0" w:noHBand="1" w:noVBand="1"/>
      </w:tblPr>
      <w:tblGrid>
        <w:gridCol w:w="2830"/>
        <w:gridCol w:w="974"/>
        <w:gridCol w:w="960"/>
        <w:gridCol w:w="1096"/>
        <w:gridCol w:w="960"/>
        <w:gridCol w:w="960"/>
        <w:gridCol w:w="960"/>
        <w:gridCol w:w="939"/>
      </w:tblGrid>
      <w:tr>
        <w:trPr>
          <w:trHeight w:hRule="exact" w:val="290"/>
        </w:trPr>
        <w:tc>
          <w:tcPr>
            <w:tcW w:w="1462"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93"/>
              <w:rPr>
                <w:rFonts w:ascii="Arial" w:eastAsia="Arial" w:hAnsi="Arial" w:cs="Arial"/>
                <w:noProof/>
                <w:color w:val="000000"/>
                <w:sz w:val="16"/>
              </w:rPr>
            </w:pPr>
          </w:p>
        </w:tc>
        <w:tc>
          <w:tcPr>
            <w:tcW w:w="503" w:type="pct"/>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93"/>
              <w:rPr>
                <w:rFonts w:ascii="Arial" w:eastAsia="Arial" w:hAnsi="Arial" w:cs="Arial"/>
                <w:noProof/>
                <w:color w:val="000000"/>
                <w:sz w:val="16"/>
              </w:rPr>
            </w:pPr>
          </w:p>
        </w:tc>
        <w:tc>
          <w:tcPr>
            <w:tcW w:w="3035" w:type="pct"/>
            <w:gridSpan w:val="6"/>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pStyle w:val="Normal93"/>
              <w:jc w:val="center"/>
              <w:rPr>
                <w:rFonts w:ascii="Arial" w:eastAsia="Arial" w:hAnsi="Arial" w:cs="Arial"/>
                <w:b/>
                <w:noProof/>
                <w:color w:val="000000"/>
                <w:sz w:val="16"/>
              </w:rPr>
            </w:pPr>
            <w:r>
              <w:rPr>
                <w:rFonts w:ascii="Arial" w:hAnsi="Arial"/>
                <w:b/>
                <w:noProof/>
                <w:color w:val="000000"/>
                <w:sz w:val="16"/>
              </w:rPr>
              <w:t>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146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2"/>
                <w:szCs w:val="12"/>
              </w:rPr>
            </w:pPr>
            <w:r>
              <w:rPr>
                <w:rFonts w:ascii="Arial" w:hAnsi="Arial"/>
                <w:b/>
                <w:noProof/>
                <w:color w:val="000000"/>
                <w:sz w:val="12"/>
                <w:szCs w:val="12"/>
              </w:rPr>
              <w:t>tūkst. EUR</w:t>
            </w:r>
          </w:p>
        </w:tc>
        <w:tc>
          <w:tcPr>
            <w:tcW w:w="50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bottom"/>
          </w:tcPr>
          <w:p>
            <w:pPr>
              <w:pStyle w:val="Normal93"/>
              <w:rPr>
                <w:rFonts w:ascii="Arial" w:eastAsia="Arial" w:hAnsi="Arial" w:cs="Arial"/>
                <w:b/>
                <w:noProof/>
                <w:color w:val="000000"/>
                <w:sz w:val="12"/>
                <w:szCs w:val="12"/>
              </w:rPr>
            </w:pPr>
            <w:r>
              <w:rPr>
                <w:rFonts w:ascii="Arial" w:hAnsi="Arial"/>
                <w:b/>
                <w:noProof/>
                <w:color w:val="000000"/>
                <w:sz w:val="12"/>
                <w:szCs w:val="12"/>
              </w:rPr>
              <w:t>„Moody’s“ reitingo ekvivalentas</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2"/>
                <w:szCs w:val="12"/>
              </w:rPr>
            </w:pPr>
            <w:r>
              <w:rPr>
                <w:rFonts w:ascii="Arial" w:hAnsi="Arial"/>
                <w:b/>
                <w:noProof/>
                <w:color w:val="000000"/>
                <w:sz w:val="12"/>
                <w:szCs w:val="12"/>
              </w:rPr>
              <w:t>Tikėtini kredito nuostoliai 12-os mėnesių laikotarpiu</w:t>
            </w:r>
          </w:p>
        </w:tc>
        <w:tc>
          <w:tcPr>
            <w:tcW w:w="56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2"/>
                <w:szCs w:val="12"/>
              </w:rPr>
            </w:pPr>
            <w:r>
              <w:rPr>
                <w:rFonts w:ascii="Arial" w:hAnsi="Arial"/>
                <w:b/>
                <w:noProof/>
                <w:color w:val="000000"/>
                <w:sz w:val="12"/>
                <w:szCs w:val="12"/>
              </w:rPr>
              <w:t>Tikėtini kredito nuostoliai finansinės priemonės galiojimo laikotarpiu, kurių vertė dėl kredito rizikos nesumažėjusi</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2"/>
                <w:szCs w:val="12"/>
              </w:rPr>
            </w:pPr>
            <w:r>
              <w:rPr>
                <w:rFonts w:ascii="Arial" w:hAnsi="Arial"/>
                <w:b/>
                <w:noProof/>
                <w:color w:val="000000"/>
                <w:sz w:val="12"/>
                <w:szCs w:val="12"/>
              </w:rPr>
              <w:t>Tikėtini kredito nuostoliai finansinės priemonės galiojimo laikotarpiu, kurių vertė dėl kredito rizikos sumažėjusi</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2"/>
                <w:szCs w:val="12"/>
              </w:rPr>
            </w:pPr>
            <w:r>
              <w:rPr>
                <w:rFonts w:ascii="Arial" w:hAnsi="Arial"/>
                <w:b/>
                <w:noProof/>
                <w:color w:val="000000"/>
                <w:sz w:val="12"/>
                <w:szCs w:val="12"/>
              </w:rPr>
              <w:t>Nusipirktos arba suteiktos dėl kredito rizikos sumažėjusios vertės paskolos</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2"/>
                <w:szCs w:val="12"/>
              </w:rPr>
            </w:pPr>
            <w:r>
              <w:rPr>
                <w:rFonts w:ascii="Arial" w:hAnsi="Arial"/>
                <w:b/>
                <w:noProof/>
                <w:color w:val="000000"/>
                <w:sz w:val="12"/>
                <w:szCs w:val="12"/>
              </w:rPr>
              <w:t>Tikroji vertė, kurios pokyčiai pripažįstami pelnu arba nuostoliais</w:t>
            </w:r>
          </w:p>
        </w:tc>
        <w:tc>
          <w:tcPr>
            <w:tcW w:w="48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2"/>
                <w:szCs w:val="12"/>
              </w:rPr>
            </w:pPr>
            <w:r>
              <w:rPr>
                <w:rFonts w:ascii="Arial" w:hAnsi="Arial"/>
                <w:b/>
                <w:noProof/>
                <w:color w:val="000000"/>
                <w:sz w:val="12"/>
                <w:szCs w:val="12"/>
              </w:rPr>
              <w:t>Iš viso</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Paskolos ir išankstiniai mokėjimai amortizuota savikaina</w:t>
            </w:r>
          </w:p>
        </w:tc>
        <w:tc>
          <w:tcPr>
            <w:tcW w:w="503"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496"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566"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496"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496"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496"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486"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1 – Minimali kredito rizika</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Aaa</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90 875</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90 875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2 – Labai maža kredito rizika</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Aa1 – 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74 650</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74 650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3 – Maža kredito rizika</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A1 – 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17 804</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17 804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4 – Vidutinė kredito rizika</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Baa1 – Baa3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39 295</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18 783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58 078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5 – Finansiškai silpna sandorio šalis</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Ba1 – Ba3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165 551</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165 551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6 – Didelė kredito rizika</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B1 – B3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834 194</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94 749</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928 943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7 – Labai didelė kredito rizika</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mažesnis nei Caa1</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75 057</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134 701</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209 758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1462"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8 – Įsipareigojimų nevykdanti sandorio šalis</w:t>
            </w:r>
          </w:p>
        </w:tc>
        <w:tc>
          <w:tcPr>
            <w:tcW w:w="503"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mažesnis nei Caa1, bet įsipareigojimai nevykdomi</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56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185 273</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3 588</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188 861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Paskolos ir išankstiniai mokėjimai tikrąja verte, kurios pokyčiai pripažįstami pelnu arba nuostoliais</w:t>
            </w:r>
          </w:p>
        </w:tc>
        <w:tc>
          <w:tcPr>
            <w:tcW w:w="503" w:type="pct"/>
            <w:tcBorders>
              <w:top w:val="single" w:sz="4" w:space="0" w:color="auto"/>
              <w:left w:val="nil"/>
              <w:bottom w:val="single" w:sz="4" w:space="0" w:color="000000"/>
              <w:right w:val="nil"/>
              <w:tl2br w:val="nil"/>
              <w:tr2bl w:val="nil"/>
            </w:tcBorders>
            <w:shd w:val="clear" w:color="auto" w:fill="auto"/>
            <w:tcMar>
              <w:left w:w="0" w:type="dxa"/>
              <w:right w:w="0" w:type="dxa"/>
            </w:tcMar>
            <w:vAlign w:val="center"/>
          </w:tcPr>
          <w:p>
            <w:pPr>
              <w:pStyle w:val="Normal93"/>
              <w:rPr>
                <w:rFonts w:ascii="Arial" w:eastAsia="Arial" w:hAnsi="Arial" w:cs="Arial"/>
                <w:b/>
                <w:noProof/>
                <w:color w:val="000000"/>
                <w:sz w:val="16"/>
              </w:rPr>
            </w:pP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56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1 806</w:t>
            </w:r>
          </w:p>
        </w:tc>
        <w:tc>
          <w:tcPr>
            <w:tcW w:w="48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1 806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Atidėjinys nuostoliams ir tikrosios vertės koregavimas</w:t>
            </w:r>
          </w:p>
        </w:tc>
        <w:tc>
          <w:tcPr>
            <w:tcW w:w="50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3"/>
              <w:rPr>
                <w:rFonts w:ascii="Arial" w:eastAsia="Arial" w:hAnsi="Arial" w:cs="Arial"/>
                <w:b/>
                <w:noProof/>
                <w:color w:val="000000"/>
                <w:sz w:val="16"/>
              </w:rPr>
            </w:pP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−22 023</w:t>
            </w:r>
          </w:p>
        </w:tc>
        <w:tc>
          <w:tcPr>
            <w:tcW w:w="56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−27 342</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−143 092</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−1 794</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−1 084</w:t>
            </w:r>
          </w:p>
        </w:tc>
        <w:tc>
          <w:tcPr>
            <w:tcW w:w="48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−195 335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Paskolų ir kitų išankstinių mokėjimų bendra balansinė vertė</w:t>
            </w:r>
          </w:p>
        </w:tc>
        <w:tc>
          <w:tcPr>
            <w:tcW w:w="503" w:type="pct"/>
            <w:tcBorders>
              <w:top w:val="single" w:sz="4" w:space="0" w:color="000000"/>
              <w:left w:val="nil"/>
              <w:bottom w:val="nil"/>
              <w:right w:val="nil"/>
              <w:tl2br w:val="nil"/>
              <w:tr2bl w:val="nil"/>
            </w:tcBorders>
            <w:shd w:val="clear" w:color="FFFFFF" w:fill="BFBFBF"/>
            <w:tcMar>
              <w:left w:w="0" w:type="dxa"/>
              <w:right w:w="0" w:type="dxa"/>
            </w:tcMar>
            <w:vAlign w:val="center"/>
          </w:tcPr>
          <w:p>
            <w:pPr>
              <w:pStyle w:val="Normal93"/>
              <w:rPr>
                <w:rFonts w:ascii="Arial" w:eastAsia="Arial" w:hAnsi="Arial" w:cs="Arial"/>
                <w:b/>
                <w:noProof/>
                <w:color w:val="000000"/>
                <w:sz w:val="16"/>
              </w:rPr>
            </w:pP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1 184 528</w:t>
            </w:r>
          </w:p>
        </w:tc>
        <w:tc>
          <w:tcPr>
            <w:tcW w:w="56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311 766</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42 181</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1 794</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722</w:t>
            </w:r>
          </w:p>
        </w:tc>
        <w:tc>
          <w:tcPr>
            <w:tcW w:w="48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1 540 991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503" w:type="pct"/>
            <w:tcBorders>
              <w:top w:val="nil"/>
              <w:left w:val="nil"/>
              <w:bottom w:val="nil"/>
              <w:right w:val="nil"/>
              <w:tl2br w:val="nil"/>
              <w:tr2bl w:val="nil"/>
            </w:tcBorders>
            <w:shd w:val="clear" w:color="auto" w:fill="auto"/>
            <w:tcMar>
              <w:left w:w="0" w:type="dxa"/>
              <w:right w:w="0" w:type="dxa"/>
            </w:tcMar>
            <w:vAlign w:val="center"/>
          </w:tcPr>
          <w:p>
            <w:pPr>
              <w:pStyle w:val="Normal93"/>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56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8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503" w:type="pct"/>
            <w:tcBorders>
              <w:top w:val="nil"/>
              <w:left w:val="nil"/>
              <w:bottom w:val="nil"/>
              <w:right w:val="nil"/>
              <w:tl2br w:val="nil"/>
              <w:tr2bl w:val="nil"/>
            </w:tcBorders>
            <w:shd w:val="clear" w:color="auto" w:fill="auto"/>
            <w:tcMar>
              <w:left w:w="0" w:type="dxa"/>
              <w:right w:w="0" w:type="dxa"/>
            </w:tcMar>
            <w:vAlign w:val="center"/>
          </w:tcPr>
          <w:p>
            <w:pPr>
              <w:pStyle w:val="Normal93"/>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56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8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Kreditavimo įsipareigojimai</w:t>
            </w:r>
          </w:p>
        </w:tc>
        <w:tc>
          <w:tcPr>
            <w:tcW w:w="503" w:type="pct"/>
            <w:tcBorders>
              <w:top w:val="nil"/>
              <w:left w:val="nil"/>
              <w:bottom w:val="nil"/>
              <w:right w:val="nil"/>
              <w:tl2br w:val="nil"/>
              <w:tr2bl w:val="nil"/>
            </w:tcBorders>
            <w:shd w:val="clear" w:color="auto" w:fill="auto"/>
            <w:tcMar>
              <w:left w:w="0" w:type="dxa"/>
              <w:right w:w="0" w:type="dxa"/>
            </w:tcMar>
            <w:vAlign w:val="center"/>
          </w:tcPr>
          <w:p>
            <w:pPr>
              <w:pStyle w:val="Normal93"/>
              <w:rPr>
                <w:rFonts w:ascii="Arial" w:eastAsia="Arial" w:hAnsi="Arial" w:cs="Arial"/>
                <w:b/>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56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8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2 – Labai maža kredito rizika</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Aa1 – 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102 092</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102 092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3 – Maža kredito rizika</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A1 – 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12 000</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12 000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4 – Vidutinė kredito rizika</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Baa1 – Baa3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12 463</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12 463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5 – Finansiškai silpna sandorio šalis</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Ba1 – Ba3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230 455</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230 455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6 – Didelė kredito rizika</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B1 – B3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567 573</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22 467</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590 040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7 – Labai didelė kredito rizika</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mažesnis nei Caa1</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100 055</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96 074</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196 129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Vidaus reitingas Nr. 8 – Įsipareigojimų nevykdanti sandorio šalis</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mažesnis nei Caa1, bet įsipareigojimai nevykdomi</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16 932</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16 932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 xml:space="preserve">Vidaus reitingo nėra* </w:t>
            </w:r>
          </w:p>
        </w:tc>
        <w:tc>
          <w:tcPr>
            <w:tcW w:w="503" w:type="pct"/>
            <w:tcBorders>
              <w:top w:val="nil"/>
              <w:left w:val="nil"/>
              <w:bottom w:val="nil"/>
              <w:right w:val="nil"/>
              <w:tl2br w:val="nil"/>
              <w:tr2bl w:val="nil"/>
            </w:tcBorders>
            <w:shd w:val="clear" w:color="auto" w:fill="auto"/>
            <w:tcMar>
              <w:left w:w="0" w:type="dxa"/>
              <w:right w:w="0" w:type="dxa"/>
            </w:tcMar>
            <w:vAlign w:val="center"/>
          </w:tcPr>
          <w:p>
            <w:pPr>
              <w:pStyle w:val="Normal93"/>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123 821</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123 821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Atidėjinys nuostoliams ir tikrosios vertės koregavimas</w:t>
            </w:r>
          </w:p>
        </w:tc>
        <w:tc>
          <w:tcPr>
            <w:tcW w:w="50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3"/>
              <w:rPr>
                <w:rFonts w:ascii="Arial" w:eastAsia="Arial" w:hAnsi="Arial" w:cs="Arial"/>
                <w:b/>
                <w:noProof/>
                <w:color w:val="000000"/>
                <w:sz w:val="16"/>
              </w:rPr>
            </w:pP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−7 225</w:t>
            </w:r>
          </w:p>
        </w:tc>
        <w:tc>
          <w:tcPr>
            <w:tcW w:w="56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−16 597</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8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−23 822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Kreditavimo įsipareigojimų balansinė vertė</w:t>
            </w:r>
          </w:p>
        </w:tc>
        <w:tc>
          <w:tcPr>
            <w:tcW w:w="503" w:type="pct"/>
            <w:tcBorders>
              <w:top w:val="single" w:sz="4" w:space="0" w:color="000000"/>
              <w:left w:val="nil"/>
              <w:bottom w:val="nil"/>
              <w:right w:val="nil"/>
              <w:tl2br w:val="nil"/>
              <w:tr2bl w:val="nil"/>
            </w:tcBorders>
            <w:shd w:val="clear" w:color="FFFFFF" w:fill="BFBFBF"/>
            <w:tcMar>
              <w:left w:w="0" w:type="dxa"/>
              <w:right w:w="0" w:type="dxa"/>
            </w:tcMar>
            <w:vAlign w:val="center"/>
          </w:tcPr>
          <w:p>
            <w:pPr>
              <w:pStyle w:val="Normal93"/>
              <w:rPr>
                <w:rFonts w:ascii="Arial" w:eastAsia="Arial" w:hAnsi="Arial" w:cs="Arial"/>
                <w:b/>
                <w:noProof/>
                <w:color w:val="000000"/>
                <w:sz w:val="16"/>
              </w:rPr>
            </w:pP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1 141 234</w:t>
            </w:r>
          </w:p>
        </w:tc>
        <w:tc>
          <w:tcPr>
            <w:tcW w:w="56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101 944</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16 932</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8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1 260 110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10"/>
        </w:trPr>
        <w:tc>
          <w:tcPr>
            <w:tcW w:w="5000" w:type="pct"/>
            <w:gridSpan w:val="8"/>
            <w:tcBorders>
              <w:top w:val="nil"/>
              <w:left w:val="nil"/>
              <w:bottom w:val="nil"/>
              <w:right w:val="nil"/>
              <w:tl2br w:val="nil"/>
              <w:tr2bl w:val="nil"/>
            </w:tcBorders>
            <w:shd w:val="clear" w:color="auto" w:fill="auto"/>
            <w:tcMar>
              <w:left w:w="40" w:type="dxa"/>
              <w:right w:w="40" w:type="dxa"/>
            </w:tcMar>
          </w:tcPr>
          <w:p>
            <w:pPr>
              <w:pStyle w:val="Normal93"/>
              <w:spacing w:before="40"/>
              <w:jc w:val="both"/>
              <w:rPr>
                <w:rFonts w:ascii="Arial" w:eastAsia="Arial" w:hAnsi="Arial" w:cs="Arial"/>
                <w:noProof/>
                <w:color w:val="000000"/>
                <w:sz w:val="16"/>
              </w:rPr>
            </w:pPr>
            <w:r>
              <w:rPr>
                <w:rFonts w:ascii="Arial" w:hAnsi="Arial"/>
                <w:noProof/>
                <w:color w:val="000000"/>
                <w:sz w:val="16"/>
              </w:rPr>
              <w:t>* Agentūros susitarimai, kuriuose finansinių ataskaitų sudarymo dieną nėra pagrindinių sandorio šalių.</w:t>
            </w:r>
          </w:p>
          <w:p>
            <w:pPr>
              <w:pStyle w:val="Normal93"/>
              <w:spacing w:before="60" w:after="60"/>
              <w:jc w:val="both"/>
              <w:rPr>
                <w:rFonts w:ascii="Arial" w:eastAsia="Arial" w:hAnsi="Arial" w:cs="Arial"/>
                <w:noProof/>
                <w:color w:val="000000"/>
                <w:sz w:val="16"/>
              </w:rPr>
            </w:pPr>
          </w:p>
          <w:p>
            <w:pPr>
              <w:pStyle w:val="Normal93"/>
              <w:jc w:val="both"/>
              <w:rPr>
                <w:rFonts w:ascii="Arial" w:eastAsia="Arial" w:hAnsi="Arial" w:cs="Arial"/>
                <w:noProof/>
                <w:color w:val="000000"/>
                <w:sz w:val="16"/>
              </w:rPr>
            </w:pPr>
            <w:r>
              <w:rPr>
                <w:rFonts w:ascii="Arial" w:hAnsi="Arial"/>
                <w:noProof/>
                <w:color w:val="000000"/>
                <w:sz w:val="16"/>
              </w:rPr>
              <w:t>Taikant Priemonę toliau stebimi įvykiai, turintys įtakos jos skolininkams ir garantams, ypač bankams. Visų pirma, taikant Priemonę kiekvienu konkrečiu atveju vertinamos sutartyje numatytos teisės, jei reitingas pablogėja ir siekiama imtis rizikos mažinimo priemonių. Be to, atidžiai stebimos atnaujinamos banko garantijos, kurios suteikiamos už jo išduotas paskolas, siekiant užtikrinti, kad jos būtų pakeistos arba prireikus būtų laiku imamasi veiksmų.</w:t>
            </w:r>
          </w:p>
        </w:tc>
      </w:tr>
    </w:tbl>
    <w:p>
      <w:pPr>
        <w:pStyle w:val="Notes13"/>
        <w:pageBreakBefore/>
        <w:numPr>
          <w:ilvl w:val="3"/>
          <w:numId w:val="75"/>
        </w:numPr>
        <w:tabs>
          <w:tab w:val="clear" w:pos="4320"/>
          <w:tab w:val="clear" w:pos="8640"/>
          <w:tab w:val="right" w:pos="-2700"/>
          <w:tab w:val="right" w:pos="720"/>
        </w:tabs>
        <w:spacing w:before="60" w:after="0"/>
        <w:ind w:left="794" w:hanging="794"/>
        <w:rPr>
          <w:bCs/>
          <w:noProof/>
          <w:sz w:val="16"/>
          <w:szCs w:val="16"/>
        </w:rPr>
      </w:pPr>
      <w:r>
        <w:rPr>
          <w:bCs/>
          <w:noProof/>
          <w:sz w:val="16"/>
          <w:szCs w:val="16"/>
        </w:rPr>
        <w:t>Įsiskolinimai už paskolas ir vertės sumažėjimas</w:t>
      </w:r>
    </w:p>
    <w:p>
      <w:pPr>
        <w:pStyle w:val="Normal94"/>
        <w:spacing w:after="60"/>
        <w:jc w:val="both"/>
        <w:rPr>
          <w:rFonts w:ascii="Arial" w:hAnsi="Arial"/>
          <w:noProof/>
          <w:sz w:val="16"/>
          <w:szCs w:val="16"/>
        </w:rPr>
      </w:pPr>
    </w:p>
    <w:p>
      <w:pPr>
        <w:pStyle w:val="Normal94"/>
        <w:spacing w:before="60" w:after="60"/>
        <w:jc w:val="both"/>
        <w:rPr>
          <w:rFonts w:ascii="Arial" w:hAnsi="Arial"/>
          <w:noProof/>
          <w:sz w:val="16"/>
          <w:szCs w:val="16"/>
        </w:rPr>
      </w:pPr>
      <w:r>
        <w:rPr>
          <w:rFonts w:ascii="Arial" w:hAnsi="Arial"/>
          <w:noProof/>
          <w:sz w:val="16"/>
          <w:szCs w:val="16"/>
        </w:rPr>
        <w:t>Įsiskolinimų sumos yra nustatomos, stebimos ir apie jas pranešama laikantis procedūrų, nustatytų banko dokumente „Finansų stebėsenos gairės ir procedūros“. Šios procedūros atitinka geriausią bankininkystės praktiką ir yra taikomos visoms EIB valdomoms paskoloms.</w:t>
      </w:r>
    </w:p>
    <w:p>
      <w:pPr>
        <w:pStyle w:val="Normal94"/>
        <w:spacing w:before="60" w:after="60"/>
        <w:jc w:val="both"/>
        <w:rPr>
          <w:rFonts w:ascii="Arial" w:hAnsi="Arial"/>
          <w:noProof/>
          <w:sz w:val="16"/>
          <w:szCs w:val="16"/>
        </w:rPr>
      </w:pPr>
    </w:p>
    <w:p>
      <w:pPr>
        <w:pStyle w:val="Normal94"/>
        <w:spacing w:before="60" w:after="60"/>
        <w:jc w:val="both"/>
        <w:rPr>
          <w:noProof/>
          <w:szCs w:val="20"/>
        </w:rPr>
      </w:pPr>
      <w:r>
        <w:rPr>
          <w:rFonts w:ascii="Arial" w:hAnsi="Arial"/>
          <w:noProof/>
          <w:sz w:val="16"/>
          <w:szCs w:val="16"/>
        </w:rPr>
        <w:t>Stebėsenos proceso struktūra tokia, kad būtų užtikrinta, kad i) per kuo trumpesnį laiką būtų nustatyti įsiskolinimai ir apie juos pranešta atsakingoms tarnyboms; ii) kritiniai atvejai būtų skubiai perduodami spręsti tinkamu operaciniu ir sprendimų priėmimų lygmeniu; iii) būtų reguliariai teikiama informacija EIB vadovybei ir valstybėms narėms apie bendrą įsiskolinimo būklę ir apie susigrąžinimo priemones, kurių jau imtasi arba ketinama imtis.</w:t>
      </w:r>
    </w:p>
    <w:p>
      <w:pPr>
        <w:pStyle w:val="Normal94"/>
        <w:suppressAutoHyphens w:val="0"/>
        <w:rPr>
          <w:rFonts w:ascii="Arial" w:hAnsi="Arial"/>
          <w:noProof/>
          <w:sz w:val="16"/>
          <w:szCs w:val="16"/>
        </w:rPr>
      </w:pPr>
    </w:p>
    <w:p>
      <w:pPr>
        <w:pStyle w:val="Normal94"/>
        <w:spacing w:before="60" w:after="60"/>
        <w:jc w:val="both"/>
        <w:rPr>
          <w:rFonts w:ascii="Arial" w:hAnsi="Arial"/>
          <w:noProof/>
          <w:sz w:val="16"/>
          <w:szCs w:val="16"/>
        </w:rPr>
      </w:pPr>
      <w:r>
        <w:rPr>
          <w:rFonts w:ascii="Arial" w:hAnsi="Arial"/>
          <w:noProof/>
          <w:sz w:val="16"/>
          <w:szCs w:val="16"/>
        </w:rPr>
        <w:t>Paskolų mokėjimų įsiskolinimus ir vertės sumažėjimą galima analizuoti taip (tūkst. EUR):</w:t>
      </w:r>
    </w:p>
    <w:p>
      <w:pPr>
        <w:pStyle w:val="Normal94"/>
        <w:spacing w:before="60" w:after="60"/>
        <w:jc w:val="both"/>
        <w:rPr>
          <w:rFonts w:ascii="Arial" w:hAnsi="Arial"/>
          <w:noProof/>
          <w:sz w:val="16"/>
          <w:szCs w:val="16"/>
        </w:rPr>
      </w:pPr>
      <w:r>
        <w:rPr>
          <w:noProof/>
        </w:rPr>
        <w:t xml:space="preserve"> </w:t>
      </w:r>
    </w:p>
    <w:tbl>
      <w:tblPr>
        <w:tblStyle w:val="CDMRange24"/>
        <w:tblW w:w="5000" w:type="pct"/>
        <w:tblLayout w:type="fixed"/>
        <w:tblLook w:val="0600" w:firstRow="0" w:lastRow="0" w:firstColumn="0" w:lastColumn="0" w:noHBand="1" w:noVBand="1"/>
      </w:tblPr>
      <w:tblGrid>
        <w:gridCol w:w="4729"/>
        <w:gridCol w:w="2476"/>
        <w:gridCol w:w="2474"/>
      </w:tblGrid>
      <w:tr>
        <w:trPr>
          <w:trHeight w:val="289"/>
        </w:trPr>
        <w:tc>
          <w:tcPr>
            <w:tcW w:w="2443"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5"/>
              <w:rPr>
                <w:noProof/>
                <w:color w:val="000000"/>
                <w:sz w:val="20"/>
              </w:rPr>
            </w:pPr>
          </w:p>
        </w:tc>
        <w:tc>
          <w:tcPr>
            <w:tcW w:w="127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Paskolos ir išankstiniai mokėjimai</w:t>
            </w:r>
          </w:p>
        </w:tc>
        <w:tc>
          <w:tcPr>
            <w:tcW w:w="127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Paskolos ir išankstiniai mokėjimai</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single" w:sz="4" w:space="0" w:color="000000"/>
              <w:right w:val="nil"/>
              <w:tl2br w:val="nil"/>
              <w:tr2bl w:val="nil"/>
            </w:tcBorders>
            <w:shd w:val="clear" w:color="auto" w:fill="auto"/>
            <w:tcMar>
              <w:left w:w="0" w:type="dxa"/>
              <w:right w:w="0" w:type="dxa"/>
            </w:tcMar>
            <w:vAlign w:val="bottom"/>
          </w:tcPr>
          <w:p>
            <w:pPr>
              <w:pStyle w:val="Normal95"/>
              <w:jc w:val="center"/>
              <w:rPr>
                <w:noProof/>
                <w:color w:val="000000"/>
                <w:sz w:val="20"/>
              </w:rPr>
            </w:pPr>
          </w:p>
        </w:tc>
        <w:tc>
          <w:tcPr>
            <w:tcW w:w="1279"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2019 12 31</w:t>
            </w:r>
          </w:p>
        </w:tc>
        <w:tc>
          <w:tcPr>
            <w:tcW w:w="1279"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2018 12 31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5"/>
              <w:rPr>
                <w:rFonts w:ascii="Arial" w:eastAsia="Arial" w:hAnsi="Arial" w:cs="Arial"/>
                <w:b/>
                <w:noProof/>
                <w:color w:val="000000"/>
                <w:sz w:val="16"/>
              </w:rPr>
            </w:pPr>
            <w:r>
              <w:rPr>
                <w:rFonts w:ascii="Arial" w:hAnsi="Arial"/>
                <w:b/>
                <w:noProof/>
                <w:color w:val="000000"/>
                <w:sz w:val="16"/>
              </w:rPr>
              <w:t>Balansinė vertė</w:t>
            </w:r>
          </w:p>
        </w:tc>
        <w:tc>
          <w:tcPr>
            <w:tcW w:w="127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1 518 675</w:t>
            </w:r>
          </w:p>
        </w:tc>
        <w:tc>
          <w:tcPr>
            <w:tcW w:w="127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1 540 991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5"/>
              <w:rPr>
                <w:rFonts w:ascii="Arial" w:eastAsia="Arial" w:hAnsi="Arial" w:cs="Arial"/>
                <w:b/>
                <w:noProof/>
                <w:color w:val="000000"/>
                <w:sz w:val="16"/>
              </w:rPr>
            </w:pPr>
          </w:p>
        </w:tc>
        <w:tc>
          <w:tcPr>
            <w:tcW w:w="127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c>
          <w:tcPr>
            <w:tcW w:w="127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5"/>
              <w:rPr>
                <w:rFonts w:ascii="Arial" w:eastAsia="Arial" w:hAnsi="Arial" w:cs="Arial"/>
                <w:b/>
                <w:noProof/>
                <w:color w:val="000000"/>
                <w:sz w:val="16"/>
              </w:rPr>
            </w:pPr>
            <w:r>
              <w:rPr>
                <w:rFonts w:ascii="Arial" w:hAnsi="Arial"/>
                <w:b/>
                <w:noProof/>
                <w:color w:val="000000"/>
                <w:sz w:val="16"/>
              </w:rPr>
              <w:t>Tikėtini kredito nuostoliai finansinės priemonės galiojimo laikotarpiu, kurių vertė dėl kredito rizikos sumažėjusi</w:t>
            </w:r>
          </w:p>
        </w:tc>
        <w:tc>
          <w:tcPr>
            <w:tcW w:w="127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c>
          <w:tcPr>
            <w:tcW w:w="127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5"/>
              <w:rPr>
                <w:rFonts w:ascii="Arial" w:eastAsia="Arial" w:hAnsi="Arial" w:cs="Arial"/>
                <w:noProof/>
                <w:color w:val="000000"/>
                <w:sz w:val="16"/>
              </w:rPr>
            </w:pPr>
            <w:r>
              <w:rPr>
                <w:rFonts w:ascii="Arial" w:hAnsi="Arial"/>
                <w:noProof/>
                <w:color w:val="000000"/>
                <w:sz w:val="16"/>
              </w:rPr>
              <w:t>Bendra suma</w:t>
            </w:r>
          </w:p>
        </w:tc>
        <w:tc>
          <w:tcPr>
            <w:tcW w:w="127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136 749</w:t>
            </w:r>
          </w:p>
        </w:tc>
        <w:tc>
          <w:tcPr>
            <w:tcW w:w="127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188 861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pStyle w:val="Normal95"/>
              <w:rPr>
                <w:rFonts w:ascii="Arial" w:eastAsia="Arial" w:hAnsi="Arial" w:cs="Arial"/>
                <w:noProof/>
                <w:color w:val="000000"/>
                <w:sz w:val="16"/>
              </w:rPr>
            </w:pPr>
            <w:r>
              <w:rPr>
                <w:rFonts w:ascii="Arial" w:hAnsi="Arial"/>
                <w:noProof/>
                <w:color w:val="000000"/>
                <w:sz w:val="16"/>
              </w:rPr>
              <w:t>Vertės sumažėjimas dėl atidėjinių nuostoliams</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−114 307</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−144 886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FFFFFF" w:fill="BFBFBF"/>
            <w:tcMar>
              <w:left w:w="40" w:type="dxa"/>
              <w:right w:w="40" w:type="dxa"/>
            </w:tcMar>
            <w:vAlign w:val="center"/>
          </w:tcPr>
          <w:p>
            <w:pPr>
              <w:pStyle w:val="Normal95"/>
              <w:rPr>
                <w:rFonts w:ascii="Arial" w:eastAsia="Arial" w:hAnsi="Arial" w:cs="Arial"/>
                <w:b/>
                <w:noProof/>
                <w:color w:val="000000"/>
                <w:sz w:val="16"/>
              </w:rPr>
            </w:pPr>
            <w:r>
              <w:rPr>
                <w:rFonts w:ascii="Arial" w:hAnsi="Arial"/>
                <w:b/>
                <w:noProof/>
                <w:color w:val="000000"/>
                <w:sz w:val="16"/>
              </w:rPr>
              <w:t>Tikėtinų kredito nuostolių finansinės priemonės galiojimo laikotarpiu, kurių vertė dėl kredito rizikos sumažėjusi, balansinė vertė</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22 442</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43 975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0" w:type="dxa"/>
              <w:right w:w="0" w:type="dxa"/>
            </w:tcMar>
            <w:vAlign w:val="center"/>
          </w:tcPr>
          <w:p>
            <w:pPr>
              <w:pStyle w:val="Normal95"/>
              <w:rPr>
                <w:noProof/>
                <w:color w:val="000000"/>
                <w:sz w:val="20"/>
              </w:rPr>
            </w:pPr>
          </w:p>
        </w:tc>
        <w:tc>
          <w:tcPr>
            <w:tcW w:w="1279" w:type="pct"/>
            <w:tcBorders>
              <w:top w:val="nil"/>
              <w:left w:val="nil"/>
              <w:bottom w:val="nil"/>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c>
          <w:tcPr>
            <w:tcW w:w="1279" w:type="pct"/>
            <w:tcBorders>
              <w:top w:val="nil"/>
              <w:left w:val="nil"/>
              <w:bottom w:val="nil"/>
              <w:right w:val="nil"/>
              <w:tl2br w:val="nil"/>
              <w:tr2bl w:val="nil"/>
            </w:tcBorders>
            <w:shd w:val="clear" w:color="auto" w:fill="auto"/>
            <w:tcMar>
              <w:left w:w="0" w:type="dxa"/>
              <w:right w:w="0" w:type="dxa"/>
            </w:tcMar>
            <w:vAlign w:val="center"/>
          </w:tcPr>
          <w:p>
            <w:pPr>
              <w:pStyle w:val="Normal95"/>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95"/>
              <w:rPr>
                <w:noProof/>
                <w:color w:val="000000"/>
                <w:sz w:val="20"/>
              </w:rPr>
            </w:pPr>
          </w:p>
        </w:tc>
        <w:tc>
          <w:tcPr>
            <w:tcW w:w="1279" w:type="pct"/>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95"/>
              <w:jc w:val="right"/>
              <w:rPr>
                <w:rFonts w:ascii="Arial" w:eastAsia="Arial" w:hAnsi="Arial" w:cs="Arial"/>
                <w:noProof/>
                <w:color w:val="000000"/>
                <w:sz w:val="20"/>
              </w:rPr>
            </w:pPr>
          </w:p>
        </w:tc>
        <w:tc>
          <w:tcPr>
            <w:tcW w:w="1279"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95"/>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5"/>
              <w:rPr>
                <w:rFonts w:ascii="Arial" w:eastAsia="Arial" w:hAnsi="Arial" w:cs="Arial"/>
                <w:b/>
                <w:noProof/>
                <w:color w:val="000000"/>
                <w:sz w:val="16"/>
              </w:rPr>
            </w:pPr>
            <w:r>
              <w:rPr>
                <w:rFonts w:ascii="Arial" w:hAnsi="Arial"/>
                <w:b/>
                <w:noProof/>
                <w:color w:val="000000"/>
                <w:sz w:val="16"/>
              </w:rPr>
              <w:t>Pradelsta, bet vertė dėl kredito rizikos nesumažėjusi</w:t>
            </w:r>
          </w:p>
        </w:tc>
        <w:tc>
          <w:tcPr>
            <w:tcW w:w="127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c>
          <w:tcPr>
            <w:tcW w:w="127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5"/>
              <w:rPr>
                <w:noProof/>
                <w:color w:val="000000"/>
                <w:sz w:val="20"/>
              </w:rPr>
            </w:pPr>
          </w:p>
        </w:tc>
        <w:tc>
          <w:tcPr>
            <w:tcW w:w="1279" w:type="pct"/>
            <w:tcBorders>
              <w:top w:val="single" w:sz="4" w:space="0" w:color="000000"/>
              <w:left w:val="nil"/>
              <w:bottom w:val="nil"/>
              <w:right w:val="nil"/>
              <w:tl2br w:val="nil"/>
              <w:tr2bl w:val="nil"/>
            </w:tcBorders>
            <w:shd w:val="clear" w:color="auto" w:fill="auto"/>
            <w:noWrap/>
            <w:tcMar>
              <w:left w:w="0" w:type="dxa"/>
              <w:right w:w="0" w:type="dxa"/>
            </w:tcMar>
            <w:vAlign w:val="center"/>
          </w:tcPr>
          <w:p>
            <w:pPr>
              <w:pStyle w:val="Normal95"/>
              <w:jc w:val="right"/>
              <w:rPr>
                <w:rFonts w:ascii="Arial" w:eastAsia="Arial" w:hAnsi="Arial" w:cs="Arial"/>
                <w:noProof/>
                <w:color w:val="000000"/>
                <w:sz w:val="20"/>
              </w:rPr>
            </w:pPr>
          </w:p>
        </w:tc>
        <w:tc>
          <w:tcPr>
            <w:tcW w:w="1279"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5"/>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pStyle w:val="Normal95"/>
              <w:rPr>
                <w:rFonts w:ascii="Arial" w:eastAsia="Arial" w:hAnsi="Arial" w:cs="Arial"/>
                <w:b/>
                <w:noProof/>
                <w:color w:val="000000"/>
                <w:sz w:val="16"/>
              </w:rPr>
            </w:pPr>
            <w:r>
              <w:rPr>
                <w:rFonts w:ascii="Arial" w:hAnsi="Arial"/>
                <w:b/>
                <w:noProof/>
                <w:color w:val="000000"/>
                <w:sz w:val="16"/>
              </w:rPr>
              <w:t>Laiku nesumokėta:</w:t>
            </w:r>
          </w:p>
        </w:tc>
        <w:tc>
          <w:tcPr>
            <w:tcW w:w="1279" w:type="pct"/>
            <w:tcBorders>
              <w:top w:val="nil"/>
              <w:left w:val="nil"/>
              <w:bottom w:val="nil"/>
              <w:right w:val="nil"/>
              <w:tl2br w:val="nil"/>
              <w:tr2bl w:val="nil"/>
            </w:tcBorders>
            <w:shd w:val="clear" w:color="auto" w:fill="auto"/>
            <w:tcMar>
              <w:left w:w="0" w:type="dxa"/>
              <w:right w:w="0" w:type="dxa"/>
            </w:tcMar>
            <w:vAlign w:val="center"/>
          </w:tcPr>
          <w:p>
            <w:pPr>
              <w:pStyle w:val="Normal95"/>
              <w:jc w:val="right"/>
              <w:rPr>
                <w:rFonts w:ascii="Arial" w:eastAsia="Arial" w:hAnsi="Arial" w:cs="Arial"/>
                <w:noProof/>
                <w:color w:val="000000"/>
                <w:sz w:val="16"/>
              </w:rPr>
            </w:pPr>
          </w:p>
        </w:tc>
        <w:tc>
          <w:tcPr>
            <w:tcW w:w="1279" w:type="pct"/>
            <w:tcBorders>
              <w:top w:val="nil"/>
              <w:left w:val="nil"/>
              <w:bottom w:val="nil"/>
              <w:right w:val="nil"/>
              <w:tl2br w:val="nil"/>
              <w:tr2bl w:val="nil"/>
            </w:tcBorders>
            <w:shd w:val="clear" w:color="auto" w:fill="auto"/>
            <w:tcMar>
              <w:left w:w="0" w:type="dxa"/>
              <w:right w:w="0" w:type="dxa"/>
            </w:tcMar>
            <w:vAlign w:val="center"/>
          </w:tcPr>
          <w:p>
            <w:pPr>
              <w:pStyle w:val="Normal95"/>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pStyle w:val="Normal95"/>
              <w:rPr>
                <w:rFonts w:ascii="Arial" w:eastAsia="Arial" w:hAnsi="Arial" w:cs="Arial"/>
                <w:noProof/>
                <w:color w:val="000000"/>
                <w:sz w:val="16"/>
              </w:rPr>
            </w:pPr>
            <w:r>
              <w:rPr>
                <w:rFonts w:ascii="Arial" w:hAnsi="Arial"/>
                <w:noProof/>
                <w:color w:val="000000"/>
                <w:sz w:val="16"/>
              </w:rPr>
              <w:t>0–30 dienų</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61</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804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pStyle w:val="Normal95"/>
              <w:rPr>
                <w:rFonts w:ascii="Arial" w:eastAsia="Arial" w:hAnsi="Arial" w:cs="Arial"/>
                <w:noProof/>
                <w:color w:val="000000"/>
                <w:sz w:val="16"/>
              </w:rPr>
            </w:pPr>
            <w:r>
              <w:rPr>
                <w:rFonts w:ascii="Arial" w:hAnsi="Arial"/>
                <w:noProof/>
                <w:color w:val="000000"/>
                <w:sz w:val="16"/>
              </w:rPr>
              <w:t>30–60 dienų</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924</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pStyle w:val="Normal95"/>
              <w:rPr>
                <w:rFonts w:ascii="Arial" w:eastAsia="Arial" w:hAnsi="Arial" w:cs="Arial"/>
                <w:noProof/>
                <w:color w:val="000000"/>
                <w:sz w:val="16"/>
              </w:rPr>
            </w:pPr>
            <w:r>
              <w:rPr>
                <w:rFonts w:ascii="Arial" w:hAnsi="Arial"/>
                <w:noProof/>
                <w:color w:val="000000"/>
                <w:sz w:val="16"/>
              </w:rPr>
              <w:t>60–90 dienų</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pStyle w:val="Normal95"/>
              <w:rPr>
                <w:rFonts w:ascii="Arial" w:eastAsia="Arial" w:hAnsi="Arial" w:cs="Arial"/>
                <w:noProof/>
                <w:color w:val="000000"/>
                <w:sz w:val="16"/>
              </w:rPr>
            </w:pPr>
            <w:r>
              <w:rPr>
                <w:rFonts w:ascii="Arial" w:hAnsi="Arial"/>
                <w:noProof/>
                <w:color w:val="000000"/>
                <w:sz w:val="16"/>
              </w:rPr>
              <w:t>90–180 dienų</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135</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pStyle w:val="Normal95"/>
              <w:rPr>
                <w:rFonts w:ascii="Arial" w:eastAsia="Arial" w:hAnsi="Arial" w:cs="Arial"/>
                <w:noProof/>
                <w:color w:val="000000"/>
                <w:sz w:val="16"/>
              </w:rPr>
            </w:pPr>
            <w:r>
              <w:rPr>
                <w:rFonts w:ascii="Arial" w:hAnsi="Arial"/>
                <w:noProof/>
                <w:color w:val="000000"/>
                <w:sz w:val="16"/>
              </w:rPr>
              <w:t>daugiau kaip 180 dienų</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26</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FFFFFF" w:fill="BFBFBF"/>
            <w:tcMar>
              <w:left w:w="40" w:type="dxa"/>
              <w:right w:w="40" w:type="dxa"/>
            </w:tcMar>
            <w:vAlign w:val="center"/>
          </w:tcPr>
          <w:p>
            <w:pPr>
              <w:pStyle w:val="Normal95"/>
              <w:rPr>
                <w:rFonts w:ascii="Arial" w:eastAsia="Arial" w:hAnsi="Arial" w:cs="Arial"/>
                <w:b/>
                <w:noProof/>
                <w:color w:val="000000"/>
                <w:sz w:val="16"/>
              </w:rPr>
            </w:pPr>
            <w:r>
              <w:rPr>
                <w:rFonts w:ascii="Arial" w:hAnsi="Arial"/>
                <w:b/>
                <w:noProof/>
                <w:color w:val="000000"/>
                <w:sz w:val="16"/>
              </w:rPr>
              <w:t>Balansinė vertė, kai laiku nesumokėta, bet vertė dėl kredito rizikos nesumažėjo</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1 146</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805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noWrap/>
            <w:tcMar>
              <w:left w:w="0" w:type="dxa"/>
              <w:right w:w="0" w:type="dxa"/>
            </w:tcMar>
            <w:vAlign w:val="bottom"/>
          </w:tcPr>
          <w:p>
            <w:pPr>
              <w:pStyle w:val="Normal95"/>
              <w:rPr>
                <w:noProof/>
                <w:color w:val="000000"/>
                <w:sz w:val="20"/>
              </w:rPr>
            </w:pPr>
          </w:p>
        </w:tc>
        <w:tc>
          <w:tcPr>
            <w:tcW w:w="1279" w:type="pct"/>
            <w:tcBorders>
              <w:top w:val="nil"/>
              <w:left w:val="nil"/>
              <w:bottom w:val="nil"/>
              <w:right w:val="nil"/>
              <w:tl2br w:val="nil"/>
              <w:tr2bl w:val="nil"/>
            </w:tcBorders>
            <w:shd w:val="clear" w:color="auto" w:fill="auto"/>
            <w:noWrap/>
            <w:tcMar>
              <w:left w:w="0" w:type="dxa"/>
              <w:right w:w="0" w:type="dxa"/>
            </w:tcMar>
            <w:vAlign w:val="center"/>
          </w:tcPr>
          <w:p>
            <w:pPr>
              <w:pStyle w:val="Normal95"/>
              <w:jc w:val="right"/>
              <w:rPr>
                <w:rFonts w:ascii="Arial" w:eastAsia="Arial" w:hAnsi="Arial" w:cs="Arial"/>
                <w:noProof/>
                <w:color w:val="000000"/>
                <w:sz w:val="20"/>
              </w:rPr>
            </w:pPr>
          </w:p>
        </w:tc>
        <w:tc>
          <w:tcPr>
            <w:tcW w:w="1279" w:type="pct"/>
            <w:tcBorders>
              <w:top w:val="nil"/>
              <w:left w:val="nil"/>
              <w:bottom w:val="nil"/>
              <w:right w:val="nil"/>
              <w:tl2br w:val="nil"/>
              <w:tr2bl w:val="nil"/>
            </w:tcBorders>
            <w:shd w:val="clear" w:color="auto" w:fill="auto"/>
            <w:noWrap/>
            <w:tcMar>
              <w:left w:w="0" w:type="dxa"/>
              <w:right w:w="0" w:type="dxa"/>
            </w:tcMar>
            <w:vAlign w:val="bottom"/>
          </w:tcPr>
          <w:p>
            <w:pPr>
              <w:pStyle w:val="Normal95"/>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FFFFFF" w:fill="BFBFBF"/>
            <w:tcMar>
              <w:left w:w="40" w:type="dxa"/>
              <w:right w:w="40" w:type="dxa"/>
            </w:tcMar>
            <w:vAlign w:val="center"/>
          </w:tcPr>
          <w:p>
            <w:pPr>
              <w:pStyle w:val="Normal95"/>
              <w:rPr>
                <w:rFonts w:ascii="Arial" w:eastAsia="Arial" w:hAnsi="Arial" w:cs="Arial"/>
                <w:b/>
                <w:noProof/>
                <w:color w:val="000000"/>
                <w:sz w:val="16"/>
              </w:rPr>
            </w:pPr>
            <w:r>
              <w:rPr>
                <w:rFonts w:ascii="Arial" w:hAnsi="Arial"/>
                <w:b/>
                <w:noProof/>
                <w:color w:val="000000"/>
                <w:sz w:val="16"/>
              </w:rPr>
              <w:t>Balansinė vertė, kai laiku sumokėta ir vertė dėl kredito rizikos nesumažėjo</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1 495 087</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1 496 211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0" w:type="dxa"/>
              <w:right w:w="0" w:type="dxa"/>
            </w:tcMar>
            <w:vAlign w:val="center"/>
          </w:tcPr>
          <w:p>
            <w:pPr>
              <w:pStyle w:val="Normal95"/>
              <w:rPr>
                <w:rFonts w:ascii="Arial" w:eastAsia="Arial" w:hAnsi="Arial" w:cs="Arial"/>
                <w:b/>
                <w:noProof/>
                <w:color w:val="000000"/>
                <w:sz w:val="16"/>
              </w:rPr>
            </w:pPr>
          </w:p>
        </w:tc>
        <w:tc>
          <w:tcPr>
            <w:tcW w:w="1279" w:type="pct"/>
            <w:tcBorders>
              <w:top w:val="nil"/>
              <w:left w:val="nil"/>
              <w:bottom w:val="nil"/>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c>
          <w:tcPr>
            <w:tcW w:w="1279" w:type="pct"/>
            <w:tcBorders>
              <w:top w:val="nil"/>
              <w:left w:val="nil"/>
              <w:bottom w:val="nil"/>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FFFFFF" w:fill="BFBFBF"/>
            <w:tcMar>
              <w:left w:w="40" w:type="dxa"/>
              <w:right w:w="40" w:type="dxa"/>
            </w:tcMar>
            <w:vAlign w:val="center"/>
          </w:tcPr>
          <w:p>
            <w:pPr>
              <w:pStyle w:val="Normal95"/>
              <w:rPr>
                <w:rFonts w:ascii="Arial" w:eastAsia="Arial" w:hAnsi="Arial" w:cs="Arial"/>
                <w:b/>
                <w:noProof/>
                <w:color w:val="000000"/>
                <w:sz w:val="16"/>
              </w:rPr>
            </w:pPr>
            <w:r>
              <w:rPr>
                <w:rFonts w:ascii="Arial" w:hAnsi="Arial"/>
                <w:b/>
                <w:noProof/>
                <w:color w:val="000000"/>
                <w:sz w:val="16"/>
              </w:rPr>
              <w:t>Visa paskolų ir išankstinių sumų balansinė vertė</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1 518 675</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1 540 991</w:t>
            </w:r>
          </w:p>
        </w:tc>
      </w:tr>
    </w:tbl>
    <w:p>
      <w:pPr>
        <w:pStyle w:val="Notes14"/>
        <w:pageBreakBefore/>
        <w:numPr>
          <w:ilvl w:val="3"/>
          <w:numId w:val="77"/>
        </w:numPr>
        <w:tabs>
          <w:tab w:val="clear" w:pos="4320"/>
          <w:tab w:val="clear" w:pos="8640"/>
          <w:tab w:val="right" w:pos="-2700"/>
          <w:tab w:val="right" w:pos="720"/>
        </w:tabs>
        <w:spacing w:before="60" w:after="0"/>
        <w:ind w:left="794" w:hanging="794"/>
        <w:rPr>
          <w:bCs/>
          <w:noProof/>
          <w:sz w:val="16"/>
          <w:szCs w:val="16"/>
        </w:rPr>
      </w:pPr>
      <w:r>
        <w:rPr>
          <w:bCs/>
          <w:noProof/>
          <w:sz w:val="16"/>
          <w:szCs w:val="16"/>
        </w:rPr>
        <w:t>Paskolų sąlygų pakeitimas ir restruktūrizavimo priemonės</w:t>
      </w:r>
    </w:p>
    <w:p>
      <w:pPr>
        <w:pStyle w:val="Normal96"/>
        <w:spacing w:after="60"/>
        <w:jc w:val="both"/>
        <w:rPr>
          <w:rFonts w:ascii="Arial" w:hAnsi="Arial"/>
          <w:noProof/>
          <w:sz w:val="16"/>
          <w:szCs w:val="16"/>
        </w:rPr>
      </w:pPr>
    </w:p>
    <w:p>
      <w:pPr>
        <w:pStyle w:val="Normal96"/>
        <w:spacing w:before="60" w:after="60"/>
        <w:jc w:val="both"/>
        <w:rPr>
          <w:rFonts w:ascii="Arial" w:hAnsi="Arial"/>
          <w:noProof/>
          <w:sz w:val="16"/>
          <w:szCs w:val="16"/>
        </w:rPr>
      </w:pPr>
      <w:r>
        <w:rPr>
          <w:rFonts w:ascii="Arial" w:hAnsi="Arial"/>
          <w:noProof/>
          <w:sz w:val="16"/>
          <w:szCs w:val="16"/>
        </w:rPr>
        <w:t xml:space="preserve">Laikoma, kad Priemonės paskolos yra restruktūrizuotos, jei įvykus neigiamiems skolininko finansinės būklės pokyčiams su tuos skolininku iš naujo peržiūrimos pradinės susitarimų sąlygos, kurios tiesiogiai veikia būsimuosius finansinės priemonės pinigų srautus, ir dėl to taikant Priemonė gali būti patirta nuostolių. Tačiau restruktūrizavimo veiklos finansinis poveikis paprastai apsiriboja nuostoliais dėl vertės sumažėjimo, jei tokių yra, nes paprastai taikant Priemonę laikomasi finansinio neutralumo ir tai atsispindi iš naujo suderėtose restruktūrizuojamų operacijų kainodaros sąlygose. </w:t>
      </w:r>
    </w:p>
    <w:p>
      <w:pPr>
        <w:pStyle w:val="Normal96"/>
        <w:spacing w:before="60" w:after="60"/>
        <w:jc w:val="both"/>
        <w:rPr>
          <w:rFonts w:ascii="Arial" w:hAnsi="Arial"/>
          <w:noProof/>
          <w:sz w:val="16"/>
          <w:szCs w:val="16"/>
        </w:rPr>
      </w:pPr>
    </w:p>
    <w:p>
      <w:pPr>
        <w:pStyle w:val="Normal96"/>
        <w:spacing w:before="60" w:after="60"/>
        <w:jc w:val="both"/>
        <w:rPr>
          <w:rFonts w:ascii="Arial" w:hAnsi="Arial"/>
          <w:noProof/>
          <w:sz w:val="16"/>
          <w:szCs w:val="16"/>
        </w:rPr>
      </w:pPr>
      <w:r>
        <w:rPr>
          <w:rFonts w:ascii="Arial" w:hAnsi="Arial"/>
          <w:noProof/>
          <w:sz w:val="16"/>
          <w:szCs w:val="16"/>
        </w:rPr>
        <w:t>Įprastomis veiklos sąlygomis atliekant paskolų klasifikaciją konkrečios paskolos būtų buvusios priskirtos prastesnei klasei ir prieš peržiūrint sąlygas paskola būtų buvusi įtraukta į stebėjimo sąrašą. Peržiūrėjus sąlygas, taikant Priemonę ir toliau bus atidžiai stebimos šios paskolos. Jei peržiūrėjus mokėjimo sąlygas nebus atkurta pradinė turto balansinė vertė, bus laikoma, kad jo vertė sumažėjo. Atitinkami nuostoliai dėl vertės sumažėjimo bus apskaičiuoti remiantis prognozuojamais pinigų srautais, diskontuotais taikant pirminę faktinę palūkanų normą. Reguliariai vertinamas poreikis sumažinti visų paskolų, kurių klasifikacija sumažinta iki E-, vertę; visų F klasės paskolų vertė turi būti sumažinta.  Kai paskolos klasifikacija pakankamai pagerės, ji bus pašalinta iš stebėjimo sąrašo, laikantis pagal Priemonę taikomų procedūrų.</w:t>
      </w:r>
    </w:p>
    <w:p>
      <w:pPr>
        <w:pStyle w:val="Normal96"/>
        <w:spacing w:before="60" w:after="60"/>
        <w:jc w:val="both"/>
        <w:rPr>
          <w:rFonts w:ascii="Arial" w:hAnsi="Arial"/>
          <w:noProof/>
          <w:sz w:val="16"/>
          <w:szCs w:val="16"/>
        </w:rPr>
      </w:pPr>
    </w:p>
    <w:p>
      <w:pPr>
        <w:pStyle w:val="Normal250"/>
        <w:spacing w:before="60" w:after="60"/>
        <w:jc w:val="both"/>
        <w:rPr>
          <w:rFonts w:ascii="Arial" w:hAnsi="Arial"/>
          <w:noProof/>
          <w:sz w:val="16"/>
          <w:szCs w:val="16"/>
        </w:rPr>
      </w:pPr>
      <w:r>
        <w:rPr>
          <w:rFonts w:ascii="Arial" w:hAnsi="Arial"/>
          <w:noProof/>
          <w:sz w:val="16"/>
          <w:szCs w:val="16"/>
        </w:rPr>
        <w:t xml:space="preserve">Restruktūrizavimo priemonės ir veiksmai, kurių per ataskaitinį laikotarpį ėmėsi Banko restruktūrizavimo grupė, apima termino pratęsimą, pagrindinės sumos mokėjimo atidėjimą, pagrindinės sumos ir palūkanų mokėjimo atidėjimą ir pradelstų skolų kapitalizavimą. Tokios restruktūrizavimo priemonės nelemia pagrindinės operacijos pripažinimo nutraukimo, išskyrus atvejus, kai restruktūrizavimo datą sutartinių pokyčių poveikis grynajai dabartinei paskolos vertei laikomas reikšmingu. Jei toks naujai pripažintas finansinis turtas yra turtas, kurio vertė dėl kredito rizikos sumažėjusi, jis atitiks nusipirkto arba suteikto dėl kredito rizikos sumažėjusios vertės finansinio turto apibrėžtį. </w:t>
      </w:r>
    </w:p>
    <w:p>
      <w:pPr>
        <w:pStyle w:val="Normal250"/>
        <w:spacing w:before="60" w:after="60"/>
        <w:jc w:val="both"/>
        <w:rPr>
          <w:rFonts w:ascii="Arial" w:hAnsi="Arial"/>
          <w:noProof/>
          <w:sz w:val="16"/>
          <w:szCs w:val="16"/>
        </w:rPr>
      </w:pPr>
    </w:p>
    <w:p>
      <w:pPr>
        <w:pStyle w:val="Normal96"/>
        <w:spacing w:before="60" w:after="60"/>
        <w:jc w:val="both"/>
        <w:rPr>
          <w:rFonts w:ascii="Arial" w:hAnsi="Arial"/>
          <w:noProof/>
          <w:sz w:val="16"/>
          <w:szCs w:val="16"/>
        </w:rPr>
      </w:pPr>
      <w:r>
        <w:rPr>
          <w:rFonts w:ascii="Arial" w:hAnsi="Arial"/>
          <w:noProof/>
          <w:sz w:val="16"/>
          <w:szCs w:val="16"/>
        </w:rPr>
        <w:t>Pozicijos, dėl kurių padaryti susitarimų sąlygų pakeitimai, kurie neturi įtakos būsimiesiems pinigų srautams, kaip antai įkaito ar kiti užtikrinimo susitarimai arba sutartyse numatytų teisių atsisakymas pagal sutarties sąlygas, nėra laikomos restruktūrizuotomis, taigi nelaikoma, kad tie įvykiai yra pakankami, kad patys savaime rodytų vertės sumažėjimą.</w:t>
      </w:r>
    </w:p>
    <w:p>
      <w:pPr>
        <w:pStyle w:val="Normal96"/>
        <w:spacing w:before="60" w:after="60"/>
        <w:jc w:val="both"/>
        <w:rPr>
          <w:rFonts w:ascii="Arial" w:hAnsi="Arial"/>
          <w:noProof/>
          <w:sz w:val="16"/>
          <w:szCs w:val="16"/>
        </w:rPr>
      </w:pPr>
    </w:p>
    <w:p>
      <w:pPr>
        <w:pStyle w:val="Normal96"/>
        <w:spacing w:before="60" w:after="60"/>
        <w:jc w:val="both"/>
        <w:rPr>
          <w:rFonts w:ascii="Arial" w:hAnsi="Arial"/>
          <w:noProof/>
          <w:sz w:val="16"/>
          <w:szCs w:val="16"/>
        </w:rPr>
      </w:pPr>
      <w:r>
        <w:rPr>
          <w:rFonts w:ascii="Arial" w:hAnsi="Arial"/>
          <w:noProof/>
          <w:sz w:val="16"/>
          <w:szCs w:val="16"/>
        </w:rPr>
        <w:t>Operacijos, kurioms taikytos restruktūrizavimo priemonės, nurodytos kaip tokios toliau pateikiamoje lentelėje:</w:t>
      </w:r>
    </w:p>
    <w:p>
      <w:pPr>
        <w:pStyle w:val="Normal96"/>
        <w:spacing w:before="60" w:after="60"/>
        <w:jc w:val="both"/>
        <w:rPr>
          <w:rFonts w:ascii="Arial" w:hAnsi="Arial"/>
          <w:noProof/>
          <w:sz w:val="16"/>
          <w:szCs w:val="16"/>
        </w:rPr>
      </w:pPr>
      <w:r>
        <w:rPr>
          <w:noProof/>
        </w:rPr>
        <w:t xml:space="preserve"> </w:t>
      </w:r>
    </w:p>
    <w:tbl>
      <w:tblPr>
        <w:tblStyle w:val="CDMRange15"/>
        <w:tblW w:w="5000" w:type="pct"/>
        <w:tblLayout w:type="fixed"/>
        <w:tblLook w:val="0600" w:firstRow="0" w:lastRow="0" w:firstColumn="0" w:lastColumn="0" w:noHBand="1" w:noVBand="1"/>
      </w:tblPr>
      <w:tblGrid>
        <w:gridCol w:w="6791"/>
        <w:gridCol w:w="1464"/>
        <w:gridCol w:w="1464"/>
      </w:tblGrid>
      <w:tr>
        <w:trPr>
          <w:trHeight w:val="300"/>
        </w:trPr>
        <w:tc>
          <w:tcPr>
            <w:tcW w:w="34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7"/>
              <w:rPr>
                <w:rFonts w:ascii="Arial" w:eastAsia="Arial" w:hAnsi="Arial" w:cs="Arial"/>
                <w:b/>
                <w:noProof/>
                <w:color w:val="000000"/>
                <w:sz w:val="16"/>
              </w:rPr>
            </w:pPr>
            <w:r>
              <w:rPr>
                <w:rFonts w:ascii="Arial" w:hAnsi="Arial"/>
                <w:b/>
                <w:noProof/>
                <w:color w:val="000000"/>
                <w:sz w:val="16"/>
              </w:rPr>
              <w:t>tūkst. EUR</w:t>
            </w:r>
          </w:p>
        </w:tc>
        <w:tc>
          <w:tcPr>
            <w:tcW w:w="75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7"/>
              <w:jc w:val="right"/>
              <w:rPr>
                <w:rFonts w:ascii="Arial" w:eastAsia="Arial" w:hAnsi="Arial" w:cs="Arial"/>
                <w:b/>
                <w:noProof/>
                <w:color w:val="000000"/>
                <w:sz w:val="16"/>
              </w:rPr>
            </w:pPr>
            <w:r>
              <w:rPr>
                <w:rFonts w:ascii="Arial" w:hAnsi="Arial"/>
                <w:b/>
                <w:noProof/>
                <w:color w:val="000000"/>
                <w:sz w:val="16"/>
              </w:rPr>
              <w:t>2019 12 31</w:t>
            </w:r>
          </w:p>
        </w:tc>
        <w:tc>
          <w:tcPr>
            <w:tcW w:w="75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7"/>
              <w:jc w:val="right"/>
              <w:rPr>
                <w:rFonts w:ascii="Arial" w:eastAsia="Arial" w:hAnsi="Arial" w:cs="Arial"/>
                <w:b/>
                <w:noProof/>
                <w:color w:val="000000"/>
                <w:sz w:val="16"/>
              </w:rPr>
            </w:pPr>
            <w:r>
              <w:rPr>
                <w:rFonts w:ascii="Arial" w:hAnsi="Arial"/>
                <w:b/>
                <w:noProof/>
                <w:color w:val="000000"/>
                <w:sz w:val="16"/>
              </w:rPr>
              <w:t>2018 12 31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9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7"/>
              <w:jc w:val="both"/>
              <w:rPr>
                <w:rFonts w:ascii="Arial" w:eastAsia="Arial" w:hAnsi="Arial" w:cs="Arial"/>
                <w:noProof/>
                <w:color w:val="000000"/>
                <w:sz w:val="16"/>
              </w:rPr>
            </w:pPr>
            <w:r>
              <w:rPr>
                <w:rFonts w:ascii="Arial" w:hAnsi="Arial"/>
                <w:noProof/>
                <w:color w:val="000000"/>
                <w:sz w:val="16"/>
              </w:rPr>
              <w:t>Operacijos, kurioms taikytos restruktūrizavimo priemonės</w:t>
            </w:r>
          </w:p>
        </w:tc>
        <w:tc>
          <w:tcPr>
            <w:tcW w:w="753"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noProof/>
                <w:color w:val="000000"/>
                <w:sz w:val="16"/>
                <w:szCs w:val="16"/>
              </w:rPr>
              <w:t>28</w:t>
            </w:r>
          </w:p>
        </w:tc>
        <w:tc>
          <w:tcPr>
            <w:tcW w:w="753"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noProof/>
                <w:color w:val="000000"/>
                <w:sz w:val="16"/>
              </w:rPr>
              <w:t>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94" w:type="pct"/>
            <w:tcBorders>
              <w:top w:val="nil"/>
              <w:left w:val="nil"/>
              <w:bottom w:val="nil"/>
              <w:right w:val="nil"/>
              <w:tl2br w:val="nil"/>
              <w:tr2bl w:val="nil"/>
            </w:tcBorders>
            <w:shd w:val="clear" w:color="auto" w:fill="auto"/>
            <w:tcMar>
              <w:left w:w="40" w:type="dxa"/>
              <w:right w:w="40" w:type="dxa"/>
            </w:tcMar>
            <w:vAlign w:val="center"/>
          </w:tcPr>
          <w:p>
            <w:pPr>
              <w:pStyle w:val="Normal97"/>
              <w:jc w:val="both"/>
              <w:rPr>
                <w:rFonts w:ascii="Arial" w:eastAsia="Arial" w:hAnsi="Arial" w:cs="Arial"/>
                <w:noProof/>
                <w:color w:val="000000"/>
                <w:sz w:val="16"/>
              </w:rPr>
            </w:pPr>
            <w:r>
              <w:rPr>
                <w:rFonts w:ascii="Arial" w:hAnsi="Arial"/>
                <w:noProof/>
                <w:color w:val="000000"/>
                <w:sz w:val="16"/>
              </w:rPr>
              <w:t>Balansinė vertė (įskaitant palūkanas ir įsiskolinimų sumas)</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noProof/>
                <w:color w:val="000000"/>
                <w:sz w:val="16"/>
                <w:szCs w:val="16"/>
              </w:rPr>
              <w:t>245 534</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noProof/>
                <w:color w:val="000000"/>
                <w:sz w:val="16"/>
              </w:rPr>
              <w:t>280 720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94" w:type="pct"/>
            <w:tcBorders>
              <w:top w:val="nil"/>
              <w:left w:val="nil"/>
              <w:bottom w:val="nil"/>
              <w:right w:val="nil"/>
              <w:tl2br w:val="nil"/>
              <w:tr2bl w:val="nil"/>
            </w:tcBorders>
            <w:shd w:val="clear" w:color="auto" w:fill="auto"/>
            <w:tcMar>
              <w:left w:w="40" w:type="dxa"/>
              <w:right w:w="40" w:type="dxa"/>
            </w:tcMar>
            <w:vAlign w:val="center"/>
          </w:tcPr>
          <w:p>
            <w:pPr>
              <w:pStyle w:val="Normal97"/>
              <w:jc w:val="both"/>
              <w:rPr>
                <w:rFonts w:ascii="Arial" w:eastAsia="Arial" w:hAnsi="Arial" w:cs="Arial"/>
                <w:noProof/>
                <w:color w:val="000000"/>
                <w:sz w:val="16"/>
              </w:rPr>
            </w:pPr>
            <w:r>
              <w:rPr>
                <w:rFonts w:ascii="Arial" w:hAnsi="Arial"/>
                <w:noProof/>
                <w:color w:val="000000"/>
                <w:sz w:val="16"/>
              </w:rPr>
              <w:t>Pripažintas tikėtinų kredito nuostolių sumažinimas</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noProof/>
                <w:color w:val="000000"/>
                <w:sz w:val="16"/>
                <w:szCs w:val="16"/>
              </w:rPr>
              <w:t>7 916</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noProof/>
                <w:color w:val="000000"/>
                <w:sz w:val="16"/>
              </w:rPr>
              <w:t>9 506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94" w:type="pct"/>
            <w:tcBorders>
              <w:top w:val="nil"/>
              <w:left w:val="nil"/>
              <w:bottom w:val="nil"/>
              <w:right w:val="nil"/>
              <w:tl2br w:val="nil"/>
              <w:tr2bl w:val="nil"/>
            </w:tcBorders>
            <w:shd w:val="clear" w:color="auto" w:fill="auto"/>
            <w:tcMar>
              <w:left w:w="40" w:type="dxa"/>
              <w:right w:w="40" w:type="dxa"/>
            </w:tcMar>
            <w:vAlign w:val="center"/>
          </w:tcPr>
          <w:p>
            <w:pPr>
              <w:pStyle w:val="Normal97"/>
              <w:jc w:val="both"/>
              <w:rPr>
                <w:rFonts w:ascii="Arial" w:eastAsia="Arial" w:hAnsi="Arial" w:cs="Arial"/>
                <w:noProof/>
                <w:color w:val="000000"/>
                <w:sz w:val="16"/>
              </w:rPr>
            </w:pPr>
            <w:r>
              <w:rPr>
                <w:rFonts w:ascii="Arial" w:hAnsi="Arial"/>
                <w:noProof/>
                <w:color w:val="000000"/>
                <w:sz w:val="16"/>
              </w:rPr>
              <w:t>Pripažintas vertės sumažėjimas</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noProof/>
                <w:color w:val="000000"/>
                <w:sz w:val="16"/>
                <w:szCs w:val="16"/>
              </w:rPr>
              <w:t>57 321</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noProof/>
                <w:color w:val="000000"/>
                <w:sz w:val="16"/>
              </w:rPr>
              <w:t>86 334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94" w:type="pct"/>
            <w:tcBorders>
              <w:top w:val="nil"/>
              <w:left w:val="nil"/>
              <w:bottom w:val="nil"/>
              <w:right w:val="nil"/>
              <w:tl2br w:val="nil"/>
              <w:tr2bl w:val="nil"/>
            </w:tcBorders>
            <w:shd w:val="clear" w:color="auto" w:fill="auto"/>
            <w:tcMar>
              <w:left w:w="40" w:type="dxa"/>
              <w:right w:w="40" w:type="dxa"/>
            </w:tcMar>
            <w:vAlign w:val="center"/>
          </w:tcPr>
          <w:p>
            <w:pPr>
              <w:pStyle w:val="Normal97"/>
              <w:jc w:val="both"/>
              <w:rPr>
                <w:rFonts w:ascii="Arial" w:eastAsia="Arial" w:hAnsi="Arial" w:cs="Arial"/>
                <w:noProof/>
                <w:color w:val="000000"/>
                <w:sz w:val="16"/>
              </w:rPr>
            </w:pPr>
            <w:r>
              <w:rPr>
                <w:rFonts w:ascii="Arial" w:hAnsi="Arial"/>
                <w:noProof/>
                <w:color w:val="000000"/>
                <w:sz w:val="16"/>
              </w:rPr>
              <w:t>Pajamos iš restruktūrizuotų operacijų palūkanų</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noProof/>
                <w:color w:val="000000"/>
                <w:sz w:val="16"/>
                <w:szCs w:val="16"/>
              </w:rPr>
              <w:t>8 985</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noProof/>
                <w:color w:val="000000"/>
                <w:sz w:val="16"/>
              </w:rPr>
              <w:t>13 465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94"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97"/>
              <w:jc w:val="both"/>
              <w:rPr>
                <w:rFonts w:ascii="Arial" w:eastAsia="Arial" w:hAnsi="Arial" w:cs="Arial"/>
                <w:noProof/>
                <w:color w:val="000000"/>
                <w:sz w:val="16"/>
              </w:rPr>
            </w:pPr>
            <w:r>
              <w:rPr>
                <w:rFonts w:ascii="Arial" w:hAnsi="Arial"/>
                <w:noProof/>
                <w:color w:val="000000"/>
                <w:sz w:val="16"/>
              </w:rPr>
              <w:t>Nurašytos pozicijos (po operacijos nutraukimo / pardavimo)</w:t>
            </w:r>
          </w:p>
        </w:tc>
        <w:tc>
          <w:tcPr>
            <w:tcW w:w="753" w:type="pct"/>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noProof/>
                <w:color w:val="000000"/>
                <w:sz w:val="16"/>
                <w:szCs w:val="16"/>
              </w:rPr>
              <w:t>280</w:t>
            </w:r>
          </w:p>
        </w:tc>
        <w:tc>
          <w:tcPr>
            <w:tcW w:w="753" w:type="pct"/>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noProof/>
                <w:color w:val="000000"/>
                <w:sz w:val="16"/>
              </w:rPr>
              <w:t>-</w:t>
            </w:r>
          </w:p>
        </w:tc>
      </w:tr>
    </w:tbl>
    <w:p>
      <w:pPr>
        <w:pStyle w:val="Normal98"/>
        <w:spacing w:before="60" w:after="60"/>
        <w:rPr>
          <w:rFonts w:ascii="Arial" w:hAnsi="Arial"/>
          <w:noProof/>
          <w:sz w:val="16"/>
        </w:rPr>
      </w:pPr>
    </w:p>
    <w:tbl>
      <w:tblPr>
        <w:tblStyle w:val="CDMRange25"/>
        <w:tblW w:w="5000" w:type="pct"/>
        <w:tblLayout w:type="fixed"/>
        <w:tblLook w:val="0600" w:firstRow="0" w:lastRow="0" w:firstColumn="0" w:lastColumn="0" w:noHBand="1" w:noVBand="1"/>
      </w:tblPr>
      <w:tblGrid>
        <w:gridCol w:w="1407"/>
        <w:gridCol w:w="1126"/>
        <w:gridCol w:w="1126"/>
        <w:gridCol w:w="1126"/>
        <w:gridCol w:w="1126"/>
        <w:gridCol w:w="1126"/>
        <w:gridCol w:w="1195"/>
        <w:gridCol w:w="1407"/>
      </w:tblGrid>
      <w:tr>
        <w:trPr>
          <w:trHeight w:hRule="exact" w:val="300"/>
        </w:trPr>
        <w:tc>
          <w:tcPr>
            <w:tcW w:w="730"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8"/>
              <w:rPr>
                <w:rFonts w:ascii="Arial" w:eastAsia="Arial" w:hAnsi="Arial" w:cs="Arial"/>
                <w:noProof/>
                <w:color w:val="000000"/>
                <w:sz w:val="16"/>
              </w:rPr>
            </w:pPr>
          </w:p>
        </w:tc>
        <w:tc>
          <w:tcPr>
            <w:tcW w:w="584"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8"/>
              <w:rPr>
                <w:rFonts w:ascii="Arial" w:eastAsia="Arial" w:hAnsi="Arial" w:cs="Arial"/>
                <w:noProof/>
                <w:color w:val="000000"/>
                <w:sz w:val="16"/>
              </w:rPr>
            </w:pPr>
          </w:p>
        </w:tc>
        <w:tc>
          <w:tcPr>
            <w:tcW w:w="584" w:type="pct"/>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98"/>
              <w:rPr>
                <w:rFonts w:ascii="Arial" w:eastAsia="Arial" w:hAnsi="Arial" w:cs="Arial"/>
                <w:noProof/>
                <w:color w:val="000000"/>
                <w:sz w:val="16"/>
              </w:rPr>
            </w:pPr>
          </w:p>
        </w:tc>
        <w:tc>
          <w:tcPr>
            <w:tcW w:w="1168" w:type="pct"/>
            <w:gridSpan w:val="2"/>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8"/>
              <w:jc w:val="center"/>
              <w:rPr>
                <w:rFonts w:ascii="Arial" w:eastAsia="Arial" w:hAnsi="Arial" w:cs="Arial"/>
                <w:b/>
                <w:noProof/>
                <w:color w:val="000000"/>
                <w:sz w:val="16"/>
              </w:rPr>
            </w:pPr>
            <w:r>
              <w:rPr>
                <w:rFonts w:ascii="Arial" w:hAnsi="Arial"/>
                <w:b/>
                <w:noProof/>
                <w:color w:val="000000"/>
                <w:sz w:val="16"/>
              </w:rPr>
              <w:t>Restruktūrizavimo priemonės</w:t>
            </w:r>
          </w:p>
        </w:tc>
        <w:tc>
          <w:tcPr>
            <w:tcW w:w="584" w:type="pct"/>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98"/>
              <w:rPr>
                <w:rFonts w:ascii="Arial" w:eastAsia="Arial" w:hAnsi="Arial" w:cs="Arial"/>
                <w:noProof/>
                <w:color w:val="000000"/>
                <w:sz w:val="16"/>
              </w:rPr>
            </w:pPr>
          </w:p>
        </w:tc>
        <w:tc>
          <w:tcPr>
            <w:tcW w:w="620" w:type="pct"/>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98"/>
              <w:rPr>
                <w:rFonts w:ascii="Arial" w:eastAsia="Arial" w:hAnsi="Arial" w:cs="Arial"/>
                <w:noProof/>
                <w:color w:val="000000"/>
                <w:sz w:val="16"/>
              </w:rPr>
            </w:pPr>
          </w:p>
        </w:tc>
        <w:tc>
          <w:tcPr>
            <w:tcW w:w="730"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8"/>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0"/>
        </w:trPr>
        <w:tc>
          <w:tcPr>
            <w:tcW w:w="730" w:type="pct"/>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98"/>
              <w:jc w:val="both"/>
              <w:rPr>
                <w:rFonts w:ascii="Arial" w:eastAsia="Arial" w:hAnsi="Arial" w:cs="Arial"/>
                <w:b/>
                <w:noProof/>
                <w:color w:val="000000"/>
                <w:sz w:val="16"/>
              </w:rPr>
            </w:pPr>
            <w:r>
              <w:rPr>
                <w:rFonts w:ascii="Arial" w:hAnsi="Arial"/>
                <w:b/>
                <w:noProof/>
                <w:color w:val="000000"/>
                <w:sz w:val="16"/>
              </w:rPr>
              <w:t>tūkst. EUR</w:t>
            </w:r>
          </w:p>
        </w:tc>
        <w:tc>
          <w:tcPr>
            <w:tcW w:w="584" w:type="pct"/>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noProof/>
                <w:color w:val="000000"/>
                <w:sz w:val="16"/>
              </w:rPr>
              <w:t>2018 12 31</w:t>
            </w:r>
          </w:p>
        </w:tc>
        <w:tc>
          <w:tcPr>
            <w:tcW w:w="58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noProof/>
                <w:color w:val="000000"/>
                <w:sz w:val="16"/>
              </w:rPr>
              <w:t>Išpirkimo terminų pratęsimas</w:t>
            </w:r>
          </w:p>
        </w:tc>
        <w:tc>
          <w:tcPr>
            <w:tcW w:w="58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noProof/>
                <w:color w:val="000000"/>
                <w:sz w:val="16"/>
              </w:rPr>
              <w:t>Pagrindinės sumos mokėjimo atidėjimas</w:t>
            </w:r>
          </w:p>
        </w:tc>
        <w:tc>
          <w:tcPr>
            <w:tcW w:w="58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noProof/>
                <w:color w:val="000000"/>
                <w:sz w:val="16"/>
              </w:rPr>
              <w:t>Esminių finansinių sąlygų pažeidimas</w:t>
            </w:r>
          </w:p>
          <w:p>
            <w:pPr>
              <w:pStyle w:val="Normal98"/>
              <w:jc w:val="right"/>
              <w:rPr>
                <w:rFonts w:ascii="Arial" w:eastAsia="Arial" w:hAnsi="Arial" w:cs="Arial"/>
                <w:b/>
                <w:noProof/>
                <w:color w:val="000000"/>
                <w:sz w:val="16"/>
              </w:rPr>
            </w:pPr>
          </w:p>
        </w:tc>
        <w:tc>
          <w:tcPr>
            <w:tcW w:w="58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noProof/>
                <w:color w:val="000000"/>
                <w:sz w:val="16"/>
              </w:rPr>
              <w:t>Kitos</w:t>
            </w:r>
          </w:p>
        </w:tc>
        <w:tc>
          <w:tcPr>
            <w:tcW w:w="620"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noProof/>
                <w:color w:val="000000"/>
                <w:sz w:val="16"/>
              </w:rPr>
              <w:t>Grąžinimas ir nutraukimas pagal sutartį*</w:t>
            </w:r>
          </w:p>
        </w:tc>
        <w:tc>
          <w:tcPr>
            <w:tcW w:w="730"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noProof/>
                <w:color w:val="000000"/>
                <w:sz w:val="16"/>
              </w:rPr>
              <w:t>2019 12 31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30"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8"/>
              <w:jc w:val="both"/>
              <w:rPr>
                <w:rFonts w:ascii="Arial" w:eastAsia="Arial" w:hAnsi="Arial" w:cs="Arial"/>
                <w:noProof/>
                <w:color w:val="000000"/>
                <w:sz w:val="16"/>
              </w:rPr>
            </w:pPr>
            <w:r>
              <w:rPr>
                <w:rFonts w:ascii="Arial" w:hAnsi="Arial"/>
                <w:noProof/>
                <w:color w:val="000000"/>
                <w:sz w:val="16"/>
              </w:rPr>
              <w:t>Bankai</w:t>
            </w:r>
          </w:p>
        </w:tc>
        <w:tc>
          <w:tcPr>
            <w:tcW w:w="584"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27 592</w:t>
            </w:r>
          </w:p>
        </w:tc>
        <w:tc>
          <w:tcPr>
            <w:tcW w:w="584"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0</w:t>
            </w:r>
          </w:p>
        </w:tc>
        <w:tc>
          <w:tcPr>
            <w:tcW w:w="584"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97</w:t>
            </w:r>
          </w:p>
        </w:tc>
        <w:tc>
          <w:tcPr>
            <w:tcW w:w="584"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33 524</w:t>
            </w:r>
          </w:p>
        </w:tc>
        <w:tc>
          <w:tcPr>
            <w:tcW w:w="584"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507</w:t>
            </w:r>
          </w:p>
        </w:tc>
        <w:tc>
          <w:tcPr>
            <w:tcW w:w="620"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−10 252</w:t>
            </w:r>
          </w:p>
        </w:tc>
        <w:tc>
          <w:tcPr>
            <w:tcW w:w="730"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51 468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30" w:type="pct"/>
            <w:tcBorders>
              <w:top w:val="nil"/>
              <w:left w:val="nil"/>
              <w:bottom w:val="nil"/>
              <w:right w:val="nil"/>
              <w:tl2br w:val="nil"/>
              <w:tr2bl w:val="nil"/>
            </w:tcBorders>
            <w:shd w:val="clear" w:color="auto" w:fill="auto"/>
            <w:tcMar>
              <w:left w:w="40" w:type="dxa"/>
              <w:right w:w="40" w:type="dxa"/>
            </w:tcMar>
            <w:vAlign w:val="center"/>
          </w:tcPr>
          <w:p>
            <w:pPr>
              <w:pStyle w:val="Normal98"/>
              <w:jc w:val="both"/>
              <w:rPr>
                <w:rFonts w:ascii="Arial" w:eastAsia="Arial" w:hAnsi="Arial" w:cs="Arial"/>
                <w:noProof/>
                <w:color w:val="000000"/>
                <w:sz w:val="16"/>
              </w:rPr>
            </w:pPr>
            <w:r>
              <w:rPr>
                <w:rFonts w:ascii="Arial" w:hAnsi="Arial"/>
                <w:noProof/>
                <w:color w:val="000000"/>
                <w:sz w:val="16"/>
              </w:rPr>
              <w:t>Bendrovės</w:t>
            </w:r>
          </w:p>
        </w:tc>
        <w:tc>
          <w:tcPr>
            <w:tcW w:w="584" w:type="pct"/>
            <w:tcBorders>
              <w:top w:val="nil"/>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253 128</w:t>
            </w:r>
          </w:p>
        </w:tc>
        <w:tc>
          <w:tcPr>
            <w:tcW w:w="584" w:type="pct"/>
            <w:tcBorders>
              <w:top w:val="nil"/>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134</w:t>
            </w:r>
          </w:p>
        </w:tc>
        <w:tc>
          <w:tcPr>
            <w:tcW w:w="584" w:type="pct"/>
            <w:tcBorders>
              <w:top w:val="nil"/>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0</w:t>
            </w:r>
          </w:p>
        </w:tc>
        <w:tc>
          <w:tcPr>
            <w:tcW w:w="584" w:type="pct"/>
            <w:tcBorders>
              <w:top w:val="nil"/>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0</w:t>
            </w:r>
          </w:p>
        </w:tc>
        <w:tc>
          <w:tcPr>
            <w:tcW w:w="584" w:type="pct"/>
            <w:tcBorders>
              <w:top w:val="nil"/>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0</w:t>
            </w:r>
          </w:p>
        </w:tc>
        <w:tc>
          <w:tcPr>
            <w:tcW w:w="620" w:type="pct"/>
            <w:tcBorders>
              <w:top w:val="nil"/>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−59 196</w:t>
            </w:r>
          </w:p>
        </w:tc>
        <w:tc>
          <w:tcPr>
            <w:tcW w:w="730" w:type="pct"/>
            <w:tcBorders>
              <w:top w:val="nil"/>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194 066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730" w:type="pct"/>
            <w:tcBorders>
              <w:top w:val="nil"/>
              <w:left w:val="nil"/>
              <w:bottom w:val="nil"/>
              <w:right w:val="nil"/>
              <w:tl2br w:val="nil"/>
              <w:tr2bl w:val="nil"/>
            </w:tcBorders>
            <w:shd w:val="clear" w:color="FFFFFF" w:fill="BFBFBF"/>
            <w:noWrap/>
            <w:tcMar>
              <w:left w:w="40" w:type="dxa"/>
              <w:right w:w="40" w:type="dxa"/>
            </w:tcMar>
            <w:vAlign w:val="center"/>
          </w:tcPr>
          <w:p>
            <w:pPr>
              <w:pStyle w:val="Normal98"/>
              <w:rPr>
                <w:rFonts w:ascii="Arial" w:eastAsia="Arial" w:hAnsi="Arial" w:cs="Arial"/>
                <w:b/>
                <w:noProof/>
                <w:color w:val="000000"/>
                <w:sz w:val="16"/>
                <w:szCs w:val="16"/>
              </w:rPr>
            </w:pPr>
            <w:r>
              <w:rPr>
                <w:rFonts w:ascii="Arial" w:hAnsi="Arial"/>
                <w:b/>
                <w:noProof/>
                <w:color w:val="000000"/>
                <w:sz w:val="16"/>
                <w:szCs w:val="16"/>
              </w:rPr>
              <w:t>Iš viso</w:t>
            </w:r>
          </w:p>
        </w:tc>
        <w:tc>
          <w:tcPr>
            <w:tcW w:w="584" w:type="pct"/>
            <w:tcBorders>
              <w:top w:val="nil"/>
              <w:left w:val="nil"/>
              <w:bottom w:val="nil"/>
              <w:right w:val="nil"/>
              <w:tl2br w:val="nil"/>
              <w:tr2bl w:val="nil"/>
            </w:tcBorders>
            <w:shd w:val="clear" w:color="FFFFFF" w:fill="BFBFBF"/>
            <w:noWrap/>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bCs/>
                <w:noProof/>
                <w:color w:val="000000"/>
                <w:sz w:val="16"/>
                <w:szCs w:val="16"/>
              </w:rPr>
              <w:t>280 720</w:t>
            </w:r>
          </w:p>
        </w:tc>
        <w:tc>
          <w:tcPr>
            <w:tcW w:w="584" w:type="pct"/>
            <w:tcBorders>
              <w:top w:val="nil"/>
              <w:left w:val="nil"/>
              <w:bottom w:val="nil"/>
              <w:right w:val="nil"/>
              <w:tl2br w:val="nil"/>
              <w:tr2bl w:val="nil"/>
            </w:tcBorders>
            <w:shd w:val="clear" w:color="FFFFFF" w:fill="BFBFBF"/>
            <w:noWrap/>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bCs/>
                <w:noProof/>
                <w:color w:val="000000"/>
                <w:sz w:val="16"/>
                <w:szCs w:val="16"/>
              </w:rPr>
              <w:t>134</w:t>
            </w:r>
          </w:p>
        </w:tc>
        <w:tc>
          <w:tcPr>
            <w:tcW w:w="584" w:type="pct"/>
            <w:tcBorders>
              <w:top w:val="nil"/>
              <w:left w:val="nil"/>
              <w:bottom w:val="nil"/>
              <w:right w:val="nil"/>
              <w:tl2br w:val="nil"/>
              <w:tr2bl w:val="nil"/>
            </w:tcBorders>
            <w:shd w:val="clear" w:color="FFFFFF" w:fill="BFBFBF"/>
            <w:noWrap/>
            <w:tcMar>
              <w:left w:w="40" w:type="dxa"/>
              <w:right w:w="40" w:type="dxa"/>
            </w:tcMar>
            <w:vAlign w:val="center"/>
          </w:tcPr>
          <w:p>
            <w:pPr>
              <w:pStyle w:val="Normal98"/>
              <w:spacing w:before="40"/>
              <w:jc w:val="right"/>
              <w:rPr>
                <w:rFonts w:ascii="Arial" w:eastAsia="Arial" w:hAnsi="Arial" w:cs="Arial"/>
                <w:b/>
                <w:noProof/>
                <w:color w:val="000000"/>
                <w:sz w:val="16"/>
              </w:rPr>
            </w:pPr>
            <w:r>
              <w:rPr>
                <w:rFonts w:ascii="Arial" w:hAnsi="Arial"/>
                <w:b/>
                <w:bCs/>
                <w:noProof/>
                <w:color w:val="000000"/>
                <w:sz w:val="16"/>
                <w:szCs w:val="16"/>
              </w:rPr>
              <w:t>97</w:t>
            </w:r>
          </w:p>
        </w:tc>
        <w:tc>
          <w:tcPr>
            <w:tcW w:w="584" w:type="pct"/>
            <w:tcBorders>
              <w:top w:val="nil"/>
              <w:left w:val="nil"/>
              <w:bottom w:val="nil"/>
              <w:right w:val="nil"/>
              <w:tl2br w:val="nil"/>
              <w:tr2bl w:val="nil"/>
            </w:tcBorders>
            <w:shd w:val="clear" w:color="FFFFFF" w:fill="BFBFBF"/>
            <w:noWrap/>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bCs/>
                <w:noProof/>
                <w:color w:val="000000"/>
                <w:sz w:val="16"/>
                <w:szCs w:val="16"/>
              </w:rPr>
              <w:t>33 524</w:t>
            </w:r>
          </w:p>
        </w:tc>
        <w:tc>
          <w:tcPr>
            <w:tcW w:w="584" w:type="pct"/>
            <w:tcBorders>
              <w:top w:val="nil"/>
              <w:left w:val="nil"/>
              <w:bottom w:val="nil"/>
              <w:right w:val="nil"/>
              <w:tl2br w:val="nil"/>
              <w:tr2bl w:val="nil"/>
            </w:tcBorders>
            <w:shd w:val="clear" w:color="FFFFFF" w:fill="BFBFBF"/>
            <w:noWrap/>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bCs/>
                <w:noProof/>
                <w:color w:val="000000"/>
                <w:sz w:val="16"/>
                <w:szCs w:val="16"/>
              </w:rPr>
              <w:t>507</w:t>
            </w:r>
          </w:p>
        </w:tc>
        <w:tc>
          <w:tcPr>
            <w:tcW w:w="620" w:type="pct"/>
            <w:tcBorders>
              <w:top w:val="nil"/>
              <w:left w:val="nil"/>
              <w:bottom w:val="nil"/>
              <w:right w:val="nil"/>
              <w:tl2br w:val="nil"/>
              <w:tr2bl w:val="nil"/>
            </w:tcBorders>
            <w:shd w:val="clear" w:color="FFFFFF" w:fill="BFBFBF"/>
            <w:noWrap/>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bCs/>
                <w:noProof/>
                <w:color w:val="000000"/>
                <w:sz w:val="16"/>
                <w:szCs w:val="16"/>
              </w:rPr>
              <w:t>−69 448</w:t>
            </w:r>
          </w:p>
        </w:tc>
        <w:tc>
          <w:tcPr>
            <w:tcW w:w="730" w:type="pct"/>
            <w:tcBorders>
              <w:top w:val="nil"/>
              <w:left w:val="nil"/>
              <w:bottom w:val="nil"/>
              <w:right w:val="nil"/>
              <w:tl2br w:val="nil"/>
              <w:tr2bl w:val="nil"/>
            </w:tcBorders>
            <w:shd w:val="clear" w:color="FFFFFF" w:fill="BFBFBF"/>
            <w:noWrap/>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bCs/>
                <w:noProof/>
                <w:color w:val="000000"/>
                <w:sz w:val="16"/>
                <w:szCs w:val="16"/>
              </w:rPr>
              <w:t>245 534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5000" w:type="pct"/>
            <w:gridSpan w:val="8"/>
            <w:tcBorders>
              <w:top w:val="nil"/>
              <w:left w:val="nil"/>
              <w:bottom w:val="nil"/>
              <w:right w:val="nil"/>
              <w:tl2br w:val="nil"/>
              <w:tr2bl w:val="nil"/>
            </w:tcBorders>
            <w:shd w:val="clear" w:color="auto" w:fill="auto"/>
            <w:tcMar>
              <w:left w:w="40" w:type="dxa"/>
              <w:right w:w="40" w:type="dxa"/>
            </w:tcMar>
          </w:tcPr>
          <w:p>
            <w:pPr>
              <w:pStyle w:val="Normal98"/>
              <w:spacing w:before="40"/>
              <w:jc w:val="both"/>
              <w:rPr>
                <w:rFonts w:ascii="Arial" w:eastAsia="Arial" w:hAnsi="Arial"/>
                <w:noProof/>
                <w:color w:val="000000"/>
                <w:sz w:val="16"/>
                <w:vertAlign w:val="superscript"/>
              </w:rPr>
            </w:pPr>
            <w:r>
              <w:rPr>
                <w:rFonts w:ascii="Arial" w:hAnsi="Arial"/>
                <w:noProof/>
                <w:color w:val="000000"/>
                <w:sz w:val="16"/>
              </w:rPr>
              <w:t>* Sumažėjusios sumos paaiškinamos per metus atliktais operacijų, kurios jau buvo laikomos restruktūrizuotomis 2019 m. gruodžio 31 d., pagrindinės sumos mokėjimais ir tais metais atliktu restruktūrizavimo priemonių nutraukimu.</w:t>
            </w:r>
          </w:p>
        </w:tc>
      </w:tr>
    </w:tbl>
    <w:p>
      <w:pPr>
        <w:pStyle w:val="Title3211"/>
        <w:pageBreakBefore/>
        <w:tabs>
          <w:tab w:val="clear" w:pos="822"/>
          <w:tab w:val="num" w:pos="709"/>
        </w:tabs>
        <w:spacing w:after="0"/>
        <w:ind w:hanging="822"/>
        <w:rPr>
          <w:noProof/>
          <w:sz w:val="16"/>
          <w:szCs w:val="16"/>
        </w:rPr>
      </w:pPr>
      <w:bookmarkStart w:id="159" w:name="OLE_LINK3_0"/>
      <w:bookmarkStart w:id="160" w:name="OLE_LINK4_0"/>
      <w:r>
        <w:rPr>
          <w:noProof/>
          <w:sz w:val="16"/>
          <w:szCs w:val="16"/>
        </w:rPr>
        <w:t>Pinigų ir pinigų ekvivalentų kredito rizika</w:t>
      </w:r>
    </w:p>
    <w:p>
      <w:pPr>
        <w:pStyle w:val="Normal99"/>
        <w:spacing w:after="60"/>
        <w:rPr>
          <w:rFonts w:ascii="Arial" w:hAnsi="Arial"/>
          <w:noProof/>
          <w:sz w:val="16"/>
          <w:szCs w:val="16"/>
          <w:shd w:val="clear" w:color="auto" w:fill="00FF00"/>
        </w:rPr>
      </w:pPr>
    </w:p>
    <w:bookmarkEnd w:id="159"/>
    <w:bookmarkEnd w:id="160"/>
    <w:p>
      <w:pPr>
        <w:pStyle w:val="Notes15"/>
        <w:tabs>
          <w:tab w:val="right" w:pos="-2700"/>
        </w:tabs>
        <w:spacing w:before="60" w:after="60"/>
        <w:ind w:left="0" w:firstLine="0"/>
        <w:rPr>
          <w:b w:val="0"/>
          <w:noProof/>
          <w:sz w:val="16"/>
          <w:szCs w:val="16"/>
        </w:rPr>
      </w:pPr>
      <w:r>
        <w:rPr>
          <w:b w:val="0"/>
          <w:noProof/>
          <w:sz w:val="16"/>
          <w:szCs w:val="16"/>
        </w:rPr>
        <w:t xml:space="preserve">Turimos lėšos investuojamos vadovaujantis Priemonės sutartinių mokėjimo įsipareigojimų tvarkaraščiu. 2019 m. gruodžio 31 d. ir 2018 m. gruodžio 31 d. investicijos buvo vykdomos tik banko indėlių, indėlių sertifikatų ir komercinių vekselių pavidalu. </w:t>
      </w:r>
    </w:p>
    <w:p>
      <w:pPr>
        <w:pStyle w:val="Notes15"/>
        <w:tabs>
          <w:tab w:val="right" w:pos="-2700"/>
        </w:tabs>
        <w:spacing w:before="60" w:after="60"/>
        <w:ind w:left="0" w:firstLine="0"/>
        <w:rPr>
          <w:b w:val="0"/>
          <w:noProof/>
          <w:sz w:val="16"/>
          <w:szCs w:val="16"/>
        </w:rPr>
      </w:pPr>
    </w:p>
    <w:p>
      <w:pPr>
        <w:pStyle w:val="Notes15"/>
        <w:tabs>
          <w:tab w:val="right" w:pos="-2700"/>
        </w:tabs>
        <w:spacing w:before="60" w:after="60"/>
        <w:ind w:left="0" w:firstLine="0"/>
        <w:rPr>
          <w:b w:val="0"/>
          <w:noProof/>
          <w:sz w:val="16"/>
          <w:szCs w:val="16"/>
        </w:rPr>
      </w:pPr>
      <w:r>
        <w:rPr>
          <w:b w:val="0"/>
          <w:noProof/>
          <w:sz w:val="16"/>
          <w:szCs w:val="16"/>
        </w:rPr>
        <w:t>Įgaliotieji subjektai turi reitingą, kuris yra panašus į trumpalaikius ir ilgalaikius reitingus, kurių reikalaujama paties EIB iždo investicijoms. Jeigu kelios kredito reitingų agentūros suteikė skirtingus reitingus, atsižvelgiama į žemiausiąjį. Didžiausia leistina riba kiekvienam įgaliotajam bankui šiuo metu siekia 50 000 000 EUR (penkiasdešimt milijonų eurų). Taisyklės išimtis padaryta bankui „Societe Generale“, kuriame yra Priemonės grynųjų pinigų iš veiklos sąskaitos. 2019 m. gruodžio 31 d. ir 2018 m. gruodžio 31 d. „Societe Generale“ trumpalaikio kredito riba siekė 110 000 000 EUR (šimtą dešimt milijonų eurų). Padidinta riba taikoma grynųjų pinigų iš veiklos sąskaitoje laikomai pinigų sumai ir priemonėms, kurias išleido ši sandorio šalis ir kurios laikomos iždo portfelyje.</w:t>
      </w:r>
    </w:p>
    <w:p>
      <w:pPr>
        <w:pStyle w:val="Notes15"/>
        <w:tabs>
          <w:tab w:val="right" w:pos="-2700"/>
        </w:tabs>
        <w:spacing w:before="60" w:after="60"/>
        <w:ind w:left="0" w:firstLine="0"/>
        <w:rPr>
          <w:b w:val="0"/>
          <w:noProof/>
          <w:sz w:val="16"/>
        </w:rPr>
      </w:pPr>
    </w:p>
    <w:p>
      <w:pPr>
        <w:pStyle w:val="Notes130"/>
        <w:tabs>
          <w:tab w:val="clear" w:pos="720"/>
          <w:tab w:val="right" w:pos="-2700"/>
        </w:tabs>
        <w:spacing w:before="60" w:after="60"/>
        <w:ind w:left="0" w:firstLine="0"/>
        <w:rPr>
          <w:b w:val="0"/>
          <w:noProof/>
          <w:sz w:val="16"/>
          <w:szCs w:val="16"/>
        </w:rPr>
      </w:pPr>
      <w:r>
        <w:rPr>
          <w:b w:val="0"/>
          <w:noProof/>
          <w:sz w:val="16"/>
          <w:szCs w:val="16"/>
        </w:rPr>
        <w:t xml:space="preserve">Visos investicijos padarytos į įgaliotuosius subjektus ne ilgiau kaip trims mėnesiams nuo įskaitymo datos. Apie visus kredito rizikos pažeidimus pranešama įgaliojimus suteikiančioms institucijoms. 2019 m. gruodžio 31 d. ir 2018 m. gruodžio 31 d. visų terminuotųjų indėlių, komercinių vekselių ir grynųjų pinigų kasoje, laikomų Priemonės iždo portfelyje, reitingas atsiskaitymo dieną buvo ne mažesnis kaip P-2 („Moody's“ ekvivalentas). </w:t>
      </w:r>
    </w:p>
    <w:p>
      <w:pPr>
        <w:pStyle w:val="Notes15"/>
        <w:tabs>
          <w:tab w:val="right" w:pos="-2700"/>
        </w:tabs>
        <w:spacing w:before="60" w:after="60"/>
        <w:ind w:left="0" w:firstLine="0"/>
        <w:rPr>
          <w:b w:val="0"/>
          <w:noProof/>
          <w:sz w:val="16"/>
          <w:szCs w:val="16"/>
        </w:rPr>
      </w:pPr>
    </w:p>
    <w:p>
      <w:pPr>
        <w:pStyle w:val="Notes15"/>
        <w:tabs>
          <w:tab w:val="clear" w:pos="4320"/>
          <w:tab w:val="clear" w:pos="8640"/>
          <w:tab w:val="right" w:pos="-2700"/>
        </w:tabs>
        <w:spacing w:before="60" w:after="60"/>
        <w:ind w:left="0" w:firstLine="0"/>
        <w:rPr>
          <w:b w:val="0"/>
          <w:noProof/>
          <w:sz w:val="16"/>
          <w:szCs w:val="16"/>
        </w:rPr>
      </w:pPr>
      <w:r>
        <w:rPr>
          <w:b w:val="0"/>
          <w:noProof/>
          <w:sz w:val="16"/>
          <w:szCs w:val="16"/>
        </w:rPr>
        <w:t>Tolesnėje lentelėje pateikiama pinigų ir pinigų ekvivalentų, įskaitant sukauptas palūkanas, apžvalga (tūkst. EUR).</w:t>
      </w:r>
    </w:p>
    <w:p>
      <w:pPr>
        <w:pStyle w:val="Notes15"/>
        <w:tabs>
          <w:tab w:val="clear" w:pos="4320"/>
          <w:tab w:val="clear" w:pos="8640"/>
          <w:tab w:val="right" w:pos="-2700"/>
        </w:tabs>
        <w:spacing w:before="60" w:after="60"/>
        <w:ind w:left="0" w:firstLine="0"/>
        <w:rPr>
          <w:b w:val="0"/>
          <w:noProof/>
          <w:sz w:val="16"/>
          <w:szCs w:val="16"/>
        </w:rPr>
      </w:pPr>
      <w:r>
        <w:rPr>
          <w:noProof/>
        </w:rPr>
        <w:t xml:space="preserve"> </w:t>
      </w:r>
    </w:p>
    <w:tbl>
      <w:tblPr>
        <w:tblStyle w:val="CDMRange16"/>
        <w:tblW w:w="9960" w:type="dxa"/>
        <w:tblLayout w:type="fixed"/>
        <w:tblLook w:val="0600" w:firstRow="0" w:lastRow="0" w:firstColumn="0" w:lastColumn="0" w:noHBand="1" w:noVBand="1"/>
      </w:tblPr>
      <w:tblGrid>
        <w:gridCol w:w="1980"/>
        <w:gridCol w:w="1980"/>
        <w:gridCol w:w="1500"/>
        <w:gridCol w:w="1500"/>
        <w:gridCol w:w="1500"/>
        <w:gridCol w:w="1500"/>
      </w:tblGrid>
      <w:tr>
        <w:trPr>
          <w:trHeight w:val="615"/>
        </w:trPr>
        <w:tc>
          <w:tcPr>
            <w:tcW w:w="19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01"/>
              <w:rPr>
                <w:rFonts w:ascii="Arial" w:eastAsia="Arial" w:hAnsi="Arial" w:cs="Arial"/>
                <w:b/>
                <w:noProof/>
                <w:color w:val="000000"/>
                <w:sz w:val="16"/>
              </w:rPr>
            </w:pPr>
            <w:r>
              <w:rPr>
                <w:rFonts w:ascii="Arial" w:hAnsi="Arial"/>
                <w:b/>
                <w:noProof/>
                <w:color w:val="000000"/>
                <w:sz w:val="16"/>
              </w:rPr>
              <w:t>Žemiausias trumpalaikis reitingas</w:t>
            </w:r>
          </w:p>
        </w:tc>
        <w:tc>
          <w:tcPr>
            <w:tcW w:w="19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01"/>
              <w:rPr>
                <w:rFonts w:ascii="Arial" w:eastAsia="Arial" w:hAnsi="Arial" w:cs="Arial"/>
                <w:b/>
                <w:noProof/>
                <w:color w:val="000000"/>
                <w:sz w:val="16"/>
              </w:rPr>
            </w:pPr>
            <w:r>
              <w:rPr>
                <w:rFonts w:ascii="Arial" w:hAnsi="Arial"/>
                <w:b/>
                <w:noProof/>
                <w:color w:val="000000"/>
                <w:sz w:val="16"/>
              </w:rPr>
              <w:t>Žemiausias ilgalaikis reitingas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01"/>
              <w:jc w:val="right"/>
              <w:rPr>
                <w:rFonts w:ascii="Arial" w:eastAsia="Arial" w:hAnsi="Arial" w:cs="Arial"/>
                <w:b/>
                <w:noProof/>
                <w:color w:val="000000"/>
                <w:sz w:val="16"/>
              </w:rPr>
            </w:pPr>
            <w:r>
              <w:rPr>
                <w:rFonts w:ascii="Arial" w:hAnsi="Arial"/>
                <w:b/>
                <w:noProof/>
                <w:color w:val="000000"/>
                <w:sz w:val="16"/>
              </w:rPr>
              <w:t>2019 12 31</w:t>
            </w:r>
          </w:p>
        </w:tc>
        <w:tc>
          <w:tcPr>
            <w:tcW w:w="36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001"/>
              <w:jc w:val="center"/>
              <w:rPr>
                <w:rFonts w:ascii="Arial" w:eastAsia="Arial" w:hAnsi="Arial" w:cs="Arial"/>
                <w:b/>
                <w:noProof/>
                <w:color w:val="000000"/>
                <w:sz w:val="16"/>
              </w:rPr>
            </w:pP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01"/>
              <w:jc w:val="right"/>
              <w:rPr>
                <w:rFonts w:ascii="Arial" w:eastAsia="Arial" w:hAnsi="Arial" w:cs="Arial"/>
                <w:b/>
                <w:noProof/>
                <w:color w:val="000000"/>
                <w:sz w:val="16"/>
              </w:rPr>
            </w:pPr>
            <w:r>
              <w:rPr>
                <w:rFonts w:ascii="Arial" w:hAnsi="Arial"/>
                <w:b/>
                <w:noProof/>
                <w:color w:val="000000"/>
                <w:sz w:val="16"/>
              </w:rPr>
              <w:t>2018 12 31</w:t>
            </w:r>
          </w:p>
        </w:tc>
        <w:tc>
          <w:tcPr>
            <w:tcW w:w="36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001"/>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9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001"/>
              <w:rPr>
                <w:rFonts w:ascii="Arial" w:eastAsia="Arial" w:hAnsi="Arial" w:cs="Arial"/>
                <w:b/>
                <w:noProof/>
                <w:color w:val="000000"/>
                <w:sz w:val="16"/>
              </w:rPr>
            </w:pPr>
            <w:r>
              <w:rPr>
                <w:rFonts w:ascii="Arial" w:hAnsi="Arial"/>
                <w:b/>
                <w:noProof/>
                <w:color w:val="000000"/>
                <w:sz w:val="16"/>
              </w:rPr>
              <w:t>(„Moody’s“ terminas)</w:t>
            </w:r>
          </w:p>
        </w:tc>
        <w:tc>
          <w:tcPr>
            <w:tcW w:w="19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001"/>
              <w:rPr>
                <w:rFonts w:ascii="Arial" w:eastAsia="Arial" w:hAnsi="Arial" w:cs="Arial"/>
                <w:b/>
                <w:noProof/>
                <w:color w:val="000000"/>
                <w:sz w:val="16"/>
              </w:rPr>
            </w:pPr>
            <w:r>
              <w:rPr>
                <w:rFonts w:ascii="Arial" w:hAnsi="Arial"/>
                <w:b/>
                <w:noProof/>
                <w:color w:val="000000"/>
                <w:sz w:val="16"/>
              </w:rPr>
              <w:t>(„Moody’s“ terminas)</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01"/>
              <w:jc w:val="center"/>
              <w:rPr>
                <w:rFonts w:ascii="Calibri" w:eastAsia="Calibri" w:hAnsi="Calibri" w:cs="Calibri"/>
                <w:noProof/>
                <w:color w:val="000000"/>
                <w:sz w:val="22"/>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01"/>
              <w:jc w:val="center"/>
              <w:rPr>
                <w:rFonts w:ascii="Calibri" w:eastAsia="Calibri" w:hAnsi="Calibri" w:cs="Calibri"/>
                <w:noProof/>
                <w:color w:val="000000"/>
                <w:sz w:val="22"/>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01"/>
              <w:jc w:val="center"/>
              <w:rPr>
                <w:rFonts w:ascii="Calibri" w:eastAsia="Calibri" w:hAnsi="Calibri" w:cs="Calibri"/>
                <w:noProof/>
                <w:color w:val="000000"/>
                <w:sz w:val="22"/>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01"/>
              <w:jc w:val="center"/>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P-1</w:t>
            </w:r>
          </w:p>
        </w:tc>
        <w:tc>
          <w:tcPr>
            <w:tcW w:w="198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Aaa</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98 945</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12 %</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71 914</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13 %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Aa2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67 799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8 %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Aa3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89 983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11 %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49 972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9 %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213 914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26 %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199 938</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34 %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212 199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25 %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201 899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35 %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104 944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12 %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49 993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6 %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49 985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9 %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FFFFFF" w:fill="BFBFBF"/>
            <w:noWrap/>
            <w:tcMar>
              <w:left w:w="40" w:type="dxa"/>
              <w:right w:w="40" w:type="dxa"/>
            </w:tcMar>
            <w:vAlign w:val="center"/>
          </w:tcPr>
          <w:p>
            <w:pPr>
              <w:pStyle w:val="Normal1001"/>
              <w:rPr>
                <w:rFonts w:ascii="Arial" w:eastAsia="Arial" w:hAnsi="Arial" w:cs="Arial"/>
                <w:b/>
                <w:noProof/>
                <w:color w:val="000000"/>
                <w:sz w:val="16"/>
              </w:rPr>
            </w:pPr>
            <w:r>
              <w:rPr>
                <w:rFonts w:ascii="Arial" w:hAnsi="Arial"/>
                <w:b/>
                <w:noProof/>
                <w:color w:val="000000"/>
                <w:sz w:val="16"/>
              </w:rPr>
              <w:t>Iš viso</w:t>
            </w:r>
          </w:p>
        </w:tc>
        <w:tc>
          <w:tcPr>
            <w:tcW w:w="1980" w:type="dxa"/>
            <w:tcBorders>
              <w:top w:val="nil"/>
              <w:left w:val="nil"/>
              <w:bottom w:val="nil"/>
              <w:right w:val="nil"/>
              <w:tl2br w:val="nil"/>
              <w:tr2bl w:val="nil"/>
            </w:tcBorders>
            <w:shd w:val="clear" w:color="FFFFFF" w:fill="BFBFBF"/>
            <w:noWrap/>
            <w:tcMar>
              <w:left w:w="0" w:type="dxa"/>
              <w:right w:w="0" w:type="dxa"/>
            </w:tcMar>
            <w:vAlign w:val="center"/>
          </w:tcPr>
          <w:p>
            <w:pPr>
              <w:pStyle w:val="Normal1001"/>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1001"/>
              <w:jc w:val="right"/>
              <w:rPr>
                <w:rFonts w:ascii="Arial" w:eastAsia="Arial" w:hAnsi="Arial" w:cs="Arial"/>
                <w:b/>
                <w:noProof/>
                <w:color w:val="000000"/>
                <w:sz w:val="16"/>
              </w:rPr>
            </w:pPr>
            <w:r>
              <w:rPr>
                <w:rFonts w:ascii="Arial" w:hAnsi="Arial"/>
                <w:b/>
                <w:noProof/>
                <w:color w:val="000000"/>
                <w:sz w:val="16"/>
              </w:rPr>
              <w:t>837 777</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1001"/>
              <w:jc w:val="right"/>
              <w:rPr>
                <w:rFonts w:ascii="Arial" w:eastAsia="Arial" w:hAnsi="Arial" w:cs="Arial"/>
                <w:b/>
                <w:noProof/>
                <w:color w:val="000000"/>
                <w:sz w:val="16"/>
              </w:rPr>
            </w:pPr>
            <w:r>
              <w:rPr>
                <w:rFonts w:ascii="Arial" w:hAnsi="Arial"/>
                <w:b/>
                <w:noProof/>
                <w:color w:val="000000"/>
                <w:sz w:val="16"/>
              </w:rPr>
              <w:t>100 %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1001"/>
              <w:jc w:val="right"/>
              <w:rPr>
                <w:rFonts w:ascii="Arial" w:eastAsia="Arial" w:hAnsi="Arial" w:cs="Arial"/>
                <w:b/>
                <w:noProof/>
                <w:color w:val="000000"/>
                <w:sz w:val="16"/>
              </w:rPr>
            </w:pPr>
            <w:r>
              <w:rPr>
                <w:rFonts w:ascii="Arial" w:hAnsi="Arial"/>
                <w:b/>
                <w:noProof/>
                <w:color w:val="000000"/>
                <w:sz w:val="16"/>
              </w:rPr>
              <w:t>573 708</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1001"/>
              <w:jc w:val="right"/>
              <w:rPr>
                <w:rFonts w:ascii="Arial" w:eastAsia="Arial" w:hAnsi="Arial" w:cs="Arial"/>
                <w:b/>
                <w:noProof/>
                <w:color w:val="000000"/>
                <w:sz w:val="16"/>
              </w:rPr>
            </w:pPr>
            <w:r>
              <w:rPr>
                <w:rFonts w:ascii="Arial" w:hAnsi="Arial"/>
                <w:b/>
                <w:noProof/>
                <w:color w:val="000000"/>
                <w:sz w:val="16"/>
              </w:rPr>
              <w:t>100 %</w:t>
            </w:r>
          </w:p>
        </w:tc>
      </w:tr>
    </w:tbl>
    <w:p>
      <w:pPr>
        <w:pStyle w:val="Normal101"/>
        <w:rPr>
          <w:rFonts w:ascii="Arial" w:hAnsi="Arial"/>
          <w:noProof/>
          <w:sz w:val="16"/>
        </w:rPr>
      </w:pPr>
    </w:p>
    <w:p>
      <w:pPr>
        <w:pStyle w:val="Notes17"/>
        <w:numPr>
          <w:ilvl w:val="2"/>
          <w:numId w:val="81"/>
        </w:numPr>
        <w:tabs>
          <w:tab w:val="clear" w:pos="4320"/>
          <w:tab w:val="clear" w:pos="8640"/>
          <w:tab w:val="right" w:pos="-2700"/>
          <w:tab w:val="right" w:pos="720"/>
        </w:tabs>
        <w:spacing w:before="60" w:after="0"/>
        <w:ind w:left="794" w:hanging="794"/>
        <w:jc w:val="left"/>
        <w:rPr>
          <w:bCs/>
          <w:noProof/>
          <w:sz w:val="16"/>
          <w:szCs w:val="16"/>
        </w:rPr>
      </w:pPr>
      <w:r>
        <w:rPr>
          <w:bCs/>
          <w:noProof/>
          <w:sz w:val="16"/>
          <w:szCs w:val="16"/>
        </w:rPr>
        <w:t>Išvestinių finansinių priemonių kredito rizika</w:t>
      </w:r>
    </w:p>
    <w:p>
      <w:pPr>
        <w:pStyle w:val="Notes17"/>
        <w:tabs>
          <w:tab w:val="clear" w:pos="4320"/>
          <w:tab w:val="clear" w:pos="8640"/>
          <w:tab w:val="right" w:pos="-2700"/>
        </w:tabs>
        <w:spacing w:before="0" w:after="60"/>
        <w:ind w:left="0" w:firstLine="0"/>
        <w:rPr>
          <w:noProof/>
          <w:sz w:val="16"/>
          <w:szCs w:val="16"/>
        </w:rPr>
      </w:pPr>
    </w:p>
    <w:p>
      <w:pPr>
        <w:pStyle w:val="Notes17"/>
        <w:numPr>
          <w:ilvl w:val="3"/>
          <w:numId w:val="81"/>
        </w:numPr>
        <w:tabs>
          <w:tab w:val="clear" w:pos="4320"/>
          <w:tab w:val="clear" w:pos="8640"/>
          <w:tab w:val="right" w:pos="-2700"/>
          <w:tab w:val="right" w:pos="720"/>
        </w:tabs>
        <w:spacing w:before="60" w:after="0"/>
        <w:ind w:left="794" w:hanging="794"/>
        <w:jc w:val="left"/>
        <w:rPr>
          <w:bCs/>
          <w:noProof/>
          <w:sz w:val="16"/>
          <w:szCs w:val="16"/>
        </w:rPr>
      </w:pPr>
      <w:r>
        <w:rPr>
          <w:bCs/>
          <w:noProof/>
          <w:sz w:val="16"/>
          <w:szCs w:val="16"/>
        </w:rPr>
        <w:t>Išvestinių finansinių priemonių kredito rizikos politika</w:t>
      </w:r>
    </w:p>
    <w:p>
      <w:pPr>
        <w:pStyle w:val="Notes17"/>
        <w:tabs>
          <w:tab w:val="clear" w:pos="4320"/>
          <w:tab w:val="clear" w:pos="8640"/>
          <w:tab w:val="right" w:pos="-2700"/>
        </w:tabs>
        <w:spacing w:before="0" w:after="60"/>
        <w:ind w:left="0" w:firstLine="0"/>
        <w:rPr>
          <w:b w:val="0"/>
          <w:noProof/>
          <w:sz w:val="16"/>
          <w:szCs w:val="16"/>
        </w:rPr>
      </w:pPr>
    </w:p>
    <w:p>
      <w:pPr>
        <w:pStyle w:val="Notes17"/>
        <w:tabs>
          <w:tab w:val="clear" w:pos="4320"/>
          <w:tab w:val="clear" w:pos="8640"/>
          <w:tab w:val="right" w:pos="-2700"/>
        </w:tabs>
        <w:spacing w:before="60" w:after="60"/>
        <w:ind w:left="0" w:firstLine="0"/>
        <w:rPr>
          <w:b w:val="0"/>
          <w:noProof/>
          <w:sz w:val="16"/>
          <w:szCs w:val="16"/>
        </w:rPr>
      </w:pPr>
      <w:r>
        <w:rPr>
          <w:b w:val="0"/>
          <w:noProof/>
          <w:sz w:val="16"/>
          <w:szCs w:val="16"/>
        </w:rPr>
        <w:t>Išvestinių finansinių priemonių kredito rizika išreiškiama nuostoliais, kuriuos konkreti šalis patirtų, jeigu kita sandorio šalis nepajėgtų vykdyti savo sutartinių įsipareigojimų. Išvestinių finansinių priemonių kredito rizika kinta priklausomai nuo daugelio veiksnių (pvz., palūkanų ir valiutų kursų), paprastai ji atitinka tik nedidelę jų tariamosios vertės dalį.</w:t>
      </w:r>
    </w:p>
    <w:p>
      <w:pPr>
        <w:pStyle w:val="Notes17"/>
        <w:tabs>
          <w:tab w:val="clear" w:pos="4320"/>
          <w:tab w:val="clear" w:pos="8640"/>
          <w:tab w:val="right" w:pos="-2700"/>
        </w:tabs>
        <w:spacing w:before="60" w:after="60"/>
        <w:ind w:left="0" w:firstLine="0"/>
        <w:rPr>
          <w:b w:val="0"/>
          <w:noProof/>
          <w:sz w:val="16"/>
          <w:szCs w:val="16"/>
        </w:rPr>
      </w:pPr>
    </w:p>
    <w:p>
      <w:pPr>
        <w:pStyle w:val="Notes17"/>
        <w:tabs>
          <w:tab w:val="clear" w:pos="4320"/>
          <w:tab w:val="clear" w:pos="8640"/>
          <w:tab w:val="right" w:pos="-2700"/>
        </w:tabs>
        <w:spacing w:before="60" w:after="60"/>
        <w:ind w:left="0" w:firstLine="0"/>
        <w:rPr>
          <w:b w:val="0"/>
          <w:noProof/>
          <w:sz w:val="16"/>
          <w:szCs w:val="16"/>
        </w:rPr>
      </w:pPr>
      <w:r>
        <w:rPr>
          <w:b w:val="0"/>
          <w:noProof/>
          <w:sz w:val="16"/>
          <w:szCs w:val="16"/>
        </w:rPr>
        <w:t xml:space="preserve">Vykdant įprastinę veiklą pagal Priemonę gali būti sudaryti apsikeitimo sandoriai, siekiant apdrausti nuo rizikos specialias skolinimo operacijas, arba išankstinius valiutos sandorius kitomis nei euras aktyviai prekiaujamomis valiutomis, valiutos pozicijai apdrausti nuo rizikos. Visus apsikeitimo sandorius EIB vykdo su išorės sandorio šalimi. Apsikeitimo sandoriai tvarkomi pagal tuos pačius EIB ir išorės sandorio šalių pasirašytus pagrindinius apsikeitimo sandorių susitarimus (angl. </w:t>
      </w:r>
      <w:r>
        <w:rPr>
          <w:b w:val="0"/>
          <w:i/>
          <w:iCs/>
          <w:noProof/>
          <w:sz w:val="16"/>
          <w:szCs w:val="16"/>
        </w:rPr>
        <w:t>Master Swap Agreements</w:t>
      </w:r>
      <w:r>
        <w:rPr>
          <w:b w:val="0"/>
          <w:noProof/>
          <w:sz w:val="16"/>
          <w:szCs w:val="16"/>
        </w:rPr>
        <w:t xml:space="preserve">) ir kredito užtikrinimo priedus (angl. </w:t>
      </w:r>
      <w:r>
        <w:rPr>
          <w:b w:val="0"/>
          <w:i/>
          <w:iCs/>
          <w:noProof/>
          <w:sz w:val="16"/>
          <w:szCs w:val="16"/>
        </w:rPr>
        <w:t>Credit Support Annexes</w:t>
      </w:r>
      <w:r>
        <w:rPr>
          <w:b w:val="0"/>
          <w:noProof/>
          <w:sz w:val="16"/>
          <w:szCs w:val="16"/>
        </w:rPr>
        <w:t xml:space="preserve">). </w:t>
      </w:r>
    </w:p>
    <w:p>
      <w:pPr>
        <w:pStyle w:val="Notes17"/>
        <w:tabs>
          <w:tab w:val="clear" w:pos="4320"/>
          <w:tab w:val="clear" w:pos="8640"/>
          <w:tab w:val="right" w:pos="-2700"/>
        </w:tabs>
        <w:spacing w:before="60" w:after="60"/>
        <w:ind w:left="0" w:firstLine="0"/>
        <w:jc w:val="left"/>
        <w:rPr>
          <w:b w:val="0"/>
          <w:noProof/>
          <w:sz w:val="16"/>
          <w:szCs w:val="16"/>
          <w:shd w:val="clear" w:color="auto" w:fill="FFFF00"/>
        </w:rPr>
      </w:pPr>
    </w:p>
    <w:p>
      <w:pPr>
        <w:pStyle w:val="Notes17"/>
        <w:numPr>
          <w:ilvl w:val="3"/>
          <w:numId w:val="81"/>
        </w:numPr>
        <w:tabs>
          <w:tab w:val="clear" w:pos="4320"/>
          <w:tab w:val="clear" w:pos="8640"/>
          <w:tab w:val="right" w:pos="-2700"/>
          <w:tab w:val="right" w:pos="720"/>
        </w:tabs>
        <w:spacing w:before="60" w:after="0"/>
        <w:ind w:left="794" w:hanging="794"/>
        <w:jc w:val="left"/>
        <w:rPr>
          <w:bCs/>
          <w:noProof/>
          <w:sz w:val="16"/>
          <w:szCs w:val="16"/>
        </w:rPr>
      </w:pPr>
      <w:r>
        <w:rPr>
          <w:bCs/>
          <w:noProof/>
          <w:sz w:val="16"/>
          <w:szCs w:val="16"/>
        </w:rPr>
        <w:t>Išvestinių finansinių priemonių kredito rizikos nustatymas</w:t>
      </w:r>
    </w:p>
    <w:p>
      <w:pPr>
        <w:pStyle w:val="Notes17"/>
        <w:tabs>
          <w:tab w:val="clear" w:pos="4320"/>
          <w:tab w:val="clear" w:pos="8640"/>
          <w:tab w:val="right" w:pos="-2700"/>
          <w:tab w:val="right" w:pos="720"/>
        </w:tabs>
        <w:spacing w:before="0" w:after="60"/>
        <w:ind w:left="0" w:firstLine="0"/>
        <w:rPr>
          <w:b w:val="0"/>
          <w:noProof/>
          <w:sz w:val="16"/>
          <w:szCs w:val="16"/>
        </w:rPr>
      </w:pPr>
    </w:p>
    <w:p>
      <w:pPr>
        <w:pStyle w:val="Notes17"/>
        <w:tabs>
          <w:tab w:val="clear" w:pos="4320"/>
          <w:tab w:val="clear" w:pos="8640"/>
          <w:tab w:val="right" w:pos="-2700"/>
          <w:tab w:val="right" w:pos="720"/>
        </w:tabs>
        <w:spacing w:before="60" w:after="60"/>
        <w:ind w:left="0" w:firstLine="0"/>
        <w:rPr>
          <w:b w:val="0"/>
          <w:noProof/>
          <w:sz w:val="16"/>
          <w:szCs w:val="16"/>
        </w:rPr>
      </w:pPr>
      <w:r>
        <w:rPr>
          <w:b w:val="0"/>
          <w:noProof/>
          <w:sz w:val="16"/>
          <w:szCs w:val="16"/>
        </w:rPr>
        <w:t>Visi EIB vykdomi su Priemone susiję apsikeitimo sandoriai tvarkomi remiantis tuo pačiu sutartiniu pagrindu ir metodikomis, kurie taikomi išvestinėms finansinėms priemonėms, dėl kurių EIB susiderėjo savo reikmėms. Visų pirma, apsikeitimo sandorių šalių tinkamumą EIB nustato remdamasis tomis pačiomis tinkamumo sąlygomis, kurios taikomos bendraisiais apsikeitimo sandorių tikslais.</w:t>
      </w:r>
    </w:p>
    <w:p>
      <w:pPr>
        <w:pStyle w:val="Notes17"/>
        <w:tabs>
          <w:tab w:val="clear" w:pos="4320"/>
          <w:tab w:val="clear" w:pos="8640"/>
          <w:tab w:val="right" w:pos="-2700"/>
          <w:tab w:val="right" w:pos="720"/>
        </w:tabs>
        <w:spacing w:before="60" w:after="60"/>
        <w:ind w:left="0" w:firstLine="0"/>
        <w:rPr>
          <w:b w:val="0"/>
          <w:noProof/>
          <w:sz w:val="16"/>
          <w:szCs w:val="16"/>
        </w:rPr>
      </w:pPr>
    </w:p>
    <w:p>
      <w:pPr>
        <w:pStyle w:val="Notes17"/>
        <w:tabs>
          <w:tab w:val="clear" w:pos="4320"/>
          <w:tab w:val="clear" w:pos="8640"/>
          <w:tab w:val="right" w:pos="-2700"/>
          <w:tab w:val="right" w:pos="720"/>
        </w:tabs>
        <w:spacing w:before="60" w:after="60"/>
        <w:ind w:left="0" w:firstLine="0"/>
        <w:rPr>
          <w:b w:val="0"/>
          <w:noProof/>
          <w:sz w:val="16"/>
          <w:szCs w:val="16"/>
        </w:rPr>
      </w:pPr>
      <w:r>
        <w:rPr>
          <w:b w:val="0"/>
          <w:noProof/>
          <w:sz w:val="16"/>
          <w:szCs w:val="16"/>
        </w:rPr>
        <w:t xml:space="preserve">Su apsikeitimo sandoriais ir išvestinių finansinių priemonių sandoriais susijusią kredito riziką EIB nustato taikydamas grynosios rinkos rizikos (angl. </w:t>
      </w:r>
      <w:r>
        <w:rPr>
          <w:b w:val="0"/>
          <w:i/>
          <w:iCs/>
          <w:noProof/>
          <w:sz w:val="16"/>
          <w:szCs w:val="16"/>
        </w:rPr>
        <w:t>Net Market Exposure</w:t>
      </w:r>
      <w:r>
        <w:rPr>
          <w:b w:val="0"/>
          <w:noProof/>
          <w:sz w:val="16"/>
          <w:szCs w:val="16"/>
        </w:rPr>
        <w:t xml:space="preserve">, NME) ir galimos būsimos rizikos (angl. </w:t>
      </w:r>
      <w:r>
        <w:rPr>
          <w:b w:val="0"/>
          <w:i/>
          <w:iCs/>
          <w:noProof/>
          <w:sz w:val="16"/>
          <w:szCs w:val="16"/>
        </w:rPr>
        <w:t>Potential Future Exposure</w:t>
      </w:r>
      <w:r>
        <w:rPr>
          <w:b w:val="0"/>
          <w:noProof/>
          <w:sz w:val="16"/>
          <w:szCs w:val="16"/>
        </w:rPr>
        <w:t>, PFE) metodą, skirtą atskaitomybei ir ribos stebėsenai. NME ir PFE visiškai apima su investicine priemone susijusias išvestines finansines priemones.</w:t>
      </w:r>
    </w:p>
    <w:p>
      <w:pPr>
        <w:pStyle w:val="Notes17"/>
        <w:tabs>
          <w:tab w:val="clear" w:pos="4320"/>
          <w:tab w:val="clear" w:pos="8640"/>
          <w:tab w:val="right" w:pos="-2700"/>
          <w:tab w:val="right" w:pos="720"/>
        </w:tabs>
        <w:spacing w:before="60" w:after="60"/>
        <w:ind w:left="0" w:firstLine="0"/>
        <w:jc w:val="left"/>
        <w:rPr>
          <w:b w:val="0"/>
          <w:noProof/>
          <w:sz w:val="16"/>
          <w:szCs w:val="16"/>
        </w:rPr>
      </w:pPr>
      <w:r>
        <w:rPr>
          <w:noProof/>
        </w:rPr>
        <w:t xml:space="preserve"> </w:t>
      </w:r>
    </w:p>
    <w:p>
      <w:pPr>
        <w:pStyle w:val="Notes18"/>
        <w:pageBreakBefore/>
        <w:numPr>
          <w:ilvl w:val="0"/>
          <w:numId w:val="83"/>
        </w:numPr>
        <w:tabs>
          <w:tab w:val="clear" w:pos="4320"/>
          <w:tab w:val="clear" w:pos="8640"/>
          <w:tab w:val="right" w:pos="-2700"/>
          <w:tab w:val="right" w:pos="720"/>
        </w:tabs>
        <w:spacing w:before="60" w:after="0"/>
        <w:ind w:left="357" w:hanging="357"/>
        <w:jc w:val="left"/>
        <w:rPr>
          <w:b w:val="0"/>
          <w:noProof/>
          <w:sz w:val="16"/>
          <w:szCs w:val="16"/>
        </w:rPr>
      </w:pPr>
      <w:r>
        <w:rPr>
          <w:b w:val="0"/>
          <w:noProof/>
          <w:sz w:val="16"/>
          <w:szCs w:val="16"/>
        </w:rPr>
        <w:t>Tolesnėje lentelėje nurodoma skirtingų valiutų palūkanų normų apsikeitimo sandorių, kurie suskirstyti pagal jų tariamąją sumą ir tikrąją vertę, trukmė.</w:t>
      </w:r>
    </w:p>
    <w:p>
      <w:pPr>
        <w:pStyle w:val="Notes18"/>
        <w:tabs>
          <w:tab w:val="clear" w:pos="4320"/>
          <w:tab w:val="clear" w:pos="8640"/>
          <w:tab w:val="right" w:pos="-2700"/>
          <w:tab w:val="right" w:pos="720"/>
        </w:tabs>
        <w:spacing w:before="60" w:after="60"/>
        <w:ind w:left="0" w:firstLine="0"/>
        <w:jc w:val="left"/>
        <w:rPr>
          <w:b w:val="0"/>
          <w:noProof/>
          <w:sz w:val="16"/>
          <w:szCs w:val="16"/>
        </w:rPr>
      </w:pPr>
      <w:r>
        <w:rPr>
          <w:noProof/>
        </w:rPr>
        <w:t xml:space="preserve"> </w:t>
      </w:r>
    </w:p>
    <w:tbl>
      <w:tblPr>
        <w:tblStyle w:val="CDMRange26"/>
        <w:tblW w:w="10105" w:type="dxa"/>
        <w:tblLayout w:type="fixed"/>
        <w:tblLook w:val="0600" w:firstRow="0" w:lastRow="0" w:firstColumn="0" w:lastColumn="0" w:noHBand="1" w:noVBand="1"/>
      </w:tblPr>
      <w:tblGrid>
        <w:gridCol w:w="3975"/>
        <w:gridCol w:w="1200"/>
        <w:gridCol w:w="1200"/>
        <w:gridCol w:w="1200"/>
        <w:gridCol w:w="1200"/>
        <w:gridCol w:w="1330"/>
      </w:tblGrid>
      <w:tr>
        <w:trPr>
          <w:trHeight w:hRule="exact" w:val="403"/>
        </w:trPr>
        <w:tc>
          <w:tcPr>
            <w:tcW w:w="39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rPr>
                <w:rFonts w:ascii="Arial" w:eastAsia="Arial" w:hAnsi="Arial" w:cs="Arial"/>
                <w:b/>
                <w:noProof/>
                <w:color w:val="000000"/>
                <w:sz w:val="16"/>
              </w:rPr>
            </w:pPr>
            <w:r>
              <w:rPr>
                <w:rFonts w:ascii="Arial" w:hAnsi="Arial"/>
                <w:b/>
                <w:noProof/>
                <w:color w:val="000000"/>
                <w:sz w:val="16"/>
              </w:rPr>
              <w:t>Apsikeitimo sandorių sutartys 2019 m. gruodžio 31 d.</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trumpesnės kaip</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nuo 1 metų</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nuo 5 metų</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ilgesnės kaip</w:t>
            </w:r>
          </w:p>
        </w:tc>
        <w:tc>
          <w:tcPr>
            <w:tcW w:w="133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Iš viso 2019 m.</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rPr>
                <w:rFonts w:ascii="Arial" w:eastAsia="Arial" w:hAnsi="Arial" w:cs="Arial"/>
                <w:b/>
                <w:noProof/>
                <w:color w:val="000000"/>
                <w:sz w:val="16"/>
              </w:rPr>
            </w:pPr>
            <w:r>
              <w:rPr>
                <w:rFonts w:ascii="Arial" w:hAnsi="Arial"/>
                <w:b/>
                <w:noProof/>
                <w:color w:val="000000"/>
                <w:sz w:val="16"/>
              </w:rPr>
              <w:t>tūkst. EUR</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1 metai</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iki 5 metų</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iki 10 metų</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 xml:space="preserve"> 10 metų</w:t>
            </w:r>
          </w:p>
        </w:tc>
        <w:tc>
          <w:tcPr>
            <w:tcW w:w="133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10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rPr>
                <w:rFonts w:ascii="Arial" w:eastAsia="Arial" w:hAnsi="Arial" w:cs="Arial"/>
                <w:noProof/>
                <w:color w:val="000000"/>
                <w:sz w:val="16"/>
              </w:rPr>
            </w:pPr>
            <w:r>
              <w:rPr>
                <w:rFonts w:ascii="Arial" w:hAnsi="Arial"/>
                <w:noProof/>
                <w:color w:val="000000"/>
                <w:sz w:val="16"/>
              </w:rPr>
              <w:t>Tariamoji suma</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33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rPr>
                <w:rFonts w:ascii="Arial" w:eastAsia="Arial" w:hAnsi="Arial" w:cs="Arial"/>
                <w:noProof/>
                <w:color w:val="000000"/>
                <w:sz w:val="16"/>
              </w:rPr>
            </w:pPr>
            <w:r>
              <w:rPr>
                <w:rFonts w:ascii="Arial" w:hAnsi="Arial"/>
                <w:noProof/>
                <w:color w:val="000000"/>
                <w:sz w:val="16"/>
              </w:rPr>
              <w:t>Tikroji vertė (t. y. grynoji diskontuota vertė)</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33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33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33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85"/>
        </w:trPr>
        <w:tc>
          <w:tcPr>
            <w:tcW w:w="39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rPr>
                <w:rFonts w:ascii="Arial" w:eastAsia="Arial" w:hAnsi="Arial" w:cs="Arial"/>
                <w:b/>
                <w:noProof/>
                <w:color w:val="000000"/>
                <w:sz w:val="16"/>
              </w:rPr>
            </w:pPr>
            <w:r>
              <w:rPr>
                <w:rFonts w:ascii="Arial" w:hAnsi="Arial"/>
                <w:b/>
                <w:noProof/>
                <w:color w:val="000000"/>
                <w:sz w:val="16"/>
              </w:rPr>
              <w:t>Apsikeitimo sandorių sutartys 2018 m. gruodžio 31 d.</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trumpesnės kaip</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nuo 1 metų</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nuo 5 metų</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ilgesnės kaip</w:t>
            </w:r>
          </w:p>
        </w:tc>
        <w:tc>
          <w:tcPr>
            <w:tcW w:w="133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Iš viso 2018 m.</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rPr>
                <w:rFonts w:ascii="Arial" w:eastAsia="Arial" w:hAnsi="Arial" w:cs="Arial"/>
                <w:b/>
                <w:noProof/>
                <w:color w:val="000000"/>
                <w:sz w:val="16"/>
              </w:rPr>
            </w:pPr>
            <w:r>
              <w:rPr>
                <w:rFonts w:ascii="Arial" w:hAnsi="Arial"/>
                <w:b/>
                <w:noProof/>
                <w:color w:val="000000"/>
                <w:sz w:val="16"/>
              </w:rPr>
              <w:t>tūkst. EUR</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1 metai</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iki 5 metų</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iki 10 metų</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10 metų</w:t>
            </w:r>
          </w:p>
        </w:tc>
        <w:tc>
          <w:tcPr>
            <w:tcW w:w="133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10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rPr>
                <w:rFonts w:ascii="Arial" w:eastAsia="Arial" w:hAnsi="Arial" w:cs="Arial"/>
                <w:noProof/>
                <w:color w:val="000000"/>
                <w:sz w:val="16"/>
              </w:rPr>
            </w:pPr>
            <w:r>
              <w:rPr>
                <w:rFonts w:ascii="Arial" w:hAnsi="Arial"/>
                <w:noProof/>
                <w:color w:val="000000"/>
                <w:sz w:val="16"/>
              </w:rPr>
              <w:t>Tariamoji suma</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5 245</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33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5 245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rPr>
                <w:rFonts w:ascii="Arial" w:eastAsia="Arial" w:hAnsi="Arial" w:cs="Arial"/>
                <w:noProof/>
                <w:color w:val="000000"/>
                <w:sz w:val="16"/>
              </w:rPr>
            </w:pPr>
            <w:r>
              <w:rPr>
                <w:rFonts w:ascii="Arial" w:hAnsi="Arial"/>
                <w:noProof/>
                <w:color w:val="000000"/>
                <w:sz w:val="16"/>
              </w:rPr>
              <w:t>Tikroji vertė (t. y. grynoji diskontuota vertė)</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−325</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33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−325</w:t>
            </w:r>
          </w:p>
        </w:tc>
      </w:tr>
    </w:tbl>
    <w:p>
      <w:pPr>
        <w:pStyle w:val="Notes19"/>
        <w:tabs>
          <w:tab w:val="right" w:pos="-2700"/>
        </w:tabs>
        <w:spacing w:before="60" w:after="60"/>
        <w:ind w:firstLine="0"/>
        <w:rPr>
          <w:b w:val="0"/>
          <w:noProof/>
          <w:sz w:val="16"/>
          <w:szCs w:val="16"/>
        </w:rPr>
      </w:pPr>
    </w:p>
    <w:p>
      <w:pPr>
        <w:pStyle w:val="Notes19"/>
        <w:numPr>
          <w:ilvl w:val="0"/>
          <w:numId w:val="85"/>
        </w:numPr>
        <w:tabs>
          <w:tab w:val="right" w:pos="-2700"/>
        </w:tabs>
        <w:spacing w:before="60" w:after="60"/>
        <w:rPr>
          <w:b w:val="0"/>
          <w:noProof/>
          <w:sz w:val="16"/>
          <w:szCs w:val="16"/>
        </w:rPr>
      </w:pPr>
      <w:r>
        <w:rPr>
          <w:b w:val="0"/>
          <w:noProof/>
          <w:sz w:val="16"/>
          <w:szCs w:val="16"/>
        </w:rPr>
        <w:t>Taikant Priemonę sudaromi trumpalaikiai valiutų apsikeitimo sandoriai, siekiant apdrausti nuo valiutų rizikos paskolas, išduodamas kitomis nei euras valiutomis. Valiutų apsikeitimo sandorių trukmė ne ilgesnė kaip trys mėnesiai, jie nuolat pratęsiami. 2019 m. gruodžio 31 d. valiutų apsikeitimo sandorių sąlyginė suma siekė 1 545,0 mln. EUR, palyginti su 1 460,6 mln. EUR 2018 m. gruodžio 31 d. 2019 m. gruodžio 31 d. valiutų apsikeitimo sandorių tikroji vertė siekė 14,1 mln. EUR, o palyginti su 1,1 mln. EUR 2018 m. gruodžio 31 d.</w:t>
      </w:r>
    </w:p>
    <w:p>
      <w:pPr>
        <w:pStyle w:val="Notes19"/>
        <w:tabs>
          <w:tab w:val="right" w:pos="-2700"/>
        </w:tabs>
        <w:spacing w:before="60" w:after="60"/>
        <w:ind w:firstLine="0"/>
        <w:rPr>
          <w:b w:val="0"/>
          <w:noProof/>
          <w:sz w:val="16"/>
          <w:szCs w:val="16"/>
        </w:rPr>
      </w:pPr>
    </w:p>
    <w:p>
      <w:pPr>
        <w:pStyle w:val="Notes19"/>
        <w:numPr>
          <w:ilvl w:val="0"/>
          <w:numId w:val="85"/>
        </w:numPr>
        <w:tabs>
          <w:tab w:val="right" w:pos="-2700"/>
        </w:tabs>
        <w:spacing w:before="60" w:after="60"/>
        <w:ind w:left="357" w:hanging="357"/>
        <w:rPr>
          <w:b w:val="0"/>
          <w:noProof/>
          <w:sz w:val="16"/>
          <w:szCs w:val="16"/>
        </w:rPr>
      </w:pPr>
      <w:r>
        <w:rPr>
          <w:b w:val="0"/>
          <w:noProof/>
          <w:sz w:val="16"/>
          <w:szCs w:val="16"/>
        </w:rPr>
        <w:t>Taikant Priemonę sudaromi palūkanų normų apsikeitimo sandoriai, siekiant apdrausti nuo palūkanų normos rizikos išmokėtas paskolas. 2019 m. gruodžio 31 d. buvo likę du palūkanų normų apsikeitimo sandoriai, kurių sąlyginė suma siekė 24,2 mln. EUR (2018 m. – 28,5 mln. EUR), o tikroji vertė −0,1 mln. EUR (2018 m. – 0,7 mln. EUR).</w:t>
      </w:r>
    </w:p>
    <w:p>
      <w:pPr>
        <w:pStyle w:val="Notes19"/>
        <w:tabs>
          <w:tab w:val="right" w:pos="-2700"/>
        </w:tabs>
        <w:spacing w:before="60" w:after="0"/>
        <w:ind w:left="0" w:firstLine="0"/>
        <w:rPr>
          <w:b w:val="0"/>
          <w:noProof/>
          <w:sz w:val="16"/>
          <w:szCs w:val="16"/>
        </w:rPr>
      </w:pPr>
      <w:r>
        <w:rPr>
          <w:noProof/>
        </w:rPr>
        <w:t xml:space="preserve"> </w:t>
      </w:r>
    </w:p>
    <w:p>
      <w:pPr>
        <w:pStyle w:val="Title3212"/>
        <w:tabs>
          <w:tab w:val="clear" w:pos="822"/>
          <w:tab w:val="num" w:pos="709"/>
        </w:tabs>
        <w:spacing w:before="60" w:after="0"/>
        <w:ind w:left="709" w:hanging="709"/>
        <w:rPr>
          <w:noProof/>
          <w:sz w:val="16"/>
          <w:szCs w:val="16"/>
        </w:rPr>
      </w:pPr>
      <w:r>
        <w:rPr>
          <w:noProof/>
          <w:sz w:val="16"/>
          <w:szCs w:val="16"/>
        </w:rPr>
        <w:t>Iždo finansinio turto kredito rizika</w:t>
      </w:r>
    </w:p>
    <w:p>
      <w:pPr>
        <w:pStyle w:val="Notes20"/>
        <w:tabs>
          <w:tab w:val="clear" w:pos="4320"/>
          <w:tab w:val="clear" w:pos="8640"/>
          <w:tab w:val="right" w:pos="-2700"/>
        </w:tabs>
        <w:spacing w:before="0" w:after="60"/>
        <w:ind w:left="0" w:firstLine="0"/>
        <w:jc w:val="left"/>
        <w:rPr>
          <w:b w:val="0"/>
          <w:noProof/>
          <w:sz w:val="16"/>
          <w:szCs w:val="16"/>
        </w:rPr>
      </w:pPr>
    </w:p>
    <w:p>
      <w:pPr>
        <w:pStyle w:val="Notes160"/>
        <w:numPr>
          <w:ilvl w:val="0"/>
          <w:numId w:val="0"/>
        </w:numPr>
        <w:tabs>
          <w:tab w:val="right" w:pos="-2700"/>
        </w:tabs>
        <w:spacing w:before="60" w:after="60"/>
        <w:rPr>
          <w:b w:val="0"/>
          <w:noProof/>
          <w:sz w:val="16"/>
          <w:szCs w:val="16"/>
        </w:rPr>
      </w:pPr>
      <w:r>
        <w:rPr>
          <w:b w:val="0"/>
          <w:noProof/>
          <w:sz w:val="16"/>
          <w:szCs w:val="16"/>
        </w:rPr>
        <w:t>Toliau pateikiamoje lentelėje parodoma iždo portfelio, kurį sudaro vien tik valstybinio pavaldumo įstaigų, bankų ir subjektų, kurie nėra bankai, komerciniai vekseliai, kurių likęs terminas yra trumpesnis kaip trys mėnesiai, būklė. ES valstybės narės, jų agentūros, bankai ir subjektai, kurie nėra bankai, yra reikalavimus atitinkantys emitentai. Didžiausia leistina riba kiekvienam įgaliotajam emitentui yra 50 000 000 EUR (penkiasdešimt milijonų eurų). Remiantis investavimo gairėmis ir atsižvelgiant į likvidumo reikalavimus, taip pat galima investuoti į vidutinės trukmės ir ilgalaikes obligacijas.</w:t>
      </w:r>
    </w:p>
    <w:p>
      <w:pPr>
        <w:pStyle w:val="Notes20"/>
        <w:tabs>
          <w:tab w:val="clear" w:pos="4320"/>
          <w:tab w:val="clear" w:pos="8640"/>
          <w:tab w:val="right" w:pos="-2700"/>
        </w:tabs>
        <w:spacing w:before="60" w:after="60"/>
        <w:ind w:left="0" w:firstLine="0"/>
        <w:rPr>
          <w:b w:val="0"/>
          <w:noProof/>
          <w:sz w:val="16"/>
          <w:szCs w:val="16"/>
        </w:rPr>
      </w:pPr>
      <w:r>
        <w:rPr>
          <w:noProof/>
        </w:rPr>
        <w:t xml:space="preserve"> </w:t>
      </w:r>
    </w:p>
    <w:tbl>
      <w:tblPr>
        <w:tblStyle w:val="CDMRange17"/>
        <w:tblW w:w="9960" w:type="dxa"/>
        <w:tblLayout w:type="fixed"/>
        <w:tblLook w:val="0600" w:firstRow="0" w:lastRow="0" w:firstColumn="0" w:lastColumn="0" w:noHBand="1" w:noVBand="1"/>
      </w:tblPr>
      <w:tblGrid>
        <w:gridCol w:w="1980"/>
        <w:gridCol w:w="1980"/>
        <w:gridCol w:w="1500"/>
        <w:gridCol w:w="1500"/>
        <w:gridCol w:w="1500"/>
        <w:gridCol w:w="1500"/>
      </w:tblGrid>
      <w:tr>
        <w:trPr>
          <w:trHeight w:val="420"/>
        </w:trPr>
        <w:tc>
          <w:tcPr>
            <w:tcW w:w="19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6"/>
              <w:rPr>
                <w:rFonts w:ascii="Arial" w:eastAsia="Arial" w:hAnsi="Arial" w:cs="Arial"/>
                <w:b/>
                <w:noProof/>
                <w:color w:val="000000"/>
                <w:sz w:val="16"/>
              </w:rPr>
            </w:pPr>
            <w:r>
              <w:rPr>
                <w:rFonts w:ascii="Arial" w:hAnsi="Arial"/>
                <w:b/>
                <w:noProof/>
                <w:color w:val="000000"/>
                <w:sz w:val="16"/>
              </w:rPr>
              <w:t>Žemiausias trumpalaikis reitingas</w:t>
            </w:r>
          </w:p>
        </w:tc>
        <w:tc>
          <w:tcPr>
            <w:tcW w:w="19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6"/>
              <w:rPr>
                <w:rFonts w:ascii="Arial" w:eastAsia="Arial" w:hAnsi="Arial" w:cs="Arial"/>
                <w:b/>
                <w:noProof/>
                <w:color w:val="000000"/>
                <w:sz w:val="16"/>
              </w:rPr>
            </w:pPr>
            <w:r>
              <w:rPr>
                <w:rFonts w:ascii="Arial" w:hAnsi="Arial"/>
                <w:b/>
                <w:noProof/>
                <w:color w:val="000000"/>
                <w:sz w:val="16"/>
              </w:rPr>
              <w:t>Žemiausias ilgalaikis reitingas</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6"/>
              <w:jc w:val="right"/>
              <w:rPr>
                <w:rFonts w:ascii="Arial" w:eastAsia="Arial" w:hAnsi="Arial" w:cs="Arial"/>
                <w:b/>
                <w:noProof/>
                <w:color w:val="000000"/>
                <w:sz w:val="16"/>
              </w:rPr>
            </w:pPr>
            <w:r>
              <w:rPr>
                <w:rFonts w:ascii="Arial" w:hAnsi="Arial"/>
                <w:b/>
                <w:noProof/>
                <w:color w:val="000000"/>
                <w:sz w:val="16"/>
              </w:rPr>
              <w:t>2019 12 31</w:t>
            </w:r>
          </w:p>
        </w:tc>
        <w:tc>
          <w:tcPr>
            <w:tcW w:w="1500" w:type="dxa"/>
            <w:vMerge w:val="restart"/>
            <w:tcBorders>
              <w:top w:val="single" w:sz="4" w:space="0" w:color="000000"/>
              <w:left w:val="nil"/>
              <w:bottom w:val="nil"/>
              <w:right w:val="nil"/>
              <w:tl2br w:val="nil"/>
              <w:tr2bl w:val="nil"/>
            </w:tcBorders>
            <w:shd w:val="clear" w:color="auto" w:fill="auto"/>
            <w:vAlign w:val="center"/>
          </w:tcPr>
          <w:p>
            <w:pPr>
              <w:pStyle w:val="Normal106"/>
              <w:jc w:val="center"/>
              <w:rPr>
                <w:rFonts w:ascii="Arial" w:eastAsia="Arial" w:hAnsi="Arial" w:cs="Arial"/>
                <w:b/>
                <w:noProof/>
                <w:color w:val="000000"/>
                <w:sz w:val="16"/>
              </w:rPr>
            </w:pP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6"/>
              <w:jc w:val="right"/>
              <w:rPr>
                <w:rFonts w:ascii="Arial" w:eastAsia="Arial" w:hAnsi="Arial" w:cs="Arial"/>
                <w:b/>
                <w:noProof/>
                <w:color w:val="000000"/>
                <w:sz w:val="16"/>
              </w:rPr>
            </w:pPr>
            <w:r>
              <w:rPr>
                <w:rFonts w:ascii="Arial" w:hAnsi="Arial"/>
                <w:b/>
                <w:noProof/>
                <w:color w:val="000000"/>
                <w:sz w:val="16"/>
              </w:rPr>
              <w:t>2018 12 31</w:t>
            </w:r>
          </w:p>
        </w:tc>
        <w:tc>
          <w:tcPr>
            <w:tcW w:w="1500" w:type="dxa"/>
            <w:vMerge w:val="restart"/>
            <w:tcBorders>
              <w:top w:val="single" w:sz="4" w:space="0" w:color="000000"/>
              <w:left w:val="nil"/>
              <w:bottom w:val="nil"/>
              <w:right w:val="nil"/>
              <w:tl2br w:val="nil"/>
              <w:tr2bl w:val="nil"/>
            </w:tcBorders>
            <w:shd w:val="clear" w:color="auto" w:fill="auto"/>
            <w:vAlign w:val="center"/>
          </w:tcPr>
          <w:p>
            <w:pPr>
              <w:pStyle w:val="Normal106"/>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9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06"/>
              <w:rPr>
                <w:rFonts w:ascii="Arial" w:eastAsia="Arial" w:hAnsi="Arial" w:cs="Arial"/>
                <w:b/>
                <w:noProof/>
                <w:color w:val="000000"/>
                <w:sz w:val="16"/>
              </w:rPr>
            </w:pPr>
            <w:r>
              <w:rPr>
                <w:rFonts w:ascii="Arial" w:hAnsi="Arial"/>
                <w:b/>
                <w:noProof/>
                <w:color w:val="000000"/>
                <w:sz w:val="16"/>
              </w:rPr>
              <w:t>(„Moody’s“ terminas)</w:t>
            </w:r>
          </w:p>
        </w:tc>
        <w:tc>
          <w:tcPr>
            <w:tcW w:w="19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06"/>
              <w:rPr>
                <w:rFonts w:ascii="Arial" w:eastAsia="Arial" w:hAnsi="Arial" w:cs="Arial"/>
                <w:b/>
                <w:noProof/>
                <w:color w:val="000000"/>
                <w:sz w:val="16"/>
              </w:rPr>
            </w:pPr>
            <w:r>
              <w:rPr>
                <w:rFonts w:ascii="Arial" w:hAnsi="Arial"/>
                <w:b/>
                <w:noProof/>
                <w:color w:val="000000"/>
                <w:sz w:val="16"/>
              </w:rPr>
              <w:t>(„Moody’s“ terminas)</w:t>
            </w: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6"/>
              <w:jc w:val="center"/>
              <w:rPr>
                <w:rFonts w:ascii="Arial" w:eastAsia="Arial" w:hAnsi="Arial" w:cs="Arial"/>
                <w:b/>
                <w:noProof/>
                <w:color w:val="000000"/>
                <w:sz w:val="16"/>
              </w:rPr>
            </w:pPr>
          </w:p>
        </w:tc>
        <w:tc>
          <w:tcPr>
            <w:tcW w:w="1500" w:type="dxa"/>
            <w:vMerge/>
            <w:tcBorders>
              <w:top w:val="nil"/>
              <w:left w:val="nil"/>
              <w:bottom w:val="single" w:sz="4" w:space="0" w:color="000000"/>
              <w:right w:val="nil"/>
              <w:tl2br w:val="nil"/>
              <w:tr2bl w:val="nil"/>
            </w:tcBorders>
            <w:shd w:val="clear" w:color="auto" w:fill="auto"/>
            <w:vAlign w:val="center"/>
          </w:tcPr>
          <w:p>
            <w:pPr>
              <w:pStyle w:val="Normal106"/>
              <w:jc w:val="center"/>
              <w:rPr>
                <w:rFonts w:ascii="Arial" w:eastAsia="Arial" w:hAnsi="Arial" w:cs="Arial"/>
                <w:b/>
                <w:noProof/>
                <w:color w:val="000000"/>
                <w:sz w:val="16"/>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6"/>
              <w:jc w:val="center"/>
              <w:rPr>
                <w:rFonts w:ascii="Arial" w:eastAsia="Arial" w:hAnsi="Arial" w:cs="Arial"/>
                <w:b/>
                <w:noProof/>
                <w:color w:val="000000"/>
                <w:sz w:val="16"/>
              </w:rPr>
            </w:pPr>
          </w:p>
        </w:tc>
        <w:tc>
          <w:tcPr>
            <w:tcW w:w="1500" w:type="dxa"/>
            <w:vMerge/>
            <w:tcBorders>
              <w:top w:val="nil"/>
              <w:left w:val="nil"/>
              <w:bottom w:val="single" w:sz="4" w:space="0" w:color="000000"/>
              <w:right w:val="nil"/>
              <w:tl2br w:val="nil"/>
              <w:tr2bl w:val="nil"/>
            </w:tcBorders>
            <w:shd w:val="clear" w:color="auto" w:fill="auto"/>
            <w:vAlign w:val="center"/>
          </w:tcPr>
          <w:p>
            <w:pPr>
              <w:pStyle w:val="Normal106"/>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P-1</w:t>
            </w:r>
          </w:p>
        </w:tc>
        <w:tc>
          <w:tcPr>
            <w:tcW w:w="198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Aa1</w:t>
            </w:r>
          </w:p>
        </w:tc>
        <w:tc>
          <w:tcPr>
            <w:tcW w:w="1500" w:type="dxa"/>
            <w:tcBorders>
              <w:top w:val="single" w:sz="4" w:space="0" w:color="000000"/>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50 046</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15 %</w:t>
            </w:r>
          </w:p>
        </w:tc>
        <w:tc>
          <w:tcPr>
            <w:tcW w:w="1500" w:type="dxa"/>
            <w:tcBorders>
              <w:top w:val="single" w:sz="4" w:space="0" w:color="000000"/>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Aa2</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19 997</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6 %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80 041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24 %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Aa3</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50 025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15 %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95 055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29 %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A1</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55 050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17 %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15 005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4 %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A2</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0 %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45 008</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13 %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A2</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0 %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50 015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15 %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A3</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85 027</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26 %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50 016</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15 %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Baa1</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30 433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9 %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Baa3</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40 009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12 %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FFFFFF" w:fill="BFBFBF"/>
            <w:noWrap/>
            <w:tcMar>
              <w:left w:w="40" w:type="dxa"/>
              <w:right w:w="40" w:type="dxa"/>
            </w:tcMar>
            <w:vAlign w:val="center"/>
          </w:tcPr>
          <w:p>
            <w:pPr>
              <w:pStyle w:val="Normal106"/>
              <w:rPr>
                <w:rFonts w:ascii="Arial" w:eastAsia="Arial" w:hAnsi="Arial" w:cs="Arial"/>
                <w:b/>
                <w:noProof/>
                <w:color w:val="000000"/>
                <w:sz w:val="16"/>
              </w:rPr>
            </w:pPr>
            <w:r>
              <w:rPr>
                <w:rFonts w:ascii="Arial" w:hAnsi="Arial"/>
                <w:b/>
                <w:noProof/>
                <w:color w:val="000000"/>
                <w:sz w:val="16"/>
              </w:rPr>
              <w:t>Iš viso</w:t>
            </w:r>
          </w:p>
        </w:tc>
        <w:tc>
          <w:tcPr>
            <w:tcW w:w="1980" w:type="dxa"/>
            <w:tcBorders>
              <w:top w:val="nil"/>
              <w:left w:val="nil"/>
              <w:bottom w:val="nil"/>
              <w:right w:val="nil"/>
              <w:tl2br w:val="nil"/>
              <w:tr2bl w:val="nil"/>
            </w:tcBorders>
            <w:shd w:val="clear" w:color="FFFFFF" w:fill="BFBFBF"/>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 xml:space="preserve">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106"/>
              <w:jc w:val="right"/>
              <w:rPr>
                <w:rFonts w:ascii="Arial" w:eastAsia="Arial" w:hAnsi="Arial" w:cs="Arial"/>
                <w:b/>
                <w:noProof/>
                <w:color w:val="000000"/>
                <w:sz w:val="16"/>
              </w:rPr>
            </w:pPr>
            <w:r>
              <w:rPr>
                <w:rFonts w:ascii="Arial" w:hAnsi="Arial"/>
                <w:b/>
                <w:noProof/>
                <w:color w:val="000000"/>
                <w:sz w:val="16"/>
              </w:rPr>
              <w:t>330 587</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106"/>
              <w:jc w:val="right"/>
              <w:rPr>
                <w:rFonts w:ascii="Arial" w:eastAsia="Arial" w:hAnsi="Arial" w:cs="Arial"/>
                <w:b/>
                <w:noProof/>
                <w:color w:val="000000"/>
                <w:sz w:val="16"/>
              </w:rPr>
            </w:pPr>
            <w:r>
              <w:rPr>
                <w:rFonts w:ascii="Arial" w:hAnsi="Arial"/>
                <w:b/>
                <w:noProof/>
                <w:color w:val="000000"/>
                <w:sz w:val="16"/>
              </w:rPr>
              <w:t>100 %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106"/>
              <w:jc w:val="right"/>
              <w:rPr>
                <w:rFonts w:ascii="Arial" w:eastAsia="Arial" w:hAnsi="Arial" w:cs="Arial"/>
                <w:b/>
                <w:noProof/>
                <w:color w:val="000000"/>
                <w:sz w:val="16"/>
              </w:rPr>
            </w:pPr>
            <w:r>
              <w:rPr>
                <w:rFonts w:ascii="Arial" w:hAnsi="Arial"/>
                <w:b/>
                <w:noProof/>
                <w:color w:val="000000"/>
                <w:sz w:val="16"/>
              </w:rPr>
              <w:t>335 140</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106"/>
              <w:jc w:val="right"/>
              <w:rPr>
                <w:rFonts w:ascii="Arial" w:eastAsia="Arial" w:hAnsi="Arial" w:cs="Arial"/>
                <w:b/>
                <w:noProof/>
                <w:color w:val="000000"/>
                <w:sz w:val="16"/>
              </w:rPr>
            </w:pPr>
            <w:r>
              <w:rPr>
                <w:rFonts w:ascii="Arial" w:hAnsi="Arial"/>
                <w:b/>
                <w:noProof/>
                <w:color w:val="000000"/>
                <w:sz w:val="16"/>
              </w:rPr>
              <w:t>100 %</w:t>
            </w:r>
          </w:p>
        </w:tc>
      </w:tr>
    </w:tbl>
    <w:p>
      <w:pPr>
        <w:pStyle w:val="Title113"/>
        <w:pageBreakBefore/>
        <w:numPr>
          <w:ilvl w:val="1"/>
          <w:numId w:val="90"/>
        </w:numPr>
        <w:rPr>
          <w:b/>
          <w:noProof/>
          <w:sz w:val="16"/>
          <w:szCs w:val="16"/>
        </w:rPr>
      </w:pPr>
      <w:r>
        <w:rPr>
          <w:b/>
          <w:noProof/>
          <w:sz w:val="16"/>
          <w:szCs w:val="16"/>
        </w:rPr>
        <w:t>Likvidumo rizika</w:t>
      </w:r>
    </w:p>
    <w:p>
      <w:pPr>
        <w:pStyle w:val="Notes22"/>
        <w:tabs>
          <w:tab w:val="right" w:pos="-2700"/>
        </w:tabs>
        <w:spacing w:before="0" w:after="60"/>
        <w:ind w:left="0" w:firstLine="0"/>
        <w:rPr>
          <w:b w:val="0"/>
          <w:noProof/>
          <w:sz w:val="16"/>
          <w:szCs w:val="16"/>
        </w:rPr>
      </w:pPr>
    </w:p>
    <w:p>
      <w:pPr>
        <w:pStyle w:val="Notes22"/>
        <w:tabs>
          <w:tab w:val="right" w:pos="-2700"/>
        </w:tabs>
        <w:spacing w:before="60" w:after="60"/>
        <w:ind w:left="0" w:firstLine="0"/>
        <w:rPr>
          <w:b w:val="0"/>
          <w:noProof/>
          <w:sz w:val="16"/>
          <w:szCs w:val="16"/>
        </w:rPr>
      </w:pPr>
      <w:r>
        <w:rPr>
          <w:b w:val="0"/>
          <w:noProof/>
          <w:sz w:val="16"/>
          <w:szCs w:val="16"/>
        </w:rPr>
        <w:t>Likvidumo rizika reiškia subjekto gebėjimą finansuoti turto padidėjimą ir suėjus terminui vykdyti įsipareigojimus, nepatiriant nepriimtinų nuostolių. Ji gali būti skirstoma į finansavimo likvidumo riziką ir rinkos likvidumo riziką. Finansavimo likvidumo rizika – tai rizika, kad subjektas nesugebės veiksmingai patenkinti tiek numatytų, tiek nenumatytų einamųjų ir būsimųjų pinigų srautų poreikių, nepakenkdamas savo kasdienei veiklai ar finansų būklei. Rinkos likvidumo rizika – tai rizika, kad subjektas negalės lengvai kompensuoti arba parduoti pozicijos rinkos kaina dėl nepakankamo rinkos gilumo ar rinkos sutrikimo.</w:t>
      </w:r>
    </w:p>
    <w:p>
      <w:pPr>
        <w:pStyle w:val="Title113"/>
        <w:spacing w:before="60" w:after="60"/>
        <w:ind w:left="0" w:firstLine="0"/>
        <w:rPr>
          <w:noProof/>
          <w:sz w:val="16"/>
          <w:szCs w:val="16"/>
        </w:rPr>
      </w:pPr>
    </w:p>
    <w:p>
      <w:pPr>
        <w:pStyle w:val="Title113"/>
        <w:numPr>
          <w:ilvl w:val="2"/>
          <w:numId w:val="90"/>
        </w:numPr>
        <w:spacing w:before="60"/>
        <w:ind w:left="357" w:hanging="357"/>
        <w:rPr>
          <w:b/>
          <w:noProof/>
          <w:sz w:val="16"/>
          <w:szCs w:val="16"/>
        </w:rPr>
      </w:pPr>
      <w:r>
        <w:rPr>
          <w:b/>
          <w:noProof/>
          <w:sz w:val="16"/>
          <w:szCs w:val="16"/>
        </w:rPr>
        <w:t xml:space="preserve"> </w:t>
      </w:r>
      <w:r>
        <w:rPr>
          <w:b/>
          <w:noProof/>
          <w:sz w:val="16"/>
          <w:szCs w:val="16"/>
        </w:rPr>
        <w:tab/>
        <w:t>Likvidumo rizikos valdymas</w:t>
      </w:r>
    </w:p>
    <w:p>
      <w:pPr>
        <w:pStyle w:val="Notes22"/>
        <w:tabs>
          <w:tab w:val="clear" w:pos="4320"/>
          <w:tab w:val="clear" w:pos="8640"/>
          <w:tab w:val="right" w:pos="-2700"/>
        </w:tabs>
        <w:spacing w:before="0" w:after="60"/>
        <w:ind w:left="0" w:firstLine="0"/>
        <w:rPr>
          <w:b w:val="0"/>
          <w:noProof/>
          <w:sz w:val="16"/>
          <w:szCs w:val="16"/>
        </w:rPr>
      </w:pPr>
    </w:p>
    <w:p>
      <w:pPr>
        <w:pStyle w:val="Notes22"/>
        <w:tabs>
          <w:tab w:val="right" w:pos="-2700"/>
        </w:tabs>
        <w:spacing w:before="60" w:after="60"/>
        <w:ind w:left="0" w:firstLine="0"/>
        <w:rPr>
          <w:b w:val="0"/>
          <w:noProof/>
          <w:sz w:val="16"/>
          <w:szCs w:val="16"/>
        </w:rPr>
      </w:pPr>
      <w:r>
        <w:rPr>
          <w:b w:val="0"/>
          <w:noProof/>
          <w:sz w:val="16"/>
          <w:szCs w:val="16"/>
        </w:rPr>
        <w:t>Priemonė visų pirma finansuojama metiniais valstybių narių įnašais, taip pat dėl Priemonės vykdomų operacijų atsirandančiomis grįžtamosiomis lėšomis. Priemonės finansavimo likvidumo rizika valdoma daugiausia planuojant jos grynuosius likvidumo poreikius ir reikalingus valstybių narių metinius įnašus.</w:t>
      </w:r>
    </w:p>
    <w:p>
      <w:pPr>
        <w:pStyle w:val="Notes22"/>
        <w:tabs>
          <w:tab w:val="clear" w:pos="4320"/>
          <w:tab w:val="clear" w:pos="8640"/>
          <w:tab w:val="right" w:pos="-2700"/>
        </w:tabs>
        <w:spacing w:before="60" w:after="60"/>
        <w:ind w:left="0" w:firstLine="0"/>
        <w:rPr>
          <w:b w:val="0"/>
          <w:noProof/>
          <w:sz w:val="16"/>
          <w:szCs w:val="16"/>
        </w:rPr>
      </w:pPr>
    </w:p>
    <w:p>
      <w:pPr>
        <w:pStyle w:val="Notes22"/>
        <w:tabs>
          <w:tab w:val="clear" w:pos="4320"/>
          <w:tab w:val="clear" w:pos="8640"/>
          <w:tab w:val="right" w:pos="-2700"/>
        </w:tabs>
        <w:spacing w:before="60" w:after="60"/>
        <w:ind w:left="0" w:firstLine="0"/>
        <w:rPr>
          <w:b w:val="0"/>
          <w:noProof/>
          <w:sz w:val="16"/>
          <w:szCs w:val="16"/>
        </w:rPr>
      </w:pPr>
      <w:r>
        <w:rPr>
          <w:b w:val="0"/>
          <w:noProof/>
          <w:sz w:val="16"/>
          <w:szCs w:val="16"/>
        </w:rPr>
        <w:t xml:space="preserve">Siekiant apskaičiuoti metinius valstybių narių įnašus, analizuojama ir visus metus stebima esamo ir numatomo portfelio lėšų išmokėjimo eiga. Siekiant patikslinti metinius likvidumo reikalavimus, atsižvelgiama į ypatingus įvykius, pvz., anksti gautas grąžinamąsias išmokas, akcijų pardavimą ar įsipareigojimų nevykdymo atvejus. </w:t>
      </w:r>
    </w:p>
    <w:p>
      <w:pPr>
        <w:pStyle w:val="Notes22"/>
        <w:tabs>
          <w:tab w:val="clear" w:pos="4320"/>
          <w:tab w:val="clear" w:pos="8640"/>
          <w:tab w:val="right" w:pos="-2700"/>
        </w:tabs>
        <w:spacing w:before="60" w:after="60"/>
        <w:ind w:left="0" w:firstLine="0"/>
        <w:rPr>
          <w:b w:val="0"/>
          <w:noProof/>
          <w:sz w:val="16"/>
          <w:szCs w:val="16"/>
        </w:rPr>
      </w:pPr>
    </w:p>
    <w:p>
      <w:pPr>
        <w:pStyle w:val="Notes22"/>
        <w:tabs>
          <w:tab w:val="right" w:pos="-2700"/>
        </w:tabs>
        <w:spacing w:before="60" w:after="60"/>
        <w:ind w:left="0" w:firstLine="0"/>
        <w:rPr>
          <w:b w:val="0"/>
          <w:noProof/>
          <w:sz w:val="16"/>
          <w:szCs w:val="16"/>
        </w:rPr>
      </w:pPr>
      <w:r>
        <w:rPr>
          <w:b w:val="0"/>
          <w:noProof/>
          <w:sz w:val="16"/>
          <w:szCs w:val="16"/>
        </w:rPr>
        <w:t xml:space="preserve">Siekiant papildomai sumažinti likvidumo riziką, palaikomas Priemonės likvidumo rezervas, kuris yra pakankamas, kad bet kuriuo metu būtų galima padengti numatytas pinigines išmokas, apie kurias reguliariai praneša EIB skolinimo skyrius. Lėšos investuojamos pinigų rinkoje ir obligacijų rinkose tarpbankinių indėlių ir kitų trumpalaikių finansinių priemonių forma atsižvelgiant į Priemonės įsipareigojimus dėl piniginių išmokų. Priemonės likvidųjį turtą valdo banko iždo departamentas, siekdamas išlaikyti tinkamą likvidumą, kad būtų galima tenkinti pagal Priemonę prisiimtus įsipareigojimus.   </w:t>
      </w:r>
    </w:p>
    <w:p>
      <w:pPr>
        <w:pStyle w:val="Notes22"/>
        <w:tabs>
          <w:tab w:val="right" w:pos="-2700"/>
        </w:tabs>
        <w:spacing w:before="60" w:after="60"/>
        <w:rPr>
          <w:b w:val="0"/>
          <w:noProof/>
          <w:sz w:val="16"/>
          <w:szCs w:val="16"/>
        </w:rPr>
      </w:pPr>
    </w:p>
    <w:p>
      <w:pPr>
        <w:pStyle w:val="Notes22"/>
        <w:tabs>
          <w:tab w:val="right" w:pos="-2700"/>
        </w:tabs>
        <w:spacing w:before="60" w:after="60"/>
        <w:ind w:left="0" w:firstLine="0"/>
        <w:rPr>
          <w:b w:val="0"/>
          <w:noProof/>
          <w:sz w:val="16"/>
          <w:szCs w:val="16"/>
        </w:rPr>
      </w:pPr>
      <w:r>
        <w:rPr>
          <w:b w:val="0"/>
          <w:noProof/>
          <w:sz w:val="16"/>
          <w:szCs w:val="16"/>
        </w:rPr>
        <w:t xml:space="preserve">Laikantis veiklos ir administracinių padalinių pareigų atskyrimo principo, už atsiskaitymo operacijas, susijusias su šio turto investavimu, atsako EIB Operacijų planavimo ir atsiskaitymo departamentas. Be to, už sandorio šalių įgaliojimą ir iždo investicijų ribų nustatymą ir tų ribų stebėjimą atsakingas Banko rizikos valdymo direktoratas. </w:t>
      </w:r>
    </w:p>
    <w:p>
      <w:pPr>
        <w:pStyle w:val="Notes22"/>
        <w:tabs>
          <w:tab w:val="clear" w:pos="4320"/>
          <w:tab w:val="clear" w:pos="8640"/>
          <w:tab w:val="right" w:pos="-2700"/>
        </w:tabs>
        <w:spacing w:before="60" w:after="60"/>
        <w:ind w:left="0" w:firstLine="0"/>
        <w:rPr>
          <w:b w:val="0"/>
          <w:noProof/>
          <w:sz w:val="16"/>
          <w:szCs w:val="16"/>
        </w:rPr>
      </w:pPr>
    </w:p>
    <w:p>
      <w:pPr>
        <w:pStyle w:val="Title113"/>
        <w:numPr>
          <w:ilvl w:val="2"/>
          <w:numId w:val="90"/>
        </w:numPr>
        <w:spacing w:before="60"/>
        <w:ind w:left="357" w:hanging="357"/>
        <w:rPr>
          <w:b/>
          <w:noProof/>
          <w:sz w:val="16"/>
          <w:szCs w:val="16"/>
        </w:rPr>
      </w:pPr>
      <w:r>
        <w:rPr>
          <w:b/>
          <w:noProof/>
          <w:sz w:val="16"/>
          <w:szCs w:val="16"/>
        </w:rPr>
        <w:t xml:space="preserve"> </w:t>
      </w:r>
      <w:r>
        <w:rPr>
          <w:b/>
          <w:noProof/>
          <w:sz w:val="16"/>
          <w:szCs w:val="16"/>
        </w:rPr>
        <w:tab/>
        <w:t>Likvidumo rizikos vertinimas</w:t>
      </w:r>
    </w:p>
    <w:p>
      <w:pPr>
        <w:pStyle w:val="Notes22"/>
        <w:tabs>
          <w:tab w:val="clear" w:pos="4320"/>
          <w:tab w:val="clear" w:pos="8640"/>
          <w:tab w:val="right" w:pos="-2700"/>
        </w:tabs>
        <w:spacing w:before="0" w:after="60"/>
        <w:ind w:left="0" w:firstLine="0"/>
        <w:rPr>
          <w:b w:val="0"/>
          <w:noProof/>
          <w:sz w:val="16"/>
          <w:szCs w:val="16"/>
        </w:rPr>
      </w:pPr>
    </w:p>
    <w:p>
      <w:pPr>
        <w:pStyle w:val="Notes22"/>
        <w:tabs>
          <w:tab w:val="clear" w:pos="4320"/>
          <w:tab w:val="clear" w:pos="8640"/>
          <w:tab w:val="right" w:pos="-2700"/>
        </w:tabs>
        <w:spacing w:before="60" w:after="60"/>
        <w:ind w:left="0" w:firstLine="0"/>
        <w:rPr>
          <w:b w:val="0"/>
          <w:noProof/>
          <w:sz w:val="16"/>
          <w:szCs w:val="16"/>
        </w:rPr>
      </w:pPr>
      <w:r>
        <w:rPr>
          <w:b w:val="0"/>
          <w:noProof/>
          <w:sz w:val="16"/>
          <w:szCs w:val="16"/>
        </w:rPr>
        <w:t>Šio skirsnio lentelėse analizuojami finansiniai pagal Priemonę prisiimti įsipareigojimai pagal išpirkimo datą, remiantis laikotarpiu, likusiu nuo paskutinės ataskaitinio laikotarpio dienos iki sutartyje nustatytos išpirkimo datos (remiantis nediskontuotais pinigų srautais).</w:t>
      </w:r>
    </w:p>
    <w:p>
      <w:pPr>
        <w:pStyle w:val="Notes22"/>
        <w:tabs>
          <w:tab w:val="clear" w:pos="4320"/>
          <w:tab w:val="clear" w:pos="8640"/>
          <w:tab w:val="right" w:pos="-2700"/>
        </w:tabs>
        <w:spacing w:before="60" w:after="60"/>
        <w:ind w:left="0" w:firstLine="0"/>
        <w:rPr>
          <w:b w:val="0"/>
          <w:noProof/>
          <w:sz w:val="16"/>
          <w:szCs w:val="16"/>
        </w:rPr>
      </w:pPr>
    </w:p>
    <w:p>
      <w:pPr>
        <w:pStyle w:val="Notes22"/>
        <w:tabs>
          <w:tab w:val="clear" w:pos="4320"/>
          <w:tab w:val="clear" w:pos="8640"/>
          <w:tab w:val="right" w:pos="-2700"/>
        </w:tabs>
        <w:spacing w:before="60" w:after="60"/>
        <w:ind w:left="0" w:firstLine="0"/>
        <w:rPr>
          <w:b w:val="0"/>
          <w:noProof/>
          <w:sz w:val="16"/>
          <w:szCs w:val="16"/>
        </w:rPr>
      </w:pPr>
      <w:r>
        <w:rPr>
          <w:b w:val="0"/>
          <w:noProof/>
          <w:sz w:val="16"/>
          <w:szCs w:val="16"/>
        </w:rPr>
        <w:t xml:space="preserve">Neišvestinių priemonių finansinių įsipareigojimų atžvilgiu Priemonė susijusi su įsipareigojimais pagal neišmokėtas kredito dalis pagal pasirašytus paskolos susitarimus, pagal neišmokėtas pasirašytų kapitalo pasirašymo ir (arba) investicinių susitarimų dalis, pagal suteiktas paskolų garantijas arba pagal palūkanų subsidijas ir techninę pagalbą, kurias įsipareigota skirti. </w:t>
      </w:r>
    </w:p>
    <w:p>
      <w:pPr>
        <w:pStyle w:val="Notes22"/>
        <w:tabs>
          <w:tab w:val="right" w:pos="-2700"/>
        </w:tabs>
        <w:spacing w:before="60" w:after="60"/>
        <w:ind w:left="0" w:firstLine="0"/>
        <w:rPr>
          <w:b w:val="0"/>
          <w:noProof/>
          <w:sz w:val="16"/>
          <w:szCs w:val="16"/>
        </w:rPr>
      </w:pPr>
    </w:p>
    <w:p>
      <w:pPr>
        <w:pStyle w:val="Notes22"/>
        <w:tabs>
          <w:tab w:val="clear" w:pos="4320"/>
          <w:tab w:val="clear" w:pos="8640"/>
          <w:tab w:val="right" w:pos="-2700"/>
        </w:tabs>
        <w:spacing w:before="60" w:after="60"/>
        <w:ind w:left="0" w:firstLine="0"/>
        <w:rPr>
          <w:b w:val="0"/>
          <w:noProof/>
          <w:sz w:val="16"/>
          <w:szCs w:val="16"/>
        </w:rPr>
      </w:pPr>
      <w:r>
        <w:rPr>
          <w:b w:val="0"/>
          <w:noProof/>
          <w:sz w:val="16"/>
          <w:szCs w:val="16"/>
        </w:rPr>
        <w:t xml:space="preserve">Paskoloms pagal investicinę priemonę (IP) nustatytas išmokėjimo terminas. Tačiau išmokų laikas ir sumos atspindi susijusių investicinių projektų pažangą. Be to, IP paskolos yra operacijos, atliekamos santykinai kintančioje aplinkoje, todėl jų išmokėjimo grafikui būdingas didelis neapibrėžtumas. </w:t>
      </w:r>
    </w:p>
    <w:p>
      <w:pPr>
        <w:pStyle w:val="Notes22"/>
        <w:tabs>
          <w:tab w:val="clear" w:pos="4320"/>
          <w:tab w:val="clear" w:pos="8640"/>
          <w:tab w:val="right" w:pos="-2700"/>
        </w:tabs>
        <w:spacing w:before="60" w:after="60"/>
        <w:ind w:left="0" w:firstLine="0"/>
        <w:rPr>
          <w:b w:val="0"/>
          <w:noProof/>
          <w:sz w:val="16"/>
          <w:szCs w:val="16"/>
        </w:rPr>
      </w:pPr>
    </w:p>
    <w:p>
      <w:pPr>
        <w:pStyle w:val="Notes22"/>
        <w:tabs>
          <w:tab w:val="clear" w:pos="4320"/>
          <w:tab w:val="clear" w:pos="8640"/>
          <w:tab w:val="right" w:pos="-2700"/>
        </w:tabs>
        <w:spacing w:before="60" w:after="60"/>
        <w:ind w:left="0" w:firstLine="0"/>
        <w:rPr>
          <w:b w:val="0"/>
          <w:noProof/>
          <w:sz w:val="16"/>
          <w:szCs w:val="16"/>
        </w:rPr>
      </w:pPr>
      <w:r>
        <w:rPr>
          <w:b w:val="0"/>
          <w:noProof/>
          <w:sz w:val="16"/>
          <w:szCs w:val="16"/>
        </w:rPr>
        <w:t xml:space="preserve">Kapitalo investicijos tampa mokėtinomis, kai akcijų fondų valdytojai parengia galiojančius kvietimus įnešti kapitalo lėšų, kurie rodo jų investicinės veiklos pažangą. Lėšų įnešimo laikotarpis paprastai yra 3 metai, tačiau jis dažnai pratęsiamas vieniems arba dvejiems metams. Kai kurių išmokėjimo įsipareigojimų laikotarpis paprastai yra ilgesnis nei lėšų įnešimo laikotarpis, t. y. iki to laiko, kai galima visiškai disponuoti fondo investicijomis, kadangi fondo likvidumas gali būti nepakankamas, kad laikas nuo laiko būtų galima įvykdyti mokėjimo įsipareigojimus, kylančius dėl mokesčių ar kitokių išlaidų. </w:t>
      </w:r>
    </w:p>
    <w:p>
      <w:pPr>
        <w:pStyle w:val="Notes22"/>
        <w:tabs>
          <w:tab w:val="clear" w:pos="4320"/>
          <w:tab w:val="clear" w:pos="8640"/>
          <w:tab w:val="right" w:pos="-2700"/>
        </w:tabs>
        <w:spacing w:before="60" w:after="60"/>
        <w:ind w:left="0" w:firstLine="0"/>
        <w:rPr>
          <w:b w:val="0"/>
          <w:noProof/>
          <w:sz w:val="16"/>
          <w:szCs w:val="16"/>
        </w:rPr>
      </w:pPr>
    </w:p>
    <w:p>
      <w:pPr>
        <w:pStyle w:val="Notes22"/>
        <w:tabs>
          <w:tab w:val="clear" w:pos="4320"/>
          <w:tab w:val="clear" w:pos="8640"/>
          <w:tab w:val="right" w:pos="-2700"/>
        </w:tabs>
        <w:spacing w:before="60" w:after="60"/>
        <w:ind w:left="0" w:firstLine="0"/>
        <w:rPr>
          <w:b w:val="0"/>
          <w:noProof/>
          <w:sz w:val="16"/>
          <w:szCs w:val="16"/>
        </w:rPr>
      </w:pPr>
      <w:r>
        <w:rPr>
          <w:b w:val="0"/>
          <w:noProof/>
          <w:sz w:val="16"/>
          <w:szCs w:val="16"/>
        </w:rPr>
        <w:t>Garantijoms netaikomi specialūs išmokėjimo įsipareigojimai, nebent pareikalaujama įvykdyti garantiją. Neapmokėtų garantijų suma sumažinama, atsižvelgiant į garantija užtikrintų paskolų grąžinimo grafiką.</w:t>
      </w:r>
    </w:p>
    <w:p>
      <w:pPr>
        <w:pStyle w:val="Notes22"/>
        <w:tabs>
          <w:tab w:val="clear" w:pos="4320"/>
          <w:tab w:val="clear" w:pos="8640"/>
          <w:tab w:val="right" w:pos="-2700"/>
        </w:tabs>
        <w:spacing w:before="60" w:after="60"/>
        <w:ind w:left="0" w:firstLine="0"/>
        <w:rPr>
          <w:b w:val="0"/>
          <w:noProof/>
          <w:sz w:val="16"/>
          <w:szCs w:val="16"/>
        </w:rPr>
      </w:pPr>
    </w:p>
    <w:p>
      <w:pPr>
        <w:pStyle w:val="Notes22"/>
        <w:tabs>
          <w:tab w:val="right" w:pos="-2700"/>
        </w:tabs>
        <w:spacing w:before="60" w:after="60"/>
        <w:ind w:left="0" w:firstLine="0"/>
        <w:rPr>
          <w:b w:val="0"/>
          <w:noProof/>
          <w:sz w:val="16"/>
          <w:szCs w:val="16"/>
        </w:rPr>
      </w:pPr>
      <w:r>
        <w:rPr>
          <w:b w:val="0"/>
          <w:noProof/>
          <w:sz w:val="16"/>
          <w:szCs w:val="16"/>
        </w:rPr>
        <w:t xml:space="preserve">Palūkanų subsidijos, kurias įsipareigota skirti, išmokamos, kai subsidijuojamos paskolos finansuojamos iš banko nuosavų išteklių. Todėl nurodytos išlaidos yra tik įsipareigojimai, susiję su tomis paskolomis, o ne su visa neišmokėtų palūkanų subsidijų, kurias įsipareigota skirti, suma. Kaip ir paskolų atveju, jų išmokėjimo grafikas nėra aiškus.  </w:t>
      </w:r>
    </w:p>
    <w:p>
      <w:pPr>
        <w:pStyle w:val="Notes22"/>
        <w:tabs>
          <w:tab w:val="right" w:pos="-2700"/>
        </w:tabs>
        <w:spacing w:before="60" w:after="60"/>
        <w:rPr>
          <w:b w:val="0"/>
          <w:noProof/>
          <w:sz w:val="16"/>
          <w:szCs w:val="16"/>
        </w:rPr>
      </w:pPr>
    </w:p>
    <w:p>
      <w:pPr>
        <w:pStyle w:val="Notes22"/>
        <w:tabs>
          <w:tab w:val="right" w:pos="-2700"/>
        </w:tabs>
        <w:spacing w:before="60" w:after="60"/>
        <w:ind w:left="0" w:firstLine="0"/>
        <w:rPr>
          <w:b w:val="0"/>
          <w:noProof/>
          <w:sz w:val="16"/>
          <w:szCs w:val="16"/>
        </w:rPr>
      </w:pPr>
      <w:r>
        <w:rPr>
          <w:b w:val="0"/>
          <w:noProof/>
          <w:sz w:val="16"/>
          <w:szCs w:val="16"/>
        </w:rPr>
        <w:t xml:space="preserve">Techninės pagalbos, kurią įsipareigojama skirti, bendros nominaliosios išlaidos lentelėje „Neišvestinių priemonių finansinių įsipareigojimų terminas“ rodo visą pagal pasirašytas techninės pagalbos sutartis neišmokėtą dalį. Išmokėjimo grafikui būdingas didelis neapibrėžtumas. Išmokamų pinigų srautai, priskirti terminų intervalui „3 mėnesiai arba trumpesnis“, reiškia iki finansinių ataskaitų sudarymo dienos gautų neapmokėtų sąskaitų faktūrų sumą. </w:t>
      </w:r>
    </w:p>
    <w:p>
      <w:pPr>
        <w:pStyle w:val="Notes22"/>
        <w:tabs>
          <w:tab w:val="right" w:pos="-2700"/>
        </w:tabs>
        <w:spacing w:before="60" w:after="60"/>
        <w:ind w:left="0" w:firstLine="0"/>
        <w:rPr>
          <w:b w:val="0"/>
          <w:noProof/>
          <w:sz w:val="16"/>
          <w:szCs w:val="16"/>
        </w:rPr>
      </w:pPr>
    </w:p>
    <w:p>
      <w:pPr>
        <w:pStyle w:val="Notes22"/>
        <w:tabs>
          <w:tab w:val="right" w:pos="-2700"/>
        </w:tabs>
        <w:spacing w:before="60" w:after="60"/>
        <w:ind w:left="0" w:firstLine="0"/>
        <w:rPr>
          <w:b w:val="0"/>
          <w:noProof/>
          <w:sz w:val="16"/>
          <w:szCs w:val="16"/>
        </w:rPr>
      </w:pPr>
      <w:r>
        <w:rPr>
          <w:b w:val="0"/>
          <w:noProof/>
          <w:sz w:val="16"/>
          <w:szCs w:val="16"/>
        </w:rPr>
        <w:t>Neišvestinių priemonių finansiniai įsipareigojimai, kuriems sutartimi nenustatyta konkreti išpirkimo data, priskiriami kategorijai „Išpirkimo data neapibrėžta“. Įsipareigojimai, dėl kurių finansinių ataskaitų sudarymo dieną yra užregistruotas išmokos reikalavimas, priskiriami atitinkamam terminų intervalui.</w:t>
      </w:r>
    </w:p>
    <w:p>
      <w:pPr>
        <w:pStyle w:val="Notes22"/>
        <w:tabs>
          <w:tab w:val="right" w:pos="-2700"/>
        </w:tabs>
        <w:spacing w:before="60" w:after="60"/>
        <w:ind w:left="0" w:firstLine="0"/>
        <w:rPr>
          <w:b w:val="0"/>
          <w:noProof/>
          <w:sz w:val="16"/>
          <w:szCs w:val="16"/>
        </w:rPr>
      </w:pPr>
    </w:p>
    <w:p>
      <w:pPr>
        <w:rPr>
          <w:rFonts w:ascii="Arial" w:hAnsi="Arial"/>
          <w:noProof/>
          <w:sz w:val="16"/>
          <w:szCs w:val="16"/>
        </w:rPr>
      </w:pPr>
      <w:r>
        <w:rPr>
          <w:noProof/>
        </w:rPr>
        <w:br w:type="page"/>
      </w:r>
    </w:p>
    <w:p>
      <w:pPr>
        <w:pStyle w:val="Notes22"/>
        <w:tabs>
          <w:tab w:val="clear" w:pos="4320"/>
          <w:tab w:val="clear" w:pos="8640"/>
          <w:tab w:val="right" w:pos="-2700"/>
        </w:tabs>
        <w:spacing w:before="60" w:after="60"/>
        <w:ind w:left="0" w:firstLine="0"/>
        <w:rPr>
          <w:b w:val="0"/>
          <w:noProof/>
          <w:sz w:val="16"/>
          <w:szCs w:val="16"/>
        </w:rPr>
      </w:pPr>
      <w:r>
        <w:rPr>
          <w:b w:val="0"/>
          <w:noProof/>
          <w:sz w:val="16"/>
          <w:szCs w:val="16"/>
        </w:rPr>
        <w:t xml:space="preserve">Išvestinių finansinių priemonių finansinių įsipareigojimų terminas rodo apsikeitimo sandorių, įskaitant skirtingų valiutų apsikeitimo sandorius (angl CCS – </w:t>
      </w:r>
      <w:r>
        <w:rPr>
          <w:b w:val="0"/>
          <w:i/>
          <w:iCs/>
          <w:noProof/>
          <w:sz w:val="16"/>
          <w:szCs w:val="16"/>
        </w:rPr>
        <w:t>cross currency swaps</w:t>
      </w:r>
      <w:r>
        <w:rPr>
          <w:b w:val="0"/>
          <w:noProof/>
          <w:sz w:val="16"/>
          <w:szCs w:val="16"/>
        </w:rPr>
        <w:t xml:space="preserve">), skirtingų valiutų palūkanų normų apsikeitimo sandorius (angl. CCIRS – </w:t>
      </w:r>
      <w:r>
        <w:rPr>
          <w:b w:val="0"/>
          <w:i/>
          <w:iCs/>
          <w:noProof/>
          <w:sz w:val="16"/>
          <w:szCs w:val="16"/>
        </w:rPr>
        <w:t>cross currency interest rate swaps</w:t>
      </w:r>
      <w:r>
        <w:rPr>
          <w:b w:val="0"/>
          <w:noProof/>
          <w:sz w:val="16"/>
          <w:szCs w:val="16"/>
        </w:rPr>
        <w:t>), trumpalaikius valiutų apsikeitimo sandorius ir palūkanų normų apsikeitimo sandorius, sutartinius nediskontuotus bendruosius pinigų srautus.</w:t>
      </w:r>
    </w:p>
    <w:p>
      <w:pPr>
        <w:pStyle w:val="Notes22"/>
        <w:tabs>
          <w:tab w:val="clear" w:pos="4320"/>
          <w:tab w:val="clear" w:pos="8640"/>
          <w:tab w:val="right" w:pos="-2700"/>
        </w:tabs>
        <w:spacing w:before="60" w:after="60"/>
        <w:ind w:left="0" w:firstLine="0"/>
        <w:rPr>
          <w:b w:val="0"/>
          <w:noProof/>
          <w:sz w:val="16"/>
          <w:szCs w:val="16"/>
        </w:rPr>
      </w:pPr>
      <w:r>
        <w:rPr>
          <w:noProof/>
        </w:rPr>
        <w:t xml:space="preserve"> </w:t>
      </w:r>
    </w:p>
    <w:tbl>
      <w:tblPr>
        <w:tblStyle w:val="CDMRange27"/>
        <w:tblW w:w="10230" w:type="dxa"/>
        <w:tblLayout w:type="fixed"/>
        <w:tblLook w:val="0600" w:firstRow="0" w:lastRow="0" w:firstColumn="0" w:lastColumn="0" w:noHBand="1" w:noVBand="1"/>
      </w:tblPr>
      <w:tblGrid>
        <w:gridCol w:w="4635"/>
        <w:gridCol w:w="960"/>
        <w:gridCol w:w="682"/>
        <w:gridCol w:w="851"/>
        <w:gridCol w:w="709"/>
        <w:gridCol w:w="1134"/>
        <w:gridCol w:w="1259"/>
      </w:tblGrid>
      <w:tr>
        <w:trPr>
          <w:trHeight w:val="57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b/>
                <w:noProof/>
                <w:color w:val="000000"/>
                <w:sz w:val="16"/>
              </w:rPr>
            </w:pPr>
            <w:r>
              <w:rPr>
                <w:rFonts w:ascii="Arial" w:hAnsi="Arial"/>
                <w:b/>
                <w:noProof/>
                <w:color w:val="000000"/>
                <w:sz w:val="16"/>
              </w:rPr>
              <w:t>Neišvestinių priemonių finansinių įsipareigojimų terminas</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 xml:space="preserve"> 3 mėnesiai arba trumpesnis</w:t>
            </w:r>
          </w:p>
        </w:tc>
        <w:tc>
          <w:tcPr>
            <w:tcW w:w="682"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Ilgesnis kaip 3 mėn.–1 metai</w:t>
            </w:r>
          </w:p>
        </w:tc>
        <w:tc>
          <w:tcPr>
            <w:tcW w:w="851"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Ilgesnis kaip 1 metai–5 metai</w:t>
            </w:r>
          </w:p>
        </w:tc>
        <w:tc>
          <w:tcPr>
            <w:tcW w:w="709"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Ilgesnis kaip 5 metai</w:t>
            </w:r>
          </w:p>
        </w:tc>
        <w:tc>
          <w:tcPr>
            <w:tcW w:w="1134"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Neapibrėžtas terminas</w:t>
            </w:r>
          </w:p>
        </w:tc>
        <w:tc>
          <w:tcPr>
            <w:tcW w:w="1259"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Bendros nominaliosios išlaidos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08"/>
              <w:rPr>
                <w:rFonts w:ascii="Arial" w:eastAsia="Arial" w:hAnsi="Arial" w:cs="Arial"/>
                <w:b/>
                <w:noProof/>
                <w:color w:val="000000"/>
                <w:sz w:val="16"/>
              </w:rPr>
            </w:pPr>
            <w:r>
              <w:rPr>
                <w:rFonts w:ascii="Arial" w:hAnsi="Arial"/>
                <w:b/>
                <w:noProof/>
                <w:color w:val="000000"/>
                <w:sz w:val="16"/>
              </w:rPr>
              <w:t>tūkst. EUR, 2019 12 31</w:t>
            </w:r>
          </w:p>
        </w:tc>
        <w:tc>
          <w:tcPr>
            <w:tcW w:w="9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682"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851"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709"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1134"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1259"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hAnsi="Arial"/>
                <w:noProof/>
                <w:color w:val="000000"/>
                <w:sz w:val="16"/>
              </w:rPr>
              <w:t>Paskolų, kurias įsipareigojama skirti, bet kurios neišmokėtos, išlaidos</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33 038</w:t>
            </w:r>
          </w:p>
        </w:tc>
        <w:tc>
          <w:tcPr>
            <w:tcW w:w="682"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851"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709"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1134"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1 324 282</w:t>
            </w:r>
          </w:p>
        </w:tc>
        <w:tc>
          <w:tcPr>
            <w:tcW w:w="1259"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1 357 320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hAnsi="Arial"/>
                <w:noProof/>
                <w:color w:val="000000"/>
                <w:sz w:val="16"/>
              </w:rPr>
              <w:t>Investicinių lėšų, kurias įsipareigojama skirti, ir pasirašytų akcijų išlaidos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369</w:t>
            </w:r>
          </w:p>
        </w:tc>
        <w:tc>
          <w:tcPr>
            <w:tcW w:w="682"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851"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709"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1134"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405 551</w:t>
            </w:r>
          </w:p>
        </w:tc>
        <w:tc>
          <w:tcPr>
            <w:tcW w:w="1259"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405 920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hAnsi="Arial"/>
                <w:noProof/>
                <w:color w:val="000000"/>
                <w:sz w:val="16"/>
              </w:rPr>
              <w:t>Kita (pasirašytos, bet neišduotos garantijos, išduotos garantijos)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682"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851"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709"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1134"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1 559 831</w:t>
            </w:r>
          </w:p>
        </w:tc>
        <w:tc>
          <w:tcPr>
            <w:tcW w:w="1259"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1 559 831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hAnsi="Arial"/>
                <w:noProof/>
                <w:color w:val="000000"/>
                <w:sz w:val="16"/>
              </w:rPr>
              <w:t>Palūkanų subsidijų, kurias įsipareigojama skirti, išlaidos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682"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851"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709"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1134"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350 678</w:t>
            </w:r>
          </w:p>
        </w:tc>
        <w:tc>
          <w:tcPr>
            <w:tcW w:w="1259"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350 678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hAnsi="Arial"/>
                <w:noProof/>
                <w:color w:val="000000"/>
                <w:sz w:val="16"/>
              </w:rPr>
              <w:t xml:space="preserve">Techninės pagalbos, kurią įsipareigojama skirti, išlaidos </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3 898</w:t>
            </w:r>
          </w:p>
        </w:tc>
        <w:tc>
          <w:tcPr>
            <w:tcW w:w="682"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851"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709"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1134"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21 166</w:t>
            </w:r>
          </w:p>
        </w:tc>
        <w:tc>
          <w:tcPr>
            <w:tcW w:w="1259"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25 064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FFFFFF" w:fill="C0C0C0"/>
            <w:tcMar>
              <w:left w:w="40" w:type="dxa"/>
              <w:right w:w="40" w:type="dxa"/>
            </w:tcMar>
            <w:vAlign w:val="center"/>
          </w:tcPr>
          <w:p>
            <w:pPr>
              <w:pStyle w:val="Normal108"/>
              <w:rPr>
                <w:rFonts w:ascii="Arial" w:eastAsia="Arial" w:hAnsi="Arial" w:cs="Arial"/>
                <w:b/>
                <w:noProof/>
                <w:color w:val="000000"/>
                <w:sz w:val="16"/>
              </w:rPr>
            </w:pPr>
            <w:r>
              <w:rPr>
                <w:rFonts w:ascii="Arial" w:hAnsi="Arial"/>
                <w:b/>
                <w:noProof/>
                <w:color w:val="000000"/>
                <w:sz w:val="16"/>
              </w:rPr>
              <w:t xml:space="preserve">Iš viso </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37 305</w:t>
            </w:r>
          </w:p>
        </w:tc>
        <w:tc>
          <w:tcPr>
            <w:tcW w:w="682"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w:t>
            </w:r>
          </w:p>
        </w:tc>
        <w:tc>
          <w:tcPr>
            <w:tcW w:w="851"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w:t>
            </w:r>
          </w:p>
        </w:tc>
        <w:tc>
          <w:tcPr>
            <w:tcW w:w="709"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w:t>
            </w:r>
          </w:p>
        </w:tc>
        <w:tc>
          <w:tcPr>
            <w:tcW w:w="1134"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3 661 508</w:t>
            </w:r>
          </w:p>
        </w:tc>
        <w:tc>
          <w:tcPr>
            <w:tcW w:w="1259"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3 698 813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single" w:sz="4" w:space="0" w:color="000000"/>
              <w:right w:val="nil"/>
              <w:tl2br w:val="nil"/>
              <w:tr2bl w:val="nil"/>
            </w:tcBorders>
            <w:shd w:val="clear" w:color="auto" w:fill="auto"/>
            <w:tcMar>
              <w:left w:w="0" w:type="dxa"/>
              <w:right w:w="0" w:type="dxa"/>
            </w:tcMar>
            <w:vAlign w:val="bottom"/>
          </w:tcPr>
          <w:p>
            <w:pPr>
              <w:pStyle w:val="Normal108"/>
              <w:rPr>
                <w:rFonts w:ascii="Arial" w:eastAsia="Arial" w:hAnsi="Arial" w:cs="Arial"/>
                <w:noProof/>
                <w:color w:val="000000"/>
                <w:sz w:val="20"/>
              </w:rPr>
            </w:pPr>
          </w:p>
        </w:tc>
        <w:tc>
          <w:tcPr>
            <w:tcW w:w="96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8"/>
              <w:rPr>
                <w:rFonts w:ascii="Arial" w:eastAsia="Arial" w:hAnsi="Arial" w:cs="Arial"/>
                <w:noProof/>
                <w:color w:val="000000"/>
                <w:sz w:val="20"/>
              </w:rPr>
            </w:pPr>
          </w:p>
        </w:tc>
        <w:tc>
          <w:tcPr>
            <w:tcW w:w="682"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8"/>
              <w:rPr>
                <w:rFonts w:ascii="Arial" w:eastAsia="Arial" w:hAnsi="Arial" w:cs="Arial"/>
                <w:noProof/>
                <w:color w:val="000000"/>
                <w:sz w:val="20"/>
              </w:rPr>
            </w:pPr>
          </w:p>
        </w:tc>
        <w:tc>
          <w:tcPr>
            <w:tcW w:w="851"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8"/>
              <w:rPr>
                <w:rFonts w:ascii="Arial" w:eastAsia="Arial" w:hAnsi="Arial" w:cs="Arial"/>
                <w:noProof/>
                <w:color w:val="000000"/>
                <w:sz w:val="20"/>
              </w:rPr>
            </w:pPr>
          </w:p>
        </w:tc>
        <w:tc>
          <w:tcPr>
            <w:tcW w:w="709"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8"/>
              <w:rPr>
                <w:rFonts w:ascii="Arial" w:eastAsia="Arial" w:hAnsi="Arial" w:cs="Arial"/>
                <w:noProof/>
                <w:color w:val="000000"/>
                <w:sz w:val="20"/>
              </w:rPr>
            </w:pPr>
          </w:p>
        </w:tc>
        <w:tc>
          <w:tcPr>
            <w:tcW w:w="1134"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8"/>
              <w:rPr>
                <w:rFonts w:ascii="Arial" w:eastAsia="Arial" w:hAnsi="Arial" w:cs="Arial"/>
                <w:noProof/>
                <w:color w:val="000000"/>
                <w:sz w:val="20"/>
              </w:rPr>
            </w:pPr>
          </w:p>
        </w:tc>
        <w:tc>
          <w:tcPr>
            <w:tcW w:w="1259"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8"/>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b/>
                <w:noProof/>
                <w:color w:val="000000"/>
                <w:sz w:val="16"/>
              </w:rPr>
            </w:pPr>
            <w:r>
              <w:rPr>
                <w:rFonts w:ascii="Arial" w:hAnsi="Arial"/>
                <w:b/>
                <w:noProof/>
                <w:color w:val="000000"/>
                <w:sz w:val="16"/>
              </w:rPr>
              <w:t>Neišvestinių priemonių finansinių įsipareigojimų terminas</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 xml:space="preserve"> 3 mėnesiai arba trumpesnis</w:t>
            </w:r>
          </w:p>
        </w:tc>
        <w:tc>
          <w:tcPr>
            <w:tcW w:w="682"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Ilgesnis kaip 3 mėn.–1 metai</w:t>
            </w:r>
          </w:p>
        </w:tc>
        <w:tc>
          <w:tcPr>
            <w:tcW w:w="851"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Ilgesnis kaip 1 metai–5 metai</w:t>
            </w:r>
          </w:p>
        </w:tc>
        <w:tc>
          <w:tcPr>
            <w:tcW w:w="709"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Ilgesnis kaip 5 metai</w:t>
            </w:r>
          </w:p>
        </w:tc>
        <w:tc>
          <w:tcPr>
            <w:tcW w:w="1134"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Neapibrėžtas terminas</w:t>
            </w:r>
          </w:p>
        </w:tc>
        <w:tc>
          <w:tcPr>
            <w:tcW w:w="1259"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Bendros nominaliosios išlaidos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463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08"/>
              <w:rPr>
                <w:rFonts w:ascii="Arial" w:eastAsia="Arial" w:hAnsi="Arial" w:cs="Arial"/>
                <w:b/>
                <w:noProof/>
                <w:color w:val="000000"/>
                <w:sz w:val="16"/>
              </w:rPr>
            </w:pPr>
            <w:r>
              <w:rPr>
                <w:rFonts w:ascii="Arial" w:hAnsi="Arial"/>
                <w:b/>
                <w:noProof/>
                <w:color w:val="000000"/>
                <w:sz w:val="16"/>
              </w:rPr>
              <w:t>tūkst. EUR, 2018 12 31</w:t>
            </w:r>
          </w:p>
        </w:tc>
        <w:tc>
          <w:tcPr>
            <w:tcW w:w="9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682"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851"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709"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1134"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1259"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hAnsi="Arial"/>
                <w:noProof/>
                <w:color w:val="000000"/>
                <w:sz w:val="16"/>
              </w:rPr>
              <w:t>Paskolų, kurias įsipareigojama skirti, bet kurios neišmokėtos, išlaidos</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7 854</w:t>
            </w:r>
          </w:p>
        </w:tc>
        <w:tc>
          <w:tcPr>
            <w:tcW w:w="682"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851"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709"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1134"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1 276 078</w:t>
            </w:r>
          </w:p>
        </w:tc>
        <w:tc>
          <w:tcPr>
            <w:tcW w:w="1259"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1 283 932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hAnsi="Arial"/>
                <w:noProof/>
                <w:color w:val="000000"/>
                <w:sz w:val="16"/>
              </w:rPr>
              <w:t>Investicinių lėšų, kurias įsipareigojama skirti, ir pasirašytų akcijų išlaidos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2 023</w:t>
            </w:r>
          </w:p>
        </w:tc>
        <w:tc>
          <w:tcPr>
            <w:tcW w:w="682"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851"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709"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1134"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345 144</w:t>
            </w:r>
          </w:p>
        </w:tc>
        <w:tc>
          <w:tcPr>
            <w:tcW w:w="1259"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347 167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hAnsi="Arial"/>
                <w:noProof/>
                <w:color w:val="000000"/>
                <w:sz w:val="16"/>
              </w:rPr>
              <w:t>Kita (pasirašytos, bet neišduotos garantijos, išduotos garantijos)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682"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851"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709"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1134"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1 556 468</w:t>
            </w:r>
          </w:p>
        </w:tc>
        <w:tc>
          <w:tcPr>
            <w:tcW w:w="1259"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1 556 468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hAnsi="Arial"/>
                <w:noProof/>
                <w:color w:val="000000"/>
                <w:sz w:val="16"/>
              </w:rPr>
              <w:t>Palūkanų subsidijų, kurias įsipareigojama skirti, išlaidos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682"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851"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709"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1134"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360 655</w:t>
            </w:r>
          </w:p>
        </w:tc>
        <w:tc>
          <w:tcPr>
            <w:tcW w:w="1259"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360 655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hAnsi="Arial"/>
                <w:noProof/>
                <w:color w:val="000000"/>
                <w:sz w:val="16"/>
              </w:rPr>
              <w:t xml:space="preserve">Techninės pagalbos, kurią įsipareigojama skirti, išlaidos </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2 373</w:t>
            </w:r>
          </w:p>
        </w:tc>
        <w:tc>
          <w:tcPr>
            <w:tcW w:w="682"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851"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709"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1134"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24 082</w:t>
            </w:r>
          </w:p>
        </w:tc>
        <w:tc>
          <w:tcPr>
            <w:tcW w:w="1259"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26 455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FFFFFF" w:fill="C0C0C0"/>
            <w:tcMar>
              <w:left w:w="40" w:type="dxa"/>
              <w:right w:w="40" w:type="dxa"/>
            </w:tcMar>
            <w:vAlign w:val="center"/>
          </w:tcPr>
          <w:p>
            <w:pPr>
              <w:pStyle w:val="Normal108"/>
              <w:rPr>
                <w:rFonts w:ascii="Arial" w:eastAsia="Arial" w:hAnsi="Arial" w:cs="Arial"/>
                <w:b/>
                <w:noProof/>
                <w:color w:val="000000"/>
                <w:sz w:val="16"/>
              </w:rPr>
            </w:pPr>
            <w:r>
              <w:rPr>
                <w:rFonts w:ascii="Arial" w:hAnsi="Arial"/>
                <w:b/>
                <w:noProof/>
                <w:color w:val="000000"/>
                <w:sz w:val="16"/>
              </w:rPr>
              <w:t xml:space="preserve">Iš viso </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12 250</w:t>
            </w:r>
          </w:p>
        </w:tc>
        <w:tc>
          <w:tcPr>
            <w:tcW w:w="682"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w:t>
            </w:r>
          </w:p>
        </w:tc>
        <w:tc>
          <w:tcPr>
            <w:tcW w:w="851"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w:t>
            </w:r>
          </w:p>
        </w:tc>
        <w:tc>
          <w:tcPr>
            <w:tcW w:w="709"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w:t>
            </w:r>
          </w:p>
        </w:tc>
        <w:tc>
          <w:tcPr>
            <w:tcW w:w="1134"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3 562 427</w:t>
            </w:r>
          </w:p>
        </w:tc>
        <w:tc>
          <w:tcPr>
            <w:tcW w:w="1259"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3 574 677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auto" w:fill="auto"/>
            <w:tcMar>
              <w:left w:w="0" w:type="dxa"/>
              <w:right w:w="0" w:type="dxa"/>
            </w:tcMar>
            <w:vAlign w:val="center"/>
          </w:tcPr>
          <w:p>
            <w:pPr>
              <w:pStyle w:val="Normal108"/>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682"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851"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709"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1134"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1259"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auto" w:fill="auto"/>
            <w:tcMar>
              <w:left w:w="0" w:type="dxa"/>
              <w:right w:w="0" w:type="dxa"/>
            </w:tcMar>
            <w:vAlign w:val="center"/>
          </w:tcPr>
          <w:p>
            <w:pPr>
              <w:pStyle w:val="Normal108"/>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682"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851"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709"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1134"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1259"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r>
    </w:tbl>
    <w:tbl>
      <w:tblPr>
        <w:tblStyle w:val="CDMRange18"/>
        <w:tblW w:w="10230" w:type="dxa"/>
        <w:tblLayout w:type="fixed"/>
        <w:tblLook w:val="0600" w:firstRow="0" w:lastRow="0" w:firstColumn="0" w:lastColumn="0" w:noHBand="1" w:noVBand="1"/>
      </w:tblPr>
      <w:tblGrid>
        <w:gridCol w:w="4635"/>
        <w:gridCol w:w="1140"/>
        <w:gridCol w:w="1095"/>
        <w:gridCol w:w="1080"/>
        <w:gridCol w:w="1110"/>
        <w:gridCol w:w="1170"/>
      </w:tblGrid>
      <w:tr>
        <w:trPr>
          <w:trHeight w:val="573"/>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b/>
                <w:noProof/>
                <w:color w:val="000000"/>
                <w:sz w:val="16"/>
              </w:rPr>
            </w:pPr>
            <w:r>
              <w:rPr>
                <w:rFonts w:ascii="Arial" w:hAnsi="Arial"/>
                <w:b/>
                <w:noProof/>
                <w:color w:val="000000"/>
                <w:sz w:val="16"/>
              </w:rPr>
              <w:t>Išvestinių priemonių finansinių įsipareigojimų terminas</w:t>
            </w:r>
          </w:p>
        </w:tc>
        <w:tc>
          <w:tcPr>
            <w:tcW w:w="114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 xml:space="preserve"> 3 mėnesiai</w:t>
            </w:r>
          </w:p>
          <w:p>
            <w:pPr>
              <w:pStyle w:val="Normal109"/>
              <w:jc w:val="right"/>
              <w:rPr>
                <w:rFonts w:ascii="Arial" w:eastAsia="Arial" w:hAnsi="Arial" w:cs="Arial"/>
                <w:b/>
                <w:noProof/>
                <w:color w:val="000000"/>
                <w:sz w:val="16"/>
              </w:rPr>
            </w:pPr>
            <w:r>
              <w:rPr>
                <w:rFonts w:ascii="Arial" w:hAnsi="Arial"/>
                <w:b/>
                <w:noProof/>
                <w:color w:val="000000"/>
                <w:sz w:val="16"/>
              </w:rPr>
              <w:t>arba trumpesnis</w:t>
            </w:r>
          </w:p>
        </w:tc>
        <w:tc>
          <w:tcPr>
            <w:tcW w:w="109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 xml:space="preserve">Ilgesnis kaip </w:t>
            </w:r>
            <w:r>
              <w:rPr>
                <w:rFonts w:ascii="Arial" w:hAnsi="Arial"/>
                <w:b/>
                <w:noProof/>
                <w:color w:val="000000"/>
                <w:sz w:val="16"/>
              </w:rPr>
              <w:br/>
              <w:t>3 mėnesiai</w:t>
            </w:r>
          </w:p>
          <w:p>
            <w:pPr>
              <w:pStyle w:val="Normal109"/>
              <w:jc w:val="right"/>
              <w:rPr>
                <w:rFonts w:ascii="Arial" w:eastAsia="Arial" w:hAnsi="Arial" w:cs="Arial"/>
                <w:b/>
                <w:noProof/>
                <w:color w:val="000000"/>
                <w:sz w:val="16"/>
              </w:rPr>
            </w:pPr>
            <w:r>
              <w:rPr>
                <w:rFonts w:ascii="Arial" w:hAnsi="Arial"/>
                <w:b/>
                <w:noProof/>
                <w:color w:val="000000"/>
                <w:sz w:val="16"/>
              </w:rPr>
              <w:t>iki 1 metų</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Ilgesnis kaip</w:t>
            </w:r>
          </w:p>
          <w:p>
            <w:pPr>
              <w:pStyle w:val="Normal109"/>
              <w:jc w:val="right"/>
              <w:rPr>
                <w:rFonts w:ascii="Arial" w:eastAsia="Arial" w:hAnsi="Arial" w:cs="Arial"/>
                <w:b/>
                <w:noProof/>
                <w:color w:val="000000"/>
                <w:sz w:val="16"/>
              </w:rPr>
            </w:pPr>
            <w:r>
              <w:rPr>
                <w:rFonts w:ascii="Arial" w:hAnsi="Arial"/>
                <w:b/>
                <w:noProof/>
                <w:color w:val="000000"/>
                <w:sz w:val="16"/>
              </w:rPr>
              <w:t>1 metai–5 metai</w:t>
            </w:r>
          </w:p>
        </w:tc>
        <w:tc>
          <w:tcPr>
            <w:tcW w:w="111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Ilgesnis kaip</w:t>
            </w:r>
          </w:p>
          <w:p>
            <w:pPr>
              <w:pStyle w:val="Normal109"/>
              <w:jc w:val="right"/>
              <w:rPr>
                <w:rFonts w:ascii="Arial" w:eastAsia="Arial" w:hAnsi="Arial" w:cs="Arial"/>
                <w:b/>
                <w:noProof/>
                <w:color w:val="000000"/>
                <w:sz w:val="16"/>
              </w:rPr>
            </w:pPr>
            <w:r>
              <w:rPr>
                <w:rFonts w:ascii="Arial" w:hAnsi="Arial"/>
                <w:b/>
                <w:noProof/>
                <w:color w:val="000000"/>
                <w:sz w:val="16"/>
              </w:rPr>
              <w:t>5 metai</w:t>
            </w:r>
          </w:p>
        </w:tc>
        <w:tc>
          <w:tcPr>
            <w:tcW w:w="117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Bendros nominaliosios įplaukos / išlaidos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09"/>
              <w:rPr>
                <w:rFonts w:ascii="Arial" w:eastAsia="Arial" w:hAnsi="Arial" w:cs="Arial"/>
                <w:b/>
                <w:noProof/>
                <w:color w:val="000000"/>
                <w:sz w:val="16"/>
              </w:rPr>
            </w:pPr>
            <w:r>
              <w:rPr>
                <w:rFonts w:ascii="Arial" w:hAnsi="Arial"/>
                <w:b/>
                <w:noProof/>
                <w:color w:val="000000"/>
                <w:sz w:val="16"/>
              </w:rPr>
              <w:t>tūkst. EUR, 2019 12 31</w:t>
            </w:r>
          </w:p>
        </w:tc>
        <w:tc>
          <w:tcPr>
            <w:tcW w:w="114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c>
          <w:tcPr>
            <w:tcW w:w="1095"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c>
          <w:tcPr>
            <w:tcW w:w="108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c>
          <w:tcPr>
            <w:tcW w:w="111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c>
          <w:tcPr>
            <w:tcW w:w="117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hAnsi="Arial"/>
                <w:noProof/>
                <w:color w:val="000000"/>
                <w:sz w:val="16"/>
              </w:rPr>
              <w:t>CCS ir CCIRS. Įplaukos</w:t>
            </w:r>
          </w:p>
        </w:tc>
        <w:tc>
          <w:tcPr>
            <w:tcW w:w="114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09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1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7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hAnsi="Arial"/>
                <w:noProof/>
                <w:color w:val="000000"/>
                <w:sz w:val="16"/>
              </w:rPr>
              <w:t>CCS ir CCIRS. Išlaidos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hAnsi="Arial"/>
                <w:noProof/>
                <w:color w:val="000000"/>
                <w:sz w:val="16"/>
              </w:rPr>
              <w:t>Trumpalaikiai valiutos apsikeitimo sandoriai. Įplaukos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1 545 000</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1 545 000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hAnsi="Arial"/>
                <w:noProof/>
                <w:color w:val="000000"/>
                <w:sz w:val="16"/>
              </w:rPr>
              <w:t>Trumpalaikiai valiutos apsikeitimo sandoriai. Išlaidos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−1 535 571</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−1 535 571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hAnsi="Arial"/>
                <w:noProof/>
                <w:color w:val="000000"/>
                <w:sz w:val="16"/>
              </w:rPr>
              <w:t>Palūkanų normų apsikeitimo sandoriai. Įplaukos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310</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820</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2 045</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3 175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hAnsi="Arial"/>
                <w:noProof/>
                <w:color w:val="000000"/>
                <w:sz w:val="16"/>
              </w:rPr>
              <w:t>Palūkanų normų apsikeitimo sandoriai. Išlaidos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−1 128</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−2 138</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−3 266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pPr>
              <w:pStyle w:val="Normal109"/>
              <w:rPr>
                <w:rFonts w:ascii="Arial" w:eastAsia="Arial" w:hAnsi="Arial" w:cs="Arial"/>
                <w:b/>
                <w:noProof/>
                <w:color w:val="000000"/>
                <w:sz w:val="16"/>
              </w:rPr>
            </w:pPr>
            <w:r>
              <w:rPr>
                <w:rFonts w:ascii="Arial" w:hAnsi="Arial"/>
                <w:b/>
                <w:noProof/>
                <w:color w:val="000000"/>
                <w:sz w:val="16"/>
              </w:rPr>
              <w:t xml:space="preserve">Iš viso </w:t>
            </w:r>
          </w:p>
        </w:tc>
        <w:tc>
          <w:tcPr>
            <w:tcW w:w="1140"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9 739</w:t>
            </w:r>
          </w:p>
        </w:tc>
        <w:tc>
          <w:tcPr>
            <w:tcW w:w="1095"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−308</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−93</w:t>
            </w:r>
          </w:p>
        </w:tc>
        <w:tc>
          <w:tcPr>
            <w:tcW w:w="1110"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w:t>
            </w:r>
          </w:p>
        </w:tc>
        <w:tc>
          <w:tcPr>
            <w:tcW w:w="1170"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9 338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4635"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rPr>
                <w:noProof/>
                <w:color w:val="000000"/>
                <w:sz w:val="20"/>
              </w:rPr>
            </w:pPr>
          </w:p>
        </w:tc>
        <w:tc>
          <w:tcPr>
            <w:tcW w:w="114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rPr>
                <w:noProof/>
                <w:color w:val="000000"/>
                <w:sz w:val="20"/>
              </w:rPr>
            </w:pPr>
          </w:p>
        </w:tc>
        <w:tc>
          <w:tcPr>
            <w:tcW w:w="1095"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rPr>
                <w:noProof/>
                <w:color w:val="000000"/>
                <w:sz w:val="20"/>
              </w:rPr>
            </w:pPr>
          </w:p>
        </w:tc>
        <w:tc>
          <w:tcPr>
            <w:tcW w:w="108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rPr>
                <w:noProof/>
                <w:color w:val="000000"/>
                <w:sz w:val="20"/>
              </w:rPr>
            </w:pPr>
          </w:p>
        </w:tc>
        <w:tc>
          <w:tcPr>
            <w:tcW w:w="111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rPr>
                <w:noProof/>
                <w:color w:val="000000"/>
                <w:sz w:val="20"/>
              </w:rPr>
            </w:pPr>
          </w:p>
        </w:tc>
        <w:tc>
          <w:tcPr>
            <w:tcW w:w="117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b/>
                <w:noProof/>
                <w:color w:val="000000"/>
                <w:sz w:val="16"/>
              </w:rPr>
            </w:pPr>
            <w:r>
              <w:rPr>
                <w:rFonts w:ascii="Arial" w:hAnsi="Arial"/>
                <w:b/>
                <w:noProof/>
                <w:color w:val="000000"/>
                <w:sz w:val="16"/>
              </w:rPr>
              <w:t>Išvestinių priemonių finansinių įsipareigojimų terminas</w:t>
            </w:r>
          </w:p>
        </w:tc>
        <w:tc>
          <w:tcPr>
            <w:tcW w:w="114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 xml:space="preserve"> 3 mėnesiai</w:t>
            </w:r>
          </w:p>
          <w:p>
            <w:pPr>
              <w:pStyle w:val="Normal109"/>
              <w:jc w:val="right"/>
              <w:rPr>
                <w:rFonts w:ascii="Arial" w:eastAsia="Arial" w:hAnsi="Arial" w:cs="Arial"/>
                <w:b/>
                <w:noProof/>
                <w:color w:val="000000"/>
                <w:sz w:val="16"/>
              </w:rPr>
            </w:pPr>
            <w:r>
              <w:rPr>
                <w:rFonts w:ascii="Arial" w:hAnsi="Arial"/>
                <w:b/>
                <w:noProof/>
                <w:color w:val="000000"/>
                <w:sz w:val="16"/>
              </w:rPr>
              <w:t>arba trumpesnis</w:t>
            </w:r>
          </w:p>
        </w:tc>
        <w:tc>
          <w:tcPr>
            <w:tcW w:w="109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Ilgesnis kaip</w:t>
            </w:r>
          </w:p>
          <w:p>
            <w:pPr>
              <w:pStyle w:val="Normal109"/>
              <w:jc w:val="right"/>
              <w:rPr>
                <w:rFonts w:ascii="Arial" w:eastAsia="Arial" w:hAnsi="Arial" w:cs="Arial"/>
                <w:b/>
                <w:noProof/>
                <w:color w:val="000000"/>
                <w:sz w:val="16"/>
              </w:rPr>
            </w:pPr>
            <w:r>
              <w:rPr>
                <w:rFonts w:ascii="Arial" w:hAnsi="Arial"/>
                <w:b/>
                <w:noProof/>
                <w:color w:val="000000"/>
                <w:sz w:val="16"/>
              </w:rPr>
              <w:t>3 mėnesiai –</w:t>
            </w:r>
          </w:p>
          <w:p>
            <w:pPr>
              <w:pStyle w:val="Normal109"/>
              <w:jc w:val="right"/>
              <w:rPr>
                <w:rFonts w:ascii="Arial" w:eastAsia="Arial" w:hAnsi="Arial" w:cs="Arial"/>
                <w:b/>
                <w:noProof/>
                <w:color w:val="000000"/>
                <w:sz w:val="16"/>
              </w:rPr>
            </w:pPr>
            <w:r>
              <w:rPr>
                <w:rFonts w:ascii="Arial" w:hAnsi="Arial"/>
                <w:b/>
                <w:noProof/>
                <w:color w:val="000000"/>
                <w:sz w:val="16"/>
              </w:rPr>
              <w:t>1 metai</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Ilgesnis kaip</w:t>
            </w:r>
          </w:p>
          <w:p>
            <w:pPr>
              <w:pStyle w:val="Normal109"/>
              <w:jc w:val="right"/>
              <w:rPr>
                <w:rFonts w:ascii="Arial" w:eastAsia="Arial" w:hAnsi="Arial" w:cs="Arial"/>
                <w:b/>
                <w:noProof/>
                <w:color w:val="000000"/>
                <w:sz w:val="16"/>
              </w:rPr>
            </w:pPr>
            <w:r>
              <w:rPr>
                <w:rFonts w:ascii="Arial" w:hAnsi="Arial"/>
                <w:b/>
                <w:noProof/>
                <w:color w:val="000000"/>
                <w:sz w:val="16"/>
              </w:rPr>
              <w:t>1 metai–5 metai</w:t>
            </w:r>
          </w:p>
        </w:tc>
        <w:tc>
          <w:tcPr>
            <w:tcW w:w="111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Ilgesnis kaip</w:t>
            </w:r>
          </w:p>
          <w:p>
            <w:pPr>
              <w:pStyle w:val="Normal109"/>
              <w:jc w:val="right"/>
              <w:rPr>
                <w:rFonts w:ascii="Arial" w:eastAsia="Arial" w:hAnsi="Arial" w:cs="Arial"/>
                <w:b/>
                <w:noProof/>
                <w:color w:val="000000"/>
                <w:sz w:val="16"/>
              </w:rPr>
            </w:pPr>
            <w:r>
              <w:rPr>
                <w:rFonts w:ascii="Arial" w:hAnsi="Arial"/>
                <w:b/>
                <w:noProof/>
                <w:color w:val="000000"/>
                <w:sz w:val="16"/>
              </w:rPr>
              <w:t>5 metai</w:t>
            </w:r>
          </w:p>
        </w:tc>
        <w:tc>
          <w:tcPr>
            <w:tcW w:w="117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Bendros nominaliosios įplaukos / išlaidos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09"/>
              <w:rPr>
                <w:rFonts w:ascii="Arial" w:eastAsia="Arial" w:hAnsi="Arial" w:cs="Arial"/>
                <w:b/>
                <w:noProof/>
                <w:color w:val="000000"/>
                <w:sz w:val="16"/>
              </w:rPr>
            </w:pPr>
            <w:r>
              <w:rPr>
                <w:rFonts w:ascii="Arial" w:hAnsi="Arial"/>
                <w:b/>
                <w:noProof/>
                <w:color w:val="000000"/>
                <w:sz w:val="16"/>
              </w:rPr>
              <w:t>tūkst. EUR, 2018 12 31</w:t>
            </w:r>
          </w:p>
        </w:tc>
        <w:tc>
          <w:tcPr>
            <w:tcW w:w="114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c>
          <w:tcPr>
            <w:tcW w:w="1095"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c>
          <w:tcPr>
            <w:tcW w:w="108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c>
          <w:tcPr>
            <w:tcW w:w="111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c>
          <w:tcPr>
            <w:tcW w:w="117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hAnsi="Arial"/>
                <w:noProof/>
                <w:color w:val="000000"/>
                <w:sz w:val="16"/>
              </w:rPr>
              <w:t>CCS ir CCIRS. Įplaukos</w:t>
            </w:r>
          </w:p>
        </w:tc>
        <w:tc>
          <w:tcPr>
            <w:tcW w:w="114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5</w:t>
            </w:r>
          </w:p>
        </w:tc>
        <w:tc>
          <w:tcPr>
            <w:tcW w:w="109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3 281</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1 816</w:t>
            </w:r>
          </w:p>
        </w:tc>
        <w:tc>
          <w:tcPr>
            <w:tcW w:w="111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7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5 102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hAnsi="Arial"/>
                <w:noProof/>
                <w:color w:val="000000"/>
                <w:sz w:val="16"/>
              </w:rPr>
              <w:t>CCS ir CCIRS. Išlaidos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−4 081</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−1 770</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−5 851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hAnsi="Arial"/>
                <w:noProof/>
                <w:color w:val="000000"/>
                <w:sz w:val="16"/>
              </w:rPr>
              <w:t>Trumpalaikiai valiutos apsikeitimo sandoriai. Įplaukos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1 460 608</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1 460 608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hAnsi="Arial"/>
                <w:noProof/>
                <w:color w:val="000000"/>
                <w:sz w:val="16"/>
              </w:rPr>
              <w:t>Trumpalaikiai valiutos apsikeitimo sandoriai. Išlaidos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−1 465 498</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−1 465 498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hAnsi="Arial"/>
                <w:noProof/>
                <w:color w:val="000000"/>
                <w:sz w:val="16"/>
              </w:rPr>
              <w:t>Palūkanų normų apsikeitimo sandoriai. Įplaukos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397</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1 171</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3 473</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204</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5 245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hAnsi="Arial"/>
                <w:noProof/>
                <w:color w:val="000000"/>
                <w:sz w:val="16"/>
              </w:rPr>
              <w:t>Palūkanų normų apsikeitimo sandoriai. Išlaidos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−1 340</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−3 030</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−175</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−4 545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FFFFFF" w:fill="C0C0C0"/>
            <w:tcMar>
              <w:left w:w="40" w:type="dxa"/>
              <w:right w:w="40" w:type="dxa"/>
            </w:tcMar>
            <w:vAlign w:val="center"/>
          </w:tcPr>
          <w:p>
            <w:pPr>
              <w:pStyle w:val="Normal109"/>
              <w:rPr>
                <w:rFonts w:ascii="Arial" w:eastAsia="Arial" w:hAnsi="Arial" w:cs="Arial"/>
                <w:b/>
                <w:noProof/>
                <w:color w:val="000000"/>
                <w:sz w:val="16"/>
              </w:rPr>
            </w:pPr>
            <w:r>
              <w:rPr>
                <w:rFonts w:ascii="Arial" w:hAnsi="Arial"/>
                <w:b/>
                <w:noProof/>
                <w:color w:val="000000"/>
                <w:sz w:val="16"/>
              </w:rPr>
              <w:t xml:space="preserve">Iš viso </w:t>
            </w:r>
          </w:p>
        </w:tc>
        <w:tc>
          <w:tcPr>
            <w:tcW w:w="1140"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−4 488</w:t>
            </w:r>
          </w:p>
        </w:tc>
        <w:tc>
          <w:tcPr>
            <w:tcW w:w="1095"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−969</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489</w:t>
            </w:r>
          </w:p>
        </w:tc>
        <w:tc>
          <w:tcPr>
            <w:tcW w:w="1110"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29</w:t>
            </w:r>
          </w:p>
        </w:tc>
        <w:tc>
          <w:tcPr>
            <w:tcW w:w="1170"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−4 939</w:t>
            </w:r>
          </w:p>
        </w:tc>
      </w:tr>
    </w:tbl>
    <w:p>
      <w:pPr>
        <w:pStyle w:val="Title114"/>
        <w:pageBreakBefore/>
        <w:numPr>
          <w:ilvl w:val="2"/>
          <w:numId w:val="93"/>
        </w:numPr>
        <w:rPr>
          <w:b/>
          <w:noProof/>
          <w:sz w:val="16"/>
          <w:szCs w:val="16"/>
        </w:rPr>
      </w:pPr>
      <w:r>
        <w:rPr>
          <w:b/>
          <w:noProof/>
          <w:sz w:val="16"/>
          <w:szCs w:val="16"/>
        </w:rPr>
        <w:t xml:space="preserve"> </w:t>
      </w:r>
      <w:r>
        <w:rPr>
          <w:b/>
          <w:noProof/>
          <w:sz w:val="16"/>
          <w:szCs w:val="16"/>
        </w:rPr>
        <w:tab/>
        <w:t>Ilgalaikis finansinis turtas ir įsipareigojimai</w:t>
      </w:r>
    </w:p>
    <w:p>
      <w:pPr>
        <w:pStyle w:val="Notes23"/>
        <w:tabs>
          <w:tab w:val="right" w:pos="-2700"/>
        </w:tabs>
        <w:spacing w:before="0" w:after="60"/>
        <w:ind w:left="0" w:firstLine="0"/>
        <w:rPr>
          <w:b w:val="0"/>
          <w:noProof/>
          <w:sz w:val="16"/>
          <w:szCs w:val="16"/>
        </w:rPr>
      </w:pPr>
    </w:p>
    <w:p>
      <w:pPr>
        <w:pStyle w:val="Notes23"/>
        <w:tabs>
          <w:tab w:val="right" w:pos="-2700"/>
        </w:tabs>
        <w:spacing w:before="60" w:after="60"/>
        <w:ind w:left="0" w:hanging="6"/>
        <w:rPr>
          <w:b w:val="0"/>
          <w:noProof/>
          <w:sz w:val="16"/>
          <w:szCs w:val="16"/>
        </w:rPr>
      </w:pPr>
      <w:r>
        <w:rPr>
          <w:b w:val="0"/>
          <w:noProof/>
          <w:sz w:val="16"/>
          <w:szCs w:val="16"/>
        </w:rPr>
        <w:t>Toliau pateikiamoje lentelėje nurodytos neišvestinio finansinio turto ir finansinių įsipareigojimų, kuriuos tikimasi atgauti arba padengti per daugiau nei 12 mėnesių nuo finansinių ataskaitų sudarymo dienos, balansinės vertės.</w:t>
      </w:r>
    </w:p>
    <w:p>
      <w:pPr>
        <w:pStyle w:val="Notes23"/>
        <w:tabs>
          <w:tab w:val="right" w:pos="-2700"/>
        </w:tabs>
        <w:spacing w:before="60" w:after="60"/>
        <w:ind w:left="0" w:firstLine="0"/>
        <w:rPr>
          <w:b w:val="0"/>
          <w:noProof/>
          <w:sz w:val="16"/>
          <w:szCs w:val="16"/>
        </w:rPr>
      </w:pPr>
      <w:r>
        <w:rPr>
          <w:noProof/>
        </w:rPr>
        <w:t xml:space="preserve"> </w:t>
      </w:r>
    </w:p>
    <w:tbl>
      <w:tblPr>
        <w:tblStyle w:val="CDMRange28"/>
        <w:tblW w:w="9975" w:type="dxa"/>
        <w:tblLayout w:type="fixed"/>
        <w:tblLook w:val="0600" w:firstRow="0" w:lastRow="0" w:firstColumn="0" w:lastColumn="0" w:noHBand="1" w:noVBand="1"/>
      </w:tblPr>
      <w:tblGrid>
        <w:gridCol w:w="6975"/>
        <w:gridCol w:w="1500"/>
        <w:gridCol w:w="1500"/>
      </w:tblGrid>
      <w:tr>
        <w:trPr>
          <w:trHeight w:val="465"/>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11"/>
              <w:rPr>
                <w:rFonts w:ascii="Arial" w:eastAsia="Arial" w:hAnsi="Arial" w:cs="Arial"/>
                <w:b/>
                <w:noProof/>
                <w:color w:val="000000"/>
                <w:sz w:val="16"/>
              </w:rPr>
            </w:pPr>
            <w:r>
              <w:rPr>
                <w:rFonts w:ascii="Arial" w:hAnsi="Arial"/>
                <w:b/>
                <w:noProof/>
                <w:color w:val="000000"/>
                <w:sz w:val="16"/>
              </w:rPr>
              <w:t>tūkst.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11"/>
              <w:jc w:val="right"/>
              <w:rPr>
                <w:rFonts w:ascii="Arial" w:eastAsia="Arial" w:hAnsi="Arial" w:cs="Arial"/>
                <w:b/>
                <w:noProof/>
                <w:color w:val="000000"/>
                <w:sz w:val="16"/>
              </w:rPr>
            </w:pPr>
            <w:r>
              <w:rPr>
                <w:rFonts w:ascii="Arial" w:hAnsi="Arial"/>
                <w:b/>
                <w:noProof/>
                <w:color w:val="000000"/>
                <w:sz w:val="16"/>
              </w:rPr>
              <w:t>2019 12 31</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11"/>
              <w:jc w:val="right"/>
              <w:rPr>
                <w:rFonts w:ascii="Arial" w:eastAsia="Arial" w:hAnsi="Arial" w:cs="Arial"/>
                <w:b/>
                <w:noProof/>
                <w:color w:val="000000"/>
                <w:sz w:val="16"/>
              </w:rPr>
            </w:pPr>
            <w:r>
              <w:rPr>
                <w:rFonts w:ascii="Arial" w:hAnsi="Arial"/>
                <w:b/>
                <w:noProof/>
                <w:color w:val="000000"/>
                <w:sz w:val="16"/>
              </w:rPr>
              <w:t>2018 12 31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11"/>
              <w:rPr>
                <w:rFonts w:ascii="Arial" w:eastAsia="Arial" w:hAnsi="Arial" w:cs="Arial"/>
                <w:b/>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11"/>
              <w:rPr>
                <w:rFonts w:ascii="Arial" w:eastAsia="Arial" w:hAnsi="Arial" w:cs="Arial"/>
                <w:b/>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11"/>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11"/>
              <w:rPr>
                <w:rFonts w:ascii="Arial" w:eastAsia="Arial" w:hAnsi="Arial" w:cs="Arial"/>
                <w:b/>
                <w:noProof/>
                <w:color w:val="000000"/>
                <w:sz w:val="16"/>
              </w:rPr>
            </w:pPr>
            <w:r>
              <w:rPr>
                <w:rFonts w:ascii="Arial" w:hAnsi="Arial"/>
                <w:b/>
                <w:noProof/>
                <w:color w:val="000000"/>
                <w:sz w:val="16"/>
              </w:rPr>
              <w:t>Finansinis turtas:</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11"/>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11"/>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11"/>
              <w:rPr>
                <w:rFonts w:ascii="Arial" w:eastAsia="Arial" w:hAnsi="Arial" w:cs="Arial"/>
                <w:noProof/>
                <w:color w:val="000000"/>
                <w:sz w:val="16"/>
              </w:rPr>
            </w:pPr>
            <w:r>
              <w:rPr>
                <w:rFonts w:ascii="Arial" w:hAnsi="Arial"/>
                <w:noProof/>
                <w:color w:val="000000"/>
                <w:sz w:val="16"/>
              </w:rPr>
              <w:t>Paskolos ir išankstiniai mokėjimai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hAnsi="Arial"/>
                <w:noProof/>
                <w:color w:val="000000"/>
                <w:sz w:val="16"/>
              </w:rPr>
              <w:t>1 636 520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hAnsi="Arial"/>
                <w:noProof/>
                <w:color w:val="000000"/>
                <w:sz w:val="16"/>
              </w:rPr>
              <w:t>1 666 232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11"/>
              <w:rPr>
                <w:rFonts w:ascii="Arial" w:eastAsia="Arial" w:hAnsi="Arial" w:cs="Arial"/>
                <w:noProof/>
                <w:color w:val="000000"/>
                <w:sz w:val="16"/>
              </w:rPr>
            </w:pPr>
            <w:r>
              <w:rPr>
                <w:rFonts w:ascii="Arial" w:hAnsi="Arial"/>
                <w:noProof/>
                <w:color w:val="000000"/>
                <w:sz w:val="16"/>
              </w:rPr>
              <w:t>Akcijos ir kiti kintamo pelningumo vertybiniai popieriai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hAnsi="Arial"/>
                <w:noProof/>
                <w:color w:val="000000"/>
                <w:sz w:val="16"/>
              </w:rPr>
              <w:t>619 928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hAnsi="Arial"/>
                <w:noProof/>
                <w:color w:val="000000"/>
                <w:sz w:val="16"/>
              </w:rPr>
              <w:t>567 292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11"/>
              <w:rPr>
                <w:rFonts w:ascii="Arial" w:eastAsia="Arial" w:hAnsi="Arial" w:cs="Arial"/>
                <w:noProof/>
                <w:color w:val="000000"/>
                <w:sz w:val="16"/>
              </w:rPr>
            </w:pPr>
            <w:r>
              <w:rPr>
                <w:rFonts w:ascii="Arial" w:hAnsi="Arial"/>
                <w:noProof/>
                <w:color w:val="000000"/>
                <w:sz w:val="16"/>
              </w:rPr>
              <w:t>Kitas turtas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hAnsi="Arial"/>
                <w:noProof/>
                <w:color w:val="000000"/>
                <w:sz w:val="16"/>
              </w:rPr>
              <w:t>171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11"/>
              <w:rPr>
                <w:rFonts w:ascii="Arial" w:eastAsia="Arial" w:hAnsi="Arial" w:cs="Arial"/>
                <w:b/>
                <w:noProof/>
                <w:color w:val="000000"/>
                <w:sz w:val="16"/>
              </w:rPr>
            </w:pPr>
            <w:r>
              <w:rPr>
                <w:rFonts w:ascii="Arial" w:hAnsi="Arial"/>
                <w:b/>
                <w:noProof/>
                <w:color w:val="000000"/>
                <w:sz w:val="16"/>
              </w:rPr>
              <w:t xml:space="preserve">Iš viso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11"/>
              <w:jc w:val="right"/>
              <w:rPr>
                <w:rFonts w:ascii="Arial" w:eastAsia="Arial" w:hAnsi="Arial" w:cs="Arial"/>
                <w:b/>
                <w:noProof/>
                <w:color w:val="000000"/>
                <w:sz w:val="16"/>
              </w:rPr>
            </w:pPr>
            <w:r>
              <w:rPr>
                <w:rFonts w:ascii="Arial" w:hAnsi="Arial"/>
                <w:b/>
                <w:noProof/>
                <w:color w:val="000000"/>
                <w:sz w:val="16"/>
              </w:rPr>
              <w:t>2 256 448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11"/>
              <w:jc w:val="right"/>
              <w:rPr>
                <w:rFonts w:ascii="Arial" w:eastAsia="Arial" w:hAnsi="Arial" w:cs="Arial"/>
                <w:b/>
                <w:noProof/>
                <w:color w:val="000000"/>
                <w:sz w:val="16"/>
              </w:rPr>
            </w:pPr>
            <w:r>
              <w:rPr>
                <w:rFonts w:ascii="Arial" w:hAnsi="Arial"/>
                <w:b/>
                <w:noProof/>
                <w:color w:val="000000"/>
                <w:sz w:val="16"/>
              </w:rPr>
              <w:t>2 233 695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0" w:type="dxa"/>
              <w:right w:w="0" w:type="dxa"/>
            </w:tcMar>
            <w:vAlign w:val="center"/>
          </w:tcPr>
          <w:p>
            <w:pPr>
              <w:pStyle w:val="Normal111"/>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1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1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11"/>
              <w:rPr>
                <w:rFonts w:ascii="Arial" w:eastAsia="Arial" w:hAnsi="Arial" w:cs="Arial"/>
                <w:b/>
                <w:noProof/>
                <w:color w:val="000000"/>
                <w:sz w:val="16"/>
              </w:rPr>
            </w:pPr>
            <w:r>
              <w:rPr>
                <w:rFonts w:ascii="Arial" w:hAnsi="Arial"/>
                <w:b/>
                <w:noProof/>
                <w:color w:val="000000"/>
                <w:sz w:val="16"/>
              </w:rPr>
              <w:t>Finansiniai įsipareigojimai:</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11"/>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11"/>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11"/>
              <w:rPr>
                <w:rFonts w:ascii="Arial" w:eastAsia="Arial" w:hAnsi="Arial" w:cs="Arial"/>
                <w:noProof/>
                <w:color w:val="000000"/>
                <w:sz w:val="16"/>
              </w:rPr>
            </w:pPr>
            <w:r>
              <w:rPr>
                <w:rFonts w:ascii="Arial" w:hAnsi="Arial"/>
                <w:noProof/>
                <w:color w:val="000000"/>
                <w:sz w:val="16"/>
              </w:rPr>
              <w:t>Atidėjiniai suteiktoms garantijoms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hAnsi="Arial"/>
                <w:noProof/>
                <w:color w:val="000000"/>
                <w:sz w:val="16"/>
              </w:rPr>
              <w:t>628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hAnsi="Arial"/>
                <w:noProof/>
                <w:color w:val="000000"/>
                <w:sz w:val="16"/>
              </w:rPr>
              <w:t>793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11"/>
              <w:rPr>
                <w:rFonts w:ascii="Arial" w:eastAsia="Arial" w:hAnsi="Arial" w:cs="Arial"/>
                <w:noProof/>
                <w:color w:val="000000"/>
                <w:sz w:val="16"/>
              </w:rPr>
            </w:pPr>
            <w:r>
              <w:rPr>
                <w:rFonts w:ascii="Arial" w:hAnsi="Arial"/>
                <w:noProof/>
                <w:color w:val="000000"/>
                <w:sz w:val="16"/>
              </w:rPr>
              <w:t>Trečiosioms šalims mokėtina suma*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hAnsi="Arial"/>
                <w:noProof/>
                <w:color w:val="000000"/>
                <w:sz w:val="16"/>
              </w:rPr>
              <w:t>93 531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hAnsi="Arial"/>
                <w:noProof/>
                <w:color w:val="000000"/>
                <w:sz w:val="16"/>
              </w:rPr>
              <w:t>93 641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11"/>
              <w:rPr>
                <w:rFonts w:ascii="Arial" w:eastAsia="Arial" w:hAnsi="Arial" w:cs="Arial"/>
                <w:noProof/>
                <w:color w:val="000000"/>
                <w:sz w:val="16"/>
              </w:rPr>
            </w:pPr>
            <w:r>
              <w:rPr>
                <w:rFonts w:ascii="Arial" w:hAnsi="Arial"/>
                <w:noProof/>
                <w:color w:val="000000"/>
                <w:sz w:val="16"/>
              </w:rPr>
              <w:t>Atidėjiniai kreditavimo įsipareigojimams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hAnsi="Arial"/>
                <w:noProof/>
                <w:color w:val="000000"/>
                <w:sz w:val="16"/>
              </w:rPr>
              <w:t>37 269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hAnsi="Arial"/>
                <w:noProof/>
                <w:color w:val="000000"/>
                <w:sz w:val="16"/>
              </w:rPr>
              <w:t>23 822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11"/>
              <w:rPr>
                <w:rFonts w:ascii="Arial" w:eastAsia="Arial" w:hAnsi="Arial" w:cs="Arial"/>
                <w:b/>
                <w:noProof/>
                <w:color w:val="000000"/>
                <w:sz w:val="16"/>
              </w:rPr>
            </w:pPr>
            <w:r>
              <w:rPr>
                <w:rFonts w:ascii="Arial" w:hAnsi="Arial"/>
                <w:b/>
                <w:noProof/>
                <w:color w:val="000000"/>
                <w:sz w:val="16"/>
              </w:rPr>
              <w:t xml:space="preserve">Iš viso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11"/>
              <w:jc w:val="right"/>
              <w:rPr>
                <w:rFonts w:ascii="Arial" w:eastAsia="Arial" w:hAnsi="Arial" w:cs="Arial"/>
                <w:b/>
                <w:noProof/>
                <w:color w:val="000000"/>
                <w:sz w:val="16"/>
              </w:rPr>
            </w:pPr>
            <w:r>
              <w:rPr>
                <w:rFonts w:ascii="Arial" w:hAnsi="Arial"/>
                <w:b/>
                <w:noProof/>
                <w:color w:val="000000"/>
                <w:sz w:val="16"/>
              </w:rPr>
              <w:t>131 428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11"/>
              <w:jc w:val="right"/>
              <w:rPr>
                <w:rFonts w:ascii="Arial" w:eastAsia="Arial" w:hAnsi="Arial" w:cs="Arial"/>
                <w:b/>
                <w:noProof/>
                <w:color w:val="000000"/>
                <w:sz w:val="16"/>
              </w:rPr>
            </w:pPr>
            <w:r>
              <w:rPr>
                <w:rFonts w:ascii="Arial" w:hAnsi="Arial"/>
                <w:b/>
                <w:noProof/>
                <w:color w:val="000000"/>
                <w:sz w:val="16"/>
              </w:rPr>
              <w:t>118 256</w:t>
            </w:r>
          </w:p>
        </w:tc>
      </w:tr>
    </w:tbl>
    <w:p>
      <w:pPr>
        <w:pStyle w:val="Normal112"/>
        <w:spacing w:before="40" w:after="60"/>
        <w:jc w:val="both"/>
        <w:rPr>
          <w:rFonts w:ascii="Arial" w:eastAsia="Arial" w:hAnsi="Arial"/>
          <w:noProof/>
          <w:color w:val="000000"/>
          <w:sz w:val="16"/>
        </w:rPr>
      </w:pPr>
      <w:r>
        <w:rPr>
          <w:rFonts w:ascii="Arial" w:hAnsi="Arial"/>
          <w:noProof/>
          <w:color w:val="000000"/>
          <w:sz w:val="16"/>
        </w:rPr>
        <w:t xml:space="preserve">* Trečiosioms šalims mokėtinos sumos apima palūkanų subsidijas ir techninę pagalbą, kurios dar nėra išmokėtos valstybėms narėms, kai terminas iš esmės nenustatytas.  </w:t>
      </w:r>
    </w:p>
    <w:p>
      <w:pPr>
        <w:pStyle w:val="Normal112"/>
        <w:spacing w:after="60"/>
        <w:rPr>
          <w:rFonts w:ascii="Arial" w:hAnsi="Arial"/>
          <w:noProof/>
          <w:sz w:val="16"/>
        </w:rPr>
      </w:pPr>
    </w:p>
    <w:p>
      <w:pPr>
        <w:pStyle w:val="Title115"/>
        <w:numPr>
          <w:ilvl w:val="1"/>
          <w:numId w:val="95"/>
        </w:numPr>
        <w:spacing w:before="60"/>
        <w:ind w:left="357" w:hanging="357"/>
        <w:rPr>
          <w:b/>
          <w:noProof/>
          <w:sz w:val="16"/>
          <w:szCs w:val="16"/>
        </w:rPr>
      </w:pPr>
      <w:r>
        <w:rPr>
          <w:b/>
          <w:noProof/>
          <w:sz w:val="16"/>
          <w:szCs w:val="16"/>
        </w:rPr>
        <w:t>Rinkos rizika</w:t>
      </w:r>
    </w:p>
    <w:p>
      <w:pPr>
        <w:pStyle w:val="Notes24"/>
        <w:tabs>
          <w:tab w:val="clear" w:pos="4320"/>
          <w:tab w:val="clear" w:pos="8640"/>
          <w:tab w:val="right" w:pos="-2700"/>
          <w:tab w:val="right" w:pos="720"/>
        </w:tabs>
        <w:spacing w:before="0" w:after="60"/>
        <w:ind w:left="0" w:firstLine="0"/>
        <w:rPr>
          <w:b w:val="0"/>
          <w:noProof/>
          <w:sz w:val="16"/>
          <w:szCs w:val="16"/>
        </w:rPr>
      </w:pPr>
    </w:p>
    <w:p>
      <w:pPr>
        <w:pStyle w:val="Notes24"/>
        <w:tabs>
          <w:tab w:val="clear" w:pos="4320"/>
          <w:tab w:val="clear" w:pos="8640"/>
          <w:tab w:val="right" w:pos="-2700"/>
          <w:tab w:val="right" w:pos="720"/>
        </w:tabs>
        <w:spacing w:before="60" w:after="60"/>
        <w:ind w:left="0" w:firstLine="0"/>
        <w:rPr>
          <w:b w:val="0"/>
          <w:noProof/>
          <w:sz w:val="16"/>
          <w:szCs w:val="16"/>
        </w:rPr>
      </w:pPr>
      <w:r>
        <w:rPr>
          <w:b w:val="0"/>
          <w:noProof/>
          <w:sz w:val="16"/>
          <w:szCs w:val="16"/>
        </w:rPr>
        <w:t>Rinkos rizika – tai rizika, kad rinkos kainų ir normų, kaip antai palūkanų normų, akcijų kainų ir užsienio valiutų kursų, pokyčiai turės poveikio subjekto pajamoms arba turimų finansinių priemonių vertei.</w:t>
      </w:r>
    </w:p>
    <w:p>
      <w:pPr>
        <w:pStyle w:val="Notes24"/>
        <w:tabs>
          <w:tab w:val="clear" w:pos="4320"/>
          <w:tab w:val="clear" w:pos="8640"/>
          <w:tab w:val="right" w:pos="-2700"/>
          <w:tab w:val="right" w:pos="720"/>
        </w:tabs>
        <w:spacing w:before="60" w:after="60"/>
        <w:ind w:left="0" w:firstLine="0"/>
        <w:rPr>
          <w:b w:val="0"/>
          <w:noProof/>
          <w:sz w:val="16"/>
          <w:szCs w:val="16"/>
        </w:rPr>
      </w:pPr>
    </w:p>
    <w:p>
      <w:pPr>
        <w:pStyle w:val="Title115"/>
        <w:numPr>
          <w:ilvl w:val="2"/>
          <w:numId w:val="95"/>
        </w:numPr>
        <w:rPr>
          <w:b/>
          <w:noProof/>
          <w:sz w:val="16"/>
          <w:szCs w:val="16"/>
        </w:rPr>
      </w:pPr>
      <w:r>
        <w:rPr>
          <w:b/>
          <w:noProof/>
          <w:sz w:val="16"/>
          <w:szCs w:val="16"/>
        </w:rPr>
        <w:t xml:space="preserve"> </w:t>
      </w:r>
      <w:r>
        <w:rPr>
          <w:b/>
          <w:noProof/>
          <w:sz w:val="16"/>
          <w:szCs w:val="16"/>
        </w:rPr>
        <w:tab/>
        <w:t>Palūkanų normos rizika</w:t>
      </w:r>
    </w:p>
    <w:p>
      <w:pPr>
        <w:pStyle w:val="Normal112"/>
        <w:spacing w:after="60"/>
        <w:jc w:val="both"/>
        <w:rPr>
          <w:rFonts w:ascii="Arial" w:hAnsi="Arial"/>
          <w:noProof/>
          <w:sz w:val="16"/>
          <w:szCs w:val="16"/>
        </w:rPr>
      </w:pPr>
    </w:p>
    <w:p>
      <w:pPr>
        <w:pStyle w:val="Normal112"/>
        <w:spacing w:before="60" w:after="60"/>
        <w:jc w:val="both"/>
        <w:rPr>
          <w:rFonts w:ascii="Arial" w:hAnsi="Arial"/>
          <w:noProof/>
          <w:sz w:val="16"/>
          <w:szCs w:val="16"/>
        </w:rPr>
      </w:pPr>
      <w:r>
        <w:rPr>
          <w:rFonts w:ascii="Arial" w:hAnsi="Arial"/>
          <w:noProof/>
          <w:sz w:val="16"/>
          <w:szCs w:val="16"/>
        </w:rPr>
        <w:t xml:space="preserve">Palūkanų normos rizika kyla dėl pozicijų, už kurias mokamos palūkanos, ekonominės vertės arba iš jų gaunamų pajamų kintamumo, susijusio su nepalankiais palūkanų normos svyravimais. </w:t>
      </w:r>
    </w:p>
    <w:p>
      <w:pPr>
        <w:pStyle w:val="Normal112"/>
        <w:spacing w:before="60" w:after="60"/>
        <w:jc w:val="both"/>
        <w:rPr>
          <w:rFonts w:ascii="Arial" w:hAnsi="Arial"/>
          <w:noProof/>
          <w:sz w:val="16"/>
          <w:szCs w:val="16"/>
        </w:rPr>
      </w:pPr>
    </w:p>
    <w:p>
      <w:pPr>
        <w:pStyle w:val="Normal170"/>
        <w:spacing w:before="60" w:after="60"/>
        <w:jc w:val="both"/>
        <w:rPr>
          <w:rFonts w:ascii="Arial" w:hAnsi="Arial"/>
          <w:noProof/>
          <w:sz w:val="16"/>
          <w:szCs w:val="16"/>
        </w:rPr>
      </w:pPr>
      <w:r>
        <w:rPr>
          <w:rFonts w:ascii="Arial" w:hAnsi="Arial"/>
          <w:noProof/>
          <w:sz w:val="16"/>
          <w:szCs w:val="16"/>
        </w:rPr>
        <w:t>Priemonė nėra tiesiogiai veikiama savo ekonominės vertės svyravimo arba įvairių turto, įsipareigojimų ir apsidraudimo priemonių kainų skirtumo, nes i) ji nepatiria jokių tiesioginio skolinimosi išlaidų arba palūkanų, skaičiuojamų įsipareigojimams, ir ii) ji pripažįsta palūkanų normų svyravimų poveikį pajamoms iš savo investicijų.</w:t>
      </w:r>
    </w:p>
    <w:p>
      <w:pPr>
        <w:pStyle w:val="Normal112"/>
        <w:spacing w:before="60" w:after="60"/>
        <w:jc w:val="both"/>
        <w:rPr>
          <w:rFonts w:ascii="Arial" w:hAnsi="Arial"/>
          <w:noProof/>
          <w:sz w:val="16"/>
          <w:szCs w:val="16"/>
        </w:rPr>
      </w:pPr>
    </w:p>
    <w:p>
      <w:pPr>
        <w:pStyle w:val="Normal112"/>
        <w:spacing w:before="60" w:after="60"/>
        <w:jc w:val="both"/>
        <w:rPr>
          <w:rFonts w:ascii="Arial" w:hAnsi="Arial"/>
          <w:noProof/>
          <w:sz w:val="16"/>
          <w:szCs w:val="16"/>
        </w:rPr>
      </w:pPr>
      <w:r>
        <w:rPr>
          <w:rFonts w:ascii="Arial" w:hAnsi="Arial"/>
          <w:noProof/>
          <w:sz w:val="16"/>
          <w:szCs w:val="16"/>
        </w:rPr>
        <w:t>Priemonės paskolų portfelio ir mikro apsidraudimo apsikeitimo sandorių jautrumas palūkanų normos svyravimui vertinamas apskaičiuojant bazinio punkto vertę (BPV).</w:t>
      </w:r>
    </w:p>
    <w:p>
      <w:pPr>
        <w:pStyle w:val="Normal112"/>
        <w:spacing w:before="60" w:after="60"/>
        <w:jc w:val="both"/>
        <w:rPr>
          <w:rFonts w:ascii="Arial" w:hAnsi="Arial"/>
          <w:noProof/>
          <w:sz w:val="16"/>
          <w:szCs w:val="16"/>
        </w:rPr>
      </w:pPr>
    </w:p>
    <w:p>
      <w:pPr>
        <w:pStyle w:val="Normal112"/>
        <w:spacing w:before="60" w:after="60"/>
        <w:jc w:val="both"/>
        <w:rPr>
          <w:rFonts w:ascii="Arial" w:hAnsi="Arial"/>
          <w:noProof/>
          <w:sz w:val="16"/>
          <w:szCs w:val="16"/>
        </w:rPr>
      </w:pPr>
      <w:r>
        <w:rPr>
          <w:rFonts w:ascii="Arial" w:hAnsi="Arial"/>
          <w:noProof/>
          <w:sz w:val="16"/>
          <w:szCs w:val="16"/>
        </w:rPr>
        <w:t>Remiantis BPV, vertinamas atitinkamo portfelio grynosios dabartinės vertės padidėjimas arba sumažėjimas, kai 1 baziniu punktu (0,01 %) padidėja palūkanų normos, esant konkrečiam terminui: „pinigų rinkos – iki vienų metų“, „labai trumpam – 2–3 metai“, „trumpam – 4–6 metai“, „vidutiniam“ – 7–11 metų, „ilgam – 12–20 metų“ arba „labai ilgam – daugiau kaip 21 metai“.</w:t>
      </w:r>
    </w:p>
    <w:p>
      <w:pPr>
        <w:pStyle w:val="Normal112"/>
        <w:spacing w:before="60" w:after="60"/>
        <w:jc w:val="both"/>
        <w:rPr>
          <w:rFonts w:ascii="Arial" w:hAnsi="Arial"/>
          <w:noProof/>
          <w:sz w:val="16"/>
          <w:szCs w:val="16"/>
        </w:rPr>
      </w:pPr>
    </w:p>
    <w:p>
      <w:pPr>
        <w:pStyle w:val="Normal112"/>
        <w:spacing w:before="60" w:after="60"/>
        <w:jc w:val="both"/>
        <w:rPr>
          <w:rFonts w:ascii="Arial" w:hAnsi="Arial"/>
          <w:noProof/>
          <w:sz w:val="16"/>
          <w:szCs w:val="16"/>
        </w:rPr>
      </w:pPr>
      <w:r>
        <w:rPr>
          <w:rFonts w:ascii="Arial" w:hAnsi="Arial"/>
          <w:noProof/>
          <w:sz w:val="16"/>
          <w:szCs w:val="16"/>
        </w:rPr>
        <w:t xml:space="preserve">Siekiant nustatyti Priemonės eurais išreikštų paskolų pinigų srautų grynąją dabartinę vertę, naudojama EIB finansavimo eurais kreivė (apsikeitimo sandorių eurais kreivė + EIB finansavimo marža). EIB finansavimo JAV doleriais kreivė naudojama JAV doleriais išreikštų paskolų pinigų srautų grynajai dabartinei vertei apskaičiuoti. Valiutomis, kurių patikimos ir pakankamai išsamios diskonto kreivės negalima gauti, išreikštų paskolų pinigų srautų grynoji dabartinė vertė nustatoma kaip pakaitalą naudojant EIB finansavimo eurais kreivę. </w:t>
      </w:r>
    </w:p>
    <w:p>
      <w:pPr>
        <w:pStyle w:val="Normal112"/>
        <w:spacing w:before="60" w:after="60"/>
        <w:jc w:val="both"/>
        <w:rPr>
          <w:rFonts w:ascii="Arial" w:hAnsi="Arial"/>
          <w:noProof/>
          <w:sz w:val="16"/>
          <w:szCs w:val="16"/>
        </w:rPr>
      </w:pPr>
    </w:p>
    <w:p>
      <w:pPr>
        <w:pStyle w:val="Normal112"/>
        <w:spacing w:before="60" w:after="60"/>
        <w:jc w:val="both"/>
        <w:rPr>
          <w:rFonts w:ascii="Arial" w:hAnsi="Arial"/>
          <w:noProof/>
          <w:sz w:val="16"/>
          <w:szCs w:val="16"/>
        </w:rPr>
      </w:pPr>
      <w:r>
        <w:rPr>
          <w:rFonts w:ascii="Arial" w:hAnsi="Arial"/>
          <w:noProof/>
          <w:sz w:val="16"/>
          <w:szCs w:val="16"/>
        </w:rPr>
        <w:t>Siekiant apskaičiuoti Priemonės mikro apsidraudimo apsikeitimo sandorių grynąją dabartinę vertę, eurais išreikštiems pinigų srautams naudojama apsikeitimo sandorių eurais kreivė, o JAV doleriais išreikštiems pinigų srautams – apsikeitimo sandorių JAV doleriais kreivė.</w:t>
      </w:r>
    </w:p>
    <w:p>
      <w:pPr>
        <w:pStyle w:val="Normal112"/>
        <w:suppressAutoHyphens w:val="0"/>
        <w:rPr>
          <w:rFonts w:ascii="Arial" w:hAnsi="Arial"/>
          <w:noProof/>
          <w:sz w:val="16"/>
          <w:szCs w:val="16"/>
        </w:rPr>
      </w:pPr>
      <w:r>
        <w:rPr>
          <w:noProof/>
        </w:rPr>
        <w:br w:type="page"/>
      </w:r>
    </w:p>
    <w:p>
      <w:pPr>
        <w:pStyle w:val="Normal112"/>
        <w:spacing w:before="60" w:after="60"/>
        <w:jc w:val="both"/>
        <w:rPr>
          <w:rFonts w:ascii="Arial" w:hAnsi="Arial"/>
          <w:noProof/>
          <w:sz w:val="16"/>
          <w:szCs w:val="16"/>
        </w:rPr>
      </w:pPr>
      <w:r>
        <w:rPr>
          <w:rFonts w:ascii="Arial" w:hAnsi="Arial"/>
          <w:noProof/>
          <w:sz w:val="16"/>
          <w:szCs w:val="16"/>
        </w:rPr>
        <w:t>Kaip parodyta toliau pateikiamoje lentelėje, 2019 m. gruodžio 31 d. paskolų portfelio, įskaitant susijusius mikro apsidraudimo apsikeitimo sandorius, grynoji dabartinė vertė sumažėjo 533 tūkst. EUR (2018 m. gruodžio 31 d. sumažėjo 483 tūkst. EUR), visoms svarbioms palūkanų normos kreivėms kartu pakilus 1 baziniu punktu.</w:t>
      </w:r>
    </w:p>
    <w:p>
      <w:pPr>
        <w:pStyle w:val="Normal112"/>
        <w:spacing w:before="60" w:after="60"/>
        <w:jc w:val="both"/>
        <w:rPr>
          <w:rFonts w:ascii="Arial" w:hAnsi="Arial"/>
          <w:noProof/>
          <w:sz w:val="16"/>
          <w:szCs w:val="16"/>
        </w:rPr>
      </w:pPr>
      <w:r>
        <w:rPr>
          <w:noProof/>
        </w:rPr>
        <w:t xml:space="preserve"> </w:t>
      </w:r>
    </w:p>
    <w:tbl>
      <w:tblPr>
        <w:tblStyle w:val="CDMRange19"/>
        <w:tblW w:w="9975" w:type="dxa"/>
        <w:tblLayout w:type="fixed"/>
        <w:tblLook w:val="0600" w:firstRow="0" w:lastRow="0" w:firstColumn="0" w:lastColumn="0" w:noHBand="1" w:noVBand="1"/>
      </w:tblPr>
      <w:tblGrid>
        <w:gridCol w:w="1575"/>
        <w:gridCol w:w="1200"/>
        <w:gridCol w:w="1200"/>
        <w:gridCol w:w="1200"/>
        <w:gridCol w:w="1200"/>
        <w:gridCol w:w="1200"/>
        <w:gridCol w:w="1200"/>
        <w:gridCol w:w="1200"/>
      </w:tblGrid>
      <w:tr>
        <w:trPr>
          <w:trHeight w:val="290"/>
        </w:trPr>
        <w:tc>
          <w:tcPr>
            <w:tcW w:w="1575"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rPr>
                <w:rFonts w:ascii="Arial" w:eastAsia="Arial" w:hAnsi="Arial" w:cs="Arial"/>
                <w:b/>
                <w:noProof/>
                <w:color w:val="000000"/>
                <w:sz w:val="16"/>
              </w:rPr>
            </w:pPr>
            <w:r>
              <w:rPr>
                <w:rFonts w:ascii="Arial" w:hAnsi="Arial"/>
                <w:b/>
                <w:noProof/>
                <w:color w:val="000000"/>
                <w:sz w:val="16"/>
              </w:rPr>
              <w:t>Bazinio punkto vertė</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Pinigų</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 xml:space="preserve">Labai trumpas </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Trumpas</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Vidutinis</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Ilgas</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 xml:space="preserve">Labai ilgas </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Iš viso</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575" w:type="dxa"/>
            <w:tcBorders>
              <w:top w:val="nil"/>
              <w:left w:val="nil"/>
              <w:bottom w:val="nil"/>
              <w:right w:val="nil"/>
              <w:tl2br w:val="nil"/>
              <w:tr2bl w:val="nil"/>
            </w:tcBorders>
            <w:shd w:val="clear" w:color="FFFFFF" w:fill="FFFFFF"/>
            <w:tcMar>
              <w:left w:w="40" w:type="dxa"/>
              <w:right w:w="40" w:type="dxa"/>
            </w:tcMar>
            <w:vAlign w:val="center"/>
          </w:tcPr>
          <w:p>
            <w:pPr>
              <w:pStyle w:val="Normal113"/>
              <w:rPr>
                <w:rFonts w:ascii="Arial" w:eastAsia="Arial" w:hAnsi="Arial" w:cs="Arial"/>
                <w:b/>
                <w:noProof/>
                <w:color w:val="000000"/>
                <w:sz w:val="16"/>
              </w:rPr>
            </w:pPr>
            <w:r>
              <w:rPr>
                <w:rFonts w:ascii="Arial" w:hAnsi="Arial"/>
                <w:b/>
                <w:noProof/>
                <w:color w:val="000000"/>
                <w:sz w:val="16"/>
              </w:rPr>
              <w:t>tūkst. EUR</w:t>
            </w:r>
          </w:p>
        </w:tc>
        <w:tc>
          <w:tcPr>
            <w:tcW w:w="1200" w:type="dxa"/>
            <w:tcBorders>
              <w:top w:val="nil"/>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rinka</w:t>
            </w: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57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rPr>
                <w:rFonts w:ascii="Arial" w:eastAsia="Arial" w:hAnsi="Arial" w:cs="Arial"/>
                <w:b/>
                <w:noProof/>
                <w:color w:val="000000"/>
                <w:sz w:val="16"/>
              </w:rPr>
            </w:pPr>
            <w:r>
              <w:rPr>
                <w:rFonts w:ascii="Arial" w:hAnsi="Arial"/>
                <w:b/>
                <w:noProof/>
                <w:color w:val="000000"/>
                <w:sz w:val="16"/>
              </w:rPr>
              <w:t>2019 12 31</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1 metai</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2–3 metai</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4–6 metai</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7–11 metų</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12–20 metų</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21 metai</w:t>
            </w:r>
          </w:p>
        </w:tc>
        <w:tc>
          <w:tcPr>
            <w:tcW w:w="120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pPr>
              <w:pStyle w:val="Normal11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57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pPr>
              <w:pStyle w:val="Normal113"/>
              <w:rPr>
                <w:rFonts w:ascii="Arial" w:eastAsia="Arial" w:hAnsi="Arial" w:cs="Arial"/>
                <w:noProof/>
                <w:color w:val="000000"/>
                <w:sz w:val="16"/>
              </w:rPr>
            </w:pPr>
            <w:r>
              <w:rPr>
                <w:rFonts w:ascii="Arial" w:hAnsi="Arial"/>
                <w:noProof/>
                <w:color w:val="000000"/>
                <w:sz w:val="16"/>
              </w:rPr>
              <w:t>Bendras paskolų ir mikro apsidraudimo apsikeitimo sandorių jautrumas</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−42</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−99</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−172</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−163</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−57</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−533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57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bottom"/>
          </w:tcPr>
          <w:p>
            <w:pPr>
              <w:pStyle w:val="Normal113"/>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113"/>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113"/>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113"/>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113"/>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113"/>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113"/>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11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575"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rPr>
                <w:rFonts w:ascii="Arial" w:eastAsia="Arial" w:hAnsi="Arial" w:cs="Arial"/>
                <w:b/>
                <w:noProof/>
                <w:color w:val="000000"/>
                <w:sz w:val="16"/>
              </w:rPr>
            </w:pPr>
            <w:r>
              <w:rPr>
                <w:rFonts w:ascii="Arial" w:hAnsi="Arial"/>
                <w:b/>
                <w:noProof/>
                <w:color w:val="000000"/>
                <w:sz w:val="16"/>
              </w:rPr>
              <w:t>Bazinio punkto vertė</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Pinigų</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 xml:space="preserve">Labai trumpas </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Trumpas</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Vidutinis</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Ilgas</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 xml:space="preserve">Labai ilgas </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Iš viso</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575" w:type="dxa"/>
            <w:tcBorders>
              <w:top w:val="nil"/>
              <w:left w:val="nil"/>
              <w:bottom w:val="nil"/>
              <w:right w:val="nil"/>
              <w:tl2br w:val="nil"/>
              <w:tr2bl w:val="nil"/>
            </w:tcBorders>
            <w:shd w:val="clear" w:color="FFFFFF" w:fill="FFFFFF"/>
            <w:tcMar>
              <w:left w:w="40" w:type="dxa"/>
              <w:right w:w="40" w:type="dxa"/>
            </w:tcMar>
            <w:vAlign w:val="center"/>
          </w:tcPr>
          <w:p>
            <w:pPr>
              <w:pStyle w:val="Normal113"/>
              <w:rPr>
                <w:rFonts w:ascii="Arial" w:eastAsia="Arial" w:hAnsi="Arial" w:cs="Arial"/>
                <w:b/>
                <w:noProof/>
                <w:color w:val="000000"/>
                <w:sz w:val="16"/>
              </w:rPr>
            </w:pPr>
            <w:r>
              <w:rPr>
                <w:rFonts w:ascii="Arial" w:hAnsi="Arial"/>
                <w:b/>
                <w:noProof/>
                <w:color w:val="000000"/>
                <w:sz w:val="16"/>
              </w:rPr>
              <w:t>tūkst. EUR</w:t>
            </w:r>
          </w:p>
        </w:tc>
        <w:tc>
          <w:tcPr>
            <w:tcW w:w="1200" w:type="dxa"/>
            <w:tcBorders>
              <w:top w:val="nil"/>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rinka</w:t>
            </w: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575"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13"/>
              <w:rPr>
                <w:rFonts w:ascii="Arial" w:eastAsia="Arial" w:hAnsi="Arial" w:cs="Arial"/>
                <w:b/>
                <w:noProof/>
                <w:color w:val="000000"/>
                <w:sz w:val="16"/>
              </w:rPr>
            </w:pPr>
            <w:r>
              <w:rPr>
                <w:rFonts w:ascii="Arial" w:hAnsi="Arial"/>
                <w:b/>
                <w:noProof/>
                <w:color w:val="000000"/>
                <w:sz w:val="16"/>
              </w:rPr>
              <w:t>2018 12 31</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1 metai</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2–3 metai</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4–6 metai</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7–11 metų</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12–20 metų</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21 metai</w:t>
            </w:r>
          </w:p>
        </w:tc>
        <w:tc>
          <w:tcPr>
            <w:tcW w:w="120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pPr>
              <w:pStyle w:val="Normal11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57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pPr>
              <w:pStyle w:val="Normal113"/>
              <w:rPr>
                <w:rFonts w:ascii="Arial" w:eastAsia="Arial" w:hAnsi="Arial" w:cs="Arial"/>
                <w:noProof/>
                <w:color w:val="000000"/>
                <w:sz w:val="16"/>
              </w:rPr>
            </w:pPr>
            <w:r>
              <w:rPr>
                <w:rFonts w:ascii="Arial" w:hAnsi="Arial"/>
                <w:noProof/>
                <w:color w:val="000000"/>
                <w:sz w:val="16"/>
              </w:rPr>
              <w:t>Bendras paskolų ir mikro apsidraudimo apsikeitimo sandorių jautrumas</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−38</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−94</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−168</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−154</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−29</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−483</w:t>
            </w:r>
          </w:p>
        </w:tc>
      </w:tr>
    </w:tbl>
    <w:p>
      <w:pPr>
        <w:pStyle w:val="Normal114"/>
        <w:spacing w:before="60" w:after="60"/>
        <w:rPr>
          <w:rFonts w:ascii="Arial" w:hAnsi="Arial"/>
          <w:noProof/>
          <w:sz w:val="16"/>
        </w:rPr>
      </w:pPr>
    </w:p>
    <w:p>
      <w:pPr>
        <w:pStyle w:val="Normal114"/>
        <w:numPr>
          <w:ilvl w:val="2"/>
          <w:numId w:val="97"/>
        </w:numPr>
        <w:suppressAutoHyphens w:val="0"/>
        <w:spacing w:before="60"/>
        <w:jc w:val="both"/>
        <w:rPr>
          <w:rFonts w:ascii="Arial" w:hAnsi="Arial"/>
          <w:b/>
          <w:noProof/>
          <w:sz w:val="16"/>
          <w:szCs w:val="16"/>
        </w:rPr>
      </w:pPr>
      <w:r>
        <w:rPr>
          <w:rFonts w:ascii="Arial" w:hAnsi="Arial"/>
          <w:b/>
          <w:noProof/>
          <w:sz w:val="16"/>
          <w:szCs w:val="16"/>
        </w:rPr>
        <w:t>Užsienio valiutos kurso rizika</w:t>
      </w:r>
    </w:p>
    <w:p>
      <w:pPr>
        <w:pStyle w:val="Notes25"/>
        <w:tabs>
          <w:tab w:val="clear" w:pos="4320"/>
          <w:tab w:val="clear" w:pos="8640"/>
          <w:tab w:val="right" w:pos="-2700"/>
          <w:tab w:val="left" w:pos="2115"/>
        </w:tabs>
        <w:spacing w:before="0" w:after="60"/>
        <w:ind w:left="0" w:firstLine="0"/>
        <w:rPr>
          <w:b w:val="0"/>
          <w:noProof/>
          <w:sz w:val="16"/>
          <w:szCs w:val="16"/>
        </w:rPr>
      </w:pPr>
      <w:r>
        <w:rPr>
          <w:b w:val="0"/>
          <w:noProof/>
          <w:sz w:val="16"/>
          <w:szCs w:val="16"/>
        </w:rPr>
        <w:tab/>
      </w:r>
    </w:p>
    <w:p>
      <w:pPr>
        <w:pStyle w:val="Notes25"/>
        <w:tabs>
          <w:tab w:val="clear" w:pos="4320"/>
          <w:tab w:val="clear" w:pos="8640"/>
          <w:tab w:val="right" w:pos="-2700"/>
        </w:tabs>
        <w:spacing w:before="60" w:after="60"/>
        <w:ind w:left="0" w:firstLine="0"/>
        <w:rPr>
          <w:b w:val="0"/>
          <w:noProof/>
          <w:sz w:val="16"/>
          <w:szCs w:val="16"/>
        </w:rPr>
      </w:pPr>
      <w:r>
        <w:rPr>
          <w:b w:val="0"/>
          <w:noProof/>
          <w:sz w:val="16"/>
          <w:szCs w:val="16"/>
        </w:rPr>
        <w:t>Užsienio valiutos kurso rizika – tai IP kylanti rizika netekti pajamų arba ekonominės vertės dėl nepalankių užsienio valiutos kurso pokyčių.</w:t>
      </w:r>
    </w:p>
    <w:p>
      <w:pPr>
        <w:pStyle w:val="Notes25"/>
        <w:tabs>
          <w:tab w:val="clear" w:pos="4320"/>
          <w:tab w:val="clear" w:pos="8640"/>
          <w:tab w:val="right" w:pos="-2700"/>
        </w:tabs>
        <w:spacing w:before="60" w:after="60"/>
        <w:ind w:left="0" w:firstLine="0"/>
        <w:rPr>
          <w:b w:val="0"/>
          <w:noProof/>
          <w:sz w:val="16"/>
          <w:szCs w:val="16"/>
        </w:rPr>
      </w:pPr>
    </w:p>
    <w:p>
      <w:pPr>
        <w:pStyle w:val="Normal114"/>
        <w:suppressAutoHyphens w:val="0"/>
        <w:spacing w:before="60" w:after="60"/>
        <w:jc w:val="both"/>
        <w:rPr>
          <w:rFonts w:ascii="Arial" w:hAnsi="Arial"/>
          <w:noProof/>
          <w:sz w:val="16"/>
          <w:szCs w:val="16"/>
        </w:rPr>
      </w:pPr>
      <w:r>
        <w:rPr>
          <w:rFonts w:ascii="Arial" w:hAnsi="Arial"/>
          <w:noProof/>
          <w:sz w:val="16"/>
          <w:szCs w:val="16"/>
        </w:rPr>
        <w:t>Atsižvelgiant į pasirinktą apskaitos valiutą (IP atveju tai yra EUR), užsienio valiutos kurso rizika Priemonei kyla tuomet, kai yra neatitikimas tarp turto ir įsipareigojimų, išreikštų kita apskaitos valiuta. Užsienio valiutos kurso rizika apima ir kita apskaitos valiuta išreikštų būsimųjų pinigų srautų, pvz., palūkanų ir dividendų mokėjimų, vertės pokyčių, kuriuos lemia valiutos kurso svyravimai, poveikį.</w:t>
      </w:r>
    </w:p>
    <w:p>
      <w:pPr>
        <w:pStyle w:val="Normal114"/>
        <w:suppressAutoHyphens w:val="0"/>
        <w:spacing w:before="60" w:after="60"/>
        <w:jc w:val="both"/>
        <w:rPr>
          <w:rFonts w:ascii="Arial" w:hAnsi="Arial"/>
          <w:noProof/>
          <w:sz w:val="16"/>
          <w:szCs w:val="16"/>
          <w:highlight w:val="green"/>
        </w:rPr>
      </w:pPr>
    </w:p>
    <w:p>
      <w:pPr>
        <w:pStyle w:val="Normal114"/>
        <w:numPr>
          <w:ilvl w:val="3"/>
          <w:numId w:val="97"/>
        </w:numPr>
        <w:suppressAutoHyphens w:val="0"/>
        <w:spacing w:before="60"/>
        <w:jc w:val="both"/>
        <w:rPr>
          <w:rFonts w:ascii="Arial" w:hAnsi="Arial"/>
          <w:b/>
          <w:noProof/>
          <w:sz w:val="16"/>
          <w:szCs w:val="16"/>
        </w:rPr>
      </w:pPr>
      <w:r>
        <w:rPr>
          <w:rFonts w:ascii="Arial" w:hAnsi="Arial"/>
          <w:b/>
          <w:noProof/>
          <w:sz w:val="16"/>
          <w:szCs w:val="16"/>
        </w:rPr>
        <w:t>Užsienio valiutos kurso rizika ir iždo turtas</w:t>
      </w:r>
    </w:p>
    <w:p>
      <w:pPr>
        <w:pStyle w:val="Normal114"/>
        <w:suppressAutoHyphens w:val="0"/>
        <w:spacing w:after="60"/>
        <w:jc w:val="both"/>
        <w:rPr>
          <w:rFonts w:ascii="Arial" w:hAnsi="Arial"/>
          <w:noProof/>
          <w:sz w:val="16"/>
          <w:szCs w:val="16"/>
          <w:u w:val="single"/>
        </w:rPr>
      </w:pPr>
    </w:p>
    <w:p>
      <w:pPr>
        <w:pStyle w:val="Normal114"/>
        <w:suppressAutoHyphens w:val="0"/>
        <w:spacing w:before="60" w:after="60"/>
        <w:jc w:val="both"/>
        <w:rPr>
          <w:rFonts w:ascii="Arial" w:hAnsi="Arial"/>
          <w:noProof/>
          <w:sz w:val="16"/>
          <w:szCs w:val="16"/>
        </w:rPr>
      </w:pPr>
      <w:r>
        <w:rPr>
          <w:rFonts w:ascii="Arial" w:hAnsi="Arial"/>
          <w:noProof/>
          <w:sz w:val="16"/>
          <w:szCs w:val="16"/>
        </w:rPr>
        <w:t>IP iždo turtas išreiškiamas eurais arba JAV doleriais.</w:t>
      </w:r>
    </w:p>
    <w:p>
      <w:pPr>
        <w:pStyle w:val="Normal114"/>
        <w:suppressAutoHyphens w:val="0"/>
        <w:spacing w:before="60" w:after="60"/>
        <w:jc w:val="both"/>
        <w:rPr>
          <w:rFonts w:ascii="Arial" w:hAnsi="Arial"/>
          <w:noProof/>
          <w:sz w:val="16"/>
          <w:szCs w:val="16"/>
        </w:rPr>
      </w:pPr>
    </w:p>
    <w:p>
      <w:pPr>
        <w:pStyle w:val="Normal114"/>
        <w:suppressAutoHyphens w:val="0"/>
        <w:spacing w:before="60" w:after="60"/>
        <w:jc w:val="both"/>
        <w:rPr>
          <w:rFonts w:ascii="Arial" w:hAnsi="Arial"/>
          <w:noProof/>
          <w:sz w:val="16"/>
          <w:szCs w:val="16"/>
        </w:rPr>
      </w:pPr>
      <w:r>
        <w:rPr>
          <w:rFonts w:ascii="Arial" w:hAnsi="Arial"/>
          <w:noProof/>
          <w:sz w:val="16"/>
          <w:szCs w:val="16"/>
        </w:rPr>
        <w:t>Nuo užsienio valiutos kurso rizikos apsidraudžiama sudarant skirtingų valiutų neatidėliotinus valiutos keitimo sandorius arba išankstinius sandorius, taip pat valiutų apsikeitimo sandorius arba skirtingų valiutų apsikeitimo sandorius. Jeigu mano esant būtina ir tinkama, EIB Iždo departamentas gali imtis bet kokių kitų banko politiką atitinkančių priemonių, kuriomis apsaugoma nuo rinkos rizikos, patiriamos dėl IP finansinės veiklos.</w:t>
      </w:r>
    </w:p>
    <w:p>
      <w:pPr>
        <w:pStyle w:val="Normal114"/>
        <w:suppressAutoHyphens w:val="0"/>
        <w:spacing w:before="60" w:after="60"/>
        <w:jc w:val="both"/>
        <w:rPr>
          <w:rFonts w:ascii="Arial" w:hAnsi="Arial"/>
          <w:noProof/>
          <w:sz w:val="16"/>
          <w:szCs w:val="16"/>
        </w:rPr>
      </w:pPr>
    </w:p>
    <w:p>
      <w:pPr>
        <w:pStyle w:val="Normal114"/>
        <w:numPr>
          <w:ilvl w:val="3"/>
          <w:numId w:val="97"/>
        </w:numPr>
        <w:suppressAutoHyphens w:val="0"/>
        <w:spacing w:before="60"/>
        <w:jc w:val="both"/>
        <w:rPr>
          <w:rFonts w:ascii="Arial" w:hAnsi="Arial"/>
          <w:b/>
          <w:noProof/>
          <w:sz w:val="16"/>
          <w:szCs w:val="16"/>
        </w:rPr>
      </w:pPr>
      <w:r>
        <w:rPr>
          <w:rFonts w:ascii="Arial" w:hAnsi="Arial"/>
          <w:b/>
          <w:noProof/>
          <w:sz w:val="16"/>
          <w:szCs w:val="16"/>
        </w:rPr>
        <w:t>Užsienio valiutos kurso rizika ir IP finansuojamos arba garantuojamos operacijos</w:t>
      </w:r>
    </w:p>
    <w:p>
      <w:pPr>
        <w:pStyle w:val="Normal114"/>
        <w:suppressAutoHyphens w:val="0"/>
        <w:spacing w:after="60"/>
        <w:jc w:val="both"/>
        <w:rPr>
          <w:rFonts w:ascii="Arial" w:hAnsi="Arial"/>
          <w:noProof/>
          <w:sz w:val="16"/>
          <w:szCs w:val="16"/>
          <w:u w:val="single"/>
        </w:rPr>
      </w:pPr>
    </w:p>
    <w:p>
      <w:pPr>
        <w:pStyle w:val="Normal114"/>
        <w:suppressAutoHyphens w:val="0"/>
        <w:spacing w:before="60" w:after="60"/>
        <w:jc w:val="both"/>
        <w:rPr>
          <w:rFonts w:ascii="Arial" w:hAnsi="Arial"/>
          <w:noProof/>
          <w:sz w:val="16"/>
          <w:szCs w:val="16"/>
        </w:rPr>
      </w:pPr>
      <w:r>
        <w:rPr>
          <w:rFonts w:ascii="Arial" w:hAnsi="Arial"/>
          <w:noProof/>
          <w:sz w:val="16"/>
          <w:szCs w:val="16"/>
        </w:rPr>
        <w:t>Valstybių narių įnašai pagal IP mokami eurais. IP finansuojamos arba garantuojamos operacijos, taip pat palūkanų subsidijos gali būti išreikštos eurais, JAV doleriais ar bet kuria kita leistina valiuta.</w:t>
      </w:r>
    </w:p>
    <w:p>
      <w:pPr>
        <w:pStyle w:val="Normal114"/>
        <w:suppressAutoHyphens w:val="0"/>
        <w:spacing w:before="60" w:after="60"/>
        <w:jc w:val="both"/>
        <w:rPr>
          <w:rFonts w:ascii="Arial" w:hAnsi="Arial"/>
          <w:noProof/>
          <w:sz w:val="16"/>
          <w:szCs w:val="16"/>
          <w:lang w:eastAsia="en-GB"/>
        </w:rPr>
      </w:pPr>
    </w:p>
    <w:p>
      <w:pPr>
        <w:pStyle w:val="Normal114"/>
        <w:suppressAutoHyphens w:val="0"/>
        <w:spacing w:before="60" w:after="60"/>
        <w:jc w:val="both"/>
        <w:rPr>
          <w:rFonts w:ascii="Arial" w:hAnsi="Arial"/>
          <w:noProof/>
          <w:sz w:val="16"/>
          <w:szCs w:val="16"/>
        </w:rPr>
      </w:pPr>
      <w:r>
        <w:rPr>
          <w:rFonts w:ascii="Arial" w:hAnsi="Arial"/>
          <w:noProof/>
          <w:sz w:val="16"/>
          <w:szCs w:val="16"/>
        </w:rPr>
        <w:t>Užsienio valiutos kurso rizika (euro kaip pasirinktosios valiutos atžvilgiu) kyla visada, kai operacijos, atliekamos kita nei euras valiuta, nėra apdraustos. IP apdraudimo nuo užsienio valiutos kurso rizikos gairės pateiktos toliau. </w:t>
      </w:r>
    </w:p>
    <w:p>
      <w:pPr>
        <w:pStyle w:val="Normal114"/>
        <w:suppressAutoHyphens w:val="0"/>
        <w:spacing w:before="60" w:after="60"/>
        <w:jc w:val="both"/>
        <w:rPr>
          <w:rFonts w:ascii="Arial" w:hAnsi="Arial"/>
          <w:noProof/>
          <w:sz w:val="16"/>
          <w:szCs w:val="16"/>
        </w:rPr>
      </w:pPr>
    </w:p>
    <w:p>
      <w:pPr>
        <w:pStyle w:val="Notes25"/>
        <w:numPr>
          <w:ilvl w:val="4"/>
          <w:numId w:val="99"/>
        </w:numPr>
        <w:tabs>
          <w:tab w:val="clear" w:pos="4320"/>
          <w:tab w:val="clear" w:pos="8640"/>
          <w:tab w:val="right" w:pos="-2700"/>
        </w:tabs>
        <w:spacing w:before="60" w:after="0"/>
        <w:rPr>
          <w:noProof/>
          <w:sz w:val="16"/>
          <w:szCs w:val="16"/>
        </w:rPr>
      </w:pPr>
      <w:r>
        <w:rPr>
          <w:noProof/>
          <w:sz w:val="16"/>
          <w:szCs w:val="16"/>
        </w:rPr>
        <w:t>JAV doleriais išreikštų operacijų apdraudimas</w:t>
      </w:r>
    </w:p>
    <w:p>
      <w:pPr>
        <w:pStyle w:val="Normal114"/>
        <w:suppressAutoHyphens w:val="0"/>
        <w:spacing w:after="60"/>
        <w:jc w:val="both"/>
        <w:rPr>
          <w:rFonts w:ascii="Arial" w:hAnsi="Arial"/>
          <w:noProof/>
          <w:sz w:val="16"/>
          <w:szCs w:val="16"/>
          <w:lang w:eastAsia="en-GB"/>
        </w:rPr>
      </w:pPr>
    </w:p>
    <w:p>
      <w:pPr>
        <w:pStyle w:val="Normal182"/>
        <w:suppressAutoHyphens w:val="0"/>
        <w:spacing w:before="60" w:after="60"/>
        <w:jc w:val="both"/>
        <w:rPr>
          <w:rFonts w:ascii="Arial" w:hAnsi="Arial"/>
          <w:noProof/>
          <w:sz w:val="16"/>
          <w:szCs w:val="16"/>
        </w:rPr>
      </w:pPr>
      <w:r>
        <w:rPr>
          <w:rFonts w:ascii="Arial" w:hAnsi="Arial"/>
          <w:noProof/>
          <w:sz w:val="16"/>
          <w:szCs w:val="16"/>
        </w:rPr>
        <w:t>Nuo užsienio valiutos kurso rizikos, kylančios, kai operacijos išreiškiamos JAV doleriais, turi būti apsidraudžiama agreguotuoju pagrindu, naudojant euro ir JAV dolerio apsikeitimo sandorius, kurie periodiškai pratęsiami ir kurių suma periodiškai patikslinama. Naudojant užsienio valiutų apsikeitimo sandorius siekiama dviejų tikslų. Viena vertus, gauti lėšų, reikalingų naujoms išmokoms (paskolos ir nuosavas turtas), kita vertus, išlaikyti užsienio valiutos makrolygio rizikos draudimą.</w:t>
      </w:r>
    </w:p>
    <w:p>
      <w:pPr>
        <w:pStyle w:val="Normal182"/>
        <w:suppressAutoHyphens w:val="0"/>
        <w:spacing w:before="60" w:after="60"/>
        <w:jc w:val="both"/>
        <w:rPr>
          <w:rFonts w:ascii="Arial" w:hAnsi="Arial"/>
          <w:noProof/>
          <w:sz w:val="16"/>
          <w:szCs w:val="16"/>
          <w:lang w:eastAsia="en-GB"/>
        </w:rPr>
      </w:pPr>
    </w:p>
    <w:p>
      <w:pPr>
        <w:pStyle w:val="Normal182"/>
        <w:suppressAutoHyphens w:val="0"/>
        <w:spacing w:before="60" w:after="60"/>
        <w:jc w:val="both"/>
        <w:rPr>
          <w:rFonts w:ascii="Arial" w:hAnsi="Arial"/>
          <w:noProof/>
          <w:sz w:val="16"/>
          <w:szCs w:val="16"/>
        </w:rPr>
      </w:pPr>
      <w:r>
        <w:rPr>
          <w:rFonts w:ascii="Arial" w:hAnsi="Arial"/>
          <w:noProof/>
          <w:sz w:val="16"/>
          <w:szCs w:val="16"/>
        </w:rPr>
        <w:t xml:space="preserve">Atsižvelgiant į planuojamas ar tikėtinas grįžtamąsias lėšas ar lėšų išmokėjimą, kiekvieno laikotarpio pradžioje nustatomi būsimojo laikotarpio JAV doleriais gautini ar mokėtini pinigų srautai. Kartu pratęsiami užsienio valiutos apsikeitimo sandoriai, kurių galiojimas baigiasi, o jų suma patikslinama taip, kad padengtų bent jau būsimu laikotarpiu numatomus likvidumo poreikius JAV doleriais. </w:t>
      </w:r>
    </w:p>
    <w:p>
      <w:pPr>
        <w:pStyle w:val="Normal182"/>
        <w:suppressAutoHyphens w:val="0"/>
        <w:spacing w:before="60" w:after="60"/>
        <w:jc w:val="both"/>
        <w:rPr>
          <w:rFonts w:ascii="Arial" w:hAnsi="Arial"/>
          <w:noProof/>
          <w:sz w:val="16"/>
          <w:szCs w:val="16"/>
          <w:lang w:eastAsia="en-GB"/>
        </w:rPr>
      </w:pPr>
    </w:p>
    <w:p>
      <w:pPr>
        <w:pStyle w:val="Normal114"/>
        <w:suppressAutoHyphens w:val="0"/>
        <w:spacing w:before="60" w:after="60"/>
        <w:jc w:val="both"/>
        <w:rPr>
          <w:rFonts w:ascii="Arial" w:hAnsi="Arial"/>
          <w:noProof/>
          <w:sz w:val="16"/>
          <w:szCs w:val="16"/>
        </w:rPr>
      </w:pPr>
      <w:r>
        <w:rPr>
          <w:rFonts w:ascii="Arial" w:hAnsi="Arial"/>
          <w:noProof/>
          <w:sz w:val="16"/>
          <w:szCs w:val="16"/>
        </w:rPr>
        <w:t>Kas mėnesį JAV dolerių užsienio valiutos kurso pozicija yra apdraudžiama, jei viršija atitinkamas ribas, sudarant neatidėliotinus valiutos keitimo sandorius arba išankstinius sandorius.</w:t>
      </w:r>
    </w:p>
    <w:p>
      <w:pPr>
        <w:pStyle w:val="Normal182"/>
        <w:suppressAutoHyphens w:val="0"/>
        <w:spacing w:before="60" w:after="60"/>
        <w:jc w:val="both"/>
        <w:rPr>
          <w:rFonts w:ascii="Arial" w:hAnsi="Arial"/>
          <w:noProof/>
          <w:sz w:val="16"/>
          <w:szCs w:val="16"/>
          <w:lang w:eastAsia="en-GB"/>
        </w:rPr>
      </w:pPr>
    </w:p>
    <w:p>
      <w:pPr>
        <w:pStyle w:val="Normal114"/>
        <w:suppressAutoHyphens w:val="0"/>
        <w:spacing w:before="60" w:after="60"/>
        <w:jc w:val="both"/>
        <w:rPr>
          <w:rFonts w:ascii="Arial" w:hAnsi="Arial"/>
          <w:noProof/>
          <w:sz w:val="16"/>
          <w:szCs w:val="16"/>
        </w:rPr>
      </w:pPr>
      <w:r>
        <w:rPr>
          <w:rFonts w:ascii="Arial" w:hAnsi="Arial"/>
          <w:noProof/>
          <w:sz w:val="16"/>
          <w:szCs w:val="16"/>
        </w:rPr>
        <w:t xml:space="preserve">Nenumatytas likvidumo JAV doleriais trūkumas pratęsimo laikotarpiu gali būti dengiamas sudarant </w:t>
      </w:r>
      <w:r>
        <w:rPr>
          <w:rFonts w:ascii="Arial" w:hAnsi="Arial"/>
          <w:i/>
          <w:iCs/>
          <w:noProof/>
          <w:sz w:val="16"/>
          <w:szCs w:val="16"/>
        </w:rPr>
        <w:t>ad hoc</w:t>
      </w:r>
      <w:r>
        <w:rPr>
          <w:rFonts w:ascii="Arial" w:hAnsi="Arial"/>
          <w:noProof/>
          <w:sz w:val="16"/>
          <w:szCs w:val="16"/>
        </w:rPr>
        <w:t xml:space="preserve"> užsienio valiutos apsikeitimo sandorius, o dėl užsienio valiutos kurso pozicijos didinimo atsiradęs likvidžių lėšų perteklius investuojamas į iždo turtą arba iškeičiamas į eurus.</w:t>
      </w:r>
    </w:p>
    <w:p>
      <w:pPr>
        <w:pStyle w:val="Normal114"/>
        <w:suppressAutoHyphens w:val="0"/>
        <w:rPr>
          <w:rFonts w:ascii="Arial" w:hAnsi="Arial"/>
          <w:noProof/>
          <w:sz w:val="16"/>
          <w:szCs w:val="16"/>
        </w:rPr>
      </w:pPr>
      <w:r>
        <w:rPr>
          <w:noProof/>
        </w:rPr>
        <w:br w:type="page"/>
      </w:r>
    </w:p>
    <w:p>
      <w:pPr>
        <w:pStyle w:val="Notes25"/>
        <w:numPr>
          <w:ilvl w:val="4"/>
          <w:numId w:val="99"/>
        </w:numPr>
        <w:tabs>
          <w:tab w:val="clear" w:pos="4320"/>
          <w:tab w:val="clear" w:pos="8640"/>
          <w:tab w:val="right" w:pos="-2700"/>
        </w:tabs>
        <w:spacing w:before="60" w:after="0"/>
        <w:rPr>
          <w:noProof/>
          <w:sz w:val="16"/>
          <w:szCs w:val="16"/>
        </w:rPr>
      </w:pPr>
      <w:r>
        <w:rPr>
          <w:noProof/>
          <w:sz w:val="16"/>
          <w:szCs w:val="16"/>
        </w:rPr>
        <w:t>Kitomis nei euras ar JAV doleris valiutomis atliekamų operacijų apdraudimas</w:t>
      </w:r>
    </w:p>
    <w:p>
      <w:pPr>
        <w:pStyle w:val="Normal114"/>
        <w:suppressAutoHyphens w:val="0"/>
        <w:spacing w:after="60"/>
        <w:jc w:val="both"/>
        <w:rPr>
          <w:rFonts w:ascii="Arial" w:hAnsi="Arial"/>
          <w:noProof/>
          <w:sz w:val="16"/>
          <w:szCs w:val="16"/>
          <w:lang w:eastAsia="en-GB"/>
        </w:rPr>
      </w:pPr>
    </w:p>
    <w:p>
      <w:pPr>
        <w:pStyle w:val="Normal114"/>
        <w:suppressAutoHyphens w:val="0"/>
        <w:spacing w:before="60" w:after="60"/>
        <w:jc w:val="both"/>
        <w:rPr>
          <w:rFonts w:ascii="Arial" w:hAnsi="Arial"/>
          <w:noProof/>
          <w:sz w:val="16"/>
          <w:szCs w:val="16"/>
        </w:rPr>
      </w:pPr>
      <w:r>
        <w:rPr>
          <w:rFonts w:ascii="Arial" w:hAnsi="Arial"/>
          <w:noProof/>
          <w:sz w:val="16"/>
          <w:szCs w:val="16"/>
        </w:rPr>
        <w:t>Kitomis nei euras ar JAV doleris valiutomis išreikštos IP operacijos apdraudžiamos tokio paties finansinio profilio kaip susijusi paskola skirtingų valiutų apsikeitimo sandoriais su sąlyga, kad veikia apsikeitimo sandorių rinka.</w:t>
      </w:r>
    </w:p>
    <w:p>
      <w:pPr>
        <w:pStyle w:val="Normal114"/>
        <w:suppressAutoHyphens w:val="0"/>
        <w:spacing w:before="60" w:after="60"/>
        <w:jc w:val="both"/>
        <w:rPr>
          <w:rFonts w:ascii="Arial" w:hAnsi="Arial"/>
          <w:noProof/>
          <w:sz w:val="16"/>
          <w:szCs w:val="16"/>
          <w:lang w:eastAsia="en-GB"/>
        </w:rPr>
      </w:pPr>
    </w:p>
    <w:p>
      <w:pPr>
        <w:pStyle w:val="Normal1800"/>
        <w:suppressAutoHyphens w:val="0"/>
        <w:spacing w:before="60" w:after="60"/>
        <w:jc w:val="both"/>
        <w:rPr>
          <w:rFonts w:ascii="Arial" w:hAnsi="Arial"/>
          <w:noProof/>
          <w:sz w:val="16"/>
          <w:szCs w:val="16"/>
        </w:rPr>
      </w:pPr>
      <w:r>
        <w:rPr>
          <w:rFonts w:ascii="Arial" w:hAnsi="Arial"/>
          <w:noProof/>
          <w:sz w:val="16"/>
          <w:szCs w:val="16"/>
        </w:rPr>
        <w:t>Pagal IP vykdomos operacijos, išreiškiamos tokiomis valiutomis, kurioms negalima pritaikyti apsidraudimo galimybių arba toks apsidraudimas brangiai kainuoja. Šios operacijos išreikštos vietos valiutomis, tačiau atliktos eurais arba JAV doleriais. IP finansinės rizikos programoje, kurią 2015 m. sausio 22 d. patvirtino IP komitetas, nustatyta galimybė sintetiniu būdu apsidrausti nuo užsienio valiutos kurso pozicijos rizikos vietos valiutų, kurios yra stipriai teigiamai susietos su JAV doleriais, atveju, taikant JAV doleriais išreikštas išvestines finansines priemones. Vietos valiutos, kurios apsaugomos sintetiniu būdu, taikant JAV doleriais išreikštas išvestines finansines priemones, nurodytos 3.4.2.2.3 skirsnio lentelėje „Vietos valiutos (pagal sintetinį apsidraudimą)“, o vietos valiutos, kurioms netaikomas šis sintetinis apsidraudimas, nurodytos toje pačioje lentelėje kaip „Vietos valiutos (ne pagal sintetinį apsidraudimą)“.</w:t>
      </w:r>
    </w:p>
    <w:p>
      <w:pPr>
        <w:pStyle w:val="Notes25"/>
        <w:tabs>
          <w:tab w:val="clear" w:pos="4320"/>
          <w:tab w:val="clear" w:pos="8640"/>
          <w:tab w:val="right" w:pos="-2700"/>
        </w:tabs>
        <w:spacing w:before="60" w:after="60"/>
        <w:ind w:left="1021" w:firstLine="0"/>
        <w:rPr>
          <w:noProof/>
          <w:sz w:val="16"/>
          <w:szCs w:val="16"/>
        </w:rPr>
      </w:pPr>
    </w:p>
    <w:p>
      <w:pPr>
        <w:pStyle w:val="Notes25"/>
        <w:numPr>
          <w:ilvl w:val="4"/>
          <w:numId w:val="99"/>
        </w:numPr>
        <w:tabs>
          <w:tab w:val="clear" w:pos="4320"/>
          <w:tab w:val="clear" w:pos="8640"/>
          <w:tab w:val="right" w:pos="-2700"/>
        </w:tabs>
        <w:spacing w:before="60" w:after="0"/>
        <w:rPr>
          <w:noProof/>
          <w:sz w:val="16"/>
          <w:szCs w:val="16"/>
        </w:rPr>
      </w:pPr>
      <w:r>
        <w:rPr>
          <w:noProof/>
          <w:sz w:val="16"/>
          <w:szCs w:val="16"/>
        </w:rPr>
        <w:t>Užsienio valiutos kurso pozicija (tūkst. EUR)</w:t>
      </w:r>
    </w:p>
    <w:p>
      <w:pPr>
        <w:pStyle w:val="Notes26"/>
        <w:tabs>
          <w:tab w:val="clear" w:pos="4320"/>
          <w:tab w:val="clear" w:pos="8640"/>
          <w:tab w:val="right" w:pos="-2700"/>
        </w:tabs>
        <w:spacing w:before="0" w:after="60"/>
        <w:ind w:left="1021" w:firstLine="0"/>
        <w:rPr>
          <w:noProof/>
          <w:sz w:val="16"/>
          <w:szCs w:val="16"/>
        </w:rPr>
      </w:pPr>
    </w:p>
    <w:p>
      <w:pPr>
        <w:pStyle w:val="Notes210"/>
        <w:tabs>
          <w:tab w:val="right" w:pos="-2700"/>
        </w:tabs>
        <w:spacing w:before="60" w:after="60"/>
        <w:ind w:left="0" w:firstLine="0"/>
        <w:rPr>
          <w:b w:val="0"/>
          <w:noProof/>
          <w:sz w:val="16"/>
          <w:szCs w:val="16"/>
        </w:rPr>
      </w:pPr>
      <w:r>
        <w:rPr>
          <w:b w:val="0"/>
          <w:noProof/>
          <w:sz w:val="16"/>
          <w:szCs w:val="16"/>
        </w:rPr>
        <w:t>Šios pastabos lentelėse nurodoma Priemonės užsienio valiutos kurso pozicija.</w:t>
      </w:r>
    </w:p>
    <w:p>
      <w:pPr>
        <w:pStyle w:val="Notes210"/>
        <w:tabs>
          <w:tab w:val="right" w:pos="-2700"/>
        </w:tabs>
        <w:spacing w:before="60" w:after="60"/>
        <w:ind w:left="0" w:firstLine="0"/>
        <w:rPr>
          <w:b w:val="0"/>
          <w:noProof/>
          <w:sz w:val="16"/>
          <w:szCs w:val="16"/>
        </w:rPr>
      </w:pPr>
    </w:p>
    <w:p>
      <w:pPr>
        <w:pStyle w:val="Normal1810"/>
        <w:suppressAutoHyphens w:val="0"/>
        <w:spacing w:before="60" w:after="60"/>
        <w:jc w:val="both"/>
        <w:rPr>
          <w:rFonts w:ascii="Arial" w:hAnsi="Arial"/>
          <w:noProof/>
          <w:sz w:val="16"/>
          <w:szCs w:val="16"/>
        </w:rPr>
      </w:pPr>
      <w:r>
        <w:rPr>
          <w:rFonts w:ascii="Arial" w:hAnsi="Arial"/>
          <w:noProof/>
          <w:sz w:val="16"/>
          <w:szCs w:val="16"/>
        </w:rPr>
        <w:t>Užsienio valiutos kurso pozicija nurodyta toliau pateikiamose lentelėse pagal IP rizikos politiką (aprašytą IF finansinės rizikos programoje). Užsienio valiutos kurso pozicija taikant rizikos politiką yra grindžiama apskaitos duomenimis ir apibrėžiama kaip pasirinkto turto ir įsipareigojimų likutis. Užsienio valiutos kurso pozicijoje taikant rizikos politiką apibrėžti turtas ir įsipareigojimai pasirenkami taip, kad būtų užtikrinta, jog gautos pajamos būtų perskaičiuojamos tik į atskaitomybės valiutą (EUR).</w:t>
      </w:r>
    </w:p>
    <w:p>
      <w:pPr>
        <w:pStyle w:val="Normal1810"/>
        <w:suppressAutoHyphens w:val="0"/>
        <w:spacing w:before="60" w:after="60"/>
        <w:jc w:val="both"/>
        <w:rPr>
          <w:rFonts w:ascii="Arial" w:hAnsi="Arial"/>
          <w:noProof/>
          <w:sz w:val="16"/>
          <w:szCs w:val="16"/>
          <w:lang w:eastAsia="en-GB"/>
        </w:rPr>
      </w:pPr>
    </w:p>
    <w:p>
      <w:pPr>
        <w:pStyle w:val="Normal1810"/>
        <w:suppressAutoHyphens w:val="0"/>
        <w:spacing w:before="60" w:after="60"/>
        <w:jc w:val="both"/>
        <w:rPr>
          <w:rFonts w:ascii="Arial" w:hAnsi="Arial"/>
          <w:noProof/>
          <w:sz w:val="16"/>
          <w:szCs w:val="16"/>
        </w:rPr>
      </w:pPr>
      <w:r>
        <w:rPr>
          <w:rFonts w:ascii="Arial" w:hAnsi="Arial"/>
          <w:noProof/>
          <w:sz w:val="16"/>
          <w:szCs w:val="16"/>
        </w:rPr>
        <w:t>Akcijų ir kitų kintamo pelningumo vertybinių popierių tikrosios vertės pokytis yra įtraukiamas į užsienio valiutos kurso poziciją taikant rizikos politiką, kaip ir paskolų bei išankstinių mokėjimų vertės sumažėjimas. Į užsienio valiutos kurso poziciją taikant rizikos politiką įtrauktos išvestinės finansinės priemonės vertinamos nominaliąja, o ne tikrąja verte, kad būtų suderintos su turto, kuris taip pat vertinamas nominaliąja verte, patikslinta pagal paskolų vertės sumažėjimą, išlaikyta verte.</w:t>
      </w:r>
    </w:p>
    <w:p>
      <w:pPr>
        <w:pStyle w:val="Normal1810"/>
        <w:suppressAutoHyphens w:val="0"/>
        <w:spacing w:before="60" w:after="60"/>
        <w:jc w:val="both"/>
        <w:rPr>
          <w:rFonts w:ascii="Arial" w:hAnsi="Arial"/>
          <w:noProof/>
          <w:sz w:val="16"/>
        </w:rPr>
      </w:pPr>
    </w:p>
    <w:p>
      <w:pPr>
        <w:pStyle w:val="Normal115"/>
        <w:suppressAutoHyphens w:val="0"/>
        <w:jc w:val="both"/>
        <w:rPr>
          <w:rFonts w:ascii="Arial" w:hAnsi="Arial"/>
          <w:noProof/>
          <w:sz w:val="16"/>
          <w:szCs w:val="16"/>
        </w:rPr>
      </w:pPr>
      <w:r>
        <w:rPr>
          <w:rFonts w:ascii="Arial" w:hAnsi="Arial"/>
          <w:noProof/>
          <w:sz w:val="16"/>
          <w:szCs w:val="16"/>
        </w:rPr>
        <w:t>Toliau pateikiamose lentelėse likusi turto ir įsipareigojimų dalis, kurią pirmiausia sudaro susikaupusios paskolų, išvestinių finansinių priemonių ir subsidijų palūkanos, pateikiama kaip „Užsienio valiutos kurso pozicija netaikant rizikos politikos“.</w:t>
      </w:r>
    </w:p>
    <w:p>
      <w:pPr>
        <w:pStyle w:val="Normal115"/>
        <w:suppressAutoHyphens w:val="0"/>
        <w:spacing w:before="60" w:after="60"/>
        <w:rPr>
          <w:rFonts w:ascii="Arial" w:hAnsi="Arial"/>
          <w:noProof/>
          <w:sz w:val="16"/>
          <w:szCs w:val="16"/>
          <w:lang w:eastAsia="en-GB"/>
        </w:rPr>
      </w:pPr>
    </w:p>
    <w:tbl>
      <w:tblPr>
        <w:tblStyle w:val="CDMRange29"/>
        <w:tblW w:w="9975" w:type="dxa"/>
        <w:tblLayout w:type="fixed"/>
        <w:tblLook w:val="0600" w:firstRow="0" w:lastRow="0" w:firstColumn="0" w:lastColumn="0" w:noHBand="1" w:noVBand="1"/>
      </w:tblPr>
      <w:tblGrid>
        <w:gridCol w:w="2625"/>
        <w:gridCol w:w="1800"/>
        <w:gridCol w:w="1800"/>
        <w:gridCol w:w="1800"/>
        <w:gridCol w:w="150"/>
        <w:gridCol w:w="1800"/>
      </w:tblGrid>
      <w:tr>
        <w:trPr>
          <w:trHeight w:val="430"/>
        </w:trPr>
        <w:tc>
          <w:tcPr>
            <w:tcW w:w="262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hAnsi="Arial"/>
                <w:b/>
                <w:noProof/>
                <w:color w:val="000000"/>
                <w:sz w:val="16"/>
              </w:rPr>
              <w:t>2019 m. gruodžio 31 d.</w:t>
            </w:r>
          </w:p>
        </w:tc>
        <w:tc>
          <w:tcPr>
            <w:tcW w:w="5400" w:type="dxa"/>
            <w:gridSpan w:val="3"/>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Turtas ir įsipareigojimai</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6"/>
              <w:jc w:val="center"/>
              <w:rPr>
                <w:rFonts w:ascii="Arial" w:eastAsia="Arial" w:hAnsi="Arial" w:cs="Arial"/>
                <w:b/>
                <w:noProof/>
                <w:color w:val="000000"/>
                <w:sz w:val="16"/>
              </w:rPr>
            </w:pPr>
          </w:p>
        </w:tc>
        <w:tc>
          <w:tcPr>
            <w:tcW w:w="180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Įsipareigojimai ir neapibrėžtieji įsipareigojimai</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625" w:type="dxa"/>
            <w:tcBorders>
              <w:top w:val="single" w:sz="4" w:space="0" w:color="000000"/>
              <w:left w:val="nil"/>
              <w:bottom w:val="nil"/>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hAnsi="Arial"/>
                <w:b/>
                <w:noProof/>
                <w:color w:val="000000"/>
                <w:sz w:val="16"/>
              </w:rPr>
              <w:t>Valiutos</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Užsienio valiutos kurso pozicija taikant rizikos politiką</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Užsienio valiutos kurso pozicija netaikant rizikos politikos</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Užsienio valiutos kurso pozicija balanso sudarymo dieną</w:t>
            </w:r>
          </w:p>
        </w:tc>
        <w:tc>
          <w:tcPr>
            <w:tcW w:w="150" w:type="dxa"/>
            <w:tcBorders>
              <w:top w:val="nil"/>
              <w:left w:val="nil"/>
              <w:bottom w:val="nil"/>
              <w:right w:val="nil"/>
              <w:tl2br w:val="nil"/>
              <w:tr2bl w:val="nil"/>
            </w:tcBorders>
            <w:shd w:val="clear" w:color="FFFFFF" w:fill="FFFFFF"/>
            <w:tcMar>
              <w:left w:w="0" w:type="dxa"/>
              <w:right w:w="0" w:type="dxa"/>
            </w:tcMar>
            <w:vAlign w:val="center"/>
          </w:tcPr>
          <w:p>
            <w:pPr>
              <w:pStyle w:val="Normal116"/>
              <w:jc w:val="center"/>
              <w:rPr>
                <w:rFonts w:ascii="Arial" w:eastAsia="Arial" w:hAnsi="Arial" w:cs="Arial"/>
                <w:noProof/>
                <w:color w:val="000000"/>
                <w:sz w:val="16"/>
              </w:rPr>
            </w:pPr>
          </w:p>
        </w:tc>
        <w:tc>
          <w:tcPr>
            <w:tcW w:w="180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pPr>
              <w:pStyle w:val="Normal116"/>
              <w:rPr>
                <w:rFonts w:ascii="Arial" w:eastAsia="Arial" w:hAnsi="Arial" w:cs="Arial"/>
                <w:b/>
                <w:i/>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hAnsi="Arial"/>
                <w:b/>
                <w:noProof/>
                <w:color w:val="000000"/>
                <w:sz w:val="16"/>
              </w:rPr>
              <w:t>USD</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−103 746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−56 632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−160 378</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637 693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116"/>
              <w:rPr>
                <w:rFonts w:ascii="Arial" w:eastAsia="Arial" w:hAnsi="Arial" w:cs="Arial"/>
                <w:i/>
                <w:noProof/>
                <w:color w:val="000000"/>
                <w:sz w:val="16"/>
              </w:rPr>
            </w:pPr>
            <w:r>
              <w:rPr>
                <w:rFonts w:ascii="Arial" w:hAnsi="Arial"/>
                <w:i/>
                <w:noProof/>
                <w:color w:val="000000"/>
                <w:sz w:val="16"/>
              </w:rPr>
              <w:t xml:space="preserve">Vietos valiutos </w:t>
            </w:r>
          </w:p>
          <w:p>
            <w:pPr>
              <w:pStyle w:val="Normal116"/>
              <w:rPr>
                <w:rFonts w:ascii="Arial" w:eastAsia="Arial" w:hAnsi="Arial" w:cs="Arial"/>
                <w:i/>
                <w:noProof/>
                <w:color w:val="000000"/>
                <w:sz w:val="16"/>
              </w:rPr>
            </w:pPr>
            <w:r>
              <w:rPr>
                <w:rFonts w:ascii="Arial" w:hAnsi="Arial"/>
                <w:i/>
                <w:noProof/>
                <w:color w:val="000000"/>
                <w:sz w:val="16"/>
              </w:rPr>
              <w:t>(pagal sintetinį apsidraudimą)*</w:t>
            </w: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116"/>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116"/>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116"/>
              <w:rPr>
                <w:rFonts w:ascii="Arial" w:eastAsia="Arial" w:hAnsi="Arial" w:cs="Arial"/>
                <w:i/>
                <w:noProof/>
                <w:color w:val="000000"/>
                <w:sz w:val="16"/>
              </w:rPr>
            </w:pP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pPr>
              <w:pStyle w:val="Normal116"/>
              <w:jc w:val="center"/>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hAnsi="Arial"/>
                <w:b/>
                <w:noProof/>
                <w:color w:val="000000"/>
                <w:sz w:val="16"/>
              </w:rPr>
              <w:t>KES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29 472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464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29 936</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hAnsi="Arial"/>
                <w:b/>
                <w:noProof/>
                <w:color w:val="000000"/>
                <w:sz w:val="16"/>
              </w:rPr>
              <w:t>TZS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48 092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354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48 446</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hAnsi="Arial"/>
                <w:b/>
                <w:noProof/>
                <w:color w:val="000000"/>
                <w:sz w:val="16"/>
              </w:rPr>
              <w:t>DOP</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25 383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602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25 985</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hAnsi="Arial"/>
                <w:b/>
                <w:noProof/>
                <w:color w:val="000000"/>
                <w:sz w:val="16"/>
              </w:rPr>
              <w:t>UGX</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37 132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574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37 706</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hAnsi="Arial"/>
                <w:b/>
                <w:noProof/>
                <w:color w:val="000000"/>
                <w:sz w:val="16"/>
              </w:rPr>
              <w:t>RWF</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30 766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47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30 813</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116"/>
              <w:rPr>
                <w:rFonts w:ascii="Arial" w:eastAsia="Arial" w:hAnsi="Arial" w:cs="Arial"/>
                <w:i/>
                <w:noProof/>
                <w:color w:val="000000"/>
                <w:sz w:val="16"/>
              </w:rPr>
            </w:pPr>
            <w:r>
              <w:rPr>
                <w:rFonts w:ascii="Arial" w:hAnsi="Arial"/>
                <w:i/>
                <w:noProof/>
                <w:color w:val="000000"/>
                <w:sz w:val="16"/>
              </w:rPr>
              <w:t xml:space="preserve">Vietos valiutos </w:t>
            </w:r>
          </w:p>
          <w:p>
            <w:pPr>
              <w:pStyle w:val="Normal116"/>
              <w:rPr>
                <w:rFonts w:ascii="Arial" w:eastAsia="Arial" w:hAnsi="Arial" w:cs="Arial"/>
                <w:i/>
                <w:noProof/>
                <w:color w:val="000000"/>
                <w:sz w:val="16"/>
              </w:rPr>
            </w:pPr>
            <w:r>
              <w:rPr>
                <w:rFonts w:ascii="Arial" w:hAnsi="Arial"/>
                <w:i/>
                <w:noProof/>
                <w:color w:val="000000"/>
                <w:sz w:val="16"/>
              </w:rPr>
              <w:t>(ne pagal sintetinį apsidraudimą)*</w:t>
            </w: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116"/>
              <w:jc w:val="center"/>
              <w:rPr>
                <w:rFonts w:ascii="Arial" w:eastAsia="Arial" w:hAnsi="Arial" w:cs="Arial"/>
                <w:noProof/>
                <w:color w:val="000000"/>
                <w:sz w:val="16"/>
              </w:rPr>
            </w:pP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pPr>
              <w:pStyle w:val="Normal116"/>
              <w:jc w:val="center"/>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116"/>
              <w:rPr>
                <w:rFonts w:ascii="Arial" w:eastAsia="Arial" w:hAnsi="Arial" w:cs="Arial"/>
                <w:b/>
                <w:noProof/>
                <w:color w:val="000000"/>
                <w:sz w:val="16"/>
              </w:rPr>
            </w:pPr>
            <w:r>
              <w:rPr>
                <w:rFonts w:ascii="Arial" w:hAnsi="Arial"/>
                <w:b/>
                <w:noProof/>
                <w:color w:val="000000"/>
                <w:sz w:val="16"/>
              </w:rPr>
              <w:t>HTG, MUR, MZN, XOF, ZMW, BWP, JMD, NGN, ZAR</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99 864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−530</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99 334</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C0C0C0"/>
            <w:tcMar>
              <w:left w:w="40" w:type="dxa"/>
              <w:right w:w="40" w:type="dxa"/>
            </w:tcMar>
            <w:vAlign w:val="center"/>
          </w:tcPr>
          <w:p>
            <w:pPr>
              <w:pStyle w:val="Normal116"/>
              <w:rPr>
                <w:rFonts w:ascii="Arial" w:eastAsia="Arial" w:hAnsi="Arial" w:cs="Arial"/>
                <w:b/>
                <w:noProof/>
                <w:color w:val="000000"/>
                <w:sz w:val="16"/>
              </w:rPr>
            </w:pPr>
            <w:r>
              <w:rPr>
                <w:rFonts w:ascii="Arial" w:hAnsi="Arial"/>
                <w:b/>
                <w:noProof/>
                <w:color w:val="000000"/>
                <w:sz w:val="16"/>
              </w:rPr>
              <w:t>Iš viso kita nei EUR valiuta</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166 963</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−55 121</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111 842</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6"/>
              <w:jc w:val="center"/>
              <w:rPr>
                <w:rFonts w:ascii="Arial" w:eastAsia="Arial" w:hAnsi="Arial" w:cs="Arial"/>
                <w:b/>
                <w:noProof/>
                <w:color w:val="000000"/>
                <w:sz w:val="16"/>
              </w:rPr>
            </w:pP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637 693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85"/>
        </w:trPr>
        <w:tc>
          <w:tcPr>
            <w:tcW w:w="262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hAnsi="Arial"/>
                <w:b/>
                <w:noProof/>
                <w:color w:val="000000"/>
                <w:sz w:val="16"/>
              </w:rPr>
              <w:t>EUR</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3 075 194</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3 075 194</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6"/>
              <w:jc w:val="center"/>
              <w:rPr>
                <w:rFonts w:ascii="Arial" w:eastAsia="Arial" w:hAnsi="Arial" w:cs="Arial"/>
                <w:b/>
                <w:noProof/>
                <w:color w:val="000000"/>
                <w:sz w:val="16"/>
              </w:rPr>
            </w:pP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2 741 023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62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hAnsi="Arial"/>
                <w:b/>
                <w:noProof/>
                <w:color w:val="000000"/>
                <w:sz w:val="16"/>
              </w:rPr>
              <w:t>Iš viso EUR ir ne EUR</w:t>
            </w: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166 963</w:t>
            </w: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3 020 073</w:t>
            </w: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bCs/>
                <w:noProof/>
                <w:sz w:val="16"/>
                <w:szCs w:val="16"/>
              </w:rPr>
              <w:t>3 187 036</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6"/>
              <w:jc w:val="center"/>
              <w:rPr>
                <w:rFonts w:ascii="Arial" w:eastAsia="Arial" w:hAnsi="Arial" w:cs="Arial"/>
                <w:noProof/>
                <w:color w:val="000000"/>
                <w:sz w:val="16"/>
              </w:rPr>
            </w:pP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3 378 716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975" w:type="dxa"/>
            <w:gridSpan w:val="6"/>
            <w:tcBorders>
              <w:top w:val="nil"/>
              <w:left w:val="nil"/>
              <w:bottom w:val="nil"/>
              <w:right w:val="nil"/>
              <w:tl2br w:val="nil"/>
              <w:tr2bl w:val="nil"/>
            </w:tcBorders>
            <w:shd w:val="clear" w:color="FFFFFF" w:fill="FFFFFF"/>
            <w:tcMar>
              <w:left w:w="40" w:type="dxa"/>
              <w:right w:w="40" w:type="dxa"/>
            </w:tcMar>
          </w:tcPr>
          <w:p>
            <w:pPr>
              <w:pStyle w:val="Normal116"/>
              <w:spacing w:before="40"/>
              <w:jc w:val="both"/>
              <w:rPr>
                <w:rFonts w:ascii="Arial" w:eastAsia="Arial" w:hAnsi="Arial" w:cs="Arial"/>
                <w:noProof/>
                <w:color w:val="000000"/>
                <w:sz w:val="16"/>
              </w:rPr>
            </w:pPr>
            <w:r>
              <w:rPr>
                <w:rFonts w:ascii="Arial" w:hAnsi="Arial"/>
                <w:noProof/>
                <w:color w:val="000000"/>
                <w:sz w:val="16"/>
              </w:rPr>
              <w:t>* Išsamiau apie sintetinį apsidraudimą žr. 3.4.2.2.2 skirsnyje.</w:t>
            </w:r>
          </w:p>
        </w:tc>
      </w:tr>
    </w:tbl>
    <w:tbl>
      <w:tblPr>
        <w:tblStyle w:val="CDMRange110"/>
        <w:tblW w:w="9975" w:type="dxa"/>
        <w:tblLayout w:type="fixed"/>
        <w:tblLook w:val="0600" w:firstRow="0" w:lastRow="0" w:firstColumn="0" w:lastColumn="0" w:noHBand="1" w:noVBand="1"/>
      </w:tblPr>
      <w:tblGrid>
        <w:gridCol w:w="2625"/>
        <w:gridCol w:w="1800"/>
        <w:gridCol w:w="1800"/>
        <w:gridCol w:w="1800"/>
        <w:gridCol w:w="150"/>
        <w:gridCol w:w="1800"/>
      </w:tblGrid>
      <w:tr>
        <w:trPr>
          <w:trHeight w:val="430"/>
        </w:trPr>
        <w:tc>
          <w:tcPr>
            <w:tcW w:w="262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7"/>
              <w:pageBreakBefore/>
              <w:rPr>
                <w:rFonts w:ascii="Arial" w:eastAsia="Arial" w:hAnsi="Arial" w:cs="Arial"/>
                <w:b/>
                <w:noProof/>
                <w:color w:val="000000"/>
                <w:sz w:val="16"/>
              </w:rPr>
            </w:pPr>
            <w:r>
              <w:rPr>
                <w:rFonts w:ascii="Arial" w:hAnsi="Arial"/>
                <w:b/>
                <w:noProof/>
                <w:color w:val="000000"/>
                <w:sz w:val="16"/>
              </w:rPr>
              <w:t>2018 m. gruodžio 31 d.</w:t>
            </w:r>
          </w:p>
        </w:tc>
        <w:tc>
          <w:tcPr>
            <w:tcW w:w="5400" w:type="dxa"/>
            <w:gridSpan w:val="3"/>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Turtas ir įsipareigojimai</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7"/>
              <w:jc w:val="center"/>
              <w:rPr>
                <w:rFonts w:ascii="Arial" w:eastAsia="Arial" w:hAnsi="Arial" w:cs="Arial"/>
                <w:b/>
                <w:noProof/>
                <w:color w:val="000000"/>
                <w:sz w:val="16"/>
              </w:rPr>
            </w:pPr>
          </w:p>
        </w:tc>
        <w:tc>
          <w:tcPr>
            <w:tcW w:w="180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Įsipareigojimai ir neapibrėžtieji įsipareigojimai</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625" w:type="dxa"/>
            <w:tcBorders>
              <w:top w:val="single" w:sz="4" w:space="0" w:color="000000"/>
              <w:left w:val="nil"/>
              <w:bottom w:val="nil"/>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hAnsi="Arial"/>
                <w:b/>
                <w:noProof/>
                <w:color w:val="000000"/>
                <w:sz w:val="16"/>
              </w:rPr>
              <w:t>Valiutos</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Užsienio valiutos kurso pozicija taikant rizikos politiką</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Užsienio valiutos kurso pozicija netaikant rizikos politikos</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Užsienio valiutos kurso pozicija balanso sudarymo dieną</w:t>
            </w:r>
          </w:p>
        </w:tc>
        <w:tc>
          <w:tcPr>
            <w:tcW w:w="150" w:type="dxa"/>
            <w:tcBorders>
              <w:top w:val="nil"/>
              <w:left w:val="nil"/>
              <w:bottom w:val="nil"/>
              <w:right w:val="nil"/>
              <w:tl2br w:val="nil"/>
              <w:tr2bl w:val="nil"/>
            </w:tcBorders>
            <w:shd w:val="clear" w:color="FFFFFF" w:fill="FFFFFF"/>
            <w:tcMar>
              <w:left w:w="0" w:type="dxa"/>
              <w:right w:w="0" w:type="dxa"/>
            </w:tcMar>
            <w:vAlign w:val="center"/>
          </w:tcPr>
          <w:p>
            <w:pPr>
              <w:pStyle w:val="Normal117"/>
              <w:jc w:val="center"/>
              <w:rPr>
                <w:rFonts w:ascii="Arial" w:eastAsia="Arial" w:hAnsi="Arial" w:cs="Arial"/>
                <w:noProof/>
                <w:color w:val="000000"/>
                <w:sz w:val="16"/>
              </w:rPr>
            </w:pPr>
          </w:p>
        </w:tc>
        <w:tc>
          <w:tcPr>
            <w:tcW w:w="180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pPr>
              <w:pStyle w:val="Normal117"/>
              <w:rPr>
                <w:rFonts w:ascii="Arial" w:eastAsia="Arial" w:hAnsi="Arial" w:cs="Arial"/>
                <w:b/>
                <w:i/>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hAnsi="Arial"/>
                <w:b/>
                <w:noProof/>
                <w:color w:val="000000"/>
                <w:sz w:val="16"/>
              </w:rPr>
              <w:t>USD</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−157 177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−52 111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−209 288</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600 271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117"/>
              <w:rPr>
                <w:rFonts w:ascii="Arial" w:eastAsia="Arial" w:hAnsi="Arial" w:cs="Arial"/>
                <w:i/>
                <w:noProof/>
                <w:color w:val="000000"/>
                <w:sz w:val="16"/>
              </w:rPr>
            </w:pPr>
            <w:r>
              <w:rPr>
                <w:rFonts w:ascii="Arial" w:hAnsi="Arial"/>
                <w:i/>
                <w:noProof/>
                <w:color w:val="000000"/>
                <w:sz w:val="16"/>
              </w:rPr>
              <w:t xml:space="preserve">Vietos valiutos </w:t>
            </w:r>
          </w:p>
          <w:p>
            <w:pPr>
              <w:pStyle w:val="Normal117"/>
              <w:rPr>
                <w:rFonts w:ascii="Arial" w:eastAsia="Arial" w:hAnsi="Arial" w:cs="Arial"/>
                <w:i/>
                <w:noProof/>
                <w:color w:val="000000"/>
                <w:sz w:val="16"/>
              </w:rPr>
            </w:pPr>
            <w:r>
              <w:rPr>
                <w:rFonts w:ascii="Arial" w:hAnsi="Arial"/>
                <w:i/>
                <w:noProof/>
                <w:color w:val="000000"/>
                <w:sz w:val="16"/>
              </w:rPr>
              <w:t>(pagal sintetinį apsidraudimą)*</w:t>
            </w: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117"/>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117"/>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117"/>
              <w:rPr>
                <w:rFonts w:ascii="Arial" w:eastAsia="Arial" w:hAnsi="Arial" w:cs="Arial"/>
                <w:i/>
                <w:noProof/>
                <w:color w:val="000000"/>
                <w:sz w:val="16"/>
              </w:rPr>
            </w:pP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pPr>
              <w:pStyle w:val="Normal117"/>
              <w:jc w:val="center"/>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hAnsi="Arial"/>
                <w:b/>
                <w:noProof/>
                <w:color w:val="000000"/>
                <w:sz w:val="16"/>
              </w:rPr>
              <w:t>KES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35 806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252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36 058</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hAnsi="Arial"/>
                <w:b/>
                <w:noProof/>
                <w:color w:val="000000"/>
                <w:sz w:val="16"/>
              </w:rPr>
              <w:t>TZS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71 195</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814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72 009</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hAnsi="Arial"/>
                <w:b/>
                <w:noProof/>
                <w:color w:val="000000"/>
                <w:sz w:val="16"/>
              </w:rPr>
              <w:t>DOP</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35 311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821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36 132</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hAnsi="Arial"/>
                <w:b/>
                <w:noProof/>
                <w:color w:val="000000"/>
                <w:sz w:val="16"/>
              </w:rPr>
              <w:t>UGX</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45 731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769</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46 500</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hAnsi="Arial"/>
                <w:b/>
                <w:noProof/>
                <w:color w:val="000000"/>
                <w:sz w:val="16"/>
              </w:rPr>
              <w:t>RWF</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24 176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17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24 193</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117"/>
              <w:rPr>
                <w:rFonts w:ascii="Arial" w:eastAsia="Arial" w:hAnsi="Arial" w:cs="Arial"/>
                <w:i/>
                <w:noProof/>
                <w:color w:val="000000"/>
                <w:sz w:val="16"/>
              </w:rPr>
            </w:pPr>
            <w:r>
              <w:rPr>
                <w:rFonts w:ascii="Arial" w:hAnsi="Arial"/>
                <w:i/>
                <w:noProof/>
                <w:color w:val="000000"/>
                <w:sz w:val="16"/>
              </w:rPr>
              <w:t xml:space="preserve">Vietos valiutos </w:t>
            </w:r>
          </w:p>
          <w:p>
            <w:pPr>
              <w:pStyle w:val="Normal117"/>
              <w:rPr>
                <w:rFonts w:ascii="Arial" w:eastAsia="Arial" w:hAnsi="Arial" w:cs="Arial"/>
                <w:i/>
                <w:noProof/>
                <w:color w:val="000000"/>
                <w:sz w:val="16"/>
              </w:rPr>
            </w:pPr>
            <w:r>
              <w:rPr>
                <w:rFonts w:ascii="Arial" w:hAnsi="Arial"/>
                <w:i/>
                <w:noProof/>
                <w:color w:val="000000"/>
                <w:sz w:val="16"/>
              </w:rPr>
              <w:t>(ne pagal sintetinį apsidraudimą)*</w:t>
            </w: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117"/>
              <w:jc w:val="center"/>
              <w:rPr>
                <w:rFonts w:ascii="Arial" w:eastAsia="Arial" w:hAnsi="Arial" w:cs="Arial"/>
                <w:noProof/>
                <w:color w:val="000000"/>
                <w:sz w:val="16"/>
              </w:rPr>
            </w:pP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117"/>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117"/>
              <w:rPr>
                <w:rFonts w:ascii="Arial" w:eastAsia="Arial" w:hAnsi="Arial" w:cs="Arial"/>
                <w:b/>
                <w:noProof/>
                <w:color w:val="000000"/>
                <w:sz w:val="16"/>
              </w:rPr>
            </w:pPr>
            <w:r>
              <w:rPr>
                <w:rFonts w:ascii="Arial" w:hAnsi="Arial"/>
                <w:b/>
                <w:noProof/>
                <w:color w:val="000000"/>
                <w:sz w:val="16"/>
              </w:rPr>
              <w:t>HTG, MUR, MZN, XOF, ZMW, BWP, JMD, NGN, ZAR</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74 265</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−432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73 833</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C0C0C0"/>
            <w:tcMar>
              <w:left w:w="40" w:type="dxa"/>
              <w:right w:w="40" w:type="dxa"/>
            </w:tcMar>
            <w:vAlign w:val="center"/>
          </w:tcPr>
          <w:p>
            <w:pPr>
              <w:pStyle w:val="Normal117"/>
              <w:rPr>
                <w:rFonts w:ascii="Arial" w:eastAsia="Arial" w:hAnsi="Arial" w:cs="Arial"/>
                <w:b/>
                <w:noProof/>
                <w:color w:val="000000"/>
                <w:sz w:val="16"/>
              </w:rPr>
            </w:pPr>
            <w:r>
              <w:rPr>
                <w:rFonts w:ascii="Arial" w:hAnsi="Arial"/>
                <w:b/>
                <w:noProof/>
                <w:color w:val="000000"/>
                <w:sz w:val="16"/>
              </w:rPr>
              <w:t>Iš viso kita nei EUR valiuta</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129 307</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−49 870</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79 437</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7"/>
              <w:jc w:val="center"/>
              <w:rPr>
                <w:rFonts w:ascii="Arial" w:eastAsia="Arial" w:hAnsi="Arial" w:cs="Arial"/>
                <w:b/>
                <w:noProof/>
                <w:color w:val="000000"/>
                <w:sz w:val="16"/>
              </w:rPr>
            </w:pP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600 271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85"/>
        </w:trPr>
        <w:tc>
          <w:tcPr>
            <w:tcW w:w="262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hAnsi="Arial"/>
                <w:b/>
                <w:noProof/>
                <w:color w:val="000000"/>
                <w:sz w:val="16"/>
              </w:rPr>
              <w:t>EUR</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2 834 560</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2 834 560</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7"/>
              <w:jc w:val="center"/>
              <w:rPr>
                <w:rFonts w:ascii="Arial" w:eastAsia="Arial" w:hAnsi="Arial" w:cs="Arial"/>
                <w:b/>
                <w:noProof/>
                <w:color w:val="000000"/>
                <w:sz w:val="16"/>
              </w:rPr>
            </w:pP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3 044 623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625" w:type="dxa"/>
            <w:tcBorders>
              <w:top w:val="single" w:sz="4" w:space="0" w:color="000000"/>
              <w:left w:val="nil"/>
              <w:bottom w:val="single" w:sz="4" w:space="0" w:color="auto"/>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hAnsi="Arial"/>
                <w:b/>
                <w:noProof/>
                <w:color w:val="000000"/>
                <w:sz w:val="16"/>
              </w:rPr>
              <w:t>Iš viso EUR ir ne EUR</w:t>
            </w:r>
          </w:p>
        </w:tc>
        <w:tc>
          <w:tcPr>
            <w:tcW w:w="1800" w:type="dxa"/>
            <w:tcBorders>
              <w:top w:val="single" w:sz="4" w:space="0" w:color="000000"/>
              <w:left w:val="nil"/>
              <w:bottom w:val="single" w:sz="4" w:space="0" w:color="auto"/>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129 307</w:t>
            </w:r>
          </w:p>
        </w:tc>
        <w:tc>
          <w:tcPr>
            <w:tcW w:w="1800" w:type="dxa"/>
            <w:tcBorders>
              <w:top w:val="single" w:sz="4" w:space="0" w:color="000000"/>
              <w:left w:val="nil"/>
              <w:bottom w:val="single" w:sz="4" w:space="0" w:color="auto"/>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2 784 690</w:t>
            </w:r>
          </w:p>
        </w:tc>
        <w:tc>
          <w:tcPr>
            <w:tcW w:w="1800" w:type="dxa"/>
            <w:tcBorders>
              <w:top w:val="single" w:sz="4" w:space="0" w:color="000000"/>
              <w:left w:val="nil"/>
              <w:bottom w:val="single" w:sz="4" w:space="0" w:color="auto"/>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2 913 997</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7"/>
              <w:jc w:val="center"/>
              <w:rPr>
                <w:rFonts w:ascii="Arial" w:eastAsia="Arial" w:hAnsi="Arial" w:cs="Arial"/>
                <w:noProof/>
                <w:color w:val="000000"/>
                <w:sz w:val="16"/>
              </w:rPr>
            </w:pP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3 644 894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8025" w:type="dxa"/>
            <w:gridSpan w:val="4"/>
            <w:tcBorders>
              <w:top w:val="single" w:sz="4" w:space="0" w:color="000000"/>
              <w:left w:val="nil"/>
              <w:bottom w:val="nil"/>
              <w:right w:val="nil"/>
              <w:tl2br w:val="nil"/>
              <w:tr2bl w:val="nil"/>
            </w:tcBorders>
            <w:shd w:val="clear" w:color="FFFFFF" w:fill="FFFFFF"/>
            <w:noWrap/>
            <w:tcMar>
              <w:left w:w="40" w:type="dxa"/>
              <w:right w:w="40" w:type="dxa"/>
            </w:tcMar>
            <w:vAlign w:val="center"/>
          </w:tcPr>
          <w:p>
            <w:pPr>
              <w:pStyle w:val="Normal117"/>
              <w:rPr>
                <w:rFonts w:ascii="Arial" w:eastAsia="Arial" w:hAnsi="Arial"/>
                <w:b/>
                <w:noProof/>
                <w:color w:val="000000"/>
                <w:sz w:val="16"/>
              </w:rPr>
            </w:pPr>
            <w:r>
              <w:rPr>
                <w:rFonts w:ascii="Arial" w:hAnsi="Arial"/>
                <w:noProof/>
                <w:color w:val="000000"/>
                <w:sz w:val="16"/>
              </w:rPr>
              <w:t>* Išsamiau apie sintetinį apsidraudimą žr. 3.4.2.2.2 skirsnyje.</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7"/>
              <w:jc w:val="center"/>
              <w:rPr>
                <w:rFonts w:ascii="Arial" w:eastAsia="Arial" w:hAnsi="Arial" w:cs="Arial"/>
                <w:noProof/>
                <w:color w:val="000000"/>
                <w:sz w:val="16"/>
              </w:rPr>
            </w:pPr>
          </w:p>
        </w:tc>
        <w:tc>
          <w:tcPr>
            <w:tcW w:w="1800" w:type="dxa"/>
            <w:tcBorders>
              <w:top w:val="single" w:sz="4" w:space="0" w:color="000000"/>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p>
        </w:tc>
      </w:tr>
    </w:tbl>
    <w:p>
      <w:pPr>
        <w:pStyle w:val="Normal118"/>
        <w:spacing w:before="60" w:after="60"/>
        <w:rPr>
          <w:rFonts w:ascii="Arial" w:hAnsi="Arial"/>
          <w:noProof/>
          <w:sz w:val="16"/>
        </w:rPr>
      </w:pPr>
    </w:p>
    <w:p>
      <w:pPr>
        <w:pStyle w:val="ListParagraph3"/>
        <w:numPr>
          <w:ilvl w:val="3"/>
          <w:numId w:val="101"/>
        </w:numPr>
        <w:jc w:val="both"/>
        <w:rPr>
          <w:rFonts w:ascii="Arial" w:hAnsi="Arial"/>
          <w:b/>
          <w:noProof/>
          <w:sz w:val="16"/>
          <w:szCs w:val="16"/>
        </w:rPr>
      </w:pPr>
      <w:r>
        <w:rPr>
          <w:rFonts w:ascii="Arial" w:hAnsi="Arial"/>
          <w:b/>
          <w:noProof/>
          <w:sz w:val="16"/>
          <w:szCs w:val="16"/>
        </w:rPr>
        <w:t>Jautrumo užsienio valiutos kursui analizė</w:t>
      </w:r>
    </w:p>
    <w:p>
      <w:pPr>
        <w:pStyle w:val="Normal118"/>
        <w:jc w:val="both"/>
        <w:rPr>
          <w:rFonts w:ascii="Arial" w:hAnsi="Arial"/>
          <w:noProof/>
          <w:sz w:val="16"/>
          <w:szCs w:val="16"/>
        </w:rPr>
      </w:pPr>
    </w:p>
    <w:p>
      <w:pPr>
        <w:pStyle w:val="Normal118"/>
        <w:spacing w:before="60" w:after="60"/>
        <w:jc w:val="both"/>
        <w:rPr>
          <w:noProof/>
        </w:rPr>
      </w:pPr>
      <w:r>
        <w:rPr>
          <w:rFonts w:ascii="Arial" w:hAnsi="Arial"/>
          <w:noProof/>
          <w:sz w:val="16"/>
          <w:szCs w:val="16"/>
        </w:rPr>
        <w:t>2019 m. gruodžio 31 d. EUR kursui sumažėjus 10 procentų visų kitų valiutų atžvilgiu, įnašų mokėtojų ištekliai padidėtų ir sudarytų 14,0 mln. EUR (2018 m. gruodžio 31 d. – 8,8 mln. EUR). EUR kursui padidėjus 10 procentų visų kitų valiutų atžvilgiu, įnašų mokėtojų ištekliai sumažėtų ir sudarytų 11,4 mln. EUR (2018 m. gruodžio 31 d. – 7,2 mln. EUR).</w:t>
      </w:r>
      <w:r>
        <w:rPr>
          <w:noProof/>
        </w:rPr>
        <w:t xml:space="preserve"> </w:t>
      </w:r>
    </w:p>
    <w:p>
      <w:pPr>
        <w:pStyle w:val="Normal118"/>
        <w:spacing w:before="60" w:after="60"/>
        <w:jc w:val="both"/>
        <w:rPr>
          <w:rFonts w:ascii="Arial" w:hAnsi="Arial"/>
          <w:noProof/>
          <w:sz w:val="16"/>
          <w:szCs w:val="16"/>
        </w:rPr>
      </w:pPr>
    </w:p>
    <w:p>
      <w:pPr>
        <w:pStyle w:val="ListParagraph4"/>
        <w:numPr>
          <w:ilvl w:val="3"/>
          <w:numId w:val="102"/>
        </w:numPr>
        <w:jc w:val="both"/>
        <w:rPr>
          <w:rFonts w:ascii="Arial" w:hAnsi="Arial"/>
          <w:b/>
          <w:noProof/>
          <w:sz w:val="16"/>
          <w:szCs w:val="16"/>
        </w:rPr>
      </w:pPr>
      <w:r>
        <w:rPr>
          <w:rFonts w:ascii="Arial" w:hAnsi="Arial"/>
          <w:b/>
          <w:noProof/>
          <w:sz w:val="16"/>
          <w:szCs w:val="16"/>
        </w:rPr>
        <w:t>Konvertavimo kursai</w:t>
      </w:r>
    </w:p>
    <w:p>
      <w:pPr>
        <w:pStyle w:val="ListParagraph4"/>
        <w:spacing w:after="60"/>
        <w:ind w:left="794"/>
        <w:jc w:val="both"/>
        <w:rPr>
          <w:rFonts w:ascii="Arial" w:hAnsi="Arial"/>
          <w:noProof/>
          <w:sz w:val="16"/>
          <w:szCs w:val="16"/>
        </w:rPr>
      </w:pPr>
    </w:p>
    <w:p>
      <w:pPr>
        <w:pStyle w:val="Normal119"/>
        <w:jc w:val="both"/>
        <w:rPr>
          <w:rFonts w:ascii="Arial" w:hAnsi="Arial"/>
          <w:noProof/>
          <w:sz w:val="16"/>
          <w:szCs w:val="16"/>
        </w:rPr>
      </w:pPr>
      <w:r>
        <w:rPr>
          <w:rFonts w:ascii="Arial" w:hAnsi="Arial"/>
          <w:noProof/>
          <w:sz w:val="16"/>
          <w:szCs w:val="16"/>
        </w:rPr>
        <w:t>Toliau nurodyti konvertavimo kursai buvo taikyti sudarant 2019 m. gruodžio 31 d. ir 2018 m. gruodžio 31 d. balansus.</w:t>
      </w:r>
    </w:p>
    <w:p>
      <w:pPr>
        <w:pStyle w:val="Normal119"/>
        <w:spacing w:before="60" w:after="60"/>
        <w:jc w:val="both"/>
        <w:rPr>
          <w:rFonts w:ascii="Arial" w:hAnsi="Arial"/>
          <w:noProof/>
          <w:sz w:val="16"/>
          <w:szCs w:val="16"/>
        </w:rPr>
      </w:pPr>
    </w:p>
    <w:tbl>
      <w:tblPr>
        <w:tblStyle w:val="CDMRange210"/>
        <w:tblW w:w="9882" w:type="dxa"/>
        <w:tblLayout w:type="fixed"/>
        <w:tblLook w:val="0600" w:firstRow="0" w:lastRow="0" w:firstColumn="0" w:lastColumn="0" w:noHBand="1" w:noVBand="1"/>
      </w:tblPr>
      <w:tblGrid>
        <w:gridCol w:w="5382"/>
        <w:gridCol w:w="2250"/>
        <w:gridCol w:w="2250"/>
      </w:tblGrid>
      <w:tr>
        <w:trPr>
          <w:trHeight w:val="441"/>
        </w:trPr>
        <w:tc>
          <w:tcPr>
            <w:tcW w:w="5382"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20"/>
              <w:jc w:val="right"/>
              <w:rPr>
                <w:rFonts w:ascii="Arial" w:eastAsia="Arial" w:hAnsi="Arial" w:cs="Arial"/>
                <w:b/>
                <w:noProof/>
                <w:color w:val="000000"/>
                <w:sz w:val="16"/>
              </w:rPr>
            </w:pPr>
          </w:p>
        </w:tc>
        <w:tc>
          <w:tcPr>
            <w:tcW w:w="22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0"/>
              <w:jc w:val="right"/>
              <w:rPr>
                <w:rFonts w:ascii="Arial" w:eastAsia="Arial" w:hAnsi="Arial" w:cs="Arial"/>
                <w:b/>
                <w:noProof/>
                <w:color w:val="000000"/>
                <w:sz w:val="16"/>
              </w:rPr>
            </w:pPr>
            <w:r>
              <w:rPr>
                <w:rFonts w:ascii="Arial" w:hAnsi="Arial"/>
                <w:b/>
                <w:noProof/>
                <w:color w:val="000000"/>
                <w:sz w:val="16"/>
              </w:rPr>
              <w:t>2019 m. gruodžio 31 d.</w:t>
            </w:r>
          </w:p>
        </w:tc>
        <w:tc>
          <w:tcPr>
            <w:tcW w:w="22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0"/>
              <w:jc w:val="right"/>
              <w:rPr>
                <w:rFonts w:ascii="Arial" w:eastAsia="Arial" w:hAnsi="Arial" w:cs="Arial"/>
                <w:b/>
                <w:noProof/>
                <w:color w:val="000000"/>
                <w:sz w:val="16"/>
              </w:rPr>
            </w:pPr>
            <w:r>
              <w:rPr>
                <w:rFonts w:ascii="Arial" w:hAnsi="Arial"/>
                <w:b/>
                <w:noProof/>
                <w:color w:val="000000"/>
                <w:sz w:val="16"/>
              </w:rPr>
              <w:t>2018 m. gruodžio 31 d.</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0"/>
              <w:rPr>
                <w:rFonts w:ascii="Arial" w:eastAsia="Arial" w:hAnsi="Arial" w:cs="Arial"/>
                <w:b/>
                <w:noProof/>
                <w:color w:val="000000"/>
                <w:sz w:val="16"/>
              </w:rPr>
            </w:pPr>
            <w:r>
              <w:rPr>
                <w:rFonts w:ascii="Arial" w:hAnsi="Arial"/>
                <w:b/>
                <w:noProof/>
                <w:color w:val="000000"/>
                <w:sz w:val="16"/>
              </w:rPr>
              <w:t>Ne ES šalių valiutos</w:t>
            </w:r>
          </w:p>
        </w:tc>
        <w:tc>
          <w:tcPr>
            <w:tcW w:w="225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0"/>
              <w:jc w:val="right"/>
              <w:rPr>
                <w:rFonts w:ascii="Arial" w:eastAsia="Arial" w:hAnsi="Arial" w:cs="Arial"/>
                <w:b/>
                <w:noProof/>
                <w:color w:val="000000"/>
                <w:sz w:val="16"/>
              </w:rPr>
            </w:pPr>
          </w:p>
        </w:tc>
        <w:tc>
          <w:tcPr>
            <w:tcW w:w="225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0"/>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Botsvanos pula (BWP)</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11,8376.</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12,2038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Dominikos Respublikos pesai (DOP)</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59,3644</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57,4037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Fidžio doleriai (FJD)</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2,4045</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2,4104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Haičio gurdas (HTG)</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100,99</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86,92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Jamaikos doleris (JMD)</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147,6966</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144,081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Kenijos šilingai (KES)</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113,63</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116,24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Mauritanijos ugijos (MRU)</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42,2135</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41,1660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Mauricijaus rupijos (MUR)</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40,63</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39,05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Mozambiko metikalis (MZN)</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68,64</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70,14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Nigerijos naira (NGN)</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343,45</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351,05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Ruandos frankai (RWF)</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1051,12</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1020,10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Tanzanijos šilingai (TZS)</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2573,66</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2624,33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Ugandos šilingai (UGX)</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4108</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4239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JAV doleriai (USD)</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1,1234</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1,145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CFA frankai (XAF / XOF)</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655,957</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655,957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Pietų Afrikos randai (ZAR)</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15,7773</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16,4594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8"/>
        </w:trPr>
        <w:tc>
          <w:tcPr>
            <w:tcW w:w="5382" w:type="dxa"/>
            <w:tcBorders>
              <w:top w:val="nil"/>
              <w:left w:val="nil"/>
              <w:bottom w:val="single" w:sz="4" w:space="0" w:color="auto"/>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Zambijos kvača (ZMW)</w:t>
            </w:r>
          </w:p>
        </w:tc>
        <w:tc>
          <w:tcPr>
            <w:tcW w:w="2250" w:type="dxa"/>
            <w:tcBorders>
              <w:top w:val="nil"/>
              <w:left w:val="nil"/>
              <w:bottom w:val="single" w:sz="4" w:space="0" w:color="auto"/>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15,7894</w:t>
            </w:r>
          </w:p>
        </w:tc>
        <w:tc>
          <w:tcPr>
            <w:tcW w:w="2250" w:type="dxa"/>
            <w:tcBorders>
              <w:top w:val="nil"/>
              <w:left w:val="nil"/>
              <w:bottom w:val="single" w:sz="4" w:space="0" w:color="auto"/>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13,6077</w:t>
            </w:r>
          </w:p>
        </w:tc>
      </w:tr>
    </w:tbl>
    <w:p>
      <w:pPr>
        <w:pStyle w:val="Notes27"/>
        <w:pageBreakBefore/>
        <w:numPr>
          <w:ilvl w:val="2"/>
          <w:numId w:val="104"/>
        </w:numPr>
        <w:tabs>
          <w:tab w:val="clear" w:pos="4320"/>
          <w:tab w:val="clear" w:pos="8640"/>
          <w:tab w:val="right" w:pos="-2700"/>
        </w:tabs>
        <w:spacing w:before="60" w:after="0"/>
        <w:rPr>
          <w:noProof/>
          <w:sz w:val="16"/>
          <w:szCs w:val="16"/>
        </w:rPr>
      </w:pPr>
      <w:r>
        <w:rPr>
          <w:noProof/>
          <w:sz w:val="16"/>
          <w:szCs w:val="16"/>
        </w:rPr>
        <w:t>Akcijų kainų rizika</w:t>
      </w:r>
    </w:p>
    <w:p>
      <w:pPr>
        <w:pStyle w:val="Notes27"/>
        <w:tabs>
          <w:tab w:val="clear" w:pos="4320"/>
          <w:tab w:val="clear" w:pos="8640"/>
          <w:tab w:val="right" w:pos="-2700"/>
        </w:tabs>
        <w:spacing w:before="0" w:after="60"/>
        <w:ind w:left="431" w:hanging="431"/>
        <w:rPr>
          <w:b w:val="0"/>
          <w:noProof/>
          <w:sz w:val="16"/>
          <w:szCs w:val="16"/>
        </w:rPr>
      </w:pPr>
    </w:p>
    <w:p>
      <w:pPr>
        <w:pStyle w:val="Normal121"/>
        <w:spacing w:before="60" w:after="60"/>
        <w:jc w:val="both"/>
        <w:rPr>
          <w:rFonts w:ascii="Arial" w:hAnsi="Arial"/>
          <w:noProof/>
          <w:sz w:val="16"/>
          <w:szCs w:val="16"/>
        </w:rPr>
      </w:pPr>
      <w:r>
        <w:rPr>
          <w:rFonts w:ascii="Arial" w:hAnsi="Arial"/>
          <w:noProof/>
          <w:sz w:val="16"/>
          <w:szCs w:val="16"/>
        </w:rPr>
        <w:t>Akcijų kainų rizika – tai rizika, kad tikroji investicijų į nuosavą kapitalą vertė sumažės dėl akcijų kainų lygio ir (arba) investicijų į nuosavą kapitalą vertės pokyčių.</w:t>
      </w:r>
    </w:p>
    <w:p>
      <w:pPr>
        <w:pStyle w:val="Normal121"/>
        <w:spacing w:before="60" w:after="60"/>
        <w:jc w:val="both"/>
        <w:rPr>
          <w:rFonts w:ascii="Arial" w:hAnsi="Arial"/>
          <w:noProof/>
          <w:sz w:val="16"/>
          <w:szCs w:val="16"/>
        </w:rPr>
      </w:pPr>
    </w:p>
    <w:p>
      <w:pPr>
        <w:pStyle w:val="Normal121"/>
        <w:spacing w:before="60" w:after="60"/>
        <w:jc w:val="both"/>
        <w:rPr>
          <w:rFonts w:ascii="Arial" w:hAnsi="Arial"/>
          <w:noProof/>
          <w:sz w:val="16"/>
          <w:szCs w:val="16"/>
        </w:rPr>
      </w:pPr>
      <w:r>
        <w:rPr>
          <w:rFonts w:ascii="Arial" w:hAnsi="Arial"/>
          <w:noProof/>
          <w:sz w:val="16"/>
          <w:szCs w:val="16"/>
        </w:rPr>
        <w:t>Akcijų kainų rizika IP kyla dėl investicijų į tiesioginį nuosavą kapitalą ir rizikos kapitalo fondus.</w:t>
      </w:r>
    </w:p>
    <w:p>
      <w:pPr>
        <w:pStyle w:val="Normal121"/>
        <w:spacing w:before="60" w:after="60"/>
        <w:jc w:val="both"/>
        <w:rPr>
          <w:rFonts w:ascii="Arial" w:hAnsi="Arial"/>
          <w:noProof/>
          <w:sz w:val="16"/>
          <w:szCs w:val="16"/>
        </w:rPr>
      </w:pPr>
    </w:p>
    <w:p>
      <w:pPr>
        <w:pStyle w:val="Normal121"/>
        <w:spacing w:before="60" w:after="60"/>
        <w:jc w:val="both"/>
        <w:rPr>
          <w:rFonts w:ascii="Arial" w:hAnsi="Arial"/>
          <w:noProof/>
          <w:sz w:val="16"/>
          <w:szCs w:val="16"/>
        </w:rPr>
      </w:pPr>
      <w:r>
        <w:rPr>
          <w:rFonts w:ascii="Arial" w:hAnsi="Arial"/>
          <w:noProof/>
          <w:sz w:val="16"/>
          <w:szCs w:val="16"/>
        </w:rPr>
        <w:t>Į biržos sąrašus neįtrauktų akcijų pozicijų verte negalima greitai pasinaudoti stebėsenos ir nuolatinės kontrolės tikslais. Geriausi tokių pozicijų rodikliai, kuriais galima pasinaudoti, yra kainos, gautos taikant bet kokius tinkamus vertinimo metodus.</w:t>
      </w:r>
    </w:p>
    <w:p>
      <w:pPr>
        <w:pStyle w:val="Normal121"/>
        <w:spacing w:before="60" w:after="60"/>
        <w:jc w:val="both"/>
        <w:rPr>
          <w:rFonts w:ascii="Arial" w:hAnsi="Arial"/>
          <w:noProof/>
          <w:sz w:val="16"/>
          <w:szCs w:val="16"/>
        </w:rPr>
      </w:pPr>
    </w:p>
    <w:p>
      <w:pPr>
        <w:pStyle w:val="Normal121"/>
        <w:spacing w:before="60" w:after="60"/>
        <w:jc w:val="both"/>
        <w:rPr>
          <w:rFonts w:ascii="Arial" w:hAnsi="Arial"/>
          <w:noProof/>
          <w:sz w:val="16"/>
          <w:szCs w:val="16"/>
        </w:rPr>
      </w:pPr>
      <w:r>
        <w:rPr>
          <w:rFonts w:ascii="Arial" w:hAnsi="Arial"/>
          <w:noProof/>
          <w:sz w:val="16"/>
          <w:szCs w:val="16"/>
        </w:rPr>
        <w:t>+/−10 % pakitus atskirų tiesioginių investicijų į nuosavą kapitalą ir į rizikos kapitalą vertei, o visiems kitiems kintamiesiems nepakitus, poveikis Priemonės įnašų mokėtojų ištekliams (pasikeitus nuosavo kapitalo priemonių portfelio tikrajai vertei) 2019 m. gruodžio 31 d. buvo lygus 62,0 mln. EUR, arba atitinkamai −62,0 mln. EUR (2018 m. gruodžio 31 d. – 56,7 mln. EUR, arba atitinkamai −56,7 mln. EUR).</w:t>
      </w:r>
    </w:p>
    <w:p>
      <w:pPr>
        <w:pStyle w:val="Normal121"/>
        <w:spacing w:before="60" w:after="60"/>
        <w:jc w:val="both"/>
        <w:rPr>
          <w:rFonts w:ascii="Arial" w:hAnsi="Arial"/>
          <w:noProof/>
          <w:sz w:val="16"/>
          <w:szCs w:val="16"/>
        </w:rPr>
        <w:sectPr>
          <w:headerReference w:type="even" r:id="rId401"/>
          <w:headerReference w:type="default" r:id="rId402"/>
          <w:footerReference w:type="even" r:id="rId403"/>
          <w:footerReference w:type="default" r:id="rId404"/>
          <w:headerReference w:type="first" r:id="rId405"/>
          <w:footerReference w:type="first" r:id="rId406"/>
          <w:pgSz w:w="11907" w:h="16840" w:code="9"/>
          <w:pgMar w:top="1134" w:right="1134" w:bottom="1134" w:left="1134" w:header="709" w:footer="709" w:gutter="0"/>
          <w:pgBorders>
            <w:top w:val="nil"/>
            <w:left w:val="nil"/>
            <w:bottom w:val="nil"/>
            <w:right w:val="nil"/>
          </w:pgBorders>
          <w:cols w:space="720"/>
          <w:docGrid w:linePitch="360"/>
        </w:sectPr>
      </w:pPr>
      <w:r>
        <w:rPr>
          <w:noProof/>
        </w:rPr>
        <w:t xml:space="preserve"> </w:t>
      </w:r>
    </w:p>
    <w:p>
      <w:pPr>
        <w:pStyle w:val="Notes28"/>
        <w:spacing w:line="360" w:lineRule="auto"/>
        <w:ind w:left="431" w:hanging="431"/>
        <w:rPr>
          <w:noProof/>
        </w:rPr>
      </w:pPr>
      <w:r>
        <w:rPr>
          <w:noProof/>
        </w:rPr>
        <w:t>4</w:t>
      </w:r>
      <w:r>
        <w:rPr>
          <w:noProof/>
        </w:rPr>
        <w:tab/>
        <w:t>Finansinių priemonių tikroji vertė</w:t>
      </w:r>
    </w:p>
    <w:p>
      <w:pPr>
        <w:pStyle w:val="Title1150"/>
        <w:numPr>
          <w:ilvl w:val="1"/>
          <w:numId w:val="106"/>
        </w:numPr>
        <w:rPr>
          <w:b/>
          <w:noProof/>
          <w:sz w:val="16"/>
          <w:szCs w:val="16"/>
          <w:bdr w:val="none" w:sz="0" w:space="0" w:color="auto" w:frame="1"/>
        </w:rPr>
      </w:pPr>
      <w:r>
        <w:rPr>
          <w:b/>
          <w:noProof/>
          <w:sz w:val="16"/>
          <w:szCs w:val="16"/>
          <w:bdr w:val="none" w:sz="0" w:space="0" w:color="auto" w:frame="1"/>
        </w:rPr>
        <w:t>Apskaitos klasifikacijos ir tikrosios vertės</w:t>
      </w:r>
    </w:p>
    <w:p>
      <w:pPr>
        <w:pStyle w:val="Title1150"/>
        <w:ind w:left="360" w:firstLine="0"/>
        <w:rPr>
          <w:b/>
          <w:noProof/>
          <w:sz w:val="16"/>
          <w:szCs w:val="16"/>
          <w:bdr w:val="none" w:sz="0" w:space="0" w:color="auto" w:frame="1"/>
        </w:rPr>
      </w:pPr>
    </w:p>
    <w:p>
      <w:pPr>
        <w:pStyle w:val="Notes28"/>
        <w:tabs>
          <w:tab w:val="clear" w:pos="4320"/>
          <w:tab w:val="clear" w:pos="8640"/>
          <w:tab w:val="right" w:pos="-2700"/>
        </w:tabs>
        <w:spacing w:before="60" w:line="276" w:lineRule="auto"/>
        <w:ind w:left="0" w:firstLine="0"/>
        <w:rPr>
          <w:b w:val="0"/>
          <w:noProof/>
          <w:sz w:val="16"/>
        </w:rPr>
      </w:pPr>
      <w:r>
        <w:rPr>
          <w:b w:val="0"/>
          <w:noProof/>
          <w:sz w:val="16"/>
          <w:szCs w:val="16"/>
        </w:rPr>
        <w:t>Toliau pateikiamoje lentelėje parodyta finansinio turto ir finansinių įsipareigojimų balansinė vertė ir tikroji vertė, įskaitant jos lygį tikrosios vertės hierarchijoje. Čia neįtraukta informacija apie finansinio turto ir finansinių įsipareigojimų, kurie nėra apskaitomi tikrąja verte, jei balansinė vertė yra artima tikrajai vertei, tikrąją vertę.</w:t>
      </w:r>
    </w:p>
    <w:tbl>
      <w:tblPr>
        <w:tblStyle w:val="CDMRange111"/>
        <w:tblW w:w="10105" w:type="dxa"/>
        <w:tblLayout w:type="fixed"/>
        <w:tblLook w:val="0600" w:firstRow="0" w:lastRow="0" w:firstColumn="0" w:lastColumn="0" w:noHBand="1" w:noVBand="1"/>
      </w:tblPr>
      <w:tblGrid>
        <w:gridCol w:w="2308"/>
        <w:gridCol w:w="709"/>
        <w:gridCol w:w="999"/>
        <w:gridCol w:w="805"/>
        <w:gridCol w:w="688"/>
        <w:gridCol w:w="768"/>
        <w:gridCol w:w="778"/>
        <w:gridCol w:w="6"/>
        <w:gridCol w:w="99"/>
        <w:gridCol w:w="6"/>
        <w:gridCol w:w="630"/>
        <w:gridCol w:w="636"/>
        <w:gridCol w:w="680"/>
        <w:gridCol w:w="993"/>
      </w:tblGrid>
      <w:tr>
        <w:trPr>
          <w:trHeight w:val="223"/>
        </w:trPr>
        <w:tc>
          <w:tcPr>
            <w:tcW w:w="2308"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23"/>
              <w:rPr>
                <w:rFonts w:ascii="Arial" w:eastAsia="Arial" w:hAnsi="Arial" w:cs="Arial"/>
                <w:b/>
                <w:noProof/>
                <w:color w:val="000000"/>
                <w:sz w:val="16"/>
              </w:rPr>
            </w:pPr>
            <w:r>
              <w:rPr>
                <w:rFonts w:ascii="Arial" w:hAnsi="Arial"/>
                <w:b/>
                <w:noProof/>
                <w:color w:val="000000"/>
                <w:sz w:val="16"/>
              </w:rPr>
              <w:t>2019 m. gruodžio 31 d.</w:t>
            </w:r>
          </w:p>
        </w:tc>
        <w:tc>
          <w:tcPr>
            <w:tcW w:w="4753" w:type="dxa"/>
            <w:gridSpan w:val="7"/>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center"/>
              <w:rPr>
                <w:rFonts w:ascii="Arial" w:eastAsia="Arial" w:hAnsi="Arial" w:cs="Arial"/>
                <w:b/>
                <w:noProof/>
                <w:color w:val="000000"/>
                <w:sz w:val="16"/>
              </w:rPr>
            </w:pPr>
            <w:r>
              <w:rPr>
                <w:rFonts w:ascii="Arial" w:hAnsi="Arial"/>
                <w:b/>
                <w:noProof/>
                <w:color w:val="000000"/>
                <w:sz w:val="16"/>
              </w:rPr>
              <w:t>Balansinė vertė</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center"/>
              <w:rPr>
                <w:rFonts w:ascii="Arial" w:eastAsia="Arial" w:hAnsi="Arial" w:cs="Arial"/>
                <w:b/>
                <w:noProof/>
                <w:color w:val="000000"/>
                <w:sz w:val="16"/>
              </w:rPr>
            </w:pPr>
          </w:p>
        </w:tc>
        <w:tc>
          <w:tcPr>
            <w:tcW w:w="2939" w:type="dxa"/>
            <w:gridSpan w:val="4"/>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center"/>
              <w:rPr>
                <w:rFonts w:ascii="Arial" w:eastAsia="Arial" w:hAnsi="Arial" w:cs="Arial"/>
                <w:b/>
                <w:noProof/>
                <w:color w:val="000000"/>
                <w:sz w:val="16"/>
              </w:rPr>
            </w:pPr>
            <w:r>
              <w:rPr>
                <w:rFonts w:ascii="Arial" w:hAnsi="Arial"/>
                <w:b/>
                <w:noProof/>
                <w:color w:val="000000"/>
                <w:sz w:val="16"/>
              </w:rPr>
              <w:t>Tikroji vertė</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2"/>
        </w:trPr>
        <w:tc>
          <w:tcPr>
            <w:tcW w:w="2308"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23"/>
              <w:rPr>
                <w:rFonts w:ascii="Arial" w:eastAsia="Arial" w:hAnsi="Arial" w:cs="Arial"/>
                <w:b/>
                <w:noProof/>
                <w:color w:val="000000"/>
                <w:sz w:val="12"/>
                <w:szCs w:val="12"/>
              </w:rPr>
            </w:pPr>
            <w:r>
              <w:rPr>
                <w:rFonts w:ascii="Arial" w:hAnsi="Arial"/>
                <w:b/>
                <w:noProof/>
                <w:color w:val="000000"/>
                <w:sz w:val="12"/>
                <w:szCs w:val="12"/>
              </w:rPr>
              <w:t>tūkst. EUR</w:t>
            </w:r>
          </w:p>
        </w:tc>
        <w:tc>
          <w:tcPr>
            <w:tcW w:w="70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2"/>
                <w:szCs w:val="12"/>
              </w:rPr>
            </w:pPr>
            <w:r>
              <w:rPr>
                <w:rFonts w:ascii="Arial" w:hAnsi="Arial"/>
                <w:b/>
                <w:noProof/>
                <w:color w:val="000000"/>
                <w:sz w:val="12"/>
                <w:szCs w:val="12"/>
              </w:rPr>
              <w:t>Išvestinės finansinės priemonės</w:t>
            </w:r>
          </w:p>
        </w:tc>
        <w:tc>
          <w:tcPr>
            <w:tcW w:w="99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2"/>
                <w:szCs w:val="12"/>
              </w:rPr>
            </w:pPr>
            <w:r>
              <w:rPr>
                <w:rFonts w:ascii="Arial" w:hAnsi="Arial"/>
                <w:b/>
                <w:noProof/>
                <w:color w:val="000000"/>
                <w:sz w:val="12"/>
                <w:szCs w:val="12"/>
              </w:rPr>
              <w:t>Akcijos ir kiti kintamo pelningumo vertybiniai popieriai</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2"/>
                <w:szCs w:val="12"/>
              </w:rPr>
            </w:pPr>
            <w:r>
              <w:rPr>
                <w:rFonts w:ascii="Arial" w:hAnsi="Arial"/>
                <w:b/>
                <w:noProof/>
                <w:color w:val="000000"/>
                <w:sz w:val="12"/>
                <w:szCs w:val="12"/>
              </w:rPr>
              <w:t>Pinigai, paskolos ir išankstiniai mokėjimai</w:t>
            </w:r>
          </w:p>
        </w:tc>
        <w:tc>
          <w:tcPr>
            <w:tcW w:w="68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2"/>
                <w:szCs w:val="12"/>
              </w:rPr>
            </w:pPr>
            <w:r>
              <w:rPr>
                <w:rFonts w:ascii="Arial" w:hAnsi="Arial"/>
                <w:b/>
                <w:noProof/>
                <w:color w:val="000000"/>
                <w:sz w:val="12"/>
                <w:szCs w:val="12"/>
              </w:rPr>
              <w:t>Iždo finansinis turtas</w:t>
            </w:r>
          </w:p>
        </w:tc>
        <w:tc>
          <w:tcPr>
            <w:tcW w:w="76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2"/>
                <w:szCs w:val="12"/>
              </w:rPr>
            </w:pPr>
            <w:r>
              <w:rPr>
                <w:rFonts w:ascii="Arial" w:hAnsi="Arial"/>
                <w:b/>
                <w:noProof/>
                <w:color w:val="000000"/>
                <w:sz w:val="12"/>
                <w:szCs w:val="12"/>
              </w:rPr>
              <w:t>Kiti finansiniai įsipareigojimai</w:t>
            </w:r>
          </w:p>
        </w:tc>
        <w:tc>
          <w:tcPr>
            <w:tcW w:w="77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2"/>
                <w:szCs w:val="12"/>
              </w:rPr>
            </w:pPr>
            <w:r>
              <w:rPr>
                <w:rFonts w:ascii="Arial" w:hAnsi="Arial"/>
                <w:b/>
                <w:noProof/>
                <w:color w:val="000000"/>
                <w:sz w:val="12"/>
                <w:szCs w:val="12"/>
              </w:rPr>
              <w:t>Iš viso</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2"/>
                <w:szCs w:val="12"/>
              </w:rPr>
            </w:pPr>
          </w:p>
        </w:tc>
        <w:tc>
          <w:tcPr>
            <w:tcW w:w="636"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2"/>
                <w:szCs w:val="12"/>
              </w:rPr>
            </w:pPr>
            <w:r>
              <w:rPr>
                <w:rFonts w:ascii="Arial" w:hAnsi="Arial"/>
                <w:b/>
                <w:noProof/>
                <w:color w:val="000000"/>
                <w:sz w:val="12"/>
                <w:szCs w:val="12"/>
              </w:rPr>
              <w:t>1 lygis</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2"/>
                <w:szCs w:val="12"/>
              </w:rPr>
            </w:pPr>
            <w:r>
              <w:rPr>
                <w:rFonts w:ascii="Arial" w:hAnsi="Arial"/>
                <w:b/>
                <w:noProof/>
                <w:color w:val="000000"/>
                <w:sz w:val="12"/>
                <w:szCs w:val="12"/>
              </w:rPr>
              <w:t>2 lygis</w:t>
            </w:r>
          </w:p>
        </w:tc>
        <w:tc>
          <w:tcPr>
            <w:tcW w:w="6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2"/>
                <w:szCs w:val="12"/>
              </w:rPr>
            </w:pPr>
            <w:r>
              <w:rPr>
                <w:rFonts w:ascii="Arial" w:hAnsi="Arial"/>
                <w:b/>
                <w:noProof/>
                <w:color w:val="000000"/>
                <w:sz w:val="12"/>
                <w:szCs w:val="12"/>
              </w:rPr>
              <w:t>3 lygis</w:t>
            </w:r>
          </w:p>
        </w:tc>
        <w:tc>
          <w:tcPr>
            <w:tcW w:w="99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2"/>
                <w:szCs w:val="12"/>
              </w:rPr>
            </w:pPr>
            <w:r>
              <w:rPr>
                <w:rFonts w:ascii="Arial" w:hAnsi="Arial"/>
                <w:b/>
                <w:noProof/>
                <w:color w:val="000000"/>
                <w:sz w:val="12"/>
                <w:szCs w:val="12"/>
              </w:rPr>
              <w:t>Iš viso</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2308"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3"/>
              <w:rPr>
                <w:rFonts w:ascii="Arial" w:eastAsia="Arial" w:hAnsi="Arial" w:cs="Arial"/>
                <w:b/>
                <w:noProof/>
                <w:color w:val="000000"/>
                <w:sz w:val="16"/>
              </w:rPr>
            </w:pPr>
            <w:r>
              <w:rPr>
                <w:rFonts w:ascii="Arial" w:hAnsi="Arial"/>
                <w:b/>
                <w:noProof/>
                <w:color w:val="000000"/>
                <w:sz w:val="16"/>
              </w:rPr>
              <w:t>Finansinis turtas, privalomai vertinamas tikrąja verte, kurios pasikeitimas pripažįstamas pelnu arba nuostoliais</w:t>
            </w:r>
          </w:p>
        </w:tc>
        <w:tc>
          <w:tcPr>
            <w:tcW w:w="70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99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8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6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7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8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993"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308" w:type="dxa"/>
            <w:tcBorders>
              <w:top w:val="nil"/>
              <w:left w:val="nil"/>
              <w:bottom w:val="nil"/>
              <w:right w:val="nil"/>
              <w:tl2br w:val="nil"/>
              <w:tr2bl w:val="nil"/>
            </w:tcBorders>
            <w:shd w:val="clear" w:color="auto" w:fill="auto"/>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 xml:space="preserve">Išvestinės finansinės priemonės </w:t>
            </w:r>
          </w:p>
        </w:tc>
        <w:tc>
          <w:tcPr>
            <w:tcW w:w="709"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14 184</w:t>
            </w:r>
          </w:p>
        </w:tc>
        <w:tc>
          <w:tcPr>
            <w:tcW w:w="999"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8"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68"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78"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14 184</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14 184</w:t>
            </w:r>
          </w:p>
        </w:tc>
        <w:tc>
          <w:tcPr>
            <w:tcW w:w="680"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993"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14 184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308"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 xml:space="preserve">Rizikos kapitalo fondas </w:t>
            </w:r>
          </w:p>
        </w:tc>
        <w:tc>
          <w:tcPr>
            <w:tcW w:w="709"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999"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504 694</w:t>
            </w:r>
          </w:p>
        </w:tc>
        <w:tc>
          <w:tcPr>
            <w:tcW w:w="805"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8"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68"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78"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504 694</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362</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0"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504 332</w:t>
            </w:r>
          </w:p>
        </w:tc>
        <w:tc>
          <w:tcPr>
            <w:tcW w:w="993"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504 694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308"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Tiesioginės investicijos į nuosavą kapitalą</w:t>
            </w:r>
          </w:p>
        </w:tc>
        <w:tc>
          <w:tcPr>
            <w:tcW w:w="709"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999"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115 234</w:t>
            </w:r>
          </w:p>
        </w:tc>
        <w:tc>
          <w:tcPr>
            <w:tcW w:w="805"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8"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68"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78"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115 234</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15 255</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0"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99 979</w:t>
            </w:r>
          </w:p>
        </w:tc>
        <w:tc>
          <w:tcPr>
            <w:tcW w:w="993"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115 234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308"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Paskolos ir išankstiniai mokėjimai</w:t>
            </w:r>
          </w:p>
        </w:tc>
        <w:tc>
          <w:tcPr>
            <w:tcW w:w="709"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999"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21 702</w:t>
            </w:r>
          </w:p>
        </w:tc>
        <w:tc>
          <w:tcPr>
            <w:tcW w:w="688"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68"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78"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21 702</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0"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21 702</w:t>
            </w:r>
          </w:p>
        </w:tc>
        <w:tc>
          <w:tcPr>
            <w:tcW w:w="993"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21 702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trPr>
        <w:tc>
          <w:tcPr>
            <w:tcW w:w="2308"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3"/>
              <w:rPr>
                <w:rFonts w:ascii="Arial" w:eastAsia="Arial" w:hAnsi="Arial" w:cs="Arial"/>
                <w:b/>
                <w:noProof/>
                <w:color w:val="000000"/>
                <w:sz w:val="16"/>
              </w:rPr>
            </w:pPr>
            <w:r>
              <w:rPr>
                <w:rFonts w:ascii="Arial" w:hAnsi="Arial"/>
                <w:b/>
                <w:noProof/>
                <w:color w:val="000000"/>
                <w:sz w:val="16"/>
              </w:rPr>
              <w:t>Visas finansinis turtas, privalomai vertinamas tikrąja verte, kurios pasikeitimas pripažįstamas pelnu arba nuostoliais</w:t>
            </w:r>
          </w:p>
        </w:tc>
        <w:tc>
          <w:tcPr>
            <w:tcW w:w="70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14 184</w:t>
            </w:r>
          </w:p>
        </w:tc>
        <w:tc>
          <w:tcPr>
            <w:tcW w:w="99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619 928</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21 702</w:t>
            </w:r>
          </w:p>
        </w:tc>
        <w:tc>
          <w:tcPr>
            <w:tcW w:w="68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76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77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655 814</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15 617</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35 886</w:t>
            </w:r>
          </w:p>
        </w:tc>
        <w:tc>
          <w:tcPr>
            <w:tcW w:w="6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604 311</w:t>
            </w:r>
          </w:p>
        </w:tc>
        <w:tc>
          <w:tcPr>
            <w:tcW w:w="99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655 814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trPr>
        <w:tc>
          <w:tcPr>
            <w:tcW w:w="2308"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23"/>
              <w:rPr>
                <w:rFonts w:ascii="Arial" w:eastAsia="Arial" w:hAnsi="Arial" w:cs="Arial"/>
                <w:b/>
                <w:noProof/>
                <w:color w:val="000000"/>
                <w:sz w:val="16"/>
              </w:rPr>
            </w:pPr>
            <w:r>
              <w:rPr>
                <w:rFonts w:ascii="Arial" w:hAnsi="Arial"/>
                <w:b/>
                <w:noProof/>
                <w:color w:val="000000"/>
                <w:sz w:val="16"/>
              </w:rPr>
              <w:t>Finansinis turtas, vertinamas amortizuota savikaina</w:t>
            </w:r>
          </w:p>
        </w:tc>
        <w:tc>
          <w:tcPr>
            <w:tcW w:w="70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99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8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6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7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8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993"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308"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Pinigai ir pinigų ekvivalentai</w:t>
            </w:r>
          </w:p>
        </w:tc>
        <w:tc>
          <w:tcPr>
            <w:tcW w:w="709"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999"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837 777</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6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78"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837 777</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0"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993"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308"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Paskolos ir išankstiniai mokėjimai</w:t>
            </w:r>
          </w:p>
        </w:tc>
        <w:tc>
          <w:tcPr>
            <w:tcW w:w="709"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999"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sz w:val="16"/>
                <w:szCs w:val="16"/>
              </w:rPr>
              <w:t>1 496 973</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6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78"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sz w:val="16"/>
                <w:szCs w:val="16"/>
              </w:rPr>
              <w:t>1 496 973</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1 699 057</w:t>
            </w:r>
          </w:p>
        </w:tc>
        <w:tc>
          <w:tcPr>
            <w:tcW w:w="680"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993"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1 699 057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308"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Iš įnašų mokėtojų gautinos sumos</w:t>
            </w:r>
          </w:p>
        </w:tc>
        <w:tc>
          <w:tcPr>
            <w:tcW w:w="709"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999"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86 330</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6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78"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86 330</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0"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993"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308"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Iždo finansinis turtas</w:t>
            </w:r>
          </w:p>
        </w:tc>
        <w:tc>
          <w:tcPr>
            <w:tcW w:w="709"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999"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330 587</w:t>
            </w:r>
          </w:p>
        </w:tc>
        <w:tc>
          <w:tcPr>
            <w:tcW w:w="76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78"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330 587</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144 097</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186 083</w:t>
            </w:r>
          </w:p>
        </w:tc>
        <w:tc>
          <w:tcPr>
            <w:tcW w:w="680"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993"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330 180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308"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Kitas turtas</w:t>
            </w:r>
          </w:p>
        </w:tc>
        <w:tc>
          <w:tcPr>
            <w:tcW w:w="709"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999"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8"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68"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78"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993"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trPr>
        <w:tc>
          <w:tcPr>
            <w:tcW w:w="2308"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3"/>
              <w:rPr>
                <w:rFonts w:ascii="Arial" w:eastAsia="Arial" w:hAnsi="Arial" w:cs="Arial"/>
                <w:b/>
                <w:noProof/>
                <w:color w:val="000000"/>
                <w:sz w:val="16"/>
              </w:rPr>
            </w:pPr>
            <w:r>
              <w:rPr>
                <w:rFonts w:ascii="Arial" w:hAnsi="Arial"/>
                <w:b/>
                <w:noProof/>
                <w:color w:val="000000"/>
                <w:sz w:val="16"/>
              </w:rPr>
              <w:t>Visas finansinis turtas, vertinamas amortizuota savikaina</w:t>
            </w:r>
          </w:p>
        </w:tc>
        <w:tc>
          <w:tcPr>
            <w:tcW w:w="70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99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bCs/>
                <w:noProof/>
                <w:sz w:val="16"/>
                <w:szCs w:val="16"/>
              </w:rPr>
              <w:t>2 421 080</w:t>
            </w:r>
          </w:p>
        </w:tc>
        <w:tc>
          <w:tcPr>
            <w:tcW w:w="68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330 587</w:t>
            </w:r>
          </w:p>
        </w:tc>
        <w:tc>
          <w:tcPr>
            <w:tcW w:w="76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77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2 751 667</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144 097</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1 885 140</w:t>
            </w:r>
          </w:p>
        </w:tc>
        <w:tc>
          <w:tcPr>
            <w:tcW w:w="6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99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bCs/>
                <w:noProof/>
                <w:sz w:val="16"/>
                <w:szCs w:val="16"/>
              </w:rPr>
              <w:t>2 029 237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trPr>
        <w:tc>
          <w:tcPr>
            <w:tcW w:w="2308"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pPr>
              <w:pStyle w:val="Normal123"/>
              <w:rPr>
                <w:rFonts w:ascii="Arial" w:eastAsia="Arial" w:hAnsi="Arial" w:cs="Arial"/>
                <w:b/>
                <w:noProof/>
                <w:color w:val="000000"/>
                <w:sz w:val="16"/>
              </w:rPr>
            </w:pPr>
            <w:r>
              <w:rPr>
                <w:rFonts w:ascii="Arial" w:hAnsi="Arial"/>
                <w:b/>
                <w:noProof/>
                <w:color w:val="000000"/>
                <w:sz w:val="16"/>
              </w:rPr>
              <w:t xml:space="preserve">Visas finansinis turtas </w:t>
            </w:r>
          </w:p>
        </w:tc>
        <w:tc>
          <w:tcPr>
            <w:tcW w:w="709"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14 184</w:t>
            </w:r>
          </w:p>
        </w:tc>
        <w:tc>
          <w:tcPr>
            <w:tcW w:w="999"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619 928</w:t>
            </w:r>
          </w:p>
        </w:tc>
        <w:tc>
          <w:tcPr>
            <w:tcW w:w="805"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bCs/>
                <w:noProof/>
                <w:sz w:val="16"/>
                <w:szCs w:val="16"/>
              </w:rPr>
              <w:t>2 442 782</w:t>
            </w:r>
          </w:p>
        </w:tc>
        <w:tc>
          <w:tcPr>
            <w:tcW w:w="688"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330 587</w:t>
            </w:r>
          </w:p>
        </w:tc>
        <w:tc>
          <w:tcPr>
            <w:tcW w:w="768"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778"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3.407487</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gridSpan w:val="2"/>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8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993"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trPr>
        <w:tc>
          <w:tcPr>
            <w:tcW w:w="2308"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123"/>
              <w:rPr>
                <w:rFonts w:ascii="Arial" w:eastAsia="Arial" w:hAnsi="Arial" w:cs="Arial"/>
                <w:noProof/>
                <w:color w:val="000000"/>
                <w:sz w:val="16"/>
              </w:rPr>
            </w:pPr>
          </w:p>
        </w:tc>
        <w:tc>
          <w:tcPr>
            <w:tcW w:w="709"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999"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88"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68"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78"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8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993"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2308"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3"/>
              <w:rPr>
                <w:rFonts w:ascii="Arial" w:eastAsia="Arial" w:hAnsi="Arial" w:cs="Arial"/>
                <w:b/>
                <w:noProof/>
                <w:color w:val="000000"/>
                <w:sz w:val="16"/>
              </w:rPr>
            </w:pPr>
            <w:r>
              <w:rPr>
                <w:rFonts w:ascii="Arial" w:hAnsi="Arial"/>
                <w:b/>
                <w:noProof/>
                <w:color w:val="000000"/>
                <w:sz w:val="16"/>
              </w:rPr>
              <w:t>Finansiniai įsipareigojimai, vertinami tikrąja verte, kurios pasikeitimas pripažįstamas pelnu arba nuostoliais</w:t>
            </w:r>
          </w:p>
        </w:tc>
        <w:tc>
          <w:tcPr>
            <w:tcW w:w="70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99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8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6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7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8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993"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308"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Išvestinės finansinės priemonės</w:t>
            </w:r>
          </w:p>
        </w:tc>
        <w:tc>
          <w:tcPr>
            <w:tcW w:w="709"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−191</w:t>
            </w:r>
          </w:p>
        </w:tc>
        <w:tc>
          <w:tcPr>
            <w:tcW w:w="999"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8"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68"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78"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−191</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−191</w:t>
            </w:r>
          </w:p>
        </w:tc>
        <w:tc>
          <w:tcPr>
            <w:tcW w:w="6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993"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trPr>
        <w:tc>
          <w:tcPr>
            <w:tcW w:w="2308"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3"/>
              <w:rPr>
                <w:rFonts w:ascii="Arial" w:eastAsia="Arial" w:hAnsi="Arial" w:cs="Arial"/>
                <w:b/>
                <w:noProof/>
                <w:color w:val="000000"/>
                <w:sz w:val="16"/>
              </w:rPr>
            </w:pPr>
            <w:r>
              <w:rPr>
                <w:rFonts w:ascii="Arial" w:hAnsi="Arial"/>
                <w:b/>
                <w:noProof/>
                <w:color w:val="000000"/>
                <w:sz w:val="16"/>
              </w:rPr>
              <w:t>Visi finansiniai įsipareigojimai, vertinami tikrąja verte, kurios pasikeitimas pripažįstamas pelnu arba nuostoliais</w:t>
            </w:r>
          </w:p>
        </w:tc>
        <w:tc>
          <w:tcPr>
            <w:tcW w:w="70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−191</w:t>
            </w:r>
          </w:p>
        </w:tc>
        <w:tc>
          <w:tcPr>
            <w:tcW w:w="99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68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76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77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−191</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−191</w:t>
            </w:r>
          </w:p>
        </w:tc>
        <w:tc>
          <w:tcPr>
            <w:tcW w:w="6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99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trPr>
        <w:tc>
          <w:tcPr>
            <w:tcW w:w="2308"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23"/>
              <w:rPr>
                <w:rFonts w:ascii="Arial" w:eastAsia="Arial" w:hAnsi="Arial" w:cs="Arial"/>
                <w:b/>
                <w:noProof/>
                <w:color w:val="000000"/>
                <w:sz w:val="16"/>
              </w:rPr>
            </w:pPr>
            <w:r>
              <w:rPr>
                <w:rFonts w:ascii="Arial" w:hAnsi="Arial"/>
                <w:b/>
                <w:noProof/>
                <w:color w:val="000000"/>
                <w:sz w:val="16"/>
              </w:rPr>
              <w:t>Finansiniai įsipareigojimai, vertinami amortizuota savikaina</w:t>
            </w:r>
          </w:p>
        </w:tc>
        <w:tc>
          <w:tcPr>
            <w:tcW w:w="70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99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8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6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7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8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993"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308"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Atidėjiniai suteiktoms garantijoms</w:t>
            </w:r>
          </w:p>
        </w:tc>
        <w:tc>
          <w:tcPr>
            <w:tcW w:w="709"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999"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6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−628</w:t>
            </w:r>
          </w:p>
        </w:tc>
        <w:tc>
          <w:tcPr>
            <w:tcW w:w="77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−628</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80"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993"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308"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Atidėjiniai kreditavimo įsipareigojimams</w:t>
            </w:r>
          </w:p>
        </w:tc>
        <w:tc>
          <w:tcPr>
            <w:tcW w:w="709"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999"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6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−37 269</w:t>
            </w:r>
          </w:p>
        </w:tc>
        <w:tc>
          <w:tcPr>
            <w:tcW w:w="77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−37 269</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80"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993"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308"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Trečiosioms šalims mokėtinos sumos</w:t>
            </w:r>
          </w:p>
        </w:tc>
        <w:tc>
          <w:tcPr>
            <w:tcW w:w="709"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999"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6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−147 438</w:t>
            </w:r>
          </w:p>
        </w:tc>
        <w:tc>
          <w:tcPr>
            <w:tcW w:w="77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−147 438</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80"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993"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308"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Kiti įsipareigojimai</w:t>
            </w:r>
          </w:p>
        </w:tc>
        <w:tc>
          <w:tcPr>
            <w:tcW w:w="709"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999"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8"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68"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−2 353</w:t>
            </w:r>
          </w:p>
        </w:tc>
        <w:tc>
          <w:tcPr>
            <w:tcW w:w="778"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−2 353</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80"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993"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308"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3"/>
              <w:rPr>
                <w:rFonts w:ascii="Arial" w:eastAsia="Arial" w:hAnsi="Arial" w:cs="Arial"/>
                <w:b/>
                <w:noProof/>
                <w:color w:val="000000"/>
                <w:sz w:val="16"/>
              </w:rPr>
            </w:pPr>
            <w:r>
              <w:rPr>
                <w:rFonts w:ascii="Arial" w:hAnsi="Arial"/>
                <w:b/>
                <w:noProof/>
                <w:color w:val="000000"/>
                <w:sz w:val="16"/>
              </w:rPr>
              <w:t>Visi finansiniai įsipareigojimai, vertinami amortizuota savikaina</w:t>
            </w:r>
          </w:p>
        </w:tc>
        <w:tc>
          <w:tcPr>
            <w:tcW w:w="70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99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68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76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−187 688</w:t>
            </w:r>
          </w:p>
        </w:tc>
        <w:tc>
          <w:tcPr>
            <w:tcW w:w="77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−187 688</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80"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993"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trPr>
        <w:tc>
          <w:tcPr>
            <w:tcW w:w="2308"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pPr>
              <w:pStyle w:val="Normal123"/>
              <w:rPr>
                <w:rFonts w:ascii="Arial" w:eastAsia="Arial" w:hAnsi="Arial" w:cs="Arial"/>
                <w:b/>
                <w:noProof/>
                <w:color w:val="000000"/>
                <w:sz w:val="16"/>
              </w:rPr>
            </w:pPr>
            <w:r>
              <w:rPr>
                <w:rFonts w:ascii="Arial" w:hAnsi="Arial"/>
                <w:b/>
                <w:noProof/>
                <w:color w:val="000000"/>
                <w:sz w:val="16"/>
              </w:rPr>
              <w:t>Iš viso finansinių įsipareigojimų</w:t>
            </w:r>
          </w:p>
        </w:tc>
        <w:tc>
          <w:tcPr>
            <w:tcW w:w="709"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−191</w:t>
            </w:r>
          </w:p>
        </w:tc>
        <w:tc>
          <w:tcPr>
            <w:tcW w:w="999"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805"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688"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768"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−187 688</w:t>
            </w:r>
          </w:p>
        </w:tc>
        <w:tc>
          <w:tcPr>
            <w:tcW w:w="778"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−187 879</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80"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993"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r>
    </w:tbl>
    <w:p>
      <w:pPr>
        <w:pStyle w:val="Notes29"/>
        <w:pageBreakBefore/>
        <w:spacing w:line="360" w:lineRule="auto"/>
        <w:ind w:left="432" w:hanging="432"/>
        <w:rPr>
          <w:noProof/>
        </w:rPr>
      </w:pPr>
      <w:r>
        <w:rPr>
          <w:noProof/>
        </w:rPr>
        <w:t>4</w:t>
      </w:r>
      <w:r>
        <w:rPr>
          <w:noProof/>
        </w:rPr>
        <w:tab/>
        <w:t>Finansinių priemonių tikroji vertė (tęsinys)</w:t>
      </w:r>
    </w:p>
    <w:p>
      <w:pPr>
        <w:pStyle w:val="Title1151"/>
        <w:numPr>
          <w:ilvl w:val="1"/>
          <w:numId w:val="107"/>
        </w:numPr>
        <w:rPr>
          <w:b/>
          <w:noProof/>
          <w:sz w:val="16"/>
          <w:szCs w:val="16"/>
          <w:bdr w:val="none" w:sz="0" w:space="0" w:color="auto" w:frame="1"/>
        </w:rPr>
      </w:pPr>
      <w:r>
        <w:rPr>
          <w:b/>
          <w:noProof/>
          <w:sz w:val="16"/>
          <w:szCs w:val="16"/>
          <w:bdr w:val="none" w:sz="0" w:space="0" w:color="auto" w:frame="1"/>
        </w:rPr>
        <w:t>Apskaitos klasifikacijos ir tikrosios vertės (tęsinys)</w:t>
      </w:r>
    </w:p>
    <w:p>
      <w:pPr>
        <w:pStyle w:val="Title117"/>
        <w:numPr>
          <w:ilvl w:val="0"/>
          <w:numId w:val="0"/>
        </w:numPr>
        <w:rPr>
          <w:noProof/>
          <w:sz w:val="16"/>
          <w:szCs w:val="16"/>
        </w:rPr>
      </w:pPr>
    </w:p>
    <w:tbl>
      <w:tblPr>
        <w:tblStyle w:val="CDMRange211"/>
        <w:tblW w:w="9679" w:type="dxa"/>
        <w:tblLayout w:type="fixed"/>
        <w:tblLook w:val="0600" w:firstRow="0" w:lastRow="0" w:firstColumn="0" w:lastColumn="0" w:noHBand="1" w:noVBand="1"/>
      </w:tblPr>
      <w:tblGrid>
        <w:gridCol w:w="2315"/>
        <w:gridCol w:w="752"/>
        <w:gridCol w:w="708"/>
        <w:gridCol w:w="822"/>
        <w:gridCol w:w="703"/>
        <w:gridCol w:w="757"/>
        <w:gridCol w:w="823"/>
        <w:gridCol w:w="108"/>
        <w:gridCol w:w="649"/>
        <w:gridCol w:w="649"/>
        <w:gridCol w:w="685"/>
        <w:gridCol w:w="708"/>
      </w:tblGrid>
      <w:tr>
        <w:trPr>
          <w:trHeight w:val="258"/>
        </w:trPr>
        <w:tc>
          <w:tcPr>
            <w:tcW w:w="231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hAnsi="Arial"/>
                <w:b/>
                <w:noProof/>
                <w:color w:val="000000"/>
                <w:sz w:val="16"/>
              </w:rPr>
              <w:t>2018 m. gruodžio 31 d.</w:t>
            </w:r>
          </w:p>
        </w:tc>
        <w:tc>
          <w:tcPr>
            <w:tcW w:w="4565" w:type="dxa"/>
            <w:gridSpan w:val="6"/>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center"/>
              <w:rPr>
                <w:rFonts w:ascii="Arial" w:eastAsia="Arial" w:hAnsi="Arial" w:cs="Arial"/>
                <w:b/>
                <w:noProof/>
                <w:color w:val="000000"/>
                <w:sz w:val="16"/>
              </w:rPr>
            </w:pPr>
            <w:r>
              <w:rPr>
                <w:rFonts w:ascii="Arial" w:hAnsi="Arial"/>
                <w:b/>
                <w:noProof/>
                <w:color w:val="000000"/>
                <w:sz w:val="16"/>
              </w:rPr>
              <w:t>Balansinė vertė</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center"/>
              <w:rPr>
                <w:rFonts w:ascii="Arial" w:eastAsia="Arial" w:hAnsi="Arial" w:cs="Arial"/>
                <w:b/>
                <w:noProof/>
                <w:color w:val="000000"/>
                <w:sz w:val="16"/>
              </w:rPr>
            </w:pPr>
          </w:p>
        </w:tc>
        <w:tc>
          <w:tcPr>
            <w:tcW w:w="2691" w:type="dxa"/>
            <w:gridSpan w:val="4"/>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center"/>
              <w:rPr>
                <w:rFonts w:ascii="Arial" w:eastAsia="Arial" w:hAnsi="Arial" w:cs="Arial"/>
                <w:b/>
                <w:noProof/>
                <w:color w:val="000000"/>
                <w:sz w:val="16"/>
              </w:rPr>
            </w:pPr>
            <w:r>
              <w:rPr>
                <w:rFonts w:ascii="Arial" w:hAnsi="Arial"/>
                <w:b/>
                <w:noProof/>
                <w:color w:val="000000"/>
                <w:sz w:val="16"/>
              </w:rPr>
              <w:t>Tikroji vertė</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8"/>
        </w:trPr>
        <w:tc>
          <w:tcPr>
            <w:tcW w:w="2315"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2"/>
                <w:szCs w:val="12"/>
              </w:rPr>
            </w:pPr>
            <w:r>
              <w:rPr>
                <w:rFonts w:ascii="Arial" w:hAnsi="Arial"/>
                <w:b/>
                <w:noProof/>
                <w:color w:val="000000"/>
                <w:sz w:val="12"/>
                <w:szCs w:val="12"/>
              </w:rPr>
              <w:t>tūkst. EUR</w:t>
            </w:r>
          </w:p>
        </w:tc>
        <w:tc>
          <w:tcPr>
            <w:tcW w:w="75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2"/>
                <w:szCs w:val="12"/>
              </w:rPr>
            </w:pPr>
            <w:r>
              <w:rPr>
                <w:rFonts w:ascii="Arial" w:hAnsi="Arial"/>
                <w:b/>
                <w:noProof/>
                <w:color w:val="000000"/>
                <w:sz w:val="12"/>
                <w:szCs w:val="12"/>
              </w:rPr>
              <w:t>Išvestinės finansinės priemonės</w:t>
            </w:r>
          </w:p>
        </w:tc>
        <w:tc>
          <w:tcPr>
            <w:tcW w:w="70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2"/>
                <w:szCs w:val="12"/>
              </w:rPr>
            </w:pPr>
            <w:r>
              <w:rPr>
                <w:rFonts w:ascii="Arial" w:hAnsi="Arial"/>
                <w:b/>
                <w:noProof/>
                <w:color w:val="000000"/>
                <w:sz w:val="12"/>
                <w:szCs w:val="12"/>
              </w:rPr>
              <w:t>Akcijos ir kiti kintamo pelningumo vertybiniai popieriai</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2"/>
                <w:szCs w:val="12"/>
              </w:rPr>
            </w:pPr>
            <w:r>
              <w:rPr>
                <w:rFonts w:ascii="Arial" w:hAnsi="Arial"/>
                <w:b/>
                <w:noProof/>
                <w:color w:val="000000"/>
                <w:sz w:val="12"/>
                <w:szCs w:val="12"/>
              </w:rPr>
              <w:t>Pinigai, paskolos ir gautinos sumos</w:t>
            </w:r>
          </w:p>
        </w:tc>
        <w:tc>
          <w:tcPr>
            <w:tcW w:w="70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2"/>
                <w:szCs w:val="12"/>
              </w:rPr>
            </w:pPr>
            <w:r>
              <w:rPr>
                <w:rFonts w:ascii="Arial" w:hAnsi="Arial"/>
                <w:b/>
                <w:noProof/>
                <w:color w:val="000000"/>
                <w:sz w:val="12"/>
                <w:szCs w:val="12"/>
              </w:rPr>
              <w:t>Iždo finansinis turtas</w:t>
            </w:r>
          </w:p>
        </w:tc>
        <w:tc>
          <w:tcPr>
            <w:tcW w:w="757"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2"/>
                <w:szCs w:val="12"/>
              </w:rPr>
            </w:pPr>
            <w:r>
              <w:rPr>
                <w:rFonts w:ascii="Arial" w:hAnsi="Arial"/>
                <w:b/>
                <w:noProof/>
                <w:color w:val="000000"/>
                <w:sz w:val="12"/>
                <w:szCs w:val="12"/>
              </w:rPr>
              <w:t>Kiti finansiniai įsipareigojimai</w:t>
            </w:r>
          </w:p>
        </w:tc>
        <w:tc>
          <w:tcPr>
            <w:tcW w:w="82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2"/>
                <w:szCs w:val="12"/>
              </w:rPr>
            </w:pPr>
            <w:r>
              <w:rPr>
                <w:rFonts w:ascii="Arial" w:hAnsi="Arial"/>
                <w:b/>
                <w:noProof/>
                <w:color w:val="000000"/>
                <w:sz w:val="12"/>
                <w:szCs w:val="12"/>
              </w:rPr>
              <w:t>Iš viso</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2"/>
                <w:szCs w:val="12"/>
              </w:rPr>
            </w:pP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2"/>
                <w:szCs w:val="12"/>
              </w:rPr>
            </w:pPr>
            <w:r>
              <w:rPr>
                <w:rFonts w:ascii="Arial" w:hAnsi="Arial"/>
                <w:b/>
                <w:noProof/>
                <w:color w:val="000000"/>
                <w:sz w:val="12"/>
                <w:szCs w:val="12"/>
              </w:rPr>
              <w:t>1 lygis</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2"/>
                <w:szCs w:val="12"/>
              </w:rPr>
            </w:pPr>
            <w:r>
              <w:rPr>
                <w:rFonts w:ascii="Arial" w:hAnsi="Arial"/>
                <w:b/>
                <w:noProof/>
                <w:color w:val="000000"/>
                <w:sz w:val="12"/>
                <w:szCs w:val="12"/>
              </w:rPr>
              <w:t>2 lygis</w:t>
            </w:r>
          </w:p>
        </w:tc>
        <w:tc>
          <w:tcPr>
            <w:tcW w:w="68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2"/>
                <w:szCs w:val="12"/>
              </w:rPr>
            </w:pPr>
            <w:r>
              <w:rPr>
                <w:rFonts w:ascii="Arial" w:hAnsi="Arial"/>
                <w:b/>
                <w:noProof/>
                <w:color w:val="000000"/>
                <w:sz w:val="12"/>
                <w:szCs w:val="12"/>
              </w:rPr>
              <w:t>3 lygis</w:t>
            </w:r>
          </w:p>
        </w:tc>
        <w:tc>
          <w:tcPr>
            <w:tcW w:w="70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2"/>
                <w:szCs w:val="12"/>
              </w:rPr>
            </w:pPr>
            <w:r>
              <w:rPr>
                <w:rFonts w:ascii="Arial" w:hAnsi="Arial"/>
                <w:b/>
                <w:noProof/>
                <w:color w:val="000000"/>
                <w:sz w:val="12"/>
                <w:szCs w:val="12"/>
              </w:rPr>
              <w:t>Iš viso</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hAnsi="Arial"/>
                <w:b/>
                <w:noProof/>
                <w:color w:val="000000"/>
                <w:sz w:val="16"/>
              </w:rPr>
              <w:t>Finansinis turtas, privalomai vertinamas tikrąja verte, kurios pasikeitimas pripažįstamas pelnu arba nuostoliais</w:t>
            </w:r>
          </w:p>
        </w:tc>
        <w:tc>
          <w:tcPr>
            <w:tcW w:w="75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3"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57"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3"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8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auto" w:fill="auto"/>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 xml:space="preserve">Išvestinės finansinės priemonės </w:t>
            </w:r>
          </w:p>
        </w:tc>
        <w:tc>
          <w:tcPr>
            <w:tcW w:w="752"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9 873</w:t>
            </w:r>
          </w:p>
        </w:tc>
        <w:tc>
          <w:tcPr>
            <w:tcW w:w="708"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3"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3"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9 873</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9 873</w:t>
            </w:r>
          </w:p>
        </w:tc>
        <w:tc>
          <w:tcPr>
            <w:tcW w:w="685"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9 873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Rizikos kapitalo fondai</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467 152</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3"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467 152</w:t>
            </w:r>
          </w:p>
        </w:tc>
        <w:tc>
          <w:tcPr>
            <w:tcW w:w="108" w:type="dxa"/>
            <w:tcBorders>
              <w:top w:val="nil"/>
              <w:left w:val="nil"/>
              <w:bottom w:val="nil"/>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85"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467 152</w:t>
            </w:r>
          </w:p>
        </w:tc>
        <w:tc>
          <w:tcPr>
            <w:tcW w:w="708"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467 152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Tiesioginės investicijos į nuosavą kapitalą</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100 140</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3"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100 140</w:t>
            </w:r>
          </w:p>
        </w:tc>
        <w:tc>
          <w:tcPr>
            <w:tcW w:w="108" w:type="dxa"/>
            <w:tcBorders>
              <w:top w:val="nil"/>
              <w:left w:val="nil"/>
              <w:bottom w:val="nil"/>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16 675</w:t>
            </w: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85"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83 465</w:t>
            </w:r>
          </w:p>
        </w:tc>
        <w:tc>
          <w:tcPr>
            <w:tcW w:w="708"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100 140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Paskolos ir išankstiniai mokėjimai</w:t>
            </w:r>
          </w:p>
        </w:tc>
        <w:tc>
          <w:tcPr>
            <w:tcW w:w="752"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 xml:space="preserve"> 720</w:t>
            </w:r>
          </w:p>
        </w:tc>
        <w:tc>
          <w:tcPr>
            <w:tcW w:w="703"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3"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 xml:space="preserve"> 720</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single" w:sz="4" w:space="0" w:color="000000"/>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720</w:t>
            </w:r>
          </w:p>
        </w:tc>
        <w:tc>
          <w:tcPr>
            <w:tcW w:w="685" w:type="dxa"/>
            <w:tcBorders>
              <w:top w:val="nil"/>
              <w:left w:val="nil"/>
              <w:bottom w:val="single" w:sz="4" w:space="0" w:color="000000"/>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single" w:sz="4" w:space="0" w:color="000000"/>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720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hAnsi="Arial"/>
                <w:b/>
                <w:noProof/>
                <w:color w:val="000000"/>
                <w:sz w:val="16"/>
              </w:rPr>
              <w:t>Visas finansinis turtas, privalomai vertinamas tikrąja verte, kurios pasikeitimas pripažįstamas pelnu arba nuostoliais</w:t>
            </w:r>
          </w:p>
        </w:tc>
        <w:tc>
          <w:tcPr>
            <w:tcW w:w="75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9 873</w:t>
            </w:r>
          </w:p>
        </w:tc>
        <w:tc>
          <w:tcPr>
            <w:tcW w:w="70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567 292</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720</w:t>
            </w:r>
          </w:p>
        </w:tc>
        <w:tc>
          <w:tcPr>
            <w:tcW w:w="70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757"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82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577 885</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16 675</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10 593</w:t>
            </w:r>
          </w:p>
        </w:tc>
        <w:tc>
          <w:tcPr>
            <w:tcW w:w="68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550 617</w:t>
            </w:r>
          </w:p>
        </w:tc>
        <w:tc>
          <w:tcPr>
            <w:tcW w:w="70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577 885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hAnsi="Arial"/>
                <w:b/>
                <w:noProof/>
                <w:color w:val="000000"/>
                <w:sz w:val="16"/>
              </w:rPr>
              <w:t>Finansinis turtas, vertinamas amortizuota savikaina</w:t>
            </w:r>
          </w:p>
        </w:tc>
        <w:tc>
          <w:tcPr>
            <w:tcW w:w="75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3"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57"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3"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8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Pinigai ir pinigų ekvivalentai</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573 708</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573 708</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nil"/>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85" w:type="dxa"/>
            <w:tcBorders>
              <w:top w:val="nil"/>
              <w:left w:val="nil"/>
              <w:bottom w:val="nil"/>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nil"/>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Paskolos ir išankstiniai mokėjimai</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1 540 271</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1 540 271</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1 760 576</w:t>
            </w:r>
          </w:p>
        </w:tc>
        <w:tc>
          <w:tcPr>
            <w:tcW w:w="685"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1 760 576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Iš įnašų mokėtojų gautinos sumos</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100 000</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100 000</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85"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Iždo finansinis turtas</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335 140</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335 140</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191 475</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145 061</w:t>
            </w:r>
          </w:p>
        </w:tc>
        <w:tc>
          <w:tcPr>
            <w:tcW w:w="685"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336 536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Kitas turtas</w:t>
            </w:r>
          </w:p>
        </w:tc>
        <w:tc>
          <w:tcPr>
            <w:tcW w:w="752"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171</w:t>
            </w:r>
          </w:p>
        </w:tc>
        <w:tc>
          <w:tcPr>
            <w:tcW w:w="703"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3"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171</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85"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hAnsi="Arial"/>
                <w:b/>
                <w:noProof/>
                <w:color w:val="000000"/>
                <w:sz w:val="16"/>
              </w:rPr>
              <w:t>Visas finansinis turtas, vertinamas amortizuota savikaina</w:t>
            </w:r>
          </w:p>
        </w:tc>
        <w:tc>
          <w:tcPr>
            <w:tcW w:w="75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70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2 214 150</w:t>
            </w:r>
          </w:p>
        </w:tc>
        <w:tc>
          <w:tcPr>
            <w:tcW w:w="70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335 140</w:t>
            </w:r>
          </w:p>
        </w:tc>
        <w:tc>
          <w:tcPr>
            <w:tcW w:w="757"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82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2 549 290</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191 475</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1 905 637</w:t>
            </w:r>
          </w:p>
        </w:tc>
        <w:tc>
          <w:tcPr>
            <w:tcW w:w="68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70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2 097 112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pPr>
              <w:pStyle w:val="Normal125"/>
              <w:rPr>
                <w:rFonts w:ascii="Arial" w:eastAsia="Arial" w:hAnsi="Arial" w:cs="Arial"/>
                <w:b/>
                <w:noProof/>
                <w:color w:val="000000"/>
                <w:sz w:val="16"/>
              </w:rPr>
            </w:pPr>
            <w:r>
              <w:rPr>
                <w:rFonts w:ascii="Arial" w:hAnsi="Arial"/>
                <w:b/>
                <w:noProof/>
                <w:color w:val="000000"/>
                <w:sz w:val="16"/>
              </w:rPr>
              <w:t xml:space="preserve">Visas finansinis turtas </w:t>
            </w:r>
          </w:p>
        </w:tc>
        <w:tc>
          <w:tcPr>
            <w:tcW w:w="752"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9 873</w:t>
            </w:r>
          </w:p>
        </w:tc>
        <w:tc>
          <w:tcPr>
            <w:tcW w:w="708"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567 292</w:t>
            </w:r>
          </w:p>
        </w:tc>
        <w:tc>
          <w:tcPr>
            <w:tcW w:w="822"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2 214 870</w:t>
            </w:r>
          </w:p>
        </w:tc>
        <w:tc>
          <w:tcPr>
            <w:tcW w:w="703"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335 140</w:t>
            </w:r>
          </w:p>
        </w:tc>
        <w:tc>
          <w:tcPr>
            <w:tcW w:w="757"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823"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3 127 175</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8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70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125"/>
              <w:rPr>
                <w:rFonts w:ascii="Arial" w:eastAsia="Arial" w:hAnsi="Arial" w:cs="Arial"/>
                <w:noProof/>
                <w:color w:val="000000"/>
                <w:sz w:val="16"/>
              </w:rPr>
            </w:pPr>
          </w:p>
        </w:tc>
        <w:tc>
          <w:tcPr>
            <w:tcW w:w="752"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8"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3"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57"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3"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85"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8"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8"/>
        </w:trPr>
        <w:tc>
          <w:tcPr>
            <w:tcW w:w="231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5"/>
              <w:rPr>
                <w:rFonts w:ascii="Arial" w:eastAsia="Arial" w:hAnsi="Arial" w:cs="Arial"/>
                <w:b/>
                <w:noProof/>
                <w:color w:val="000000"/>
                <w:sz w:val="16"/>
              </w:rPr>
            </w:pPr>
            <w:r>
              <w:rPr>
                <w:rFonts w:ascii="Arial" w:hAnsi="Arial"/>
                <w:b/>
                <w:noProof/>
                <w:color w:val="000000"/>
                <w:sz w:val="16"/>
              </w:rPr>
              <w:t>Finansiniai įsipareigojimai, vertinami tikrąja verte, kurios pasikeitimas pripažįstamas pelnu arba nuostoliais</w:t>
            </w:r>
          </w:p>
        </w:tc>
        <w:tc>
          <w:tcPr>
            <w:tcW w:w="75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3"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57"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3"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8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Išvestinės finansinės priemonės</w:t>
            </w:r>
          </w:p>
        </w:tc>
        <w:tc>
          <w:tcPr>
            <w:tcW w:w="752"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−8 493</w:t>
            </w:r>
          </w:p>
        </w:tc>
        <w:tc>
          <w:tcPr>
            <w:tcW w:w="708"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3"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3"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−8 493</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−8 493</w:t>
            </w:r>
          </w:p>
        </w:tc>
        <w:tc>
          <w:tcPr>
            <w:tcW w:w="68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−8 493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hAnsi="Arial"/>
                <w:b/>
                <w:noProof/>
                <w:color w:val="000000"/>
                <w:sz w:val="16"/>
              </w:rPr>
              <w:t>Visi finansiniai įsipareigojimai, vertinami tikrąja verte, kurios pasikeitimas pripažįstamas pelnu arba nuostoliais</w:t>
            </w:r>
          </w:p>
        </w:tc>
        <w:tc>
          <w:tcPr>
            <w:tcW w:w="75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−8 493</w:t>
            </w:r>
          </w:p>
        </w:tc>
        <w:tc>
          <w:tcPr>
            <w:tcW w:w="70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70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757"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82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−8 493</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−8 493</w:t>
            </w:r>
          </w:p>
        </w:tc>
        <w:tc>
          <w:tcPr>
            <w:tcW w:w="68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70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−8 493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hAnsi="Arial"/>
                <w:b/>
                <w:noProof/>
                <w:color w:val="000000"/>
                <w:sz w:val="16"/>
              </w:rPr>
              <w:t>Finansiniai įsipareigojimai, vertinami amortizuota savikaina</w:t>
            </w:r>
          </w:p>
        </w:tc>
        <w:tc>
          <w:tcPr>
            <w:tcW w:w="75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3"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57"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3"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85"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708"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Atidėjiniai suteiktoms garantijoms</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−793</w:t>
            </w:r>
          </w:p>
        </w:tc>
        <w:tc>
          <w:tcPr>
            <w:tcW w:w="82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−793</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85"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708"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Atidėjiniai kreditavimo įsipareigojimams</w:t>
            </w:r>
          </w:p>
        </w:tc>
        <w:tc>
          <w:tcPr>
            <w:tcW w:w="752" w:type="dxa"/>
            <w:tcBorders>
              <w:top w:val="nil"/>
              <w:left w:val="nil"/>
              <w:bottom w:val="nil"/>
              <w:right w:val="nil"/>
              <w:tl2br w:val="nil"/>
              <w:tr2bl w:val="nil"/>
            </w:tcBorders>
            <w:shd w:val="clear" w:color="FFFFFF" w:fill="FFFFFF"/>
            <w:noWrap/>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nil"/>
              <w:right w:val="nil"/>
              <w:tl2br w:val="nil"/>
              <w:tr2bl w:val="nil"/>
            </w:tcBorders>
            <w:shd w:val="clear" w:color="FFFFFF" w:fill="FFFFFF"/>
            <w:noWrap/>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nil"/>
              <w:right w:val="nil"/>
              <w:tl2br w:val="nil"/>
              <w:tr2bl w:val="nil"/>
            </w:tcBorders>
            <w:shd w:val="clear" w:color="FFFFFF" w:fill="FFFFFF"/>
            <w:noWrap/>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3" w:type="dxa"/>
            <w:tcBorders>
              <w:top w:val="nil"/>
              <w:left w:val="nil"/>
              <w:bottom w:val="nil"/>
              <w:right w:val="nil"/>
              <w:tl2br w:val="nil"/>
              <w:tr2bl w:val="nil"/>
            </w:tcBorders>
            <w:shd w:val="clear" w:color="FFFFFF" w:fill="FFFFFF"/>
            <w:noWrap/>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−23 822</w:t>
            </w:r>
          </w:p>
        </w:tc>
        <w:tc>
          <w:tcPr>
            <w:tcW w:w="82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−23 822</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85"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708"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Trečiosioms šalims mokėtinos sumos</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−143 813</w:t>
            </w:r>
          </w:p>
        </w:tc>
        <w:tc>
          <w:tcPr>
            <w:tcW w:w="82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−143 813</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85"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708"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Kiti įsipareigojimai</w:t>
            </w:r>
          </w:p>
        </w:tc>
        <w:tc>
          <w:tcPr>
            <w:tcW w:w="752"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3"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−2 493</w:t>
            </w:r>
          </w:p>
        </w:tc>
        <w:tc>
          <w:tcPr>
            <w:tcW w:w="823"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−2 493</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85"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708"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hAnsi="Arial"/>
                <w:b/>
                <w:noProof/>
                <w:color w:val="000000"/>
                <w:sz w:val="16"/>
              </w:rPr>
              <w:t>Visi finansiniai įsipareigojimai, vertinami amortizuota savikaina</w:t>
            </w:r>
          </w:p>
        </w:tc>
        <w:tc>
          <w:tcPr>
            <w:tcW w:w="75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70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70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757"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−170 921</w:t>
            </w:r>
          </w:p>
        </w:tc>
        <w:tc>
          <w:tcPr>
            <w:tcW w:w="82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−170 921</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85"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708"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pPr>
              <w:pStyle w:val="Normal125"/>
              <w:rPr>
                <w:rFonts w:ascii="Arial" w:eastAsia="Arial" w:hAnsi="Arial" w:cs="Arial"/>
                <w:b/>
                <w:noProof/>
                <w:color w:val="000000"/>
                <w:sz w:val="16"/>
              </w:rPr>
            </w:pPr>
            <w:r>
              <w:rPr>
                <w:rFonts w:ascii="Arial" w:hAnsi="Arial"/>
                <w:b/>
                <w:noProof/>
                <w:color w:val="000000"/>
                <w:sz w:val="16"/>
              </w:rPr>
              <w:t xml:space="preserve">Iš viso finansinių įsipareigojimų </w:t>
            </w:r>
          </w:p>
        </w:tc>
        <w:tc>
          <w:tcPr>
            <w:tcW w:w="752"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−8 493</w:t>
            </w:r>
          </w:p>
        </w:tc>
        <w:tc>
          <w:tcPr>
            <w:tcW w:w="708"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822"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703"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757"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−170 921</w:t>
            </w:r>
          </w:p>
        </w:tc>
        <w:tc>
          <w:tcPr>
            <w:tcW w:w="823"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−179 414</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85"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708"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2315"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752"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708"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822"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703"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757"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823"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108"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85"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708"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r>
    </w:tbl>
    <w:p>
      <w:pPr>
        <w:rPr>
          <w:noProof/>
        </w:rPr>
        <w:sectPr>
          <w:headerReference w:type="even" r:id="rId407"/>
          <w:headerReference w:type="default" r:id="rId408"/>
          <w:footerReference w:type="even" r:id="rId409"/>
          <w:footerReference w:type="default" r:id="rId410"/>
          <w:headerReference w:type="first" r:id="rId411"/>
          <w:footerReference w:type="first" r:id="rId412"/>
          <w:type w:val="continuous"/>
          <w:pgSz w:w="11907" w:h="16840" w:code="9"/>
          <w:pgMar w:top="1134" w:right="1134" w:bottom="1134" w:left="1134" w:header="720" w:footer="720" w:gutter="0"/>
          <w:pgBorders>
            <w:top w:val="nil"/>
            <w:left w:val="nil"/>
            <w:bottom w:val="nil"/>
            <w:right w:val="nil"/>
          </w:pgBorders>
          <w:cols w:space="720"/>
          <w:docGrid w:linePitch="360"/>
        </w:sectPr>
      </w:pPr>
    </w:p>
    <w:p>
      <w:pPr>
        <w:pStyle w:val="Title1150"/>
        <w:numPr>
          <w:ilvl w:val="1"/>
          <w:numId w:val="106"/>
        </w:numPr>
        <w:rPr>
          <w:b/>
          <w:noProof/>
          <w:sz w:val="16"/>
          <w:szCs w:val="16"/>
          <w:bdr w:val="none" w:sz="0" w:space="0" w:color="auto" w:frame="1"/>
        </w:rPr>
      </w:pPr>
      <w:r>
        <w:rPr>
          <w:b/>
          <w:noProof/>
          <w:sz w:val="16"/>
          <w:szCs w:val="16"/>
          <w:bdr w:val="none" w:sz="0" w:space="0" w:color="auto" w:frame="1"/>
        </w:rPr>
        <w:t>Tikrosios vertės nustatymas</w:t>
      </w:r>
    </w:p>
    <w:p>
      <w:pPr>
        <w:pStyle w:val="Title118"/>
        <w:spacing w:before="60" w:after="60"/>
        <w:ind w:firstLine="0"/>
        <w:rPr>
          <w:noProof/>
          <w:sz w:val="16"/>
          <w:szCs w:val="16"/>
        </w:rPr>
      </w:pPr>
    </w:p>
    <w:p>
      <w:pPr>
        <w:pStyle w:val="Title118"/>
        <w:numPr>
          <w:ilvl w:val="2"/>
          <w:numId w:val="106"/>
        </w:numPr>
        <w:ind w:left="851" w:hanging="851"/>
        <w:rPr>
          <w:b/>
          <w:noProof/>
          <w:sz w:val="16"/>
          <w:szCs w:val="16"/>
        </w:rPr>
      </w:pPr>
      <w:r>
        <w:rPr>
          <w:b/>
          <w:noProof/>
          <w:sz w:val="16"/>
          <w:szCs w:val="16"/>
        </w:rPr>
        <w:t>Vertinimo metodai ir svarbūs rinkoje negaunami duomenys</w:t>
      </w:r>
    </w:p>
    <w:p>
      <w:pPr>
        <w:pStyle w:val="Normal126"/>
        <w:suppressAutoHyphens w:val="0"/>
        <w:spacing w:after="60"/>
        <w:jc w:val="both"/>
        <w:rPr>
          <w:rFonts w:ascii="Arial" w:hAnsi="Arial"/>
          <w:noProof/>
          <w:sz w:val="16"/>
          <w:szCs w:val="16"/>
        </w:rPr>
      </w:pPr>
    </w:p>
    <w:p>
      <w:pPr>
        <w:pStyle w:val="Normal126"/>
        <w:jc w:val="both"/>
        <w:rPr>
          <w:rFonts w:ascii="Arial" w:hAnsi="Arial"/>
          <w:noProof/>
          <w:sz w:val="16"/>
          <w:szCs w:val="16"/>
        </w:rPr>
      </w:pPr>
      <w:r>
        <w:rPr>
          <w:rFonts w:ascii="Arial" w:hAnsi="Arial"/>
          <w:noProof/>
          <w:sz w:val="16"/>
          <w:szCs w:val="16"/>
        </w:rPr>
        <w:t>Toliau pateikiamoje lentelėje pateikta informacija apie vertinimo metodus ir svarbius rinkoje negaunamus duomenis, naudojamus finansinių priemonių, tikrosios vertės hierarchijoje priskiriamų 2 ir 3 lygiams, vertinimui.</w:t>
      </w:r>
    </w:p>
    <w:p>
      <w:pPr>
        <w:pStyle w:val="Normal126"/>
        <w:spacing w:before="60" w:after="60"/>
        <w:rPr>
          <w:rFonts w:ascii="Arial" w:hAnsi="Arial"/>
          <w:noProof/>
          <w:sz w:val="16"/>
          <w:szCs w:val="16"/>
        </w:rPr>
      </w:pPr>
    </w:p>
    <w:tbl>
      <w:tblPr>
        <w:tblW w:w="10015" w:type="dxa"/>
        <w:tblInd w:w="-90" w:type="dxa"/>
        <w:tblLook w:val="0000" w:firstRow="0" w:lastRow="0" w:firstColumn="0" w:lastColumn="0" w:noHBand="0" w:noVBand="0"/>
      </w:tblPr>
      <w:tblGrid>
        <w:gridCol w:w="1269"/>
        <w:gridCol w:w="3736"/>
        <w:gridCol w:w="2912"/>
        <w:gridCol w:w="2098"/>
      </w:tblGrid>
      <w:tr>
        <w:trPr>
          <w:trHeight w:val="450"/>
        </w:trPr>
        <w:tc>
          <w:tcPr>
            <w:tcW w:w="1269" w:type="dxa"/>
            <w:tcBorders>
              <w:top w:val="single" w:sz="4" w:space="0" w:color="auto"/>
              <w:left w:val="nil"/>
              <w:bottom w:val="single" w:sz="4" w:space="0" w:color="auto"/>
              <w:right w:val="nil"/>
            </w:tcBorders>
            <w:shd w:val="clear" w:color="auto" w:fill="auto"/>
            <w:noWrap/>
            <w:vAlign w:val="bottom"/>
          </w:tcPr>
          <w:p>
            <w:pPr>
              <w:pStyle w:val="Normal126"/>
              <w:suppressAutoHyphens w:val="0"/>
              <w:rPr>
                <w:rFonts w:ascii="Arial" w:hAnsi="Arial"/>
                <w:b/>
                <w:bCs/>
                <w:noProof/>
                <w:sz w:val="16"/>
                <w:szCs w:val="16"/>
                <w:lang w:eastAsia="en-GB"/>
              </w:rPr>
            </w:pPr>
          </w:p>
        </w:tc>
        <w:tc>
          <w:tcPr>
            <w:tcW w:w="3736" w:type="dxa"/>
            <w:tcBorders>
              <w:top w:val="single" w:sz="4" w:space="0" w:color="auto"/>
              <w:left w:val="nil"/>
              <w:bottom w:val="single" w:sz="4" w:space="0" w:color="auto"/>
              <w:right w:val="nil"/>
            </w:tcBorders>
            <w:shd w:val="clear" w:color="auto" w:fill="auto"/>
            <w:noWrap/>
            <w:vAlign w:val="bottom"/>
          </w:tcPr>
          <w:p>
            <w:pPr>
              <w:pStyle w:val="Normal126"/>
              <w:suppressAutoHyphens w:val="0"/>
              <w:rPr>
                <w:rFonts w:ascii="Arial" w:hAnsi="Arial"/>
                <w:b/>
                <w:bCs/>
                <w:noProof/>
                <w:sz w:val="16"/>
                <w:szCs w:val="16"/>
              </w:rPr>
            </w:pPr>
            <w:r>
              <w:rPr>
                <w:rFonts w:ascii="Arial" w:hAnsi="Arial"/>
                <w:b/>
                <w:bCs/>
                <w:noProof/>
                <w:sz w:val="16"/>
                <w:szCs w:val="16"/>
              </w:rPr>
              <w:t>Vertinimo metodas</w:t>
            </w:r>
          </w:p>
        </w:tc>
        <w:tc>
          <w:tcPr>
            <w:tcW w:w="2912" w:type="dxa"/>
            <w:tcBorders>
              <w:top w:val="single" w:sz="4" w:space="0" w:color="auto"/>
              <w:left w:val="nil"/>
              <w:bottom w:val="single" w:sz="4" w:space="0" w:color="auto"/>
              <w:right w:val="nil"/>
            </w:tcBorders>
            <w:shd w:val="clear" w:color="auto" w:fill="auto"/>
            <w:noWrap/>
            <w:vAlign w:val="bottom"/>
          </w:tcPr>
          <w:p>
            <w:pPr>
              <w:pStyle w:val="Normal126"/>
              <w:suppressAutoHyphens w:val="0"/>
              <w:rPr>
                <w:rFonts w:ascii="Arial" w:hAnsi="Arial"/>
                <w:b/>
                <w:bCs/>
                <w:noProof/>
                <w:sz w:val="16"/>
                <w:szCs w:val="16"/>
              </w:rPr>
            </w:pPr>
            <w:r>
              <w:rPr>
                <w:rFonts w:ascii="Arial" w:hAnsi="Arial"/>
                <w:b/>
                <w:bCs/>
                <w:noProof/>
                <w:sz w:val="16"/>
                <w:szCs w:val="16"/>
              </w:rPr>
              <w:t>Svarbūs rinkoje negaunami duomenys</w:t>
            </w:r>
          </w:p>
        </w:tc>
        <w:tc>
          <w:tcPr>
            <w:tcW w:w="2098" w:type="dxa"/>
            <w:tcBorders>
              <w:top w:val="single" w:sz="4" w:space="0" w:color="auto"/>
              <w:left w:val="nil"/>
              <w:bottom w:val="single" w:sz="4" w:space="0" w:color="auto"/>
              <w:right w:val="nil"/>
            </w:tcBorders>
            <w:shd w:val="clear" w:color="auto" w:fill="auto"/>
            <w:noWrap/>
            <w:vAlign w:val="bottom"/>
          </w:tcPr>
          <w:p>
            <w:pPr>
              <w:pStyle w:val="Normal126"/>
              <w:suppressAutoHyphens w:val="0"/>
              <w:rPr>
                <w:rFonts w:ascii="Arial" w:hAnsi="Arial"/>
                <w:b/>
                <w:bCs/>
                <w:noProof/>
                <w:sz w:val="16"/>
                <w:szCs w:val="16"/>
              </w:rPr>
            </w:pPr>
            <w:r>
              <w:rPr>
                <w:rFonts w:ascii="Arial" w:hAnsi="Arial"/>
                <w:b/>
                <w:bCs/>
                <w:noProof/>
                <w:sz w:val="16"/>
                <w:szCs w:val="16"/>
              </w:rPr>
              <w:t>Rinkoje negaunamų duomenų ir tikrosios vertės nustatymo santykis</w:t>
            </w:r>
          </w:p>
        </w:tc>
      </w:tr>
      <w:tr>
        <w:trPr>
          <w:trHeight w:val="155"/>
        </w:trPr>
        <w:tc>
          <w:tcPr>
            <w:tcW w:w="5005" w:type="dxa"/>
            <w:gridSpan w:val="2"/>
            <w:tcBorders>
              <w:top w:val="nil"/>
              <w:left w:val="nil"/>
              <w:right w:val="nil"/>
            </w:tcBorders>
            <w:shd w:val="clear" w:color="auto" w:fill="auto"/>
            <w:noWrap/>
          </w:tcPr>
          <w:p>
            <w:pPr>
              <w:pStyle w:val="Normal126"/>
              <w:suppressAutoHyphens w:val="0"/>
              <w:rPr>
                <w:rFonts w:ascii="Arial" w:hAnsi="Arial"/>
                <w:noProof/>
                <w:sz w:val="16"/>
                <w:szCs w:val="16"/>
              </w:rPr>
            </w:pPr>
            <w:r>
              <w:rPr>
                <w:rFonts w:ascii="Arial" w:hAnsi="Arial"/>
                <w:b/>
                <w:bCs/>
                <w:noProof/>
                <w:sz w:val="16"/>
                <w:szCs w:val="16"/>
              </w:rPr>
              <w:t>Tikrąja verte apskaitomos finansinės priemonės</w:t>
            </w:r>
          </w:p>
        </w:tc>
        <w:tc>
          <w:tcPr>
            <w:tcW w:w="2912" w:type="dxa"/>
            <w:tcBorders>
              <w:top w:val="nil"/>
              <w:left w:val="nil"/>
              <w:right w:val="nil"/>
            </w:tcBorders>
            <w:shd w:val="clear" w:color="auto" w:fill="auto"/>
            <w:noWrap/>
          </w:tcPr>
          <w:p>
            <w:pPr>
              <w:pStyle w:val="Normal126"/>
              <w:suppressAutoHyphens w:val="0"/>
              <w:rPr>
                <w:rFonts w:ascii="Arial" w:hAnsi="Arial"/>
                <w:noProof/>
                <w:sz w:val="16"/>
                <w:szCs w:val="16"/>
                <w:lang w:eastAsia="en-GB"/>
              </w:rPr>
            </w:pPr>
          </w:p>
        </w:tc>
        <w:tc>
          <w:tcPr>
            <w:tcW w:w="2098" w:type="dxa"/>
            <w:tcBorders>
              <w:top w:val="nil"/>
              <w:left w:val="nil"/>
              <w:right w:val="nil"/>
            </w:tcBorders>
            <w:shd w:val="clear" w:color="auto" w:fill="auto"/>
            <w:noWrap/>
          </w:tcPr>
          <w:p>
            <w:pPr>
              <w:pStyle w:val="Normal126"/>
              <w:suppressAutoHyphens w:val="0"/>
              <w:rPr>
                <w:rFonts w:ascii="Arial" w:hAnsi="Arial"/>
                <w:noProof/>
                <w:sz w:val="16"/>
                <w:szCs w:val="16"/>
                <w:lang w:eastAsia="en-GB"/>
              </w:rPr>
            </w:pPr>
          </w:p>
        </w:tc>
      </w:tr>
      <w:tr>
        <w:trPr>
          <w:trHeight w:val="130"/>
        </w:trPr>
        <w:tc>
          <w:tcPr>
            <w:tcW w:w="1269" w:type="dxa"/>
            <w:tcBorders>
              <w:top w:val="nil"/>
              <w:left w:val="nil"/>
              <w:right w:val="nil"/>
            </w:tcBorders>
            <w:shd w:val="clear" w:color="auto" w:fill="auto"/>
            <w:noWrap/>
          </w:tcPr>
          <w:p>
            <w:pPr>
              <w:pStyle w:val="Normal126"/>
              <w:suppressAutoHyphens w:val="0"/>
              <w:rPr>
                <w:rFonts w:ascii="Arial" w:hAnsi="Arial"/>
                <w:noProof/>
                <w:sz w:val="16"/>
                <w:szCs w:val="16"/>
                <w:lang w:eastAsia="en-GB"/>
              </w:rPr>
            </w:pPr>
          </w:p>
        </w:tc>
        <w:tc>
          <w:tcPr>
            <w:tcW w:w="3736" w:type="dxa"/>
            <w:tcBorders>
              <w:top w:val="nil"/>
              <w:left w:val="nil"/>
              <w:right w:val="nil"/>
            </w:tcBorders>
            <w:shd w:val="clear" w:color="auto" w:fill="auto"/>
            <w:noWrap/>
          </w:tcPr>
          <w:p>
            <w:pPr>
              <w:pStyle w:val="Normal126"/>
              <w:suppressAutoHyphens w:val="0"/>
              <w:jc w:val="both"/>
              <w:rPr>
                <w:rFonts w:ascii="Arial" w:hAnsi="Arial"/>
                <w:noProof/>
                <w:sz w:val="16"/>
                <w:szCs w:val="16"/>
                <w:lang w:eastAsia="en-GB"/>
              </w:rPr>
            </w:pPr>
          </w:p>
        </w:tc>
        <w:tc>
          <w:tcPr>
            <w:tcW w:w="2912" w:type="dxa"/>
            <w:tcBorders>
              <w:top w:val="nil"/>
              <w:left w:val="nil"/>
              <w:right w:val="nil"/>
            </w:tcBorders>
            <w:shd w:val="clear" w:color="auto" w:fill="auto"/>
            <w:noWrap/>
          </w:tcPr>
          <w:p>
            <w:pPr>
              <w:pStyle w:val="Normal126"/>
              <w:suppressAutoHyphens w:val="0"/>
              <w:jc w:val="both"/>
              <w:rPr>
                <w:rFonts w:ascii="Arial" w:hAnsi="Arial"/>
                <w:noProof/>
                <w:sz w:val="16"/>
                <w:szCs w:val="16"/>
                <w:lang w:eastAsia="en-GB"/>
              </w:rPr>
            </w:pPr>
          </w:p>
        </w:tc>
        <w:tc>
          <w:tcPr>
            <w:tcW w:w="2098" w:type="dxa"/>
            <w:tcBorders>
              <w:top w:val="nil"/>
              <w:left w:val="nil"/>
              <w:right w:val="nil"/>
            </w:tcBorders>
            <w:shd w:val="clear" w:color="auto" w:fill="auto"/>
            <w:noWrap/>
          </w:tcPr>
          <w:p>
            <w:pPr>
              <w:pStyle w:val="Normal126"/>
              <w:suppressAutoHyphens w:val="0"/>
              <w:jc w:val="both"/>
              <w:rPr>
                <w:rFonts w:ascii="Arial" w:hAnsi="Arial"/>
                <w:noProof/>
                <w:sz w:val="16"/>
                <w:szCs w:val="16"/>
                <w:lang w:eastAsia="en-GB"/>
              </w:rPr>
            </w:pPr>
          </w:p>
        </w:tc>
      </w:tr>
      <w:tr>
        <w:trPr>
          <w:trHeight w:val="282"/>
        </w:trPr>
        <w:tc>
          <w:tcPr>
            <w:tcW w:w="1269" w:type="dxa"/>
            <w:tcBorders>
              <w:top w:val="nil"/>
              <w:left w:val="nil"/>
              <w:right w:val="nil"/>
            </w:tcBorders>
            <w:shd w:val="clear" w:color="auto" w:fill="auto"/>
            <w:noWrap/>
          </w:tcPr>
          <w:p>
            <w:pPr>
              <w:pStyle w:val="Normal126"/>
              <w:suppressAutoHyphens w:val="0"/>
              <w:rPr>
                <w:rFonts w:ascii="Arial" w:hAnsi="Arial"/>
                <w:noProof/>
                <w:sz w:val="16"/>
                <w:szCs w:val="16"/>
              </w:rPr>
            </w:pPr>
            <w:r>
              <w:rPr>
                <w:rFonts w:ascii="Arial" w:hAnsi="Arial"/>
                <w:noProof/>
                <w:sz w:val="16"/>
                <w:szCs w:val="16"/>
              </w:rPr>
              <w:t>Išvestinės finansinės priemonės</w:t>
            </w:r>
          </w:p>
        </w:tc>
        <w:tc>
          <w:tcPr>
            <w:tcW w:w="3736" w:type="dxa"/>
            <w:tcBorders>
              <w:top w:val="nil"/>
              <w:left w:val="nil"/>
              <w:right w:val="nil"/>
            </w:tcBorders>
            <w:shd w:val="clear" w:color="auto" w:fill="auto"/>
            <w:noWrap/>
          </w:tcPr>
          <w:p>
            <w:pPr>
              <w:pStyle w:val="Normal126"/>
              <w:suppressAutoHyphens w:val="0"/>
              <w:jc w:val="both"/>
              <w:rPr>
                <w:rFonts w:ascii="Arial" w:hAnsi="Arial"/>
                <w:noProof/>
                <w:sz w:val="16"/>
                <w:szCs w:val="16"/>
              </w:rPr>
            </w:pPr>
            <w:r>
              <w:rPr>
                <w:rFonts w:ascii="Arial" w:hAnsi="Arial"/>
                <w:noProof/>
                <w:sz w:val="16"/>
                <w:szCs w:val="16"/>
              </w:rPr>
              <w:t>Diskontuotas pinigų srautas. Būsimieji pinigų srautai apskaičiuojami remiantis išankstiniu valiutos kursu / palūkanų normomis (iš stebimų išankstinių valiutos kursų ir pelningumo kreivių ataskaitinio laikotarpio pabaigoje) ir sutartinėmis išankstinėmis / palūkanų normomis, diskontuotomis taip, kad būtų atsižvelgta į įvairių sandorio šalių kredito riziką.</w:t>
            </w:r>
          </w:p>
        </w:tc>
        <w:tc>
          <w:tcPr>
            <w:tcW w:w="2912" w:type="dxa"/>
            <w:tcBorders>
              <w:top w:val="nil"/>
              <w:left w:val="nil"/>
              <w:right w:val="nil"/>
            </w:tcBorders>
            <w:shd w:val="clear" w:color="auto" w:fill="auto"/>
            <w:noWrap/>
          </w:tcPr>
          <w:p>
            <w:pPr>
              <w:pStyle w:val="Normal126"/>
              <w:suppressAutoHyphens w:val="0"/>
              <w:jc w:val="both"/>
              <w:rPr>
                <w:rFonts w:ascii="Arial" w:hAnsi="Arial"/>
                <w:noProof/>
                <w:sz w:val="16"/>
                <w:szCs w:val="16"/>
              </w:rPr>
            </w:pPr>
            <w:r>
              <w:rPr>
                <w:rFonts w:ascii="Arial" w:hAnsi="Arial"/>
                <w:noProof/>
                <w:sz w:val="16"/>
                <w:szCs w:val="16"/>
              </w:rPr>
              <w:t>Netaikoma.</w:t>
            </w:r>
          </w:p>
        </w:tc>
        <w:tc>
          <w:tcPr>
            <w:tcW w:w="2098" w:type="dxa"/>
            <w:tcBorders>
              <w:top w:val="nil"/>
              <w:left w:val="nil"/>
              <w:right w:val="nil"/>
            </w:tcBorders>
            <w:shd w:val="clear" w:color="auto" w:fill="auto"/>
            <w:noWrap/>
          </w:tcPr>
          <w:p>
            <w:pPr>
              <w:pStyle w:val="Normal126"/>
              <w:suppressAutoHyphens w:val="0"/>
              <w:jc w:val="both"/>
              <w:rPr>
                <w:rFonts w:ascii="Arial" w:hAnsi="Arial"/>
                <w:noProof/>
                <w:sz w:val="16"/>
                <w:szCs w:val="16"/>
              </w:rPr>
            </w:pPr>
            <w:r>
              <w:rPr>
                <w:rFonts w:ascii="Arial" w:hAnsi="Arial"/>
                <w:noProof/>
                <w:sz w:val="16"/>
                <w:szCs w:val="16"/>
              </w:rPr>
              <w:t>Netaikoma.</w:t>
            </w:r>
          </w:p>
        </w:tc>
      </w:tr>
      <w:tr>
        <w:trPr>
          <w:trHeight w:val="178"/>
        </w:trPr>
        <w:tc>
          <w:tcPr>
            <w:tcW w:w="1269" w:type="dxa"/>
            <w:tcBorders>
              <w:left w:val="nil"/>
              <w:right w:val="nil"/>
            </w:tcBorders>
            <w:shd w:val="clear" w:color="auto" w:fill="auto"/>
            <w:noWrap/>
          </w:tcPr>
          <w:p>
            <w:pPr>
              <w:pStyle w:val="Normal126"/>
              <w:suppressAutoHyphens w:val="0"/>
              <w:rPr>
                <w:rFonts w:ascii="Arial" w:hAnsi="Arial"/>
                <w:noProof/>
                <w:sz w:val="16"/>
                <w:szCs w:val="16"/>
                <w:lang w:eastAsia="en-GB"/>
              </w:rPr>
            </w:pPr>
          </w:p>
        </w:tc>
        <w:tc>
          <w:tcPr>
            <w:tcW w:w="3736" w:type="dxa"/>
            <w:tcBorders>
              <w:left w:val="nil"/>
              <w:right w:val="nil"/>
            </w:tcBorders>
            <w:shd w:val="clear" w:color="auto" w:fill="auto"/>
            <w:noWrap/>
          </w:tcPr>
          <w:p>
            <w:pPr>
              <w:pStyle w:val="Normal126"/>
              <w:suppressAutoHyphens w:val="0"/>
              <w:jc w:val="both"/>
              <w:rPr>
                <w:rFonts w:ascii="Arial" w:hAnsi="Arial"/>
                <w:noProof/>
                <w:sz w:val="16"/>
                <w:szCs w:val="16"/>
                <w:lang w:eastAsia="en-GB"/>
              </w:rPr>
            </w:pPr>
          </w:p>
        </w:tc>
        <w:tc>
          <w:tcPr>
            <w:tcW w:w="2912" w:type="dxa"/>
            <w:tcBorders>
              <w:left w:val="nil"/>
              <w:right w:val="nil"/>
            </w:tcBorders>
            <w:shd w:val="clear" w:color="auto" w:fill="auto"/>
            <w:noWrap/>
          </w:tcPr>
          <w:p>
            <w:pPr>
              <w:pStyle w:val="Normal126"/>
              <w:jc w:val="both"/>
              <w:rPr>
                <w:rFonts w:ascii="Arial" w:hAnsi="Arial"/>
                <w:noProof/>
                <w:sz w:val="16"/>
                <w:szCs w:val="16"/>
                <w:lang w:eastAsia="en-GB"/>
              </w:rPr>
            </w:pPr>
          </w:p>
        </w:tc>
        <w:tc>
          <w:tcPr>
            <w:tcW w:w="2098" w:type="dxa"/>
            <w:tcBorders>
              <w:left w:val="nil"/>
              <w:right w:val="nil"/>
            </w:tcBorders>
            <w:shd w:val="clear" w:color="auto" w:fill="auto"/>
            <w:noWrap/>
          </w:tcPr>
          <w:p>
            <w:pPr>
              <w:pStyle w:val="ListParagraph5"/>
              <w:suppressAutoHyphens w:val="0"/>
              <w:ind w:left="360"/>
              <w:jc w:val="both"/>
              <w:rPr>
                <w:rFonts w:ascii="Arial" w:hAnsi="Arial"/>
                <w:noProof/>
                <w:sz w:val="16"/>
                <w:szCs w:val="16"/>
                <w:lang w:eastAsia="en-GB"/>
              </w:rPr>
            </w:pPr>
          </w:p>
        </w:tc>
      </w:tr>
      <w:tr>
        <w:trPr>
          <w:trHeight w:val="282"/>
        </w:trPr>
        <w:tc>
          <w:tcPr>
            <w:tcW w:w="1269" w:type="dxa"/>
            <w:tcBorders>
              <w:left w:val="nil"/>
              <w:right w:val="nil"/>
            </w:tcBorders>
            <w:shd w:val="clear" w:color="auto" w:fill="auto"/>
            <w:noWrap/>
          </w:tcPr>
          <w:p>
            <w:pPr>
              <w:pStyle w:val="Normal126"/>
              <w:suppressAutoHyphens w:val="0"/>
              <w:rPr>
                <w:rFonts w:ascii="Arial" w:hAnsi="Arial"/>
                <w:bCs/>
                <w:noProof/>
                <w:sz w:val="16"/>
                <w:szCs w:val="16"/>
              </w:rPr>
            </w:pPr>
            <w:r>
              <w:rPr>
                <w:rFonts w:ascii="Arial" w:hAnsi="Arial"/>
                <w:noProof/>
                <w:sz w:val="16"/>
                <w:szCs w:val="16"/>
              </w:rPr>
              <w:t>Rizikos kapitalo fondas</w:t>
            </w:r>
          </w:p>
        </w:tc>
        <w:tc>
          <w:tcPr>
            <w:tcW w:w="3736" w:type="dxa"/>
            <w:tcBorders>
              <w:left w:val="nil"/>
              <w:right w:val="nil"/>
            </w:tcBorders>
            <w:shd w:val="clear" w:color="auto" w:fill="auto"/>
            <w:noWrap/>
          </w:tcPr>
          <w:p>
            <w:pPr>
              <w:pStyle w:val="Normal126"/>
              <w:suppressAutoHyphens w:val="0"/>
              <w:jc w:val="both"/>
              <w:rPr>
                <w:rFonts w:ascii="Arial" w:hAnsi="Arial"/>
                <w:noProof/>
                <w:sz w:val="16"/>
                <w:szCs w:val="16"/>
              </w:rPr>
            </w:pPr>
            <w:r>
              <w:rPr>
                <w:rFonts w:ascii="Arial" w:hAnsi="Arial"/>
                <w:noProof/>
                <w:sz w:val="16"/>
                <w:szCs w:val="16"/>
              </w:rPr>
              <w:t>Patikslintos grynosios vertės metodas. Tikroji vertė nustatoma vadovaujantis arba Priemonės nuosavybės grynąją turto vertę lemiančioje priemonėje procentine dalimi, kuri atsispindi vėliausioje ataskaitoje, patikslintoje pagal pinigų srautus, arba, kai įmanoma, atitinkamo fondo valdytojo pateikta tikslia akcijos verte tą pačią dieną. Siekiant išlyginti turimos naujausios grynosios turto vertės ir metų pabaigos ataskaitose pateiktos vertės skirtumą, atliekama vėlesnių įvykių peržiūros procedūra ir, jei reikia, patikslinama pateikta grynoji turto vertė.</w:t>
            </w:r>
          </w:p>
        </w:tc>
        <w:tc>
          <w:tcPr>
            <w:tcW w:w="2912" w:type="dxa"/>
            <w:tcBorders>
              <w:left w:val="nil"/>
              <w:right w:val="nil"/>
            </w:tcBorders>
            <w:shd w:val="clear" w:color="auto" w:fill="auto"/>
            <w:noWrap/>
          </w:tcPr>
          <w:p>
            <w:pPr>
              <w:pStyle w:val="Normal126"/>
              <w:jc w:val="both"/>
              <w:rPr>
                <w:rFonts w:ascii="Arial" w:hAnsi="Arial"/>
                <w:noProof/>
                <w:sz w:val="16"/>
                <w:szCs w:val="16"/>
              </w:rPr>
            </w:pPr>
            <w:r>
              <w:rPr>
                <w:rFonts w:ascii="Arial" w:hAnsi="Arial"/>
                <w:noProof/>
                <w:sz w:val="16"/>
                <w:szCs w:val="16"/>
              </w:rPr>
              <w:t>Laiko, praėjusio nuo paskutinės rizikos kapitalo fondo finansinių ataskaitų sudarymo dienos iki vertinimo dienos, tikslinimas, atsižvelgiant į: veiklos išlaidas ir valdymo mokesčius, tolesnius rizikos kapitalo fondo pagrindinio turto tikrosios vertės pokyčius, papildomus įsipareigojimus, rinkos pokyčius ar kitus ekonominių sąlygų pokyčius.</w:t>
            </w:r>
          </w:p>
          <w:p>
            <w:pPr>
              <w:pStyle w:val="ListParagraph5"/>
              <w:suppressAutoHyphens w:val="0"/>
              <w:ind w:left="360"/>
              <w:jc w:val="both"/>
              <w:rPr>
                <w:rFonts w:ascii="Arial" w:hAnsi="Arial"/>
                <w:noProof/>
                <w:sz w:val="16"/>
                <w:szCs w:val="16"/>
                <w:lang w:eastAsia="en-GB"/>
              </w:rPr>
            </w:pPr>
          </w:p>
        </w:tc>
        <w:tc>
          <w:tcPr>
            <w:tcW w:w="2098" w:type="dxa"/>
            <w:tcBorders>
              <w:left w:val="nil"/>
              <w:right w:val="nil"/>
            </w:tcBorders>
            <w:shd w:val="clear" w:color="auto" w:fill="auto"/>
            <w:noWrap/>
          </w:tcPr>
          <w:p>
            <w:pPr>
              <w:pStyle w:val="Normal126"/>
              <w:jc w:val="both"/>
              <w:rPr>
                <w:rFonts w:ascii="Arial" w:hAnsi="Arial"/>
                <w:b/>
                <w:noProof/>
                <w:sz w:val="16"/>
                <w:szCs w:val="16"/>
              </w:rPr>
            </w:pPr>
            <w:r>
              <w:rPr>
                <w:rFonts w:ascii="Arial" w:hAnsi="Arial"/>
                <w:noProof/>
                <w:sz w:val="16"/>
                <w:szCs w:val="16"/>
              </w:rPr>
              <w:t>Kuo ilgesnis laikotarpis praėjo nuo vertinimo tikrąja verte dienos iki paskutinės rizikos kapitalo fondo finansinių ataskaitų sudarymo dienos, tuo didesnis praėjusio laiko tikslinimas.</w:t>
            </w:r>
          </w:p>
        </w:tc>
      </w:tr>
      <w:tr>
        <w:trPr>
          <w:trHeight w:val="180"/>
        </w:trPr>
        <w:tc>
          <w:tcPr>
            <w:tcW w:w="1269" w:type="dxa"/>
            <w:tcBorders>
              <w:left w:val="nil"/>
              <w:bottom w:val="nil"/>
              <w:right w:val="nil"/>
            </w:tcBorders>
            <w:shd w:val="clear" w:color="auto" w:fill="auto"/>
            <w:noWrap/>
          </w:tcPr>
          <w:p>
            <w:pPr>
              <w:pStyle w:val="Normal126"/>
              <w:suppressAutoHyphens w:val="0"/>
              <w:rPr>
                <w:rFonts w:ascii="Arial" w:hAnsi="Arial"/>
                <w:noProof/>
                <w:sz w:val="16"/>
                <w:szCs w:val="16"/>
                <w:lang w:eastAsia="en-GB"/>
              </w:rPr>
            </w:pPr>
          </w:p>
        </w:tc>
        <w:tc>
          <w:tcPr>
            <w:tcW w:w="3736" w:type="dxa"/>
            <w:tcBorders>
              <w:left w:val="nil"/>
              <w:bottom w:val="nil"/>
              <w:right w:val="nil"/>
            </w:tcBorders>
            <w:shd w:val="clear" w:color="auto" w:fill="auto"/>
            <w:noWrap/>
          </w:tcPr>
          <w:p>
            <w:pPr>
              <w:pStyle w:val="Normal126"/>
              <w:suppressAutoHyphens w:val="0"/>
              <w:rPr>
                <w:rFonts w:ascii="Arial" w:hAnsi="Arial"/>
                <w:bCs/>
                <w:noProof/>
                <w:sz w:val="16"/>
                <w:szCs w:val="16"/>
                <w:lang w:eastAsia="en-GB"/>
              </w:rPr>
            </w:pPr>
          </w:p>
        </w:tc>
        <w:tc>
          <w:tcPr>
            <w:tcW w:w="2912" w:type="dxa"/>
            <w:tcBorders>
              <w:left w:val="nil"/>
              <w:bottom w:val="nil"/>
              <w:right w:val="nil"/>
            </w:tcBorders>
            <w:shd w:val="clear" w:color="auto" w:fill="auto"/>
            <w:noWrap/>
          </w:tcPr>
          <w:p>
            <w:pPr>
              <w:pStyle w:val="Normal126"/>
              <w:suppressAutoHyphens w:val="0"/>
              <w:rPr>
                <w:rFonts w:ascii="Arial" w:hAnsi="Arial"/>
                <w:bCs/>
                <w:noProof/>
                <w:sz w:val="16"/>
                <w:szCs w:val="16"/>
                <w:lang w:eastAsia="en-GB"/>
              </w:rPr>
            </w:pPr>
          </w:p>
        </w:tc>
        <w:tc>
          <w:tcPr>
            <w:tcW w:w="2098" w:type="dxa"/>
            <w:tcBorders>
              <w:left w:val="nil"/>
              <w:bottom w:val="nil"/>
              <w:right w:val="nil"/>
            </w:tcBorders>
            <w:shd w:val="clear" w:color="auto" w:fill="auto"/>
            <w:noWrap/>
          </w:tcPr>
          <w:p>
            <w:pPr>
              <w:pStyle w:val="Normal126"/>
              <w:suppressAutoHyphens w:val="0"/>
              <w:rPr>
                <w:rFonts w:ascii="Arial" w:hAnsi="Arial"/>
                <w:bCs/>
                <w:noProof/>
                <w:sz w:val="16"/>
                <w:szCs w:val="16"/>
                <w:lang w:eastAsia="en-GB"/>
              </w:rPr>
            </w:pPr>
          </w:p>
        </w:tc>
      </w:tr>
      <w:tr>
        <w:trPr>
          <w:trHeight w:val="282"/>
        </w:trPr>
        <w:tc>
          <w:tcPr>
            <w:tcW w:w="1269" w:type="dxa"/>
            <w:tcBorders>
              <w:left w:val="nil"/>
              <w:bottom w:val="nil"/>
              <w:right w:val="nil"/>
            </w:tcBorders>
            <w:shd w:val="clear" w:color="auto" w:fill="auto"/>
            <w:noWrap/>
          </w:tcPr>
          <w:p>
            <w:pPr>
              <w:pStyle w:val="Normal126"/>
              <w:suppressAutoHyphens w:val="0"/>
              <w:rPr>
                <w:rFonts w:ascii="Arial" w:hAnsi="Arial"/>
                <w:bCs/>
                <w:noProof/>
                <w:sz w:val="16"/>
                <w:szCs w:val="16"/>
              </w:rPr>
            </w:pPr>
            <w:r>
              <w:rPr>
                <w:rFonts w:ascii="Arial" w:hAnsi="Arial"/>
                <w:noProof/>
                <w:sz w:val="16"/>
                <w:szCs w:val="16"/>
              </w:rPr>
              <w:t>Tiesioginės investicijos į nuosavą kapitalą</w:t>
            </w:r>
          </w:p>
        </w:tc>
        <w:tc>
          <w:tcPr>
            <w:tcW w:w="3736" w:type="dxa"/>
            <w:tcBorders>
              <w:left w:val="nil"/>
              <w:bottom w:val="nil"/>
              <w:right w:val="nil"/>
            </w:tcBorders>
            <w:shd w:val="clear" w:color="auto" w:fill="auto"/>
            <w:noWrap/>
          </w:tcPr>
          <w:p>
            <w:pPr>
              <w:pStyle w:val="Normal126"/>
              <w:suppressAutoHyphens w:val="0"/>
              <w:rPr>
                <w:rFonts w:ascii="Arial" w:hAnsi="Arial"/>
                <w:bCs/>
                <w:noProof/>
                <w:sz w:val="16"/>
                <w:szCs w:val="16"/>
              </w:rPr>
            </w:pPr>
            <w:r>
              <w:rPr>
                <w:rFonts w:ascii="Arial" w:hAnsi="Arial"/>
                <w:bCs/>
                <w:noProof/>
                <w:sz w:val="16"/>
                <w:szCs w:val="16"/>
              </w:rPr>
              <w:t>Patikslintas grynasis turtas.</w:t>
            </w:r>
          </w:p>
        </w:tc>
        <w:tc>
          <w:tcPr>
            <w:tcW w:w="2912" w:type="dxa"/>
            <w:tcBorders>
              <w:left w:val="nil"/>
              <w:bottom w:val="nil"/>
              <w:right w:val="nil"/>
            </w:tcBorders>
            <w:shd w:val="clear" w:color="auto" w:fill="auto"/>
            <w:noWrap/>
          </w:tcPr>
          <w:p>
            <w:pPr>
              <w:pStyle w:val="Normal126"/>
              <w:jc w:val="both"/>
              <w:rPr>
                <w:rFonts w:ascii="Arial" w:hAnsi="Arial"/>
                <w:bCs/>
                <w:noProof/>
                <w:sz w:val="16"/>
                <w:szCs w:val="16"/>
              </w:rPr>
            </w:pPr>
            <w:r>
              <w:rPr>
                <w:rFonts w:ascii="Arial" w:hAnsi="Arial"/>
                <w:noProof/>
                <w:sz w:val="16"/>
                <w:szCs w:val="16"/>
              </w:rPr>
              <w:t>Laiko, praėjusio nuo subjekto, į kurį investuojama, paskutinės finansinių ataskaitų sudarymo dienos iki vertinimo dienos, tikslinimas, atsižvelgiant į: veiklos išlaidas, tolesnius subjekto, į kurį investuojama, pagrindinio turto tikrosios vertės pokyčius, papildomus įsipareigojimus, rinkos pokyčius ar kitus ekonominių sąlygų pokyčius, kapitalo padidinimą, pardavimą ar kontrolės pasikeitimą.</w:t>
            </w:r>
          </w:p>
          <w:p>
            <w:pPr>
              <w:pStyle w:val="Normal126"/>
              <w:jc w:val="both"/>
              <w:rPr>
                <w:rFonts w:ascii="Arial" w:hAnsi="Arial"/>
                <w:bCs/>
                <w:noProof/>
                <w:sz w:val="16"/>
                <w:szCs w:val="16"/>
                <w:lang w:eastAsia="en-GB"/>
              </w:rPr>
            </w:pPr>
          </w:p>
          <w:p>
            <w:pPr>
              <w:pStyle w:val="Normal126"/>
              <w:jc w:val="both"/>
              <w:rPr>
                <w:rFonts w:ascii="Arial" w:hAnsi="Arial"/>
                <w:b/>
                <w:noProof/>
                <w:sz w:val="16"/>
                <w:szCs w:val="16"/>
              </w:rPr>
            </w:pPr>
            <w:r>
              <w:rPr>
                <w:rFonts w:ascii="Arial" w:hAnsi="Arial"/>
                <w:noProof/>
                <w:sz w:val="16"/>
                <w:szCs w:val="16"/>
              </w:rPr>
              <w:t>Diskontas dėl nepakankamos paklausos (likvidumo), nustatomas atsižvelgiant į ankstesnių sandorių su panašiomis akcijomis toje šalyje (regione) kainas, svyruojantis nuo 5 iki 30 %.</w:t>
            </w:r>
          </w:p>
        </w:tc>
        <w:tc>
          <w:tcPr>
            <w:tcW w:w="2098" w:type="dxa"/>
            <w:tcBorders>
              <w:left w:val="nil"/>
              <w:bottom w:val="nil"/>
              <w:right w:val="nil"/>
            </w:tcBorders>
            <w:shd w:val="clear" w:color="auto" w:fill="auto"/>
            <w:noWrap/>
          </w:tcPr>
          <w:p>
            <w:pPr>
              <w:pStyle w:val="Normal126"/>
              <w:jc w:val="both"/>
              <w:rPr>
                <w:rFonts w:ascii="Arial" w:hAnsi="Arial"/>
                <w:noProof/>
                <w:sz w:val="16"/>
                <w:szCs w:val="16"/>
              </w:rPr>
            </w:pPr>
            <w:r>
              <w:rPr>
                <w:rFonts w:ascii="Arial" w:hAnsi="Arial"/>
                <w:noProof/>
                <w:sz w:val="16"/>
                <w:szCs w:val="16"/>
              </w:rPr>
              <w:t>Kuo didesnė paklausos diskonto norma, tuo mažesnė tikroji vertė.</w:t>
            </w:r>
          </w:p>
        </w:tc>
      </w:tr>
      <w:tr>
        <w:trPr>
          <w:trHeight w:val="138"/>
        </w:trPr>
        <w:tc>
          <w:tcPr>
            <w:tcW w:w="1269" w:type="dxa"/>
            <w:tcBorders>
              <w:left w:val="nil"/>
              <w:right w:val="nil"/>
            </w:tcBorders>
            <w:shd w:val="clear" w:color="auto" w:fill="auto"/>
            <w:noWrap/>
          </w:tcPr>
          <w:p>
            <w:pPr>
              <w:pStyle w:val="Normal126"/>
              <w:suppressAutoHyphens w:val="0"/>
              <w:rPr>
                <w:rFonts w:ascii="Arial" w:hAnsi="Arial"/>
                <w:noProof/>
                <w:sz w:val="16"/>
                <w:szCs w:val="16"/>
                <w:lang w:eastAsia="en-GB"/>
              </w:rPr>
            </w:pPr>
          </w:p>
        </w:tc>
        <w:tc>
          <w:tcPr>
            <w:tcW w:w="3736" w:type="dxa"/>
            <w:tcBorders>
              <w:left w:val="nil"/>
              <w:right w:val="nil"/>
            </w:tcBorders>
            <w:shd w:val="clear" w:color="auto" w:fill="auto"/>
            <w:noWrap/>
          </w:tcPr>
          <w:p>
            <w:pPr>
              <w:pStyle w:val="Normal126"/>
              <w:suppressAutoHyphens w:val="0"/>
              <w:rPr>
                <w:rFonts w:ascii="Arial" w:hAnsi="Arial"/>
                <w:bCs/>
                <w:noProof/>
                <w:sz w:val="16"/>
                <w:szCs w:val="16"/>
                <w:lang w:eastAsia="en-GB"/>
              </w:rPr>
            </w:pPr>
          </w:p>
        </w:tc>
        <w:tc>
          <w:tcPr>
            <w:tcW w:w="2912" w:type="dxa"/>
            <w:tcBorders>
              <w:left w:val="nil"/>
              <w:right w:val="nil"/>
            </w:tcBorders>
            <w:shd w:val="clear" w:color="auto" w:fill="auto"/>
            <w:noWrap/>
          </w:tcPr>
          <w:p>
            <w:pPr>
              <w:pStyle w:val="Normal126"/>
              <w:jc w:val="both"/>
              <w:rPr>
                <w:rFonts w:ascii="Arial" w:hAnsi="Arial"/>
                <w:noProof/>
                <w:sz w:val="16"/>
                <w:szCs w:val="16"/>
                <w:lang w:eastAsia="en-GB"/>
              </w:rPr>
            </w:pPr>
          </w:p>
        </w:tc>
        <w:tc>
          <w:tcPr>
            <w:tcW w:w="2098" w:type="dxa"/>
            <w:tcBorders>
              <w:left w:val="nil"/>
              <w:right w:val="nil"/>
            </w:tcBorders>
            <w:shd w:val="clear" w:color="auto" w:fill="auto"/>
            <w:noWrap/>
          </w:tcPr>
          <w:p>
            <w:pPr>
              <w:pStyle w:val="Normal126"/>
              <w:suppressAutoHyphens w:val="0"/>
              <w:rPr>
                <w:rFonts w:ascii="Arial" w:hAnsi="Arial"/>
                <w:noProof/>
                <w:sz w:val="16"/>
                <w:szCs w:val="16"/>
                <w:lang w:eastAsia="en-GB"/>
              </w:rPr>
            </w:pPr>
          </w:p>
        </w:tc>
      </w:tr>
      <w:tr>
        <w:trPr>
          <w:trHeight w:val="282"/>
        </w:trPr>
        <w:tc>
          <w:tcPr>
            <w:tcW w:w="1269" w:type="dxa"/>
            <w:tcBorders>
              <w:left w:val="nil"/>
              <w:right w:val="nil"/>
            </w:tcBorders>
            <w:shd w:val="clear" w:color="auto" w:fill="auto"/>
            <w:noWrap/>
          </w:tcPr>
          <w:p>
            <w:pPr>
              <w:pStyle w:val="Normal126"/>
              <w:suppressAutoHyphens w:val="0"/>
              <w:rPr>
                <w:rFonts w:ascii="Arial" w:hAnsi="Arial"/>
                <w:noProof/>
                <w:sz w:val="16"/>
                <w:szCs w:val="16"/>
              </w:rPr>
            </w:pPr>
            <w:r>
              <w:rPr>
                <w:rFonts w:ascii="Arial" w:hAnsi="Arial"/>
                <w:noProof/>
                <w:sz w:val="16"/>
                <w:szCs w:val="16"/>
              </w:rPr>
              <w:t>Paskolos tikrąja verte (IFE)</w:t>
            </w:r>
          </w:p>
        </w:tc>
        <w:tc>
          <w:tcPr>
            <w:tcW w:w="3736" w:type="dxa"/>
            <w:tcBorders>
              <w:left w:val="nil"/>
              <w:right w:val="nil"/>
            </w:tcBorders>
            <w:shd w:val="clear" w:color="auto" w:fill="auto"/>
            <w:noWrap/>
          </w:tcPr>
          <w:p>
            <w:pPr>
              <w:pStyle w:val="Normal126"/>
              <w:jc w:val="both"/>
              <w:rPr>
                <w:rFonts w:ascii="Arial" w:hAnsi="Arial" w:cs="Arial"/>
                <w:noProof/>
                <w:sz w:val="16"/>
                <w:szCs w:val="16"/>
              </w:rPr>
            </w:pPr>
            <w:r>
              <w:rPr>
                <w:rFonts w:ascii="Arial" w:hAnsi="Arial"/>
                <w:noProof/>
                <w:sz w:val="16"/>
                <w:szCs w:val="16"/>
              </w:rPr>
              <w:t xml:space="preserve">Veiklą tęsiantiems skolininkams. Diskontuoti pinigų srautai, naudojant sutartyje numatytus / tikėtinus būsimuosius pinigų srautus, diskontuotus taikant atitinkamą pagal riziką pakoreguotą diskonto normą, kuri atspindi paskolai būdingą riziką (įskaitant skolininko kredito riziką). Diskonto norma lyginama (vertinama) su bet kuriuo atitinkamu rinkos lyginamuoju rodikliu. </w:t>
            </w:r>
          </w:p>
          <w:p>
            <w:pPr>
              <w:pStyle w:val="Normal126"/>
              <w:jc w:val="both"/>
              <w:rPr>
                <w:rFonts w:ascii="Arial" w:hAnsi="Arial" w:cs="Arial"/>
                <w:noProof/>
                <w:sz w:val="16"/>
                <w:szCs w:val="16"/>
                <w:lang w:eastAsia="en-GB"/>
              </w:rPr>
            </w:pPr>
          </w:p>
          <w:p>
            <w:pPr>
              <w:pStyle w:val="Normal126"/>
              <w:suppressAutoHyphens w:val="0"/>
              <w:rPr>
                <w:rFonts w:ascii="Arial" w:hAnsi="Arial"/>
                <w:bCs/>
                <w:noProof/>
                <w:sz w:val="16"/>
                <w:szCs w:val="16"/>
              </w:rPr>
            </w:pPr>
            <w:r>
              <w:rPr>
                <w:rFonts w:ascii="Arial" w:hAnsi="Arial"/>
                <w:noProof/>
                <w:sz w:val="16"/>
                <w:szCs w:val="16"/>
              </w:rPr>
              <w:t>Veiklos netęsiantiems skolininkams. Grynojo turto metodas (likvidacinės vertės metodas).</w:t>
            </w:r>
          </w:p>
        </w:tc>
        <w:tc>
          <w:tcPr>
            <w:tcW w:w="2912" w:type="dxa"/>
            <w:tcBorders>
              <w:left w:val="nil"/>
              <w:right w:val="nil"/>
            </w:tcBorders>
            <w:shd w:val="clear" w:color="auto" w:fill="auto"/>
            <w:noWrap/>
          </w:tcPr>
          <w:p>
            <w:pPr>
              <w:pStyle w:val="Normal126"/>
              <w:jc w:val="both"/>
              <w:rPr>
                <w:rFonts w:ascii="Arial" w:hAnsi="Arial"/>
                <w:noProof/>
                <w:sz w:val="16"/>
                <w:szCs w:val="16"/>
              </w:rPr>
            </w:pPr>
            <w:r>
              <w:rPr>
                <w:rFonts w:ascii="Arial" w:hAnsi="Arial"/>
                <w:noProof/>
                <w:sz w:val="16"/>
                <w:szCs w:val="16"/>
              </w:rPr>
              <w:t>Diskonto normos komponentai, atspindintys skolininko kredito riziką, palyginti su nerizikingomis rinkos normomis.</w:t>
            </w:r>
          </w:p>
        </w:tc>
        <w:tc>
          <w:tcPr>
            <w:tcW w:w="2098" w:type="dxa"/>
            <w:tcBorders>
              <w:left w:val="nil"/>
              <w:right w:val="nil"/>
            </w:tcBorders>
            <w:shd w:val="clear" w:color="auto" w:fill="auto"/>
            <w:noWrap/>
          </w:tcPr>
          <w:p>
            <w:pPr>
              <w:pStyle w:val="Normal126"/>
              <w:jc w:val="both"/>
              <w:rPr>
                <w:rFonts w:ascii="Arial" w:hAnsi="Arial"/>
                <w:b/>
                <w:noProof/>
                <w:sz w:val="16"/>
                <w:szCs w:val="16"/>
              </w:rPr>
            </w:pPr>
            <w:r>
              <w:rPr>
                <w:rFonts w:ascii="Arial" w:hAnsi="Arial"/>
                <w:noProof/>
                <w:sz w:val="16"/>
                <w:szCs w:val="16"/>
              </w:rPr>
              <w:t>Kuo didesnė diskonto norma, tuo mažesnė tikroji vertė.</w:t>
            </w:r>
          </w:p>
        </w:tc>
      </w:tr>
      <w:tr>
        <w:trPr>
          <w:trHeight w:val="167"/>
        </w:trPr>
        <w:tc>
          <w:tcPr>
            <w:tcW w:w="1269" w:type="dxa"/>
            <w:tcBorders>
              <w:top w:val="nil"/>
              <w:left w:val="nil"/>
              <w:right w:val="nil"/>
            </w:tcBorders>
            <w:shd w:val="clear" w:color="auto" w:fill="auto"/>
            <w:noWrap/>
          </w:tcPr>
          <w:p>
            <w:pPr>
              <w:pStyle w:val="Normal126"/>
              <w:suppressAutoHyphens w:val="0"/>
              <w:rPr>
                <w:rFonts w:ascii="Arial" w:hAnsi="Arial"/>
                <w:b/>
                <w:noProof/>
                <w:sz w:val="16"/>
                <w:szCs w:val="16"/>
                <w:lang w:eastAsia="en-GB"/>
              </w:rPr>
            </w:pPr>
          </w:p>
        </w:tc>
        <w:tc>
          <w:tcPr>
            <w:tcW w:w="3736" w:type="dxa"/>
            <w:tcBorders>
              <w:top w:val="nil"/>
              <w:left w:val="nil"/>
              <w:right w:val="nil"/>
            </w:tcBorders>
            <w:shd w:val="clear" w:color="auto" w:fill="auto"/>
            <w:noWrap/>
          </w:tcPr>
          <w:p>
            <w:pPr>
              <w:pStyle w:val="Normal126"/>
              <w:suppressAutoHyphens w:val="0"/>
              <w:rPr>
                <w:rFonts w:ascii="Arial" w:hAnsi="Arial"/>
                <w:noProof/>
                <w:sz w:val="16"/>
                <w:szCs w:val="16"/>
                <w:lang w:eastAsia="en-GB"/>
              </w:rPr>
            </w:pPr>
          </w:p>
        </w:tc>
        <w:tc>
          <w:tcPr>
            <w:tcW w:w="2912" w:type="dxa"/>
            <w:tcBorders>
              <w:top w:val="nil"/>
              <w:left w:val="nil"/>
              <w:right w:val="nil"/>
            </w:tcBorders>
            <w:shd w:val="clear" w:color="auto" w:fill="auto"/>
            <w:noWrap/>
          </w:tcPr>
          <w:p>
            <w:pPr>
              <w:pStyle w:val="Normal126"/>
              <w:suppressAutoHyphens w:val="0"/>
              <w:rPr>
                <w:rFonts w:ascii="Arial" w:hAnsi="Arial"/>
                <w:noProof/>
                <w:sz w:val="16"/>
                <w:szCs w:val="16"/>
                <w:lang w:eastAsia="en-GB"/>
              </w:rPr>
            </w:pPr>
          </w:p>
        </w:tc>
        <w:tc>
          <w:tcPr>
            <w:tcW w:w="2098" w:type="dxa"/>
            <w:tcBorders>
              <w:top w:val="nil"/>
              <w:left w:val="nil"/>
              <w:right w:val="nil"/>
            </w:tcBorders>
            <w:shd w:val="clear" w:color="auto" w:fill="auto"/>
            <w:noWrap/>
          </w:tcPr>
          <w:p>
            <w:pPr>
              <w:pStyle w:val="Normal126"/>
              <w:suppressAutoHyphens w:val="0"/>
              <w:rPr>
                <w:rFonts w:ascii="Arial" w:hAnsi="Arial"/>
                <w:noProof/>
                <w:sz w:val="16"/>
                <w:szCs w:val="16"/>
                <w:lang w:eastAsia="en-GB"/>
              </w:rPr>
            </w:pPr>
          </w:p>
        </w:tc>
      </w:tr>
    </w:tbl>
    <w:p>
      <w:pPr>
        <w:rPr>
          <w:noProof/>
        </w:rPr>
      </w:pPr>
      <w:r>
        <w:rPr>
          <w:noProof/>
        </w:rPr>
        <w:br w:type="page"/>
      </w:r>
    </w:p>
    <w:p>
      <w:pPr>
        <w:pStyle w:val="Title118"/>
        <w:tabs>
          <w:tab w:val="clear" w:pos="720"/>
          <w:tab w:val="left" w:pos="709"/>
        </w:tabs>
        <w:ind w:left="0" w:firstLine="0"/>
        <w:rPr>
          <w:b/>
          <w:noProof/>
          <w:sz w:val="16"/>
          <w:szCs w:val="16"/>
        </w:rPr>
      </w:pPr>
      <w:r>
        <w:rPr>
          <w:b/>
          <w:noProof/>
          <w:sz w:val="16"/>
          <w:szCs w:val="16"/>
        </w:rPr>
        <w:t>4.2.1.</w:t>
      </w:r>
      <w:r>
        <w:rPr>
          <w:b/>
          <w:noProof/>
          <w:sz w:val="16"/>
          <w:szCs w:val="16"/>
        </w:rPr>
        <w:tab/>
        <w:t>Vertinimo metodai ir svarbūs rinkoje negaunami duomenys (tęsinys)</w:t>
      </w:r>
    </w:p>
    <w:p>
      <w:pPr>
        <w:pStyle w:val="Normal126"/>
        <w:spacing w:before="60" w:after="60"/>
        <w:jc w:val="both"/>
        <w:rPr>
          <w:rFonts w:ascii="Arial" w:hAnsi="Arial"/>
          <w:iCs/>
          <w:noProof/>
          <w:sz w:val="16"/>
          <w:szCs w:val="16"/>
        </w:rPr>
      </w:pPr>
    </w:p>
    <w:tbl>
      <w:tblPr>
        <w:tblW w:w="10015" w:type="dxa"/>
        <w:tblInd w:w="-90" w:type="dxa"/>
        <w:tblLook w:val="0000" w:firstRow="0" w:lastRow="0" w:firstColumn="0" w:lastColumn="0" w:noHBand="0" w:noVBand="0"/>
      </w:tblPr>
      <w:tblGrid>
        <w:gridCol w:w="1269"/>
        <w:gridCol w:w="3736"/>
        <w:gridCol w:w="2912"/>
        <w:gridCol w:w="2098"/>
      </w:tblGrid>
      <w:tr>
        <w:trPr>
          <w:trHeight w:val="450"/>
        </w:trPr>
        <w:tc>
          <w:tcPr>
            <w:tcW w:w="1269" w:type="dxa"/>
            <w:tcBorders>
              <w:top w:val="single" w:sz="4" w:space="0" w:color="auto"/>
              <w:left w:val="nil"/>
              <w:bottom w:val="single" w:sz="4" w:space="0" w:color="auto"/>
              <w:right w:val="nil"/>
            </w:tcBorders>
            <w:shd w:val="clear" w:color="auto" w:fill="auto"/>
            <w:noWrap/>
            <w:vAlign w:val="bottom"/>
          </w:tcPr>
          <w:p>
            <w:pPr>
              <w:pStyle w:val="Normal126"/>
              <w:suppressAutoHyphens w:val="0"/>
              <w:rPr>
                <w:rFonts w:ascii="Arial" w:hAnsi="Arial"/>
                <w:b/>
                <w:bCs/>
                <w:noProof/>
                <w:sz w:val="16"/>
                <w:szCs w:val="16"/>
                <w:lang w:eastAsia="en-GB"/>
              </w:rPr>
            </w:pPr>
          </w:p>
        </w:tc>
        <w:tc>
          <w:tcPr>
            <w:tcW w:w="3736" w:type="dxa"/>
            <w:tcBorders>
              <w:top w:val="single" w:sz="4" w:space="0" w:color="auto"/>
              <w:left w:val="nil"/>
              <w:bottom w:val="single" w:sz="4" w:space="0" w:color="auto"/>
              <w:right w:val="nil"/>
            </w:tcBorders>
            <w:shd w:val="clear" w:color="auto" w:fill="auto"/>
            <w:noWrap/>
            <w:vAlign w:val="bottom"/>
          </w:tcPr>
          <w:p>
            <w:pPr>
              <w:pStyle w:val="Normal126"/>
              <w:suppressAutoHyphens w:val="0"/>
              <w:rPr>
                <w:rFonts w:ascii="Arial" w:hAnsi="Arial"/>
                <w:b/>
                <w:bCs/>
                <w:noProof/>
                <w:sz w:val="16"/>
                <w:szCs w:val="16"/>
              </w:rPr>
            </w:pPr>
            <w:r>
              <w:rPr>
                <w:rFonts w:ascii="Arial" w:hAnsi="Arial"/>
                <w:b/>
                <w:bCs/>
                <w:noProof/>
                <w:sz w:val="16"/>
                <w:szCs w:val="16"/>
              </w:rPr>
              <w:t>Vertinimo metodas</w:t>
            </w:r>
          </w:p>
        </w:tc>
        <w:tc>
          <w:tcPr>
            <w:tcW w:w="2912" w:type="dxa"/>
            <w:tcBorders>
              <w:top w:val="single" w:sz="4" w:space="0" w:color="auto"/>
              <w:left w:val="nil"/>
              <w:bottom w:val="single" w:sz="4" w:space="0" w:color="auto"/>
              <w:right w:val="nil"/>
            </w:tcBorders>
            <w:shd w:val="clear" w:color="auto" w:fill="auto"/>
            <w:noWrap/>
            <w:vAlign w:val="bottom"/>
          </w:tcPr>
          <w:p>
            <w:pPr>
              <w:pStyle w:val="Normal126"/>
              <w:suppressAutoHyphens w:val="0"/>
              <w:rPr>
                <w:rFonts w:ascii="Arial" w:hAnsi="Arial"/>
                <w:b/>
                <w:bCs/>
                <w:noProof/>
                <w:sz w:val="16"/>
                <w:szCs w:val="16"/>
              </w:rPr>
            </w:pPr>
            <w:r>
              <w:rPr>
                <w:rFonts w:ascii="Arial" w:hAnsi="Arial"/>
                <w:b/>
                <w:bCs/>
                <w:noProof/>
                <w:sz w:val="16"/>
                <w:szCs w:val="16"/>
              </w:rPr>
              <w:t>Svarbūs rinkoje negaunami duomenys</w:t>
            </w:r>
          </w:p>
        </w:tc>
        <w:tc>
          <w:tcPr>
            <w:tcW w:w="2098" w:type="dxa"/>
            <w:tcBorders>
              <w:top w:val="single" w:sz="4" w:space="0" w:color="auto"/>
              <w:left w:val="nil"/>
              <w:bottom w:val="single" w:sz="4" w:space="0" w:color="auto"/>
              <w:right w:val="nil"/>
            </w:tcBorders>
            <w:shd w:val="clear" w:color="auto" w:fill="auto"/>
            <w:noWrap/>
            <w:vAlign w:val="bottom"/>
          </w:tcPr>
          <w:p>
            <w:pPr>
              <w:pStyle w:val="Normal126"/>
              <w:suppressAutoHyphens w:val="0"/>
              <w:rPr>
                <w:rFonts w:ascii="Arial" w:hAnsi="Arial"/>
                <w:b/>
                <w:bCs/>
                <w:noProof/>
                <w:sz w:val="16"/>
                <w:szCs w:val="16"/>
              </w:rPr>
            </w:pPr>
            <w:r>
              <w:rPr>
                <w:rFonts w:ascii="Arial" w:hAnsi="Arial"/>
                <w:b/>
                <w:bCs/>
                <w:noProof/>
                <w:sz w:val="16"/>
                <w:szCs w:val="16"/>
              </w:rPr>
              <w:t>Rinkoje negaunamų duomenų ir tikrosios vertės nustatymo santykis</w:t>
            </w:r>
          </w:p>
        </w:tc>
      </w:tr>
      <w:tr>
        <w:trPr>
          <w:trHeight w:val="79"/>
        </w:trPr>
        <w:tc>
          <w:tcPr>
            <w:tcW w:w="5005" w:type="dxa"/>
            <w:gridSpan w:val="2"/>
            <w:tcBorders>
              <w:top w:val="single" w:sz="4" w:space="0" w:color="auto"/>
              <w:left w:val="nil"/>
              <w:bottom w:val="nil"/>
              <w:right w:val="nil"/>
            </w:tcBorders>
            <w:shd w:val="clear" w:color="auto" w:fill="auto"/>
            <w:noWrap/>
          </w:tcPr>
          <w:p>
            <w:pPr>
              <w:pStyle w:val="Normal126"/>
              <w:suppressAutoHyphens w:val="0"/>
              <w:rPr>
                <w:rFonts w:ascii="Arial" w:hAnsi="Arial"/>
                <w:noProof/>
                <w:sz w:val="16"/>
                <w:szCs w:val="16"/>
              </w:rPr>
            </w:pPr>
            <w:r>
              <w:rPr>
                <w:rFonts w:ascii="Arial" w:hAnsi="Arial"/>
                <w:b/>
                <w:bCs/>
                <w:noProof/>
                <w:sz w:val="16"/>
                <w:szCs w:val="16"/>
              </w:rPr>
              <w:t>Tikrąja verte neapskaitomos finansinės priemonės</w:t>
            </w:r>
          </w:p>
        </w:tc>
        <w:tc>
          <w:tcPr>
            <w:tcW w:w="2912" w:type="dxa"/>
            <w:tcBorders>
              <w:top w:val="single" w:sz="4" w:space="0" w:color="auto"/>
              <w:left w:val="nil"/>
              <w:bottom w:val="nil"/>
              <w:right w:val="nil"/>
            </w:tcBorders>
            <w:shd w:val="clear" w:color="auto" w:fill="auto"/>
            <w:noWrap/>
          </w:tcPr>
          <w:p>
            <w:pPr>
              <w:pStyle w:val="Normal126"/>
              <w:suppressAutoHyphens w:val="0"/>
              <w:rPr>
                <w:rFonts w:ascii="Arial" w:hAnsi="Arial"/>
                <w:noProof/>
                <w:sz w:val="16"/>
                <w:szCs w:val="16"/>
                <w:lang w:eastAsia="en-GB"/>
              </w:rPr>
            </w:pPr>
          </w:p>
        </w:tc>
        <w:tc>
          <w:tcPr>
            <w:tcW w:w="2098" w:type="dxa"/>
            <w:tcBorders>
              <w:top w:val="single" w:sz="4" w:space="0" w:color="auto"/>
              <w:left w:val="nil"/>
              <w:bottom w:val="nil"/>
              <w:right w:val="nil"/>
            </w:tcBorders>
            <w:shd w:val="clear" w:color="auto" w:fill="auto"/>
            <w:noWrap/>
          </w:tcPr>
          <w:p>
            <w:pPr>
              <w:pStyle w:val="Normal126"/>
              <w:suppressAutoHyphens w:val="0"/>
              <w:rPr>
                <w:rFonts w:ascii="Arial" w:hAnsi="Arial"/>
                <w:noProof/>
                <w:sz w:val="16"/>
                <w:szCs w:val="16"/>
                <w:lang w:eastAsia="en-GB"/>
              </w:rPr>
            </w:pPr>
          </w:p>
        </w:tc>
      </w:tr>
      <w:tr>
        <w:trPr>
          <w:trHeight w:val="161"/>
        </w:trPr>
        <w:tc>
          <w:tcPr>
            <w:tcW w:w="1269" w:type="dxa"/>
            <w:tcBorders>
              <w:top w:val="nil"/>
              <w:left w:val="nil"/>
              <w:bottom w:val="nil"/>
              <w:right w:val="nil"/>
            </w:tcBorders>
            <w:shd w:val="clear" w:color="auto" w:fill="auto"/>
            <w:noWrap/>
          </w:tcPr>
          <w:p>
            <w:pPr>
              <w:pStyle w:val="Normal126"/>
              <w:suppressAutoHyphens w:val="0"/>
              <w:rPr>
                <w:rFonts w:ascii="Arial" w:hAnsi="Arial"/>
                <w:noProof/>
                <w:sz w:val="16"/>
                <w:szCs w:val="16"/>
                <w:lang w:eastAsia="en-GB"/>
              </w:rPr>
            </w:pPr>
          </w:p>
        </w:tc>
        <w:tc>
          <w:tcPr>
            <w:tcW w:w="3736" w:type="dxa"/>
            <w:tcBorders>
              <w:top w:val="nil"/>
              <w:left w:val="nil"/>
              <w:bottom w:val="nil"/>
              <w:right w:val="nil"/>
            </w:tcBorders>
            <w:shd w:val="clear" w:color="auto" w:fill="auto"/>
            <w:noWrap/>
          </w:tcPr>
          <w:p>
            <w:pPr>
              <w:pStyle w:val="Normal126"/>
              <w:suppressAutoHyphens w:val="0"/>
              <w:jc w:val="both"/>
              <w:rPr>
                <w:rFonts w:ascii="Arial" w:hAnsi="Arial"/>
                <w:noProof/>
                <w:sz w:val="16"/>
                <w:szCs w:val="16"/>
                <w:lang w:eastAsia="en-GB"/>
              </w:rPr>
            </w:pPr>
          </w:p>
        </w:tc>
        <w:tc>
          <w:tcPr>
            <w:tcW w:w="2912" w:type="dxa"/>
            <w:tcBorders>
              <w:top w:val="nil"/>
              <w:left w:val="nil"/>
              <w:bottom w:val="nil"/>
              <w:right w:val="nil"/>
            </w:tcBorders>
            <w:shd w:val="clear" w:color="auto" w:fill="auto"/>
            <w:noWrap/>
          </w:tcPr>
          <w:p>
            <w:pPr>
              <w:pStyle w:val="Normal126"/>
              <w:suppressAutoHyphens w:val="0"/>
              <w:rPr>
                <w:rFonts w:ascii="Arial" w:hAnsi="Arial"/>
                <w:noProof/>
                <w:sz w:val="16"/>
                <w:szCs w:val="16"/>
                <w:lang w:eastAsia="en-GB"/>
              </w:rPr>
            </w:pPr>
          </w:p>
        </w:tc>
        <w:tc>
          <w:tcPr>
            <w:tcW w:w="2098" w:type="dxa"/>
            <w:tcBorders>
              <w:top w:val="nil"/>
              <w:left w:val="nil"/>
              <w:bottom w:val="nil"/>
              <w:right w:val="nil"/>
            </w:tcBorders>
            <w:shd w:val="clear" w:color="auto" w:fill="auto"/>
            <w:noWrap/>
          </w:tcPr>
          <w:p>
            <w:pPr>
              <w:pStyle w:val="Normal126"/>
              <w:suppressAutoHyphens w:val="0"/>
              <w:rPr>
                <w:rFonts w:ascii="Arial" w:hAnsi="Arial"/>
                <w:noProof/>
                <w:sz w:val="16"/>
                <w:szCs w:val="16"/>
                <w:lang w:eastAsia="en-GB"/>
              </w:rPr>
            </w:pPr>
          </w:p>
        </w:tc>
      </w:tr>
      <w:tr>
        <w:trPr>
          <w:trHeight w:val="282"/>
        </w:trPr>
        <w:tc>
          <w:tcPr>
            <w:tcW w:w="1269" w:type="dxa"/>
            <w:tcBorders>
              <w:top w:val="nil"/>
              <w:left w:val="nil"/>
              <w:bottom w:val="nil"/>
              <w:right w:val="nil"/>
            </w:tcBorders>
            <w:shd w:val="clear" w:color="auto" w:fill="auto"/>
            <w:noWrap/>
          </w:tcPr>
          <w:p>
            <w:pPr>
              <w:pStyle w:val="Normal126"/>
              <w:suppressAutoHyphens w:val="0"/>
              <w:rPr>
                <w:rFonts w:ascii="Arial" w:hAnsi="Arial"/>
                <w:noProof/>
                <w:sz w:val="16"/>
                <w:szCs w:val="16"/>
              </w:rPr>
            </w:pPr>
            <w:r>
              <w:rPr>
                <w:rFonts w:ascii="Arial" w:hAnsi="Arial"/>
                <w:noProof/>
                <w:sz w:val="16"/>
                <w:szCs w:val="16"/>
              </w:rPr>
              <w:t>Paskolos ir išankstiniai mokėjimai</w:t>
            </w:r>
          </w:p>
        </w:tc>
        <w:tc>
          <w:tcPr>
            <w:tcW w:w="3736" w:type="dxa"/>
            <w:tcBorders>
              <w:top w:val="nil"/>
              <w:left w:val="nil"/>
              <w:bottom w:val="nil"/>
              <w:right w:val="nil"/>
            </w:tcBorders>
            <w:shd w:val="clear" w:color="auto" w:fill="auto"/>
            <w:noWrap/>
          </w:tcPr>
          <w:p>
            <w:pPr>
              <w:pStyle w:val="Normal126"/>
              <w:suppressAutoHyphens w:val="0"/>
              <w:jc w:val="both"/>
              <w:rPr>
                <w:rFonts w:ascii="Arial" w:hAnsi="Arial"/>
                <w:bCs/>
                <w:noProof/>
                <w:sz w:val="16"/>
                <w:szCs w:val="16"/>
              </w:rPr>
            </w:pPr>
            <w:r>
              <w:rPr>
                <w:rFonts w:ascii="Arial" w:hAnsi="Arial"/>
                <w:noProof/>
                <w:sz w:val="16"/>
                <w:szCs w:val="16"/>
              </w:rPr>
              <w:t xml:space="preserve">Diskontuoti pinigų srautai. </w:t>
            </w:r>
            <w:r>
              <w:rPr>
                <w:rFonts w:ascii="Arial" w:hAnsi="Arial"/>
                <w:bCs/>
                <w:noProof/>
                <w:sz w:val="16"/>
                <w:szCs w:val="16"/>
              </w:rPr>
              <w:t>Vertinimo modeliuose naudojami sutartyje numatyti pinigų srautai, kurie priklauso nuo to, ar skolininkas vykdys finansinius įsipareigojimus, ir neatsižvelgiama į jokias užtikrinimo priemonių, kuriomis padengiamos pagrindinės pozicijos, vertes ar ankstyvo paskolos grąžinimo scenarijus. Norint apskaičiuoti paskolų grynąją dabartinę vertę, pagal modelį diskontuojami kiekvienos paskolos sutartyje numatyti pinigų srautai, naudojant patikslintą rinkos diskonto normos kreivę. Tada atskiros paskolos grynoji dabartinė vertė yra patikslinama atsižvelgiant į svarbius susijusius tikėtinus nuostolius. Tada rezultatai susumuojami, kad būtų gauta paskolų ir išankstinių mokėjimų tikroji vertė.</w:t>
            </w:r>
          </w:p>
        </w:tc>
        <w:tc>
          <w:tcPr>
            <w:tcW w:w="2912" w:type="dxa"/>
            <w:tcBorders>
              <w:top w:val="nil"/>
              <w:left w:val="nil"/>
              <w:bottom w:val="nil"/>
              <w:right w:val="nil"/>
            </w:tcBorders>
            <w:shd w:val="clear" w:color="auto" w:fill="auto"/>
            <w:noWrap/>
          </w:tcPr>
          <w:p>
            <w:pPr>
              <w:pStyle w:val="Normal126"/>
              <w:suppressAutoHyphens w:val="0"/>
              <w:rPr>
                <w:rFonts w:ascii="Arial" w:hAnsi="Arial"/>
                <w:noProof/>
                <w:sz w:val="16"/>
                <w:szCs w:val="16"/>
              </w:rPr>
            </w:pPr>
            <w:r>
              <w:rPr>
                <w:rFonts w:ascii="Arial" w:hAnsi="Arial"/>
                <w:noProof/>
                <w:sz w:val="16"/>
                <w:szCs w:val="16"/>
              </w:rPr>
              <w:t>Netaikoma.</w:t>
            </w:r>
          </w:p>
        </w:tc>
        <w:tc>
          <w:tcPr>
            <w:tcW w:w="2098" w:type="dxa"/>
            <w:tcBorders>
              <w:top w:val="nil"/>
              <w:left w:val="nil"/>
              <w:bottom w:val="nil"/>
              <w:right w:val="nil"/>
            </w:tcBorders>
            <w:shd w:val="clear" w:color="auto" w:fill="auto"/>
            <w:noWrap/>
          </w:tcPr>
          <w:p>
            <w:pPr>
              <w:pStyle w:val="Normal126"/>
              <w:suppressAutoHyphens w:val="0"/>
              <w:rPr>
                <w:rFonts w:ascii="Arial" w:hAnsi="Arial"/>
                <w:noProof/>
                <w:sz w:val="16"/>
                <w:szCs w:val="16"/>
              </w:rPr>
            </w:pPr>
            <w:r>
              <w:rPr>
                <w:rFonts w:ascii="Arial" w:hAnsi="Arial"/>
                <w:noProof/>
                <w:sz w:val="16"/>
                <w:szCs w:val="16"/>
              </w:rPr>
              <w:t>Netaikoma.</w:t>
            </w:r>
          </w:p>
        </w:tc>
      </w:tr>
      <w:tr>
        <w:trPr>
          <w:trHeight w:val="93"/>
        </w:trPr>
        <w:tc>
          <w:tcPr>
            <w:tcW w:w="1269" w:type="dxa"/>
            <w:tcBorders>
              <w:top w:val="nil"/>
              <w:left w:val="nil"/>
              <w:bottom w:val="nil"/>
              <w:right w:val="nil"/>
            </w:tcBorders>
            <w:shd w:val="clear" w:color="auto" w:fill="auto"/>
            <w:noWrap/>
          </w:tcPr>
          <w:p>
            <w:pPr>
              <w:pStyle w:val="Normal126"/>
              <w:suppressAutoHyphens w:val="0"/>
              <w:rPr>
                <w:rFonts w:ascii="Arial" w:hAnsi="Arial"/>
                <w:noProof/>
                <w:sz w:val="16"/>
                <w:szCs w:val="16"/>
                <w:lang w:eastAsia="en-GB"/>
              </w:rPr>
            </w:pPr>
          </w:p>
        </w:tc>
        <w:tc>
          <w:tcPr>
            <w:tcW w:w="3736" w:type="dxa"/>
            <w:tcBorders>
              <w:top w:val="nil"/>
              <w:left w:val="nil"/>
              <w:bottom w:val="nil"/>
              <w:right w:val="nil"/>
            </w:tcBorders>
            <w:shd w:val="clear" w:color="auto" w:fill="auto"/>
            <w:noWrap/>
          </w:tcPr>
          <w:p>
            <w:pPr>
              <w:pStyle w:val="Normal126"/>
              <w:suppressAutoHyphens w:val="0"/>
              <w:jc w:val="both"/>
              <w:rPr>
                <w:rFonts w:ascii="Arial" w:hAnsi="Arial"/>
                <w:noProof/>
                <w:sz w:val="16"/>
                <w:szCs w:val="16"/>
                <w:lang w:eastAsia="en-GB"/>
              </w:rPr>
            </w:pPr>
          </w:p>
        </w:tc>
        <w:tc>
          <w:tcPr>
            <w:tcW w:w="2912" w:type="dxa"/>
            <w:tcBorders>
              <w:top w:val="nil"/>
              <w:left w:val="nil"/>
              <w:bottom w:val="nil"/>
              <w:right w:val="nil"/>
            </w:tcBorders>
            <w:shd w:val="clear" w:color="auto" w:fill="auto"/>
            <w:noWrap/>
          </w:tcPr>
          <w:p>
            <w:pPr>
              <w:pStyle w:val="Normal126"/>
              <w:suppressAutoHyphens w:val="0"/>
              <w:rPr>
                <w:rFonts w:ascii="Arial" w:hAnsi="Arial"/>
                <w:noProof/>
                <w:sz w:val="16"/>
                <w:szCs w:val="16"/>
                <w:lang w:eastAsia="en-GB"/>
              </w:rPr>
            </w:pPr>
          </w:p>
        </w:tc>
        <w:tc>
          <w:tcPr>
            <w:tcW w:w="2098" w:type="dxa"/>
            <w:tcBorders>
              <w:top w:val="nil"/>
              <w:left w:val="nil"/>
              <w:bottom w:val="nil"/>
              <w:right w:val="nil"/>
            </w:tcBorders>
            <w:shd w:val="clear" w:color="auto" w:fill="auto"/>
            <w:noWrap/>
          </w:tcPr>
          <w:p>
            <w:pPr>
              <w:pStyle w:val="Normal126"/>
              <w:suppressAutoHyphens w:val="0"/>
              <w:rPr>
                <w:rFonts w:ascii="Arial" w:hAnsi="Arial"/>
                <w:noProof/>
                <w:sz w:val="16"/>
                <w:szCs w:val="16"/>
                <w:lang w:eastAsia="en-GB"/>
              </w:rPr>
            </w:pPr>
          </w:p>
        </w:tc>
      </w:tr>
      <w:tr>
        <w:trPr>
          <w:trHeight w:val="465"/>
        </w:trPr>
        <w:tc>
          <w:tcPr>
            <w:tcW w:w="1269" w:type="dxa"/>
            <w:tcBorders>
              <w:top w:val="nil"/>
              <w:left w:val="nil"/>
              <w:bottom w:val="nil"/>
              <w:right w:val="nil"/>
            </w:tcBorders>
            <w:shd w:val="clear" w:color="auto" w:fill="auto"/>
            <w:noWrap/>
          </w:tcPr>
          <w:p>
            <w:pPr>
              <w:pStyle w:val="Normal550"/>
              <w:suppressAutoHyphens w:val="0"/>
              <w:rPr>
                <w:rFonts w:ascii="Arial" w:hAnsi="Arial"/>
                <w:noProof/>
                <w:sz w:val="16"/>
                <w:szCs w:val="16"/>
              </w:rPr>
            </w:pPr>
            <w:r>
              <w:rPr>
                <w:rFonts w:ascii="Arial" w:hAnsi="Arial"/>
                <w:noProof/>
                <w:sz w:val="16"/>
                <w:szCs w:val="16"/>
              </w:rPr>
              <w:t>Iždo finansinis turtas</w:t>
            </w:r>
          </w:p>
          <w:p>
            <w:pPr>
              <w:pStyle w:val="Normal126"/>
              <w:suppressAutoHyphens w:val="0"/>
              <w:rPr>
                <w:rFonts w:ascii="Arial" w:hAnsi="Arial"/>
                <w:noProof/>
                <w:sz w:val="16"/>
                <w:szCs w:val="16"/>
                <w:lang w:eastAsia="en-GB"/>
              </w:rPr>
            </w:pPr>
          </w:p>
        </w:tc>
        <w:tc>
          <w:tcPr>
            <w:tcW w:w="3736" w:type="dxa"/>
            <w:tcBorders>
              <w:top w:val="nil"/>
              <w:left w:val="nil"/>
              <w:bottom w:val="nil"/>
              <w:right w:val="nil"/>
            </w:tcBorders>
            <w:shd w:val="clear" w:color="auto" w:fill="auto"/>
            <w:noWrap/>
          </w:tcPr>
          <w:p>
            <w:pPr>
              <w:pStyle w:val="Normal126"/>
              <w:suppressAutoHyphens w:val="0"/>
              <w:rPr>
                <w:rFonts w:ascii="Arial" w:hAnsi="Arial"/>
                <w:noProof/>
                <w:sz w:val="16"/>
                <w:szCs w:val="16"/>
              </w:rPr>
            </w:pPr>
            <w:r>
              <w:rPr>
                <w:rFonts w:ascii="Arial" w:hAnsi="Arial"/>
                <w:noProof/>
                <w:sz w:val="16"/>
                <w:szCs w:val="16"/>
              </w:rPr>
              <w:t>Diskontuoti pinigų srautai.</w:t>
            </w:r>
          </w:p>
        </w:tc>
        <w:tc>
          <w:tcPr>
            <w:tcW w:w="2912" w:type="dxa"/>
            <w:tcBorders>
              <w:top w:val="nil"/>
              <w:left w:val="nil"/>
              <w:bottom w:val="nil"/>
              <w:right w:val="nil"/>
            </w:tcBorders>
            <w:shd w:val="clear" w:color="auto" w:fill="auto"/>
            <w:noWrap/>
          </w:tcPr>
          <w:p>
            <w:pPr>
              <w:pStyle w:val="Normal126"/>
              <w:suppressAutoHyphens w:val="0"/>
              <w:rPr>
                <w:rFonts w:ascii="Arial" w:hAnsi="Arial"/>
                <w:noProof/>
                <w:sz w:val="16"/>
                <w:szCs w:val="16"/>
              </w:rPr>
            </w:pPr>
            <w:r>
              <w:rPr>
                <w:rFonts w:ascii="Arial" w:hAnsi="Arial"/>
                <w:noProof/>
                <w:sz w:val="16"/>
                <w:szCs w:val="16"/>
              </w:rPr>
              <w:t>Netaikoma.</w:t>
            </w:r>
          </w:p>
        </w:tc>
        <w:tc>
          <w:tcPr>
            <w:tcW w:w="2098" w:type="dxa"/>
            <w:tcBorders>
              <w:top w:val="nil"/>
              <w:left w:val="nil"/>
              <w:bottom w:val="nil"/>
              <w:right w:val="nil"/>
            </w:tcBorders>
            <w:shd w:val="clear" w:color="auto" w:fill="auto"/>
            <w:noWrap/>
          </w:tcPr>
          <w:p>
            <w:pPr>
              <w:pStyle w:val="Normal126"/>
              <w:suppressAutoHyphens w:val="0"/>
              <w:rPr>
                <w:rFonts w:ascii="Arial" w:hAnsi="Arial"/>
                <w:noProof/>
                <w:sz w:val="16"/>
                <w:szCs w:val="16"/>
              </w:rPr>
            </w:pPr>
            <w:r>
              <w:rPr>
                <w:rFonts w:ascii="Arial" w:hAnsi="Arial"/>
                <w:noProof/>
                <w:sz w:val="16"/>
                <w:szCs w:val="16"/>
              </w:rPr>
              <w:t>Netaikoma.</w:t>
            </w:r>
          </w:p>
        </w:tc>
      </w:tr>
    </w:tbl>
    <w:p>
      <w:pPr>
        <w:pStyle w:val="Normal126"/>
        <w:suppressAutoHyphens w:val="0"/>
        <w:rPr>
          <w:rFonts w:ascii="Arial" w:hAnsi="Arial"/>
          <w:iCs/>
          <w:noProof/>
          <w:sz w:val="16"/>
          <w:szCs w:val="16"/>
        </w:rPr>
      </w:pPr>
    </w:p>
    <w:p>
      <w:pPr>
        <w:pStyle w:val="Normal126"/>
        <w:jc w:val="both"/>
        <w:rPr>
          <w:rFonts w:ascii="Arial" w:hAnsi="Arial"/>
          <w:iCs/>
          <w:noProof/>
          <w:sz w:val="16"/>
          <w:szCs w:val="16"/>
        </w:rPr>
      </w:pPr>
      <w:r>
        <w:rPr>
          <w:rFonts w:ascii="Arial" w:hAnsi="Arial"/>
          <w:iCs/>
          <w:noProof/>
          <w:sz w:val="16"/>
          <w:szCs w:val="16"/>
        </w:rPr>
        <w:t>Pradėjus taikyti 13-ąjį TFAS, į išvestinių finansinių priemonių tikrąją vertę 2019 m. gruodžio 31 d. ir 2018 m. gruodžio 31 d. įtraukiamos vertinimo patikslinimo sumos, t. y.:</w:t>
      </w:r>
    </w:p>
    <w:p>
      <w:pPr>
        <w:pStyle w:val="Normal126"/>
        <w:spacing w:before="60"/>
        <w:jc w:val="both"/>
        <w:rPr>
          <w:rFonts w:ascii="Arial" w:hAnsi="Arial"/>
          <w:iCs/>
          <w:noProof/>
          <w:sz w:val="16"/>
          <w:szCs w:val="16"/>
        </w:rPr>
      </w:pPr>
    </w:p>
    <w:p>
      <w:pPr>
        <w:pStyle w:val="ListParagraph5"/>
        <w:numPr>
          <w:ilvl w:val="0"/>
          <w:numId w:val="108"/>
        </w:numPr>
        <w:jc w:val="both"/>
        <w:rPr>
          <w:rFonts w:ascii="Arial" w:hAnsi="Arial"/>
          <w:iCs/>
          <w:noProof/>
          <w:sz w:val="16"/>
          <w:szCs w:val="16"/>
        </w:rPr>
      </w:pPr>
      <w:r>
        <w:rPr>
          <w:rFonts w:ascii="Arial" w:hAnsi="Arial"/>
          <w:iCs/>
          <w:noProof/>
          <w:sz w:val="16"/>
          <w:szCs w:val="16"/>
        </w:rPr>
        <w:t xml:space="preserve">kredito vertinimo patikslinimo sumos, rodančios kredito riziką išvestinių finansinių priemonių sandoriuose, kurios sudarė −32,8 tūkst. EUR </w:t>
      </w:r>
      <w:r>
        <w:rPr>
          <w:rFonts w:ascii="Arial" w:hAnsi="Arial"/>
          <w:iCs/>
          <w:noProof/>
          <w:sz w:val="16"/>
          <w:szCs w:val="16"/>
        </w:rPr>
        <w:br/>
        <w:t xml:space="preserve">2019 m. gruodžio 31 d., ir −37,4 tūkst. EUR 2018 m. gruodžio 31 d. </w:t>
      </w:r>
    </w:p>
    <w:p>
      <w:pPr>
        <w:pStyle w:val="ListParagraph5"/>
        <w:numPr>
          <w:ilvl w:val="0"/>
          <w:numId w:val="108"/>
        </w:numPr>
        <w:jc w:val="both"/>
        <w:rPr>
          <w:rFonts w:ascii="Arial" w:hAnsi="Arial"/>
          <w:iCs/>
          <w:noProof/>
          <w:sz w:val="16"/>
          <w:szCs w:val="16"/>
        </w:rPr>
      </w:pPr>
      <w:r>
        <w:rPr>
          <w:rFonts w:ascii="Arial" w:hAnsi="Arial"/>
          <w:iCs/>
          <w:noProof/>
          <w:sz w:val="16"/>
          <w:szCs w:val="16"/>
        </w:rPr>
        <w:t xml:space="preserve">debeto vertinimo patikslinimo sumos, rodančios kredito riziką išvestinių finansinių priemonių sandoriuose, kurios sudarė +28,7 tūkst. EUR </w:t>
      </w:r>
      <w:r>
        <w:rPr>
          <w:rFonts w:ascii="Arial" w:hAnsi="Arial"/>
          <w:iCs/>
          <w:noProof/>
          <w:sz w:val="16"/>
          <w:szCs w:val="16"/>
        </w:rPr>
        <w:br/>
        <w:t xml:space="preserve">2019 m. gruodžio 31 d., ir +15,1 tūkst. EUR 2018 m. gruodžio 31 d. </w:t>
      </w:r>
    </w:p>
    <w:p>
      <w:pPr>
        <w:pStyle w:val="Normal126"/>
        <w:spacing w:before="60" w:after="60"/>
        <w:rPr>
          <w:rFonts w:ascii="Arial" w:hAnsi="Arial"/>
          <w:noProof/>
          <w:sz w:val="16"/>
          <w:szCs w:val="16"/>
        </w:rPr>
      </w:pPr>
      <w:r>
        <w:rPr>
          <w:noProof/>
        </w:rPr>
        <w:t xml:space="preserve"> </w:t>
      </w:r>
    </w:p>
    <w:p>
      <w:pPr>
        <w:pStyle w:val="Title118"/>
        <w:numPr>
          <w:ilvl w:val="2"/>
          <w:numId w:val="106"/>
        </w:numPr>
        <w:ind w:left="851" w:hanging="851"/>
        <w:rPr>
          <w:b/>
          <w:noProof/>
          <w:sz w:val="16"/>
          <w:szCs w:val="16"/>
        </w:rPr>
      </w:pPr>
      <w:r>
        <w:rPr>
          <w:b/>
          <w:noProof/>
          <w:sz w:val="16"/>
          <w:szCs w:val="16"/>
        </w:rPr>
        <w:t>Perkėlimai tarp 1 ir 2 lygių</w:t>
      </w:r>
    </w:p>
    <w:p>
      <w:pPr>
        <w:pStyle w:val="Normal127"/>
        <w:spacing w:after="60"/>
        <w:jc w:val="both"/>
        <w:rPr>
          <w:rFonts w:ascii="Arial" w:hAnsi="Arial"/>
          <w:iCs/>
          <w:noProof/>
          <w:sz w:val="16"/>
          <w:szCs w:val="16"/>
        </w:rPr>
      </w:pPr>
    </w:p>
    <w:p>
      <w:pPr>
        <w:pStyle w:val="Normal127"/>
        <w:jc w:val="both"/>
        <w:rPr>
          <w:rFonts w:ascii="Arial" w:hAnsi="Arial"/>
          <w:iCs/>
          <w:noProof/>
          <w:sz w:val="16"/>
          <w:szCs w:val="16"/>
        </w:rPr>
      </w:pPr>
      <w:r>
        <w:rPr>
          <w:rFonts w:ascii="Arial" w:hAnsi="Arial"/>
          <w:iCs/>
          <w:noProof/>
          <w:sz w:val="16"/>
          <w:szCs w:val="16"/>
        </w:rPr>
        <w:t>Priemonės politika – pripažinti perkėlimus tarp lygių įvykio dieną arba perkėlimą lėmusio aplinkybių pasikeitimo dieną.</w:t>
      </w:r>
    </w:p>
    <w:p>
      <w:pPr>
        <w:pStyle w:val="Normal127"/>
        <w:spacing w:before="60" w:after="60"/>
        <w:jc w:val="both"/>
        <w:rPr>
          <w:rFonts w:ascii="Arial" w:hAnsi="Arial"/>
          <w:iCs/>
          <w:noProof/>
          <w:sz w:val="16"/>
          <w:szCs w:val="16"/>
        </w:rPr>
      </w:pPr>
    </w:p>
    <w:p>
      <w:pPr>
        <w:pStyle w:val="Normal127"/>
        <w:jc w:val="both"/>
        <w:rPr>
          <w:rFonts w:ascii="Arial" w:hAnsi="Arial"/>
          <w:iCs/>
          <w:noProof/>
          <w:sz w:val="16"/>
          <w:szCs w:val="16"/>
        </w:rPr>
      </w:pPr>
      <w:r>
        <w:rPr>
          <w:rFonts w:ascii="Arial" w:hAnsi="Arial"/>
          <w:iCs/>
          <w:noProof/>
          <w:sz w:val="16"/>
          <w:szCs w:val="16"/>
        </w:rPr>
        <w:t>2019 ir 2018 m. taikant Priemonę neatlikta perkėlimų iš tikrosios vertės hierarchijos 1 lygio į 2 lygį ar iš 2 lygio į 1 lygį.</w:t>
      </w:r>
    </w:p>
    <w:p>
      <w:pPr>
        <w:pStyle w:val="Normal127"/>
        <w:spacing w:before="60" w:after="60"/>
        <w:rPr>
          <w:rFonts w:ascii="Arial" w:hAnsi="Arial"/>
          <w:noProof/>
          <w:sz w:val="16"/>
          <w:szCs w:val="16"/>
        </w:rPr>
      </w:pPr>
    </w:p>
    <w:p>
      <w:pPr>
        <w:rPr>
          <w:rFonts w:ascii="Arial" w:hAnsi="Arial"/>
          <w:b/>
          <w:noProof/>
          <w:sz w:val="16"/>
        </w:rPr>
      </w:pPr>
      <w:r>
        <w:rPr>
          <w:noProof/>
        </w:rPr>
        <w:br w:type="page"/>
      </w:r>
    </w:p>
    <w:p>
      <w:pPr>
        <w:pStyle w:val="Title118"/>
        <w:numPr>
          <w:ilvl w:val="2"/>
          <w:numId w:val="106"/>
        </w:numPr>
        <w:ind w:left="851" w:hanging="851"/>
        <w:rPr>
          <w:b/>
          <w:noProof/>
          <w:sz w:val="16"/>
          <w:szCs w:val="16"/>
        </w:rPr>
      </w:pPr>
      <w:r>
        <w:rPr>
          <w:b/>
          <w:noProof/>
          <w:sz w:val="16"/>
          <w:szCs w:val="16"/>
        </w:rPr>
        <w:t>3 lygio tikrosios vertės</w:t>
      </w:r>
    </w:p>
    <w:p>
      <w:pPr>
        <w:pStyle w:val="Normal127"/>
        <w:spacing w:after="60"/>
        <w:rPr>
          <w:rFonts w:ascii="Arial" w:hAnsi="Arial"/>
          <w:noProof/>
          <w:sz w:val="16"/>
          <w:szCs w:val="16"/>
        </w:rPr>
      </w:pPr>
    </w:p>
    <w:p>
      <w:pPr>
        <w:pStyle w:val="Normal127"/>
        <w:rPr>
          <w:rFonts w:ascii="Arial" w:hAnsi="Arial"/>
          <w:b/>
          <w:bCs/>
          <w:noProof/>
          <w:sz w:val="16"/>
          <w:szCs w:val="16"/>
        </w:rPr>
      </w:pPr>
      <w:r>
        <w:rPr>
          <w:rFonts w:ascii="Arial" w:hAnsi="Arial"/>
          <w:b/>
          <w:bCs/>
          <w:noProof/>
          <w:sz w:val="16"/>
          <w:szCs w:val="16"/>
        </w:rPr>
        <w:t>3 lygio tikrųjų verčių suderinimas</w:t>
      </w:r>
    </w:p>
    <w:p>
      <w:pPr>
        <w:pStyle w:val="Normal127"/>
        <w:rPr>
          <w:rFonts w:ascii="Arial" w:hAnsi="Arial"/>
          <w:b/>
          <w:bCs/>
          <w:noProof/>
          <w:sz w:val="16"/>
          <w:szCs w:val="16"/>
          <w:lang w:eastAsia="en-GB"/>
        </w:rPr>
      </w:pPr>
    </w:p>
    <w:p>
      <w:pPr>
        <w:pStyle w:val="Normal127"/>
        <w:spacing w:before="60" w:after="60"/>
        <w:rPr>
          <w:rFonts w:ascii="Arial" w:hAnsi="Arial"/>
          <w:noProof/>
          <w:sz w:val="16"/>
          <w:szCs w:val="16"/>
        </w:rPr>
      </w:pPr>
      <w:r>
        <w:rPr>
          <w:rFonts w:ascii="Arial" w:hAnsi="Arial"/>
          <w:noProof/>
          <w:sz w:val="16"/>
          <w:szCs w:val="16"/>
        </w:rPr>
        <w:t>Toliau pateikiamoje lentelėje nurodomi 3 lygio priemonių pokyčiai 2019 m. gruodžio 31 d. ir 2018 m. gruodžio 31 d. pasibaigusiais metais:</w:t>
      </w:r>
    </w:p>
    <w:p>
      <w:pPr>
        <w:pStyle w:val="Normal127"/>
        <w:spacing w:after="60"/>
        <w:rPr>
          <w:rFonts w:ascii="Arial" w:hAnsi="Arial"/>
          <w:noProof/>
          <w:sz w:val="16"/>
          <w:szCs w:val="16"/>
        </w:rPr>
      </w:pPr>
      <w:r>
        <w:rPr>
          <w:noProof/>
        </w:rPr>
        <w:t xml:space="preserve"> </w:t>
      </w:r>
    </w:p>
    <w:tbl>
      <w:tblPr>
        <w:tblStyle w:val="CDMRange112"/>
        <w:tblW w:w="9975" w:type="dxa"/>
        <w:tblLayout w:type="fixed"/>
        <w:tblLook w:val="0600" w:firstRow="0" w:lastRow="0" w:firstColumn="0" w:lastColumn="0" w:noHBand="1" w:noVBand="1"/>
      </w:tblPr>
      <w:tblGrid>
        <w:gridCol w:w="8475"/>
        <w:gridCol w:w="1500"/>
      </w:tblGrid>
      <w:tr>
        <w:trPr>
          <w:trHeight w:val="675"/>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rPr>
                <w:rFonts w:ascii="Arial" w:eastAsia="Arial" w:hAnsi="Arial" w:cs="Arial"/>
                <w:b/>
                <w:noProof/>
                <w:color w:val="000000"/>
                <w:sz w:val="16"/>
              </w:rPr>
            </w:pPr>
            <w:r>
              <w:rPr>
                <w:rFonts w:ascii="Arial" w:hAnsi="Arial"/>
                <w:b/>
                <w:noProof/>
                <w:color w:val="000000"/>
                <w:sz w:val="16"/>
              </w:rPr>
              <w:t>tūkst.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jc w:val="right"/>
              <w:rPr>
                <w:rFonts w:ascii="Arial" w:eastAsia="Arial" w:hAnsi="Arial" w:cs="Arial"/>
                <w:b/>
                <w:noProof/>
                <w:color w:val="000000"/>
                <w:sz w:val="16"/>
              </w:rPr>
            </w:pPr>
            <w:r>
              <w:rPr>
                <w:rFonts w:ascii="Arial" w:hAnsi="Arial"/>
                <w:b/>
                <w:noProof/>
                <w:color w:val="000000"/>
                <w:sz w:val="16"/>
              </w:rPr>
              <w:t>Akcijos ir kiti kintamo pelningumo vertybiniai popieriai</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rPr>
                <w:rFonts w:ascii="Arial" w:eastAsia="Arial" w:hAnsi="Arial" w:cs="Arial"/>
                <w:b/>
                <w:noProof/>
                <w:color w:val="000000"/>
                <w:sz w:val="16"/>
              </w:rPr>
            </w:pPr>
            <w:r>
              <w:rPr>
                <w:rFonts w:ascii="Arial" w:hAnsi="Arial"/>
                <w:b/>
                <w:noProof/>
                <w:color w:val="000000"/>
                <w:sz w:val="16"/>
              </w:rPr>
              <w:t>Likutis 2019 m. sausio 1 d.</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jc w:val="right"/>
              <w:rPr>
                <w:rFonts w:ascii="Arial" w:eastAsia="Arial" w:hAnsi="Arial" w:cs="Arial"/>
                <w:b/>
                <w:noProof/>
                <w:color w:val="000000"/>
                <w:sz w:val="16"/>
              </w:rPr>
            </w:pPr>
            <w:r>
              <w:rPr>
                <w:rFonts w:ascii="Arial" w:hAnsi="Arial"/>
                <w:b/>
                <w:noProof/>
                <w:color w:val="000000"/>
                <w:sz w:val="16"/>
              </w:rPr>
              <w:t>550 617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b/>
                <w:noProof/>
                <w:color w:val="000000"/>
                <w:sz w:val="16"/>
              </w:rPr>
            </w:pPr>
            <w:r>
              <w:rPr>
                <w:rFonts w:ascii="Arial" w:hAnsi="Arial"/>
                <w:b/>
                <w:noProof/>
                <w:color w:val="000000"/>
                <w:sz w:val="16"/>
              </w:rPr>
              <w:t>Pelnas arba nuostoliai, pripažinti pelno arba nuostolių ataskaitoje:</w:t>
            </w: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hAnsi="Arial"/>
                <w:noProof/>
                <w:color w:val="000000"/>
                <w:sz w:val="16"/>
              </w:rPr>
              <w:t>— grynasis realizuotas pelnas iš akcijų ir kitų kintamo pelningumo vertybinių popierių</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hAnsi="Arial"/>
                <w:noProof/>
                <w:color w:val="000000"/>
                <w:sz w:val="16"/>
              </w:rPr>
              <w:t>1 708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hAnsi="Arial"/>
                <w:noProof/>
                <w:color w:val="000000"/>
                <w:sz w:val="16"/>
              </w:rPr>
              <w:t xml:space="preserve">— akcijų ir kitų kintamo pelningumo vertybinių popierių grynasis tikrosios vertės pokytis </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hAnsi="Arial"/>
                <w:noProof/>
                <w:color w:val="000000"/>
                <w:sz w:val="16"/>
              </w:rPr>
              <w:t>17 666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rPr>
                <w:rFonts w:ascii="Arial" w:eastAsia="Arial" w:hAnsi="Arial" w:cs="Arial"/>
                <w:b/>
                <w:noProof/>
                <w:color w:val="000000"/>
                <w:sz w:val="16"/>
              </w:rPr>
            </w:pPr>
            <w:r>
              <w:rPr>
                <w:rFonts w:ascii="Arial" w:hAnsi="Arial"/>
                <w:b/>
                <w:noProof/>
                <w:color w:val="000000"/>
                <w:sz w:val="16"/>
              </w:rPr>
              <w:t>Iš viso</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jc w:val="right"/>
              <w:rPr>
                <w:rFonts w:ascii="Arial" w:eastAsia="Arial" w:hAnsi="Arial" w:cs="Arial"/>
                <w:b/>
                <w:noProof/>
                <w:color w:val="000000"/>
                <w:sz w:val="16"/>
              </w:rPr>
            </w:pPr>
            <w:r>
              <w:rPr>
                <w:rFonts w:ascii="Arial" w:hAnsi="Arial"/>
                <w:b/>
                <w:noProof/>
                <w:color w:val="000000"/>
                <w:sz w:val="16"/>
              </w:rPr>
              <w:t>19 374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hAnsi="Arial"/>
                <w:noProof/>
                <w:color w:val="000000"/>
                <w:sz w:val="16"/>
              </w:rPr>
              <w:t>Išmokos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hAnsi="Arial"/>
                <w:noProof/>
                <w:color w:val="000000"/>
                <w:sz w:val="16"/>
              </w:rPr>
              <w:t>106 943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hAnsi="Arial"/>
                <w:noProof/>
                <w:color w:val="000000"/>
                <w:sz w:val="16"/>
              </w:rPr>
              <w:t>Grąžintos sumos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hAnsi="Arial"/>
                <w:noProof/>
                <w:color w:val="000000"/>
                <w:sz w:val="16"/>
              </w:rPr>
              <w:t>−79 435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hAnsi="Arial"/>
                <w:noProof/>
                <w:color w:val="000000"/>
                <w:sz w:val="16"/>
              </w:rPr>
              <w:t>Užsienio valiutos kursų skirtumai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hAnsi="Arial"/>
                <w:noProof/>
                <w:color w:val="000000"/>
                <w:sz w:val="16"/>
              </w:rPr>
              <w:t>6 812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FFFFFF" w:fill="BFBFBF"/>
            <w:tcMar>
              <w:left w:w="40" w:type="dxa"/>
              <w:right w:w="40" w:type="dxa"/>
            </w:tcMar>
            <w:vAlign w:val="center"/>
          </w:tcPr>
          <w:p>
            <w:pPr>
              <w:pStyle w:val="Normal128"/>
              <w:rPr>
                <w:rFonts w:ascii="Arial" w:eastAsia="Arial" w:hAnsi="Arial" w:cs="Arial"/>
                <w:b/>
                <w:noProof/>
                <w:color w:val="000000"/>
                <w:sz w:val="16"/>
              </w:rPr>
            </w:pPr>
            <w:r>
              <w:rPr>
                <w:rFonts w:ascii="Arial" w:hAnsi="Arial"/>
                <w:b/>
                <w:noProof/>
                <w:color w:val="000000"/>
                <w:sz w:val="16"/>
              </w:rPr>
              <w:t>Likutis 2019 m. gruodžio 31 d.</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128"/>
              <w:jc w:val="right"/>
              <w:rPr>
                <w:rFonts w:ascii="Arial" w:eastAsia="Arial" w:hAnsi="Arial" w:cs="Arial"/>
                <w:b/>
                <w:noProof/>
                <w:color w:val="000000"/>
                <w:sz w:val="16"/>
              </w:rPr>
            </w:pPr>
            <w:r>
              <w:rPr>
                <w:rFonts w:ascii="Arial" w:hAnsi="Arial"/>
                <w:b/>
                <w:noProof/>
                <w:color w:val="000000"/>
                <w:sz w:val="16"/>
              </w:rPr>
              <w:t>604 311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8475" w:type="dxa"/>
            <w:tcBorders>
              <w:top w:val="nil"/>
              <w:left w:val="nil"/>
              <w:bottom w:val="nil"/>
              <w:right w:val="nil"/>
              <w:tl2br w:val="nil"/>
              <w:tr2bl w:val="nil"/>
            </w:tcBorders>
            <w:shd w:val="clear" w:color="auto" w:fill="auto"/>
            <w:noWrap/>
            <w:tcMar>
              <w:left w:w="0" w:type="dxa"/>
              <w:right w:w="0" w:type="dxa"/>
            </w:tcMar>
            <w:vAlign w:val="bottom"/>
          </w:tcPr>
          <w:p>
            <w:pPr>
              <w:pStyle w:val="Normal128"/>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128"/>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rPr>
                <w:rFonts w:ascii="Arial" w:eastAsia="Arial" w:hAnsi="Arial" w:cs="Arial"/>
                <w:b/>
                <w:noProof/>
                <w:color w:val="000000"/>
                <w:sz w:val="16"/>
              </w:rPr>
            </w:pPr>
            <w:r>
              <w:rPr>
                <w:rFonts w:ascii="Arial" w:hAnsi="Arial"/>
                <w:b/>
                <w:noProof/>
                <w:color w:val="000000"/>
                <w:sz w:val="16"/>
              </w:rPr>
              <w:t>tūkst.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jc w:val="right"/>
              <w:rPr>
                <w:rFonts w:ascii="Arial" w:eastAsia="Arial" w:hAnsi="Arial" w:cs="Arial"/>
                <w:b/>
                <w:noProof/>
                <w:color w:val="000000"/>
                <w:sz w:val="16"/>
              </w:rPr>
            </w:pPr>
            <w:r>
              <w:rPr>
                <w:rFonts w:ascii="Arial" w:hAnsi="Arial"/>
                <w:b/>
                <w:noProof/>
                <w:color w:val="000000"/>
                <w:sz w:val="16"/>
              </w:rPr>
              <w:t>Akcijos ir kiti kintamo pelningumo vertybiniai popieriai</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rPr>
                <w:rFonts w:ascii="Arial" w:eastAsia="Arial" w:hAnsi="Arial" w:cs="Arial"/>
                <w:b/>
                <w:noProof/>
                <w:color w:val="000000"/>
                <w:sz w:val="16"/>
              </w:rPr>
            </w:pPr>
            <w:r>
              <w:rPr>
                <w:rFonts w:ascii="Arial" w:hAnsi="Arial"/>
                <w:b/>
                <w:noProof/>
                <w:color w:val="000000"/>
                <w:sz w:val="16"/>
              </w:rPr>
              <w:t>Likutis 2018 m. sausio 1 d.</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jc w:val="right"/>
              <w:rPr>
                <w:rFonts w:ascii="Arial" w:eastAsia="Arial" w:hAnsi="Arial" w:cs="Arial"/>
                <w:b/>
                <w:noProof/>
                <w:color w:val="000000"/>
                <w:sz w:val="16"/>
              </w:rPr>
            </w:pPr>
            <w:r>
              <w:rPr>
                <w:rFonts w:ascii="Arial" w:hAnsi="Arial"/>
                <w:b/>
                <w:noProof/>
                <w:color w:val="000000"/>
                <w:sz w:val="16"/>
              </w:rPr>
              <w:t>473 081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b/>
                <w:noProof/>
                <w:color w:val="000000"/>
                <w:sz w:val="16"/>
              </w:rPr>
            </w:pPr>
            <w:r>
              <w:rPr>
                <w:rFonts w:ascii="Arial" w:hAnsi="Arial"/>
                <w:b/>
                <w:noProof/>
                <w:color w:val="000000"/>
                <w:sz w:val="16"/>
              </w:rPr>
              <w:t>Pelnas arba nuostoliai, pripažinti pelno arba nuostolių ataskaitoje:</w:t>
            </w: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hAnsi="Arial"/>
                <w:noProof/>
                <w:color w:val="000000"/>
                <w:sz w:val="16"/>
              </w:rPr>
              <w:t>— grynasis realizuotas pelnas iš akcijų ir kitų kintamo pelningumo vertybinių popierių</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hAnsi="Arial"/>
                <w:noProof/>
                <w:color w:val="000000"/>
                <w:sz w:val="16"/>
              </w:rPr>
              <w:t>−10 622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hAnsi="Arial"/>
                <w:noProof/>
                <w:color w:val="000000"/>
                <w:sz w:val="16"/>
              </w:rPr>
              <w:t>— akcijų ir kitų kintamo pelningumo vertybinių popierių grynasis tikrosios vertės pokytis</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hAnsi="Arial"/>
                <w:noProof/>
                <w:color w:val="000000"/>
                <w:sz w:val="16"/>
              </w:rPr>
              <w:t>−13 411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rPr>
                <w:rFonts w:ascii="Arial" w:eastAsia="Arial" w:hAnsi="Arial" w:cs="Arial"/>
                <w:b/>
                <w:noProof/>
                <w:color w:val="000000"/>
                <w:sz w:val="16"/>
              </w:rPr>
            </w:pPr>
            <w:r>
              <w:rPr>
                <w:rFonts w:ascii="Arial" w:hAnsi="Arial"/>
                <w:b/>
                <w:noProof/>
                <w:color w:val="000000"/>
                <w:sz w:val="16"/>
              </w:rPr>
              <w:t>Iš viso</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jc w:val="right"/>
              <w:rPr>
                <w:rFonts w:ascii="Arial" w:eastAsia="Arial" w:hAnsi="Arial" w:cs="Arial"/>
                <w:b/>
                <w:noProof/>
                <w:color w:val="000000"/>
                <w:sz w:val="16"/>
              </w:rPr>
            </w:pPr>
            <w:r>
              <w:rPr>
                <w:rFonts w:ascii="Arial" w:hAnsi="Arial"/>
                <w:b/>
                <w:noProof/>
                <w:color w:val="000000"/>
                <w:sz w:val="16"/>
              </w:rPr>
              <w:t>−24 033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hAnsi="Arial"/>
                <w:noProof/>
                <w:color w:val="000000"/>
                <w:sz w:val="16"/>
              </w:rPr>
              <w:t>Išmokos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hAnsi="Arial"/>
                <w:noProof/>
                <w:color w:val="000000"/>
                <w:sz w:val="16"/>
              </w:rPr>
              <w:t>95 434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hAnsi="Arial"/>
                <w:noProof/>
                <w:color w:val="000000"/>
                <w:sz w:val="16"/>
              </w:rPr>
              <w:t>Grąžintos sumos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hAnsi="Arial"/>
                <w:noProof/>
                <w:color w:val="000000"/>
                <w:sz w:val="16"/>
              </w:rPr>
              <w:t>−11 165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hAnsi="Arial"/>
                <w:noProof/>
                <w:color w:val="000000"/>
                <w:sz w:val="16"/>
              </w:rPr>
              <w:t>Užsienio valiutos kursų skirtumai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hAnsi="Arial"/>
                <w:noProof/>
                <w:color w:val="000000"/>
                <w:sz w:val="16"/>
              </w:rPr>
              <w:t>17 300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FFFFFF" w:fill="BFBFBF"/>
            <w:tcMar>
              <w:left w:w="40" w:type="dxa"/>
              <w:right w:w="40" w:type="dxa"/>
            </w:tcMar>
            <w:vAlign w:val="center"/>
          </w:tcPr>
          <w:p>
            <w:pPr>
              <w:pStyle w:val="Normal128"/>
              <w:rPr>
                <w:rFonts w:ascii="Arial" w:eastAsia="Arial" w:hAnsi="Arial" w:cs="Arial"/>
                <w:b/>
                <w:noProof/>
                <w:color w:val="000000"/>
                <w:sz w:val="16"/>
              </w:rPr>
            </w:pPr>
            <w:r>
              <w:rPr>
                <w:rFonts w:ascii="Arial" w:hAnsi="Arial"/>
                <w:b/>
                <w:noProof/>
                <w:color w:val="000000"/>
                <w:sz w:val="16"/>
              </w:rPr>
              <w:t>Likutis 2018 m. gruodžio 31 d.</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128"/>
              <w:jc w:val="right"/>
              <w:rPr>
                <w:rFonts w:ascii="Arial" w:eastAsia="Arial" w:hAnsi="Arial" w:cs="Arial"/>
                <w:b/>
                <w:noProof/>
                <w:color w:val="000000"/>
                <w:sz w:val="16"/>
              </w:rPr>
            </w:pPr>
            <w:r>
              <w:rPr>
                <w:rFonts w:ascii="Arial" w:hAnsi="Arial"/>
                <w:b/>
                <w:noProof/>
                <w:color w:val="000000"/>
                <w:sz w:val="16"/>
              </w:rPr>
              <w:t>550 617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8475" w:type="dxa"/>
            <w:tcBorders>
              <w:top w:val="nil"/>
              <w:left w:val="nil"/>
              <w:bottom w:val="nil"/>
              <w:right w:val="nil"/>
              <w:tl2br w:val="nil"/>
              <w:tr2bl w:val="nil"/>
            </w:tcBorders>
            <w:shd w:val="clear" w:color="auto" w:fill="auto"/>
            <w:noWrap/>
            <w:tcMar>
              <w:left w:w="0" w:type="dxa"/>
              <w:right w:w="0" w:type="dxa"/>
            </w:tcMar>
            <w:vAlign w:val="center"/>
          </w:tcPr>
          <w:p>
            <w:pPr>
              <w:pStyle w:val="Normal128"/>
              <w:rPr>
                <w:rFonts w:ascii="Arial" w:eastAsia="Calibri" w:hAnsi="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128"/>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8475" w:type="dxa"/>
            <w:tcBorders>
              <w:top w:val="nil"/>
              <w:left w:val="nil"/>
              <w:bottom w:val="nil"/>
              <w:right w:val="nil"/>
              <w:tl2br w:val="nil"/>
              <w:tr2bl w:val="nil"/>
            </w:tcBorders>
            <w:shd w:val="clear" w:color="auto" w:fill="auto"/>
            <w:noWrap/>
            <w:tcMar>
              <w:left w:w="40" w:type="dxa"/>
              <w:right w:w="40" w:type="dxa"/>
            </w:tcMar>
            <w:vAlign w:val="center"/>
          </w:tcPr>
          <w:p>
            <w:pPr>
              <w:pStyle w:val="Normal128"/>
              <w:jc w:val="both"/>
              <w:rPr>
                <w:rFonts w:ascii="Arial" w:eastAsia="Arial" w:hAnsi="Arial" w:cs="Arial"/>
                <w:noProof/>
                <w:color w:val="000000"/>
                <w:sz w:val="16"/>
              </w:rPr>
            </w:pPr>
            <w:r>
              <w:rPr>
                <w:rFonts w:ascii="Arial" w:hAnsi="Arial"/>
                <w:noProof/>
                <w:color w:val="000000"/>
                <w:sz w:val="16"/>
              </w:rPr>
              <w:t>2019 ir 2018 m. taikant Priemonę neatlikta perkėlimų iš tikrosios vertės hierarchijos 3 lygio ar į jį.</w:t>
            </w: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128"/>
              <w:rPr>
                <w:rFonts w:ascii="Calibri" w:eastAsia="Calibri" w:hAnsi="Calibri" w:cs="Calibri"/>
                <w:noProof/>
                <w:color w:val="000000"/>
                <w:sz w:val="22"/>
              </w:rPr>
            </w:pPr>
          </w:p>
        </w:tc>
      </w:tr>
    </w:tbl>
    <w:p>
      <w:pPr>
        <w:pBdr>
          <w:top w:val="nil"/>
          <w:left w:val="nil"/>
          <w:bottom w:val="nil"/>
          <w:right w:val="nil"/>
          <w:between w:val="nil"/>
          <w:bar w:val="nil"/>
        </w:pBdr>
        <w:rPr>
          <w:noProof/>
          <w:bdr w:val="nil"/>
        </w:rPr>
      </w:pPr>
    </w:p>
    <w:p>
      <w:pPr>
        <w:rPr>
          <w:rFonts w:ascii="Arial" w:hAnsi="Arial"/>
          <w:b/>
          <w:noProof/>
          <w:sz w:val="20"/>
          <w:bdr w:val="nil"/>
        </w:rPr>
      </w:pPr>
      <w:r>
        <w:rPr>
          <w:noProof/>
        </w:rPr>
        <w:br w:type="page"/>
      </w:r>
    </w:p>
    <w:p>
      <w:pPr>
        <w:pBdr>
          <w:top w:val="nil"/>
          <w:left w:val="nil"/>
          <w:bottom w:val="nil"/>
          <w:right w:val="nil"/>
          <w:between w:val="nil"/>
          <w:bar w:val="nil"/>
        </w:pBdr>
        <w:spacing w:after="120"/>
        <w:rPr>
          <w:noProof/>
          <w:bdr w:val="nil"/>
        </w:rPr>
      </w:pPr>
      <w:r>
        <w:rPr>
          <w:rFonts w:ascii="Arial" w:hAnsi="Arial"/>
          <w:b/>
          <w:noProof/>
          <w:sz w:val="20"/>
          <w:bdr w:val="nil"/>
        </w:rPr>
        <w:t>5.</w:t>
      </w:r>
      <w:r>
        <w:rPr>
          <w:rFonts w:ascii="Arial" w:hAnsi="Arial"/>
          <w:b/>
          <w:noProof/>
          <w:sz w:val="20"/>
          <w:bdr w:val="nil"/>
        </w:rPr>
        <w:tab/>
        <w:t>Pinigai ir pinigų ekvivalentai</w:t>
      </w:r>
    </w:p>
    <w:p>
      <w:pPr>
        <w:pBdr>
          <w:top w:val="nil"/>
          <w:left w:val="nil"/>
          <w:bottom w:val="nil"/>
          <w:right w:val="nil"/>
          <w:between w:val="nil"/>
          <w:bar w:val="nil"/>
        </w:pBdr>
        <w:spacing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Pinigus ir pinigų ekvivalentus sudaro:</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12"/>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9"/>
              <w:rPr>
                <w:rFonts w:ascii="Arial" w:eastAsia="Arial" w:hAnsi="Arial" w:cs="Arial"/>
                <w:b/>
                <w:noProof/>
                <w:color w:val="000000"/>
                <w:sz w:val="16"/>
              </w:rPr>
            </w:pPr>
            <w:r>
              <w:rPr>
                <w:rFonts w:ascii="Arial" w:hAnsi="Arial"/>
                <w:b/>
                <w:noProof/>
                <w:color w:val="000000"/>
                <w:sz w:val="16"/>
              </w:rPr>
              <w:t>tūkst.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9"/>
              <w:jc w:val="right"/>
              <w:rPr>
                <w:rFonts w:ascii="Arial" w:eastAsia="Arial" w:hAnsi="Arial" w:cs="Arial"/>
                <w:b/>
                <w:noProof/>
                <w:color w:val="000000"/>
                <w:sz w:val="16"/>
              </w:rPr>
            </w:pPr>
            <w:r>
              <w:rPr>
                <w:rFonts w:ascii="Arial" w:hAnsi="Arial"/>
                <w:b/>
                <w:noProof/>
                <w:color w:val="000000"/>
                <w:sz w:val="16"/>
              </w:rPr>
              <w:t>2019 12 31</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9"/>
              <w:jc w:val="right"/>
              <w:rPr>
                <w:rFonts w:ascii="Arial" w:eastAsia="Arial" w:hAnsi="Arial" w:cs="Arial"/>
                <w:b/>
                <w:noProof/>
                <w:color w:val="000000"/>
                <w:sz w:val="16"/>
              </w:rPr>
            </w:pPr>
            <w:r>
              <w:rPr>
                <w:rFonts w:ascii="Arial" w:hAnsi="Arial"/>
                <w:b/>
                <w:noProof/>
                <w:color w:val="000000"/>
                <w:sz w:val="16"/>
              </w:rPr>
              <w:t>2018 12 31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9"/>
              <w:rPr>
                <w:rFonts w:ascii="Arial" w:eastAsia="Arial" w:hAnsi="Arial" w:cs="Arial"/>
                <w:noProof/>
                <w:color w:val="000000"/>
                <w:sz w:val="16"/>
              </w:rPr>
            </w:pPr>
            <w:r>
              <w:rPr>
                <w:rFonts w:ascii="Arial" w:hAnsi="Arial"/>
                <w:noProof/>
                <w:color w:val="000000"/>
                <w:sz w:val="16"/>
              </w:rPr>
              <w:t>Grynieji pinigai kasoje</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9"/>
              <w:jc w:val="right"/>
              <w:rPr>
                <w:rFonts w:ascii="Arial" w:eastAsia="Arial" w:hAnsi="Arial" w:cs="Arial"/>
                <w:noProof/>
                <w:color w:val="000000"/>
                <w:sz w:val="16"/>
              </w:rPr>
            </w:pPr>
            <w:r>
              <w:rPr>
                <w:rFonts w:ascii="Arial" w:hAnsi="Arial"/>
                <w:noProof/>
                <w:color w:val="000000"/>
                <w:sz w:val="16"/>
              </w:rPr>
              <w:t>72 166</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9"/>
              <w:jc w:val="right"/>
              <w:rPr>
                <w:rFonts w:ascii="Arial" w:eastAsia="Arial" w:hAnsi="Arial" w:cs="Arial"/>
                <w:noProof/>
                <w:color w:val="000000"/>
                <w:sz w:val="16"/>
              </w:rPr>
            </w:pPr>
            <w:r>
              <w:rPr>
                <w:rFonts w:ascii="Arial" w:hAnsi="Arial"/>
                <w:noProof/>
                <w:color w:val="000000"/>
                <w:sz w:val="16"/>
              </w:rPr>
              <w:t>51 936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29"/>
              <w:rPr>
                <w:rFonts w:ascii="Arial" w:eastAsia="Arial" w:hAnsi="Arial" w:cs="Arial"/>
                <w:noProof/>
                <w:color w:val="000000"/>
                <w:sz w:val="16"/>
              </w:rPr>
            </w:pPr>
            <w:r>
              <w:rPr>
                <w:rFonts w:ascii="Arial" w:hAnsi="Arial"/>
                <w:noProof/>
                <w:color w:val="000000"/>
                <w:sz w:val="16"/>
              </w:rPr>
              <w:t>Terminuotieji indėliai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9"/>
              <w:jc w:val="right"/>
              <w:rPr>
                <w:rFonts w:ascii="Arial" w:eastAsia="Arial" w:hAnsi="Arial" w:cs="Arial"/>
                <w:noProof/>
                <w:color w:val="000000"/>
                <w:sz w:val="16"/>
              </w:rPr>
            </w:pPr>
            <w:r>
              <w:rPr>
                <w:rFonts w:ascii="Arial" w:hAnsi="Arial"/>
                <w:noProof/>
                <w:color w:val="000000"/>
                <w:sz w:val="16"/>
              </w:rPr>
              <w:t>622 991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9"/>
              <w:jc w:val="right"/>
              <w:rPr>
                <w:rFonts w:ascii="Arial" w:eastAsia="Arial" w:hAnsi="Arial" w:cs="Arial"/>
                <w:noProof/>
                <w:color w:val="000000"/>
                <w:sz w:val="16"/>
              </w:rPr>
            </w:pPr>
            <w:r>
              <w:rPr>
                <w:rFonts w:ascii="Arial" w:hAnsi="Arial"/>
                <w:noProof/>
                <w:color w:val="000000"/>
                <w:sz w:val="16"/>
              </w:rPr>
              <w:t>521 882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29"/>
              <w:rPr>
                <w:rFonts w:ascii="Arial" w:eastAsia="Arial" w:hAnsi="Arial" w:cs="Arial"/>
                <w:noProof/>
                <w:color w:val="000000"/>
                <w:sz w:val="16"/>
              </w:rPr>
            </w:pPr>
            <w:r>
              <w:rPr>
                <w:rFonts w:ascii="Arial" w:hAnsi="Arial"/>
                <w:noProof/>
                <w:color w:val="000000"/>
                <w:sz w:val="16"/>
              </w:rPr>
              <w:t>Komerciniai vekseliai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9"/>
              <w:jc w:val="right"/>
              <w:rPr>
                <w:rFonts w:ascii="Arial" w:eastAsia="Arial" w:hAnsi="Arial" w:cs="Arial"/>
                <w:noProof/>
                <w:color w:val="000000"/>
                <w:sz w:val="16"/>
              </w:rPr>
            </w:pPr>
            <w:r>
              <w:rPr>
                <w:rFonts w:ascii="Arial" w:hAnsi="Arial"/>
                <w:noProof/>
                <w:color w:val="000000"/>
                <w:sz w:val="16"/>
              </w:rPr>
              <w:t>142 823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9"/>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BFBFBF"/>
            <w:tcMar>
              <w:left w:w="40" w:type="dxa"/>
              <w:right w:w="40" w:type="dxa"/>
            </w:tcMar>
            <w:vAlign w:val="center"/>
          </w:tcPr>
          <w:p>
            <w:pPr>
              <w:pStyle w:val="Normal129"/>
              <w:rPr>
                <w:rFonts w:ascii="Arial" w:eastAsia="Arial" w:hAnsi="Arial" w:cs="Arial"/>
                <w:b/>
                <w:noProof/>
                <w:color w:val="000000"/>
                <w:sz w:val="16"/>
              </w:rPr>
            </w:pPr>
            <w:r>
              <w:rPr>
                <w:rFonts w:ascii="Arial" w:hAnsi="Arial"/>
                <w:b/>
                <w:noProof/>
                <w:color w:val="000000"/>
                <w:sz w:val="16"/>
              </w:rPr>
              <w:t>Pinigai ir pinigų ekvivalentai pinigų srautų ataskaitoje</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129"/>
              <w:jc w:val="right"/>
              <w:rPr>
                <w:rFonts w:ascii="Arial" w:eastAsia="Arial" w:hAnsi="Arial" w:cs="Arial"/>
                <w:b/>
                <w:noProof/>
                <w:color w:val="000000"/>
                <w:sz w:val="16"/>
              </w:rPr>
            </w:pPr>
            <w:r>
              <w:rPr>
                <w:rFonts w:ascii="Arial" w:hAnsi="Arial"/>
                <w:b/>
                <w:noProof/>
                <w:color w:val="000000"/>
                <w:sz w:val="16"/>
              </w:rPr>
              <w:t>837 980</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129"/>
              <w:jc w:val="right"/>
              <w:rPr>
                <w:rFonts w:ascii="Arial" w:eastAsia="Arial" w:hAnsi="Arial" w:cs="Arial"/>
                <w:b/>
                <w:noProof/>
                <w:color w:val="000000"/>
                <w:sz w:val="16"/>
              </w:rPr>
            </w:pPr>
            <w:r>
              <w:rPr>
                <w:rFonts w:ascii="Arial" w:hAnsi="Arial"/>
                <w:b/>
                <w:noProof/>
                <w:color w:val="000000"/>
                <w:sz w:val="16"/>
              </w:rPr>
              <w:t>573 818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29"/>
              <w:rPr>
                <w:rFonts w:ascii="Arial" w:eastAsia="Arial" w:hAnsi="Arial" w:cs="Arial"/>
                <w:noProof/>
                <w:color w:val="000000"/>
                <w:sz w:val="16"/>
              </w:rPr>
            </w:pPr>
            <w:r>
              <w:rPr>
                <w:rFonts w:ascii="Arial" w:hAnsi="Arial"/>
                <w:noProof/>
                <w:color w:val="000000"/>
                <w:sz w:val="16"/>
              </w:rPr>
              <w:t xml:space="preserve">Sukauptos palūkanos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9"/>
              <w:jc w:val="right"/>
              <w:rPr>
                <w:rFonts w:ascii="Arial" w:eastAsia="Arial" w:hAnsi="Arial" w:cs="Arial"/>
                <w:noProof/>
                <w:color w:val="000000"/>
                <w:sz w:val="16"/>
              </w:rPr>
            </w:pPr>
            <w:r>
              <w:rPr>
                <w:rFonts w:ascii="Arial" w:hAnsi="Arial"/>
                <w:noProof/>
                <w:color w:val="000000"/>
                <w:sz w:val="16"/>
              </w:rPr>
              <w:t>−203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9"/>
              <w:jc w:val="right"/>
              <w:rPr>
                <w:rFonts w:ascii="Arial" w:eastAsia="Arial" w:hAnsi="Arial" w:cs="Arial"/>
                <w:noProof/>
                <w:color w:val="000000"/>
                <w:sz w:val="16"/>
              </w:rPr>
            </w:pPr>
            <w:r>
              <w:rPr>
                <w:rFonts w:ascii="Arial" w:hAnsi="Arial"/>
                <w:noProof/>
                <w:color w:val="000000"/>
                <w:sz w:val="16"/>
              </w:rPr>
              <w:t>−110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29"/>
              <w:rPr>
                <w:rFonts w:ascii="Arial" w:eastAsia="Arial" w:hAnsi="Arial" w:cs="Arial"/>
                <w:b/>
                <w:noProof/>
                <w:color w:val="000000"/>
                <w:sz w:val="16"/>
              </w:rPr>
            </w:pPr>
            <w:r>
              <w:rPr>
                <w:rFonts w:ascii="Arial" w:hAnsi="Arial"/>
                <w:b/>
                <w:noProof/>
                <w:color w:val="000000"/>
                <w:sz w:val="16"/>
              </w:rPr>
              <w:t>Pinigai ir pinigų ekvivalentai finansinės būklės ataskaitoje</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29"/>
              <w:jc w:val="right"/>
              <w:rPr>
                <w:rFonts w:ascii="Arial" w:eastAsia="Arial" w:hAnsi="Arial" w:cs="Arial"/>
                <w:b/>
                <w:noProof/>
                <w:color w:val="000000"/>
                <w:sz w:val="16"/>
              </w:rPr>
            </w:pPr>
            <w:r>
              <w:rPr>
                <w:rFonts w:ascii="Arial" w:hAnsi="Arial"/>
                <w:b/>
                <w:noProof/>
                <w:color w:val="000000"/>
                <w:sz w:val="16"/>
              </w:rPr>
              <w:t>837 777</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29"/>
              <w:jc w:val="right"/>
              <w:rPr>
                <w:rFonts w:ascii="Arial" w:eastAsia="Arial" w:hAnsi="Arial" w:cs="Arial"/>
                <w:b/>
                <w:noProof/>
                <w:color w:val="000000"/>
                <w:sz w:val="16"/>
              </w:rPr>
            </w:pPr>
            <w:r>
              <w:rPr>
                <w:rFonts w:ascii="Arial" w:hAnsi="Arial"/>
                <w:b/>
                <w:noProof/>
                <w:color w:val="000000"/>
                <w:sz w:val="16"/>
              </w:rPr>
              <w:t>573 708</w:t>
            </w:r>
          </w:p>
        </w:tc>
      </w:tr>
    </w:tbl>
    <w:p>
      <w:pPr>
        <w:pStyle w:val="Notes"/>
        <w:pBdr>
          <w:top w:val="nil"/>
          <w:left w:val="nil"/>
          <w:bottom w:val="nil"/>
          <w:right w:val="nil"/>
          <w:between w:val="nil"/>
          <w:bar w:val="nil"/>
        </w:pBdr>
        <w:spacing w:before="60" w:after="60"/>
        <w:ind w:left="431" w:hanging="431"/>
        <w:rPr>
          <w:noProof/>
          <w:sz w:val="16"/>
          <w:szCs w:val="16"/>
          <w:bdr w:val="nil"/>
        </w:rPr>
      </w:pPr>
    </w:p>
    <w:p>
      <w:pPr>
        <w:pStyle w:val="Notes"/>
        <w:pBdr>
          <w:top w:val="nil"/>
          <w:left w:val="nil"/>
          <w:bottom w:val="nil"/>
          <w:right w:val="nil"/>
          <w:between w:val="nil"/>
          <w:bar w:val="nil"/>
        </w:pBdr>
        <w:ind w:left="431" w:hanging="431"/>
        <w:rPr>
          <w:noProof/>
          <w:bdr w:val="nil"/>
        </w:rPr>
      </w:pPr>
      <w:r>
        <w:rPr>
          <w:noProof/>
          <w:bdr w:val="nil"/>
        </w:rPr>
        <w:t>6.</w:t>
      </w:r>
      <w:r>
        <w:rPr>
          <w:noProof/>
          <w:bdr w:val="nil"/>
        </w:rPr>
        <w:tab/>
        <w:t xml:space="preserve">Išvestinės finansinės priemonės </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Pagrindiniai išvestinių finansinių priemonių komponentai, priskiriami skirtiems parduoti:</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13"/>
        <w:tblW w:w="9975" w:type="dxa"/>
        <w:tblLayout w:type="fixed"/>
        <w:tblLook w:val="0600" w:firstRow="0" w:lastRow="0" w:firstColumn="0" w:lastColumn="0" w:noHBand="1" w:noVBand="1"/>
      </w:tblPr>
      <w:tblGrid>
        <w:gridCol w:w="5475"/>
        <w:gridCol w:w="1500"/>
        <w:gridCol w:w="1500"/>
        <w:gridCol w:w="1500"/>
      </w:tblGrid>
      <w:tr>
        <w:trPr>
          <w:trHeight w:val="250"/>
        </w:trPr>
        <w:tc>
          <w:tcPr>
            <w:tcW w:w="5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0"/>
              <w:rPr>
                <w:rFonts w:ascii="Arial" w:eastAsia="Arial" w:hAnsi="Arial" w:cs="Arial"/>
                <w:b/>
                <w:noProof/>
                <w:color w:val="000000"/>
                <w:sz w:val="16"/>
              </w:rPr>
            </w:pPr>
            <w:r>
              <w:rPr>
                <w:rFonts w:ascii="Arial" w:hAnsi="Arial"/>
                <w:b/>
                <w:noProof/>
                <w:color w:val="000000"/>
                <w:sz w:val="16"/>
              </w:rPr>
              <w:t>2019 m. gruodžio 31 d.</w:t>
            </w:r>
          </w:p>
        </w:tc>
        <w:tc>
          <w:tcPr>
            <w:tcW w:w="3000"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0"/>
              <w:jc w:val="center"/>
              <w:rPr>
                <w:rFonts w:ascii="Arial" w:eastAsia="Arial" w:hAnsi="Arial" w:cs="Arial"/>
                <w:b/>
                <w:noProof/>
                <w:color w:val="000000"/>
                <w:sz w:val="16"/>
              </w:rPr>
            </w:pPr>
            <w:r>
              <w:rPr>
                <w:rFonts w:ascii="Arial" w:hAnsi="Arial"/>
                <w:b/>
                <w:noProof/>
                <w:color w:val="000000"/>
                <w:sz w:val="16"/>
              </w:rPr>
              <w:t>Tikroji vertė</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0"/>
              <w:jc w:val="center"/>
              <w:rPr>
                <w:rFonts w:ascii="Arial" w:eastAsia="Arial" w:hAnsi="Arial" w:cs="Arial"/>
                <w:b/>
                <w:noProof/>
                <w:color w:val="000000"/>
                <w:sz w:val="16"/>
              </w:rPr>
            </w:pPr>
            <w:r>
              <w:rPr>
                <w:rFonts w:ascii="Arial" w:hAnsi="Arial"/>
                <w:b/>
                <w:noProof/>
                <w:color w:val="000000"/>
                <w:sz w:val="16"/>
              </w:rPr>
              <w:t>Tariamoji suma</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single" w:sz="4" w:space="0" w:color="000000"/>
              <w:right w:val="nil"/>
              <w:tl2br w:val="nil"/>
              <w:tr2bl w:val="nil"/>
            </w:tcBorders>
            <w:shd w:val="clear" w:color="auto" w:fill="auto"/>
            <w:noWrap/>
            <w:tcMar>
              <w:left w:w="40" w:type="dxa"/>
              <w:right w:w="40" w:type="dxa"/>
            </w:tcMar>
            <w:vAlign w:val="bottom"/>
          </w:tcPr>
          <w:p>
            <w:pPr>
              <w:pStyle w:val="Normal130"/>
              <w:rPr>
                <w:rFonts w:ascii="Arial" w:eastAsia="Arial" w:hAnsi="Arial" w:cs="Arial"/>
                <w:b/>
                <w:noProof/>
                <w:color w:val="000000"/>
                <w:sz w:val="16"/>
              </w:rPr>
            </w:pPr>
            <w:r>
              <w:rPr>
                <w:rFonts w:ascii="Arial" w:hAnsi="Arial"/>
                <w:b/>
                <w:noProof/>
                <w:color w:val="000000"/>
                <w:sz w:val="16"/>
              </w:rPr>
              <w:t>tūkst.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0"/>
              <w:jc w:val="right"/>
              <w:rPr>
                <w:rFonts w:ascii="Arial" w:eastAsia="Arial" w:hAnsi="Arial" w:cs="Arial"/>
                <w:b/>
                <w:noProof/>
                <w:color w:val="000000"/>
                <w:sz w:val="16"/>
              </w:rPr>
            </w:pPr>
            <w:r>
              <w:rPr>
                <w:rFonts w:ascii="Arial" w:hAnsi="Arial"/>
                <w:b/>
                <w:noProof/>
                <w:color w:val="000000"/>
                <w:sz w:val="16"/>
              </w:rPr>
              <w:t>Turtas</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0"/>
              <w:jc w:val="right"/>
              <w:rPr>
                <w:rFonts w:ascii="Arial" w:eastAsia="Arial" w:hAnsi="Arial" w:cs="Arial"/>
                <w:b/>
                <w:noProof/>
                <w:color w:val="000000"/>
                <w:sz w:val="16"/>
              </w:rPr>
            </w:pPr>
            <w:r>
              <w:rPr>
                <w:rFonts w:ascii="Arial" w:hAnsi="Arial"/>
                <w:b/>
                <w:noProof/>
                <w:color w:val="000000"/>
                <w:sz w:val="16"/>
              </w:rPr>
              <w:t>Įsipareigojimai</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0"/>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0"/>
              <w:rPr>
                <w:rFonts w:ascii="Arial" w:eastAsia="Arial" w:hAnsi="Arial" w:cs="Arial"/>
                <w:noProof/>
                <w:color w:val="000000"/>
                <w:sz w:val="16"/>
              </w:rPr>
            </w:pPr>
            <w:r>
              <w:rPr>
                <w:rFonts w:ascii="Arial" w:hAnsi="Arial"/>
                <w:noProof/>
                <w:color w:val="000000"/>
                <w:sz w:val="16"/>
              </w:rPr>
              <w:t>Skirtingų valiutų apsikeitimo sandoriai</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130"/>
              <w:rPr>
                <w:rFonts w:ascii="Arial" w:eastAsia="Arial" w:hAnsi="Arial" w:cs="Arial"/>
                <w:noProof/>
                <w:color w:val="000000"/>
                <w:sz w:val="16"/>
              </w:rPr>
            </w:pPr>
            <w:r>
              <w:rPr>
                <w:rFonts w:ascii="Arial" w:hAnsi="Arial"/>
                <w:noProof/>
                <w:color w:val="000000"/>
                <w:sz w:val="16"/>
              </w:rPr>
              <w:t>Palūkanų normų apsikeitimo sandoriai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−191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24 181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130"/>
              <w:rPr>
                <w:rFonts w:ascii="Arial" w:eastAsia="Arial" w:hAnsi="Arial" w:cs="Arial"/>
                <w:noProof/>
                <w:color w:val="000000"/>
                <w:sz w:val="16"/>
              </w:rPr>
            </w:pPr>
            <w:r>
              <w:rPr>
                <w:rFonts w:ascii="Arial" w:hAnsi="Arial"/>
                <w:noProof/>
                <w:color w:val="000000"/>
                <w:sz w:val="16"/>
              </w:rPr>
              <w:t>Valiutų apsikeitimo sandoriai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14 085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1 545 000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FFFFFF" w:fill="C0C0C0"/>
            <w:tcMar>
              <w:left w:w="40" w:type="dxa"/>
              <w:right w:w="40" w:type="dxa"/>
            </w:tcMar>
            <w:vAlign w:val="center"/>
          </w:tcPr>
          <w:p>
            <w:pPr>
              <w:pStyle w:val="Normal130"/>
              <w:rPr>
                <w:rFonts w:ascii="Arial" w:eastAsia="Arial" w:hAnsi="Arial" w:cs="Arial"/>
                <w:b/>
                <w:noProof/>
                <w:color w:val="000000"/>
                <w:sz w:val="16"/>
              </w:rPr>
            </w:pPr>
            <w:r>
              <w:rPr>
                <w:rFonts w:ascii="Arial" w:hAnsi="Arial"/>
                <w:b/>
                <w:noProof/>
                <w:color w:val="000000"/>
                <w:sz w:val="16"/>
              </w:rPr>
              <w:t>Iš viso išvestinių finansinių priemonių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30"/>
              <w:jc w:val="right"/>
              <w:rPr>
                <w:rFonts w:ascii="Arial" w:eastAsia="Arial" w:hAnsi="Arial" w:cs="Arial"/>
                <w:b/>
                <w:noProof/>
                <w:color w:val="000000"/>
                <w:sz w:val="16"/>
              </w:rPr>
            </w:pPr>
            <w:r>
              <w:rPr>
                <w:rFonts w:ascii="Arial" w:hAnsi="Arial"/>
                <w:b/>
                <w:noProof/>
                <w:color w:val="000000"/>
                <w:sz w:val="16"/>
              </w:rPr>
              <w:t>14 184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30"/>
              <w:jc w:val="right"/>
              <w:rPr>
                <w:rFonts w:ascii="Arial" w:eastAsia="Arial" w:hAnsi="Arial" w:cs="Arial"/>
                <w:b/>
                <w:noProof/>
                <w:color w:val="000000"/>
                <w:sz w:val="16"/>
              </w:rPr>
            </w:pPr>
            <w:r>
              <w:rPr>
                <w:rFonts w:ascii="Arial" w:hAnsi="Arial"/>
                <w:b/>
                <w:noProof/>
                <w:color w:val="000000"/>
                <w:sz w:val="16"/>
              </w:rPr>
              <w:t>−191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30"/>
              <w:jc w:val="right"/>
              <w:rPr>
                <w:rFonts w:ascii="Arial" w:eastAsia="Arial" w:hAnsi="Arial" w:cs="Arial"/>
                <w:b/>
                <w:noProof/>
                <w:color w:val="000000"/>
                <w:sz w:val="16"/>
              </w:rPr>
            </w:pPr>
            <w:r>
              <w:rPr>
                <w:rFonts w:ascii="Arial" w:hAnsi="Arial"/>
                <w:b/>
                <w:noProof/>
                <w:color w:val="000000"/>
                <w:sz w:val="16"/>
              </w:rPr>
              <w:t>1 569 181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547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0"/>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0"/>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0"/>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130"/>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0"/>
              <w:rPr>
                <w:rFonts w:ascii="Arial" w:eastAsia="Arial" w:hAnsi="Arial" w:cs="Arial"/>
                <w:b/>
                <w:noProof/>
                <w:color w:val="000000"/>
                <w:sz w:val="16"/>
              </w:rPr>
            </w:pPr>
            <w:r>
              <w:rPr>
                <w:rFonts w:ascii="Arial" w:hAnsi="Arial"/>
                <w:b/>
                <w:noProof/>
                <w:color w:val="000000"/>
                <w:sz w:val="16"/>
              </w:rPr>
              <w:t>2018 m. gruodžio 31 d.</w:t>
            </w:r>
          </w:p>
        </w:tc>
        <w:tc>
          <w:tcPr>
            <w:tcW w:w="3000"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0"/>
              <w:jc w:val="center"/>
              <w:rPr>
                <w:rFonts w:ascii="Arial" w:eastAsia="Arial" w:hAnsi="Arial" w:cs="Arial"/>
                <w:b/>
                <w:noProof/>
                <w:color w:val="000000"/>
                <w:sz w:val="16"/>
              </w:rPr>
            </w:pPr>
            <w:r>
              <w:rPr>
                <w:rFonts w:ascii="Arial" w:hAnsi="Arial"/>
                <w:b/>
                <w:noProof/>
                <w:color w:val="000000"/>
                <w:sz w:val="16"/>
              </w:rPr>
              <w:t>Tikroji vertė</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0"/>
              <w:jc w:val="center"/>
              <w:rPr>
                <w:rFonts w:ascii="Arial" w:eastAsia="Arial" w:hAnsi="Arial" w:cs="Arial"/>
                <w:b/>
                <w:noProof/>
                <w:color w:val="000000"/>
                <w:sz w:val="16"/>
              </w:rPr>
            </w:pPr>
            <w:r>
              <w:rPr>
                <w:rFonts w:ascii="Arial" w:hAnsi="Arial"/>
                <w:b/>
                <w:noProof/>
                <w:color w:val="000000"/>
                <w:sz w:val="16"/>
              </w:rPr>
              <w:t>Tariamoji suma</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single" w:sz="4" w:space="0" w:color="000000"/>
              <w:right w:val="nil"/>
              <w:tl2br w:val="nil"/>
              <w:tr2bl w:val="nil"/>
            </w:tcBorders>
            <w:shd w:val="clear" w:color="auto" w:fill="auto"/>
            <w:noWrap/>
            <w:tcMar>
              <w:left w:w="40" w:type="dxa"/>
              <w:right w:w="40" w:type="dxa"/>
            </w:tcMar>
            <w:vAlign w:val="bottom"/>
          </w:tcPr>
          <w:p>
            <w:pPr>
              <w:pStyle w:val="Normal130"/>
              <w:rPr>
                <w:rFonts w:ascii="Arial" w:eastAsia="Arial" w:hAnsi="Arial" w:cs="Arial"/>
                <w:b/>
                <w:noProof/>
                <w:color w:val="000000"/>
                <w:sz w:val="16"/>
              </w:rPr>
            </w:pPr>
            <w:r>
              <w:rPr>
                <w:rFonts w:ascii="Arial" w:hAnsi="Arial"/>
                <w:b/>
                <w:noProof/>
                <w:color w:val="000000"/>
                <w:sz w:val="16"/>
              </w:rPr>
              <w:t>tūkst.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0"/>
              <w:jc w:val="right"/>
              <w:rPr>
                <w:rFonts w:ascii="Arial" w:eastAsia="Arial" w:hAnsi="Arial" w:cs="Arial"/>
                <w:b/>
                <w:noProof/>
                <w:color w:val="000000"/>
                <w:sz w:val="16"/>
              </w:rPr>
            </w:pPr>
            <w:r>
              <w:rPr>
                <w:rFonts w:ascii="Arial" w:hAnsi="Arial"/>
                <w:b/>
                <w:noProof/>
                <w:color w:val="000000"/>
                <w:sz w:val="16"/>
              </w:rPr>
              <w:t>Turtas</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0"/>
              <w:jc w:val="right"/>
              <w:rPr>
                <w:rFonts w:ascii="Arial" w:eastAsia="Arial" w:hAnsi="Arial" w:cs="Arial"/>
                <w:b/>
                <w:noProof/>
                <w:color w:val="000000"/>
                <w:sz w:val="16"/>
              </w:rPr>
            </w:pPr>
            <w:r>
              <w:rPr>
                <w:rFonts w:ascii="Arial" w:hAnsi="Arial"/>
                <w:b/>
                <w:noProof/>
                <w:color w:val="000000"/>
                <w:sz w:val="16"/>
              </w:rPr>
              <w:t>Įsipareigojimai</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0"/>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130"/>
              <w:rPr>
                <w:rFonts w:ascii="Arial" w:eastAsia="Arial" w:hAnsi="Arial" w:cs="Arial"/>
                <w:noProof/>
                <w:color w:val="000000"/>
                <w:sz w:val="16"/>
              </w:rPr>
            </w:pPr>
            <w:r>
              <w:rPr>
                <w:rFonts w:ascii="Arial" w:hAnsi="Arial"/>
                <w:noProof/>
                <w:color w:val="000000"/>
                <w:sz w:val="16"/>
              </w:rPr>
              <w:t>Skirtingų valiutų palūkanų normų apsikeitimo sandoriai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340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−665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5 245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130"/>
              <w:rPr>
                <w:rFonts w:ascii="Arial" w:eastAsia="Arial" w:hAnsi="Arial" w:cs="Arial"/>
                <w:noProof/>
                <w:color w:val="000000"/>
                <w:sz w:val="16"/>
              </w:rPr>
            </w:pPr>
            <w:r>
              <w:rPr>
                <w:rFonts w:ascii="Arial" w:hAnsi="Arial"/>
                <w:noProof/>
                <w:color w:val="000000"/>
                <w:sz w:val="16"/>
              </w:rPr>
              <w:t>Palūkanų normų apsikeitimo sandoriai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654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28 470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130"/>
              <w:rPr>
                <w:rFonts w:ascii="Arial" w:eastAsia="Arial" w:hAnsi="Arial" w:cs="Arial"/>
                <w:noProof/>
                <w:color w:val="000000"/>
                <w:sz w:val="16"/>
              </w:rPr>
            </w:pPr>
            <w:r>
              <w:rPr>
                <w:rFonts w:ascii="Arial" w:hAnsi="Arial"/>
                <w:noProof/>
                <w:color w:val="000000"/>
                <w:sz w:val="16"/>
              </w:rPr>
              <w:t>Valiutų apsikeitimo sandoriai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8 879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−7 828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1 460 608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FFFFFF" w:fill="C0C0C0"/>
            <w:tcMar>
              <w:left w:w="40" w:type="dxa"/>
              <w:right w:w="40" w:type="dxa"/>
            </w:tcMar>
            <w:vAlign w:val="center"/>
          </w:tcPr>
          <w:p>
            <w:pPr>
              <w:pStyle w:val="Normal130"/>
              <w:rPr>
                <w:rFonts w:ascii="Arial" w:eastAsia="Arial" w:hAnsi="Arial" w:cs="Arial"/>
                <w:b/>
                <w:noProof/>
                <w:color w:val="000000"/>
                <w:sz w:val="16"/>
              </w:rPr>
            </w:pPr>
            <w:r>
              <w:rPr>
                <w:rFonts w:ascii="Arial" w:hAnsi="Arial"/>
                <w:b/>
                <w:noProof/>
                <w:color w:val="000000"/>
                <w:sz w:val="16"/>
              </w:rPr>
              <w:t>Iš viso išvestinių finansinių priemonių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30"/>
              <w:jc w:val="right"/>
              <w:rPr>
                <w:rFonts w:ascii="Arial" w:eastAsia="Arial" w:hAnsi="Arial" w:cs="Arial"/>
                <w:b/>
                <w:noProof/>
                <w:color w:val="000000"/>
                <w:sz w:val="16"/>
              </w:rPr>
            </w:pPr>
            <w:r>
              <w:rPr>
                <w:rFonts w:ascii="Arial" w:hAnsi="Arial"/>
                <w:b/>
                <w:noProof/>
                <w:color w:val="000000"/>
                <w:sz w:val="16"/>
              </w:rPr>
              <w:t>9 873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30"/>
              <w:jc w:val="right"/>
              <w:rPr>
                <w:rFonts w:ascii="Arial" w:eastAsia="Arial" w:hAnsi="Arial" w:cs="Arial"/>
                <w:b/>
                <w:noProof/>
                <w:color w:val="000000"/>
                <w:sz w:val="16"/>
              </w:rPr>
            </w:pPr>
            <w:r>
              <w:rPr>
                <w:rFonts w:ascii="Arial" w:hAnsi="Arial"/>
                <w:b/>
                <w:noProof/>
                <w:color w:val="000000"/>
                <w:sz w:val="16"/>
              </w:rPr>
              <w:t>−8 493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30"/>
              <w:jc w:val="right"/>
              <w:rPr>
                <w:rFonts w:ascii="Arial" w:eastAsia="Arial" w:hAnsi="Arial" w:cs="Arial"/>
                <w:b/>
                <w:noProof/>
                <w:color w:val="000000"/>
                <w:sz w:val="16"/>
              </w:rPr>
            </w:pPr>
            <w:r>
              <w:rPr>
                <w:rFonts w:ascii="Arial" w:hAnsi="Arial"/>
                <w:b/>
                <w:noProof/>
                <w:color w:val="000000"/>
                <w:sz w:val="16"/>
              </w:rPr>
              <w:t>1 494 323</w:t>
            </w:r>
          </w:p>
        </w:tc>
      </w:tr>
    </w:tbl>
    <w:p>
      <w:pPr>
        <w:pStyle w:val="Notes32"/>
        <w:pageBreakBefore/>
        <w:ind w:left="431" w:hanging="431"/>
        <w:rPr>
          <w:noProof/>
        </w:rPr>
      </w:pPr>
      <w:r>
        <w:rPr>
          <w:noProof/>
        </w:rPr>
        <w:t>7.</w:t>
      </w:r>
      <w:r>
        <w:rPr>
          <w:noProof/>
        </w:rPr>
        <w:tab/>
        <w:t>Paskolos ir išankstiniai mokėjimai</w:t>
      </w:r>
    </w:p>
    <w:p>
      <w:pPr>
        <w:pStyle w:val="ListParagraph6"/>
        <w:numPr>
          <w:ilvl w:val="0"/>
          <w:numId w:val="110"/>
        </w:numPr>
        <w:suppressAutoHyphens w:val="0"/>
        <w:spacing w:before="60" w:after="60"/>
        <w:ind w:left="360"/>
        <w:jc w:val="both"/>
        <w:rPr>
          <w:rFonts w:ascii="Arial" w:hAnsi="Arial"/>
          <w:noProof/>
          <w:sz w:val="16"/>
          <w:szCs w:val="16"/>
          <w:bdr w:val="none" w:sz="0" w:space="0" w:color="auto" w:frame="1"/>
        </w:rPr>
      </w:pPr>
      <w:r>
        <w:rPr>
          <w:rFonts w:ascii="Arial" w:hAnsi="Arial"/>
          <w:b/>
          <w:noProof/>
          <w:sz w:val="20"/>
          <w:bdr w:val="none" w:sz="0" w:space="0" w:color="auto" w:frame="1"/>
        </w:rPr>
        <w:t>Paskolos ir išankstiniai mokėjimai</w:t>
      </w:r>
    </w:p>
    <w:p>
      <w:pPr>
        <w:pStyle w:val="ListParagraph6"/>
        <w:suppressAutoHyphens w:val="0"/>
        <w:spacing w:before="60" w:after="60"/>
        <w:ind w:left="360"/>
        <w:jc w:val="both"/>
        <w:rPr>
          <w:rFonts w:ascii="Arial" w:hAnsi="Arial"/>
          <w:noProof/>
          <w:sz w:val="16"/>
          <w:szCs w:val="16"/>
          <w:bdr w:val="none" w:sz="0" w:space="0" w:color="auto" w:frame="1"/>
        </w:rPr>
      </w:pPr>
    </w:p>
    <w:p>
      <w:pPr>
        <w:pStyle w:val="Normal690"/>
        <w:suppressAutoHyphens w:val="0"/>
        <w:spacing w:before="60" w:after="60"/>
        <w:jc w:val="both"/>
        <w:rPr>
          <w:rFonts w:ascii="Arial" w:hAnsi="Arial"/>
          <w:noProof/>
          <w:sz w:val="16"/>
          <w:szCs w:val="16"/>
        </w:rPr>
      </w:pPr>
      <w:r>
        <w:rPr>
          <w:rFonts w:ascii="Arial" w:hAnsi="Arial"/>
          <w:noProof/>
          <w:sz w:val="16"/>
          <w:szCs w:val="16"/>
          <w:bdr w:val="none" w:sz="0" w:space="0" w:color="auto" w:frame="1"/>
        </w:rPr>
        <w:t xml:space="preserve">Toliau pateikiamoje lentelėje parodoma, kaip suderinamas paskolų ir išankstinių mokėjimų laikotarpio pradžios ir pabaigos balansas su tikėtinų kredito nuostolių pagal 9-ąjį TFAS vertės sumažėjimo modeliu. </w:t>
      </w:r>
    </w:p>
    <w:p>
      <w:pPr>
        <w:pStyle w:val="Normal131"/>
        <w:suppressAutoHyphens w:val="0"/>
        <w:spacing w:before="60" w:after="60"/>
        <w:jc w:val="both"/>
        <w:rPr>
          <w:rFonts w:ascii="Arial" w:hAnsi="Arial"/>
          <w:noProof/>
          <w:sz w:val="16"/>
          <w:szCs w:val="16"/>
        </w:rPr>
      </w:pPr>
      <w:r>
        <w:rPr>
          <w:noProof/>
        </w:rPr>
        <w:t xml:space="preserve"> </w:t>
      </w:r>
    </w:p>
    <w:tbl>
      <w:tblPr>
        <w:tblStyle w:val="CDMRange213"/>
        <w:tblW w:w="5000" w:type="pct"/>
        <w:tblLayout w:type="fixed"/>
        <w:tblLook w:val="0600" w:firstRow="0" w:lastRow="0" w:firstColumn="0" w:lastColumn="0" w:noHBand="1" w:noVBand="1"/>
      </w:tblPr>
      <w:tblGrid>
        <w:gridCol w:w="4677"/>
        <w:gridCol w:w="1009"/>
        <w:gridCol w:w="1104"/>
        <w:gridCol w:w="1155"/>
        <w:gridCol w:w="884"/>
        <w:gridCol w:w="890"/>
      </w:tblGrid>
      <w:tr>
        <w:trPr>
          <w:trHeight w:val="420"/>
        </w:trPr>
        <w:tc>
          <w:tcPr>
            <w:tcW w:w="240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32"/>
              <w:rPr>
                <w:rFonts w:ascii="Arial" w:eastAsia="Arial" w:hAnsi="Arial" w:cs="Arial"/>
                <w:b/>
                <w:noProof/>
                <w:color w:val="000000"/>
                <w:sz w:val="12"/>
                <w:szCs w:val="12"/>
              </w:rPr>
            </w:pPr>
            <w:r>
              <w:rPr>
                <w:rFonts w:ascii="Arial" w:hAnsi="Arial"/>
                <w:b/>
                <w:noProof/>
                <w:color w:val="000000"/>
                <w:sz w:val="12"/>
                <w:szCs w:val="12"/>
              </w:rPr>
              <w:t>tūkst. EUR</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2"/>
                <w:szCs w:val="12"/>
              </w:rPr>
            </w:pPr>
            <w:r>
              <w:rPr>
                <w:rFonts w:ascii="Arial" w:hAnsi="Arial"/>
                <w:b/>
                <w:noProof/>
                <w:color w:val="000000"/>
                <w:sz w:val="12"/>
                <w:szCs w:val="12"/>
              </w:rPr>
              <w:t>Bendrosios paskolos*</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2"/>
                <w:szCs w:val="12"/>
              </w:rPr>
            </w:pPr>
            <w:r>
              <w:rPr>
                <w:rFonts w:ascii="Arial" w:hAnsi="Arial"/>
                <w:b/>
                <w:noProof/>
                <w:color w:val="000000"/>
                <w:sz w:val="12"/>
                <w:szCs w:val="12"/>
              </w:rPr>
              <w:t>Pirmaeilės paskolos</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2"/>
                <w:szCs w:val="12"/>
              </w:rPr>
            </w:pPr>
            <w:r>
              <w:rPr>
                <w:rFonts w:ascii="Arial" w:hAnsi="Arial"/>
                <w:b/>
                <w:noProof/>
                <w:color w:val="000000"/>
                <w:sz w:val="12"/>
                <w:szCs w:val="12"/>
              </w:rPr>
              <w:t>Subordinuotosios paskolos</w:t>
            </w:r>
          </w:p>
        </w:tc>
        <w:tc>
          <w:tcPr>
            <w:tcW w:w="45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2"/>
                <w:szCs w:val="12"/>
              </w:rPr>
            </w:pPr>
            <w:r>
              <w:rPr>
                <w:rFonts w:ascii="Arial" w:hAnsi="Arial"/>
                <w:b/>
                <w:noProof/>
                <w:color w:val="000000"/>
                <w:sz w:val="12"/>
                <w:szCs w:val="12"/>
              </w:rPr>
              <w:t>Nusipirktos arba suteiktos dėl kredito rizikos sumažėjusios vertės paskolos</w:t>
            </w:r>
          </w:p>
        </w:tc>
        <w:tc>
          <w:tcPr>
            <w:tcW w:w="45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2"/>
                <w:szCs w:val="12"/>
              </w:rPr>
            </w:pPr>
            <w:r>
              <w:rPr>
                <w:rFonts w:ascii="Arial" w:hAnsi="Arial"/>
                <w:b/>
                <w:noProof/>
                <w:color w:val="000000"/>
                <w:sz w:val="12"/>
                <w:szCs w:val="12"/>
              </w:rPr>
              <w:t>Iš viso</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b/>
                <w:noProof/>
                <w:color w:val="000000"/>
                <w:sz w:val="16"/>
              </w:rPr>
            </w:pPr>
            <w:r>
              <w:rPr>
                <w:rFonts w:ascii="Arial" w:hAnsi="Arial"/>
                <w:b/>
                <w:noProof/>
                <w:color w:val="000000"/>
                <w:sz w:val="16"/>
              </w:rPr>
              <w:t>Nominali paskolų suma amortizuota savikaina 2019 m. sausio 1 d.</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1 051 317</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593 324</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60 717</w:t>
            </w:r>
          </w:p>
        </w:tc>
        <w:tc>
          <w:tcPr>
            <w:tcW w:w="45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3 588</w:t>
            </w:r>
          </w:p>
        </w:tc>
        <w:tc>
          <w:tcPr>
            <w:tcW w:w="45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1 708 946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Išmokos</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164 308</w:t>
            </w:r>
          </w:p>
        </w:tc>
        <w:tc>
          <w:tcPr>
            <w:tcW w:w="56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123 416</w:t>
            </w:r>
          </w:p>
        </w:tc>
        <w:tc>
          <w:tcPr>
            <w:tcW w:w="59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287 724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Nurašytos sumos</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−278</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Grąžintos sumos</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−206 517</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−113 100</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−34 496</w:t>
            </w:r>
          </w:p>
        </w:tc>
        <w:tc>
          <w:tcPr>
            <w:tcW w:w="45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−354 113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Parduotos paskolos</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−2 591</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−2 591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Verslo modelio keitimas (IFE)**</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−10 062</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−3 588</w:t>
            </w:r>
          </w:p>
        </w:tc>
        <w:tc>
          <w:tcPr>
            <w:tcW w:w="45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−13 650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Užsienio valiutos kursų skirtumai</w:t>
            </w:r>
          </w:p>
        </w:tc>
        <w:tc>
          <w:tcPr>
            <w:tcW w:w="519"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15 041</w:t>
            </w:r>
          </w:p>
        </w:tc>
        <w:tc>
          <w:tcPr>
            <w:tcW w:w="568"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4 064</w:t>
            </w:r>
          </w:p>
        </w:tc>
        <w:tc>
          <w:tcPr>
            <w:tcW w:w="594"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1 493</w:t>
            </w:r>
          </w:p>
        </w:tc>
        <w:tc>
          <w:tcPr>
            <w:tcW w:w="45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8"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20 598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b/>
                <w:noProof/>
                <w:color w:val="000000"/>
                <w:sz w:val="16"/>
              </w:rPr>
            </w:pPr>
            <w:r>
              <w:rPr>
                <w:rFonts w:ascii="Arial" w:hAnsi="Arial"/>
                <w:b/>
                <w:noProof/>
                <w:color w:val="000000"/>
                <w:sz w:val="16"/>
              </w:rPr>
              <w:t>Nominali paskolų suma amortizuota savikaina 2019 m. gruodžio 31 d.</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1 021 556</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597 364</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27 714</w:t>
            </w:r>
          </w:p>
        </w:tc>
        <w:tc>
          <w:tcPr>
            <w:tcW w:w="45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45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1 646 634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40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51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568"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59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45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458"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b/>
                <w:noProof/>
                <w:color w:val="000000"/>
                <w:sz w:val="16"/>
              </w:rPr>
            </w:pPr>
            <w:r>
              <w:rPr>
                <w:rFonts w:ascii="Arial" w:hAnsi="Arial"/>
                <w:b/>
                <w:noProof/>
                <w:color w:val="000000"/>
                <w:sz w:val="16"/>
              </w:rPr>
              <w:t>Vertės sumažėjimas dėl atidėjinių nuostoliams 2019 m. sausio 1 d.</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−103 868</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−49 609</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−29 360</w:t>
            </w:r>
          </w:p>
        </w:tc>
        <w:tc>
          <w:tcPr>
            <w:tcW w:w="45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−1 794</w:t>
            </w:r>
          </w:p>
        </w:tc>
        <w:tc>
          <w:tcPr>
            <w:tcW w:w="45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−184 631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 xml:space="preserve">Tikėtinų kredito nuostolių 12-os mėnesių laikotarpiu grynasis pokytis </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5 164</w:t>
            </w:r>
          </w:p>
        </w:tc>
        <w:tc>
          <w:tcPr>
            <w:tcW w:w="56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−86</w:t>
            </w:r>
          </w:p>
        </w:tc>
        <w:tc>
          <w:tcPr>
            <w:tcW w:w="59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5 078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Tikėtinų kredito nuostolių finansinės priemonės galiojimo laikotarpiu, kurių vertė dėl kredito rizikos nesumažėjusi, grynasis pokytis</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−15 558</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2 559</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2 205</w:t>
            </w:r>
          </w:p>
        </w:tc>
        <w:tc>
          <w:tcPr>
            <w:tcW w:w="45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−10 794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Tikėtini kredito nuostoliai finansinės priemonės galiojimo laikotarpiu, kurių vertė dėl kredito rizikos sumažėjusi</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−4 397</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−47</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−4 444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 xml:space="preserve">Tikėtinų kredito nuostolių finansinės priemonės galiojimo laikotarpiu, kurių vertė dėl kredito rizikos sumažėjusi, atkūrimas </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21 811</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5 592</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27 403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Parduotos paskolos</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2 591</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2 591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Verslo modelio keitimas (IFE)**</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5 031</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1 794</w:t>
            </w:r>
          </w:p>
        </w:tc>
        <w:tc>
          <w:tcPr>
            <w:tcW w:w="45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6 825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Nurašytos sumos</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278</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Užsienio valiutos kursų skirtumai</w:t>
            </w:r>
          </w:p>
        </w:tc>
        <w:tc>
          <w:tcPr>
            <w:tcW w:w="519"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−1 911</w:t>
            </w:r>
          </w:p>
        </w:tc>
        <w:tc>
          <w:tcPr>
            <w:tcW w:w="568"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−368</w:t>
            </w:r>
          </w:p>
        </w:tc>
        <w:tc>
          <w:tcPr>
            <w:tcW w:w="594"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−559</w:t>
            </w:r>
          </w:p>
        </w:tc>
        <w:tc>
          <w:tcPr>
            <w:tcW w:w="45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8"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−2 838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b/>
                <w:noProof/>
                <w:color w:val="000000"/>
                <w:sz w:val="16"/>
              </w:rPr>
            </w:pPr>
            <w:r>
              <w:rPr>
                <w:rFonts w:ascii="Arial" w:hAnsi="Arial"/>
                <w:b/>
                <w:noProof/>
                <w:color w:val="000000"/>
                <w:sz w:val="16"/>
              </w:rPr>
              <w:t>Vertės sumažėjimas dėl atidėjinių nuostoliams 2019 m. gruodžio 31 d.</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−96 166</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−36 650</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−27 714</w:t>
            </w:r>
          </w:p>
        </w:tc>
        <w:tc>
          <w:tcPr>
            <w:tcW w:w="45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45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−160 530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rPr>
                <w:rFonts w:ascii="Arial" w:eastAsia="Arial" w:hAnsi="Arial" w:cs="Arial"/>
                <w:b/>
                <w:noProof/>
                <w:color w:val="000000"/>
                <w:sz w:val="16"/>
              </w:rPr>
            </w:pPr>
          </w:p>
        </w:tc>
        <w:tc>
          <w:tcPr>
            <w:tcW w:w="519"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68"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94"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455"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458"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nil"/>
              <w:left w:val="nil"/>
              <w:bottom w:val="nil"/>
              <w:right w:val="nil"/>
              <w:tl2br w:val="nil"/>
              <w:tr2bl w:val="nil"/>
            </w:tcBorders>
            <w:shd w:val="clear" w:color="FFFFFF" w:fill="C0C0C0"/>
            <w:tcMar>
              <w:left w:w="40" w:type="dxa"/>
              <w:right w:w="40" w:type="dxa"/>
            </w:tcMar>
            <w:vAlign w:val="center"/>
          </w:tcPr>
          <w:p>
            <w:pPr>
              <w:pStyle w:val="Normal132"/>
              <w:rPr>
                <w:rFonts w:ascii="Arial" w:eastAsia="Arial" w:hAnsi="Arial" w:cs="Arial"/>
                <w:b/>
                <w:noProof/>
                <w:color w:val="000000"/>
                <w:sz w:val="16"/>
              </w:rPr>
            </w:pPr>
            <w:r>
              <w:rPr>
                <w:rFonts w:ascii="Arial" w:hAnsi="Arial"/>
                <w:b/>
                <w:noProof/>
                <w:color w:val="000000"/>
                <w:sz w:val="16"/>
              </w:rPr>
              <w:t>Paskolos ir išankstiniai mokėjimai amortizuota savikaina, 2019 m. gruodžio 31 d.</w:t>
            </w:r>
          </w:p>
        </w:tc>
        <w:tc>
          <w:tcPr>
            <w:tcW w:w="519"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925 390</w:t>
            </w:r>
          </w:p>
        </w:tc>
        <w:tc>
          <w:tcPr>
            <w:tcW w:w="568"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560 714</w:t>
            </w:r>
          </w:p>
        </w:tc>
        <w:tc>
          <w:tcPr>
            <w:tcW w:w="594"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455"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458"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1 486 104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406"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519"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68"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594"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455"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458"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b/>
                <w:noProof/>
                <w:color w:val="000000"/>
                <w:sz w:val="16"/>
              </w:rPr>
            </w:pPr>
            <w:r>
              <w:rPr>
                <w:rFonts w:ascii="Arial" w:hAnsi="Arial"/>
                <w:b/>
                <w:noProof/>
                <w:color w:val="000000"/>
                <w:sz w:val="16"/>
              </w:rPr>
              <w:t>Nominali paskolų suma tikrąja verte, kurios pasikeitimas pripažįstamas pelnu arba nuostoliais, 2019 m. sausio 1 d.</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1 800</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45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45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Išmokos</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6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23 461</w:t>
            </w:r>
          </w:p>
        </w:tc>
        <w:tc>
          <w:tcPr>
            <w:tcW w:w="59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23 461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Verslo modelio keitimas (IFE)**</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13 650</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13 650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Grąžintos sumos</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−720</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−245</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−965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Nurašytos sumos</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Užsienio valiutos kursų skirtumai</w:t>
            </w:r>
          </w:p>
        </w:tc>
        <w:tc>
          <w:tcPr>
            <w:tcW w:w="519"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68"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−8</w:t>
            </w:r>
          </w:p>
        </w:tc>
        <w:tc>
          <w:tcPr>
            <w:tcW w:w="594"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8"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b/>
                <w:noProof/>
                <w:color w:val="000000"/>
                <w:sz w:val="16"/>
              </w:rPr>
            </w:pPr>
            <w:r>
              <w:rPr>
                <w:rFonts w:ascii="Arial" w:hAnsi="Arial"/>
                <w:b/>
                <w:noProof/>
                <w:color w:val="000000"/>
                <w:sz w:val="16"/>
              </w:rPr>
              <w:t>Nominali paskolų suma tikrąja verte, kurios pasikeitimas pripažįstamas pelnu arba nuostoliais, 2019 m. gruodžio 31 d.</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1 080</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36 858</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45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45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37 938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rPr>
                <w:rFonts w:ascii="Arial" w:eastAsia="Arial" w:hAnsi="Arial" w:cs="Arial"/>
                <w:b/>
                <w:noProof/>
                <w:color w:val="000000"/>
                <w:sz w:val="16"/>
              </w:rPr>
            </w:pPr>
          </w:p>
        </w:tc>
        <w:tc>
          <w:tcPr>
            <w:tcW w:w="51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68"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9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45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458"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b/>
                <w:noProof/>
                <w:color w:val="000000"/>
                <w:sz w:val="16"/>
              </w:rPr>
            </w:pPr>
            <w:r>
              <w:rPr>
                <w:rFonts w:ascii="Arial" w:hAnsi="Arial"/>
                <w:b/>
                <w:noProof/>
                <w:color w:val="000000"/>
                <w:sz w:val="16"/>
              </w:rPr>
              <w:t>Tikrosios vertės tikslinimas 2019 m. sausio 1 d.</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−1 080</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45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45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−1 080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Grynasis tikrosios vertės pokytis</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6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−8 331</w:t>
            </w:r>
          </w:p>
        </w:tc>
        <w:tc>
          <w:tcPr>
            <w:tcW w:w="59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−8 331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Verslo modelio keitimas (IFE)**</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−6 825</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−6 825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b/>
                <w:noProof/>
                <w:color w:val="000000"/>
                <w:sz w:val="16"/>
              </w:rPr>
            </w:pPr>
            <w:r>
              <w:rPr>
                <w:rFonts w:ascii="Arial" w:hAnsi="Arial"/>
                <w:b/>
                <w:noProof/>
                <w:color w:val="000000"/>
                <w:sz w:val="16"/>
              </w:rPr>
              <w:t>Tikrosios vertės tikslinimas 2019 m. gruodžio 31 d.</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−1 080</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−15 156</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45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45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−16 236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rPr>
                <w:rFonts w:ascii="Arial" w:eastAsia="Arial" w:hAnsi="Arial" w:cs="Arial"/>
                <w:b/>
                <w:noProof/>
                <w:color w:val="000000"/>
                <w:sz w:val="16"/>
              </w:rPr>
            </w:pPr>
          </w:p>
        </w:tc>
        <w:tc>
          <w:tcPr>
            <w:tcW w:w="519"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68"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94"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455"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458"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nil"/>
              <w:left w:val="nil"/>
              <w:bottom w:val="nil"/>
              <w:right w:val="nil"/>
              <w:tl2br w:val="nil"/>
              <w:tr2bl w:val="nil"/>
            </w:tcBorders>
            <w:shd w:val="clear" w:color="FFFFFF" w:fill="C0C0C0"/>
            <w:tcMar>
              <w:left w:w="40" w:type="dxa"/>
              <w:right w:w="40" w:type="dxa"/>
            </w:tcMar>
            <w:vAlign w:val="center"/>
          </w:tcPr>
          <w:p>
            <w:pPr>
              <w:pStyle w:val="Normal132"/>
              <w:rPr>
                <w:rFonts w:ascii="Arial" w:eastAsia="Arial" w:hAnsi="Arial" w:cs="Arial"/>
                <w:b/>
                <w:noProof/>
                <w:color w:val="000000"/>
                <w:sz w:val="16"/>
              </w:rPr>
            </w:pPr>
            <w:r>
              <w:rPr>
                <w:rFonts w:ascii="Arial" w:hAnsi="Arial"/>
                <w:b/>
                <w:noProof/>
                <w:color w:val="000000"/>
                <w:sz w:val="16"/>
              </w:rPr>
              <w:t>Paskolos ir išankstiniai mokėjimai tikrąja verte, kurios pokyčiai pripažįstami pelnu arba nuostoliais, 2019 m. gruodžio 31 d.</w:t>
            </w:r>
          </w:p>
        </w:tc>
        <w:tc>
          <w:tcPr>
            <w:tcW w:w="519"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568"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21 702</w:t>
            </w:r>
          </w:p>
        </w:tc>
        <w:tc>
          <w:tcPr>
            <w:tcW w:w="594"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455"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458"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21 702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Amortizuota savikaina</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−3 545</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−4 950</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10</w:t>
            </w:r>
          </w:p>
        </w:tc>
        <w:tc>
          <w:tcPr>
            <w:tcW w:w="45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−8 485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Palūkanos</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10 451</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8 903</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45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19 354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nil"/>
              <w:left w:val="nil"/>
              <w:bottom w:val="nil"/>
              <w:right w:val="nil"/>
              <w:tl2br w:val="nil"/>
              <w:tr2bl w:val="nil"/>
            </w:tcBorders>
            <w:shd w:val="clear" w:color="FFFFFF" w:fill="C0C0C0"/>
            <w:tcMar>
              <w:left w:w="40" w:type="dxa"/>
              <w:right w:w="40" w:type="dxa"/>
            </w:tcMar>
            <w:vAlign w:val="center"/>
          </w:tcPr>
          <w:p>
            <w:pPr>
              <w:pStyle w:val="Normal132"/>
              <w:rPr>
                <w:rFonts w:ascii="Arial" w:eastAsia="Arial" w:hAnsi="Arial" w:cs="Arial"/>
                <w:b/>
                <w:noProof/>
                <w:color w:val="000000"/>
                <w:sz w:val="16"/>
              </w:rPr>
            </w:pPr>
            <w:r>
              <w:rPr>
                <w:rFonts w:ascii="Arial" w:hAnsi="Arial"/>
                <w:b/>
                <w:noProof/>
                <w:color w:val="000000"/>
                <w:sz w:val="16"/>
              </w:rPr>
              <w:t>Paskolos ir išankstiniai mokėjimai 2019 m. gruodžio 31 d.</w:t>
            </w:r>
          </w:p>
        </w:tc>
        <w:tc>
          <w:tcPr>
            <w:tcW w:w="519"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932 296</w:t>
            </w:r>
          </w:p>
        </w:tc>
        <w:tc>
          <w:tcPr>
            <w:tcW w:w="568" w:type="pct"/>
            <w:tcBorders>
              <w:top w:val="nil"/>
              <w:left w:val="nil"/>
              <w:bottom w:val="nil"/>
              <w:right w:val="nil"/>
              <w:tl2br w:val="nil"/>
              <w:tr2bl w:val="nil"/>
            </w:tcBorders>
            <w:shd w:val="clear" w:color="auto" w:fill="BFBFBF"/>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−586 369</w:t>
            </w:r>
          </w:p>
        </w:tc>
        <w:tc>
          <w:tcPr>
            <w:tcW w:w="594" w:type="pct"/>
            <w:tcBorders>
              <w:top w:val="nil"/>
              <w:left w:val="nil"/>
              <w:bottom w:val="nil"/>
              <w:right w:val="nil"/>
              <w:tl2br w:val="nil"/>
              <w:tr2bl w:val="nil"/>
            </w:tcBorders>
            <w:shd w:val="clear" w:color="auto" w:fill="BFBFBF"/>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10</w:t>
            </w:r>
          </w:p>
        </w:tc>
        <w:tc>
          <w:tcPr>
            <w:tcW w:w="455"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458"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1 518 675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2925" w:type="pct"/>
            <w:gridSpan w:val="2"/>
            <w:tcBorders>
              <w:top w:val="nil"/>
              <w:left w:val="nil"/>
              <w:bottom w:val="nil"/>
              <w:right w:val="nil"/>
              <w:tl2br w:val="nil"/>
              <w:tr2bl w:val="nil"/>
            </w:tcBorders>
            <w:shd w:val="clear" w:color="auto" w:fill="auto"/>
            <w:tcMar>
              <w:left w:w="0" w:type="dxa"/>
              <w:right w:w="0" w:type="dxa"/>
            </w:tcMar>
            <w:vAlign w:val="center"/>
          </w:tcPr>
          <w:p>
            <w:pPr>
              <w:pStyle w:val="Normal132"/>
              <w:rPr>
                <w:rFonts w:ascii="Arial" w:hAnsi="Arial" w:cs="Arial"/>
                <w:noProof/>
                <w:color w:val="000000"/>
                <w:sz w:val="16"/>
                <w:szCs w:val="16"/>
              </w:rPr>
            </w:pPr>
            <w:r>
              <w:rPr>
                <w:rFonts w:ascii="Arial" w:hAnsi="Arial"/>
                <w:noProof/>
                <w:color w:val="000000"/>
                <w:sz w:val="16"/>
              </w:rPr>
              <w:t>* Įskaitant agentūrų susitarimus.</w:t>
            </w:r>
          </w:p>
        </w:tc>
        <w:tc>
          <w:tcPr>
            <w:tcW w:w="568" w:type="pct"/>
            <w:tcBorders>
              <w:top w:val="nil"/>
              <w:left w:val="nil"/>
              <w:bottom w:val="nil"/>
              <w:right w:val="nil"/>
              <w:tl2br w:val="nil"/>
              <w:tr2bl w:val="nil"/>
            </w:tcBorders>
            <w:shd w:val="clear" w:color="auto" w:fill="auto"/>
            <w:tcMar>
              <w:left w:w="0" w:type="dxa"/>
              <w:right w:w="0" w:type="dxa"/>
            </w:tcMar>
            <w:vAlign w:val="center"/>
          </w:tcPr>
          <w:p>
            <w:pPr>
              <w:pStyle w:val="Normal132"/>
              <w:rPr>
                <w:noProof/>
                <w:color w:val="000000"/>
                <w:sz w:val="20"/>
              </w:rPr>
            </w:pPr>
          </w:p>
        </w:tc>
        <w:tc>
          <w:tcPr>
            <w:tcW w:w="594" w:type="pct"/>
            <w:tcBorders>
              <w:top w:val="nil"/>
              <w:left w:val="nil"/>
              <w:bottom w:val="nil"/>
              <w:right w:val="nil"/>
              <w:tl2br w:val="nil"/>
              <w:tr2bl w:val="nil"/>
            </w:tcBorders>
            <w:shd w:val="clear" w:color="auto" w:fill="auto"/>
            <w:tcMar>
              <w:left w:w="0" w:type="dxa"/>
              <w:right w:w="0" w:type="dxa"/>
            </w:tcMar>
            <w:vAlign w:val="center"/>
          </w:tcPr>
          <w:p>
            <w:pPr>
              <w:pStyle w:val="Normal132"/>
              <w:rPr>
                <w:noProof/>
                <w:color w:val="000000"/>
                <w:sz w:val="20"/>
              </w:rPr>
            </w:pPr>
          </w:p>
        </w:tc>
        <w:tc>
          <w:tcPr>
            <w:tcW w:w="455" w:type="pct"/>
            <w:tcBorders>
              <w:top w:val="nil"/>
              <w:left w:val="nil"/>
              <w:bottom w:val="nil"/>
              <w:right w:val="nil"/>
              <w:tl2br w:val="nil"/>
              <w:tr2bl w:val="nil"/>
            </w:tcBorders>
            <w:shd w:val="clear" w:color="auto" w:fill="auto"/>
            <w:tcMar>
              <w:left w:w="0" w:type="dxa"/>
              <w:right w:w="0" w:type="dxa"/>
            </w:tcMar>
            <w:vAlign w:val="center"/>
          </w:tcPr>
          <w:p>
            <w:pPr>
              <w:pStyle w:val="Normal132"/>
              <w:rPr>
                <w:noProof/>
                <w:color w:val="000000"/>
                <w:sz w:val="20"/>
              </w:rPr>
            </w:pPr>
          </w:p>
        </w:tc>
        <w:tc>
          <w:tcPr>
            <w:tcW w:w="458" w:type="pct"/>
            <w:tcBorders>
              <w:top w:val="nil"/>
              <w:left w:val="nil"/>
              <w:bottom w:val="nil"/>
              <w:right w:val="nil"/>
              <w:tl2br w:val="nil"/>
              <w:tr2bl w:val="nil"/>
            </w:tcBorders>
            <w:shd w:val="clear" w:color="auto" w:fill="auto"/>
            <w:tcMar>
              <w:left w:w="0" w:type="dxa"/>
              <w:right w:w="0" w:type="dxa"/>
            </w:tcMar>
            <w:vAlign w:val="center"/>
          </w:tcPr>
          <w:p>
            <w:pPr>
              <w:pStyle w:val="Normal132"/>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2925" w:type="pct"/>
            <w:gridSpan w:val="2"/>
            <w:tcBorders>
              <w:top w:val="nil"/>
              <w:left w:val="nil"/>
              <w:bottom w:val="nil"/>
              <w:right w:val="nil"/>
              <w:tl2br w:val="nil"/>
              <w:tr2bl w:val="nil"/>
            </w:tcBorders>
            <w:shd w:val="clear" w:color="auto" w:fill="auto"/>
            <w:tcMar>
              <w:left w:w="0" w:type="dxa"/>
              <w:right w:w="0" w:type="dxa"/>
            </w:tcMar>
            <w:vAlign w:val="center"/>
          </w:tcPr>
          <w:p>
            <w:pPr>
              <w:pStyle w:val="Normal132"/>
              <w:rPr>
                <w:rFonts w:ascii="Arial" w:hAnsi="Arial" w:cs="Arial"/>
                <w:noProof/>
                <w:color w:val="000000"/>
                <w:sz w:val="16"/>
                <w:szCs w:val="16"/>
              </w:rPr>
            </w:pPr>
            <w:r>
              <w:rPr>
                <w:rFonts w:ascii="Arial" w:hAnsi="Arial"/>
                <w:noProof/>
                <w:color w:val="000000"/>
                <w:sz w:val="16"/>
                <w:szCs w:val="16"/>
              </w:rPr>
              <w:t>** Išsamios informacijos žr. 24 pastabą.</w:t>
            </w:r>
          </w:p>
        </w:tc>
        <w:tc>
          <w:tcPr>
            <w:tcW w:w="568" w:type="pct"/>
            <w:tcBorders>
              <w:top w:val="nil"/>
              <w:left w:val="nil"/>
              <w:bottom w:val="nil"/>
              <w:right w:val="nil"/>
              <w:tl2br w:val="nil"/>
              <w:tr2bl w:val="nil"/>
            </w:tcBorders>
            <w:shd w:val="clear" w:color="auto" w:fill="auto"/>
            <w:tcMar>
              <w:left w:w="0" w:type="dxa"/>
              <w:right w:w="0" w:type="dxa"/>
            </w:tcMar>
            <w:vAlign w:val="center"/>
          </w:tcPr>
          <w:p>
            <w:pPr>
              <w:pStyle w:val="Normal132"/>
              <w:rPr>
                <w:noProof/>
                <w:color w:val="000000"/>
                <w:sz w:val="20"/>
              </w:rPr>
            </w:pPr>
          </w:p>
        </w:tc>
        <w:tc>
          <w:tcPr>
            <w:tcW w:w="594" w:type="pct"/>
            <w:tcBorders>
              <w:top w:val="nil"/>
              <w:left w:val="nil"/>
              <w:bottom w:val="nil"/>
              <w:right w:val="nil"/>
              <w:tl2br w:val="nil"/>
              <w:tr2bl w:val="nil"/>
            </w:tcBorders>
            <w:shd w:val="clear" w:color="auto" w:fill="auto"/>
            <w:tcMar>
              <w:left w:w="0" w:type="dxa"/>
              <w:right w:w="0" w:type="dxa"/>
            </w:tcMar>
            <w:vAlign w:val="center"/>
          </w:tcPr>
          <w:p>
            <w:pPr>
              <w:pStyle w:val="Normal132"/>
              <w:rPr>
                <w:noProof/>
                <w:color w:val="000000"/>
                <w:sz w:val="20"/>
              </w:rPr>
            </w:pPr>
          </w:p>
        </w:tc>
        <w:tc>
          <w:tcPr>
            <w:tcW w:w="455" w:type="pct"/>
            <w:tcBorders>
              <w:top w:val="nil"/>
              <w:left w:val="nil"/>
              <w:bottom w:val="nil"/>
              <w:right w:val="nil"/>
              <w:tl2br w:val="nil"/>
              <w:tr2bl w:val="nil"/>
            </w:tcBorders>
            <w:shd w:val="clear" w:color="auto" w:fill="auto"/>
            <w:tcMar>
              <w:left w:w="0" w:type="dxa"/>
              <w:right w:w="0" w:type="dxa"/>
            </w:tcMar>
            <w:vAlign w:val="center"/>
          </w:tcPr>
          <w:p>
            <w:pPr>
              <w:pStyle w:val="Normal132"/>
              <w:rPr>
                <w:noProof/>
                <w:color w:val="000000"/>
                <w:sz w:val="20"/>
              </w:rPr>
            </w:pPr>
          </w:p>
        </w:tc>
        <w:tc>
          <w:tcPr>
            <w:tcW w:w="458" w:type="pct"/>
            <w:tcBorders>
              <w:top w:val="nil"/>
              <w:left w:val="nil"/>
              <w:bottom w:val="nil"/>
              <w:right w:val="nil"/>
              <w:tl2br w:val="nil"/>
              <w:tr2bl w:val="nil"/>
            </w:tcBorders>
            <w:shd w:val="clear" w:color="auto" w:fill="auto"/>
            <w:tcMar>
              <w:left w:w="0" w:type="dxa"/>
              <w:right w:w="0" w:type="dxa"/>
            </w:tcMar>
            <w:vAlign w:val="center"/>
          </w:tcPr>
          <w:p>
            <w:pPr>
              <w:pStyle w:val="Normal132"/>
              <w:rPr>
                <w:noProof/>
                <w:color w:val="000000"/>
                <w:sz w:val="20"/>
              </w:rPr>
            </w:pPr>
          </w:p>
        </w:tc>
      </w:tr>
    </w:tbl>
    <w:p>
      <w:pPr>
        <w:pBdr>
          <w:top w:val="nil"/>
          <w:left w:val="nil"/>
          <w:bottom w:val="nil"/>
          <w:right w:val="nil"/>
          <w:between w:val="nil"/>
          <w:bar w:val="nil"/>
        </w:pBdr>
        <w:spacing w:after="200" w:line="276" w:lineRule="auto"/>
        <w:rPr>
          <w:rFonts w:ascii="Calibri" w:eastAsia="Calibri" w:hAnsi="Calibri" w:cs="Arial"/>
          <w:noProof/>
          <w:sz w:val="22"/>
          <w:szCs w:val="22"/>
          <w:bdr w:val="nil"/>
          <w:lang w:eastAsia="en-US"/>
        </w:rPr>
      </w:pPr>
    </w:p>
    <w:p>
      <w:pPr>
        <w:pStyle w:val="Notes"/>
        <w:pageBreakBefore/>
        <w:pBdr>
          <w:top w:val="nil"/>
          <w:left w:val="nil"/>
          <w:bottom w:val="nil"/>
          <w:right w:val="nil"/>
          <w:between w:val="nil"/>
          <w:bar w:val="nil"/>
        </w:pBdr>
        <w:rPr>
          <w:rFonts w:eastAsia="Calibri"/>
          <w:noProof/>
          <w:sz w:val="22"/>
          <w:bdr w:val="nil"/>
        </w:rPr>
      </w:pPr>
      <w:r>
        <w:rPr>
          <w:noProof/>
          <w:sz w:val="22"/>
          <w:bdr w:val="nil"/>
        </w:rPr>
        <w:t>7.</w:t>
      </w:r>
      <w:r>
        <w:rPr>
          <w:noProof/>
          <w:sz w:val="22"/>
          <w:bdr w:val="nil"/>
        </w:rPr>
        <w:tab/>
        <w:t>Paskolos ir išankstiniai mokėjimai (tęsinys)</w:t>
      </w:r>
    </w:p>
    <w:p>
      <w:pPr>
        <w:pBdr>
          <w:top w:val="nil"/>
          <w:left w:val="nil"/>
          <w:bottom w:val="nil"/>
          <w:right w:val="nil"/>
          <w:between w:val="nil"/>
          <w:bar w:val="nil"/>
        </w:pBdr>
        <w:rPr>
          <w:rFonts w:ascii="Calibri" w:eastAsia="Calibri" w:hAnsi="Calibri" w:cs="Arial"/>
          <w:noProof/>
          <w:sz w:val="22"/>
          <w:szCs w:val="22"/>
          <w:bdr w:val="nil"/>
        </w:rPr>
      </w:pPr>
      <w:r>
        <w:rPr>
          <w:rFonts w:ascii="Arial" w:hAnsi="Arial"/>
          <w:b/>
          <w:noProof/>
          <w:sz w:val="20"/>
          <w:szCs w:val="22"/>
          <w:bdr w:val="nil"/>
        </w:rPr>
        <w:t>7.1. Paskolos ir išankstiniai mokėjimai (tęsinys)</w:t>
      </w:r>
    </w:p>
    <w:p>
      <w:pPr>
        <w:pBdr>
          <w:top w:val="nil"/>
          <w:left w:val="nil"/>
          <w:bottom w:val="nil"/>
          <w:right w:val="nil"/>
          <w:between w:val="nil"/>
          <w:bar w:val="nil"/>
        </w:pBdr>
        <w:spacing w:after="200" w:line="276" w:lineRule="auto"/>
        <w:rPr>
          <w:rFonts w:ascii="Calibri" w:eastAsia="Calibri" w:hAnsi="Calibri" w:cs="Arial"/>
          <w:noProof/>
          <w:sz w:val="2"/>
          <w:szCs w:val="22"/>
          <w:bdr w:val="nil"/>
          <w:lang w:eastAsia="en-US"/>
        </w:rPr>
      </w:pPr>
    </w:p>
    <w:tbl>
      <w:tblPr>
        <w:tblStyle w:val="CDMRange114"/>
        <w:tblW w:w="5000" w:type="pct"/>
        <w:tblLayout w:type="fixed"/>
        <w:tblLook w:val="0600" w:firstRow="0" w:lastRow="0" w:firstColumn="0" w:lastColumn="0" w:noHBand="1" w:noVBand="1"/>
      </w:tblPr>
      <w:tblGrid>
        <w:gridCol w:w="4579"/>
        <w:gridCol w:w="1017"/>
        <w:gridCol w:w="1001"/>
        <w:gridCol w:w="1122"/>
        <w:gridCol w:w="1001"/>
        <w:gridCol w:w="999"/>
      </w:tblGrid>
      <w:tr>
        <w:trPr>
          <w:trHeight w:val="42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2"/>
                <w:szCs w:val="12"/>
              </w:rPr>
            </w:pPr>
            <w:r>
              <w:rPr>
                <w:rFonts w:ascii="Arial" w:hAnsi="Arial"/>
                <w:b/>
                <w:noProof/>
                <w:color w:val="000000"/>
                <w:sz w:val="12"/>
                <w:szCs w:val="12"/>
              </w:rPr>
              <w:t>tūkst. EUR</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2"/>
                <w:szCs w:val="12"/>
              </w:rPr>
            </w:pPr>
            <w:r>
              <w:rPr>
                <w:rFonts w:ascii="Arial" w:hAnsi="Arial"/>
                <w:b/>
                <w:noProof/>
                <w:color w:val="000000"/>
                <w:sz w:val="12"/>
                <w:szCs w:val="12"/>
              </w:rPr>
              <w:t>Bendrosios paskolos*</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2"/>
                <w:szCs w:val="12"/>
              </w:rPr>
            </w:pPr>
            <w:r>
              <w:rPr>
                <w:rFonts w:ascii="Arial" w:hAnsi="Arial"/>
                <w:b/>
                <w:noProof/>
                <w:color w:val="000000"/>
                <w:sz w:val="12"/>
                <w:szCs w:val="12"/>
              </w:rPr>
              <w:t>Pirmaeilės paskolos</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2"/>
                <w:szCs w:val="12"/>
              </w:rPr>
            </w:pPr>
            <w:r>
              <w:rPr>
                <w:rFonts w:ascii="Arial" w:hAnsi="Arial"/>
                <w:b/>
                <w:noProof/>
                <w:color w:val="000000"/>
                <w:sz w:val="12"/>
                <w:szCs w:val="12"/>
              </w:rPr>
              <w:t>Subordinuotosios paskolos</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2"/>
                <w:szCs w:val="12"/>
              </w:rPr>
            </w:pPr>
            <w:r>
              <w:rPr>
                <w:rFonts w:ascii="Arial" w:hAnsi="Arial"/>
                <w:b/>
                <w:noProof/>
                <w:color w:val="000000"/>
                <w:sz w:val="12"/>
                <w:szCs w:val="12"/>
              </w:rPr>
              <w:t>Nusipirktos arba suteiktos dėl kredito rizikos sumažėjusios vertės paskolos</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2"/>
                <w:szCs w:val="12"/>
              </w:rPr>
            </w:pPr>
            <w:r>
              <w:rPr>
                <w:rFonts w:ascii="Arial" w:hAnsi="Arial"/>
                <w:b/>
                <w:noProof/>
                <w:color w:val="000000"/>
                <w:sz w:val="12"/>
                <w:szCs w:val="12"/>
              </w:rPr>
              <w:t>Iš viso</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hAnsi="Arial"/>
                <w:b/>
                <w:noProof/>
                <w:color w:val="000000"/>
                <w:sz w:val="16"/>
              </w:rPr>
              <w:t>Nominali paskolų suma amortizuota savikaina 2018 m. sausio 1 d.</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1 003 294</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687 499</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62 546</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1 753 339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Išmokos</w:t>
            </w:r>
          </w:p>
        </w:tc>
        <w:tc>
          <w:tcPr>
            <w:tcW w:w="523"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203 352</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52 274</w:t>
            </w:r>
          </w:p>
        </w:tc>
        <w:tc>
          <w:tcPr>
            <w:tcW w:w="577"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3 588</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259 214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Nurašytos sumos</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Grąžintos sumos</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−192 355</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−157 952</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−4 548</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−354 855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Kapitalizuotos palūkanos</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Užsienio valiutos kursų skirtumai</w:t>
            </w:r>
          </w:p>
        </w:tc>
        <w:tc>
          <w:tcPr>
            <w:tcW w:w="523"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37 026</w:t>
            </w:r>
          </w:p>
        </w:tc>
        <w:tc>
          <w:tcPr>
            <w:tcW w:w="51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11 503</w:t>
            </w:r>
          </w:p>
        </w:tc>
        <w:tc>
          <w:tcPr>
            <w:tcW w:w="577"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2 719</w:t>
            </w:r>
          </w:p>
        </w:tc>
        <w:tc>
          <w:tcPr>
            <w:tcW w:w="51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51 248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hAnsi="Arial"/>
                <w:b/>
                <w:noProof/>
                <w:color w:val="000000"/>
                <w:sz w:val="16"/>
              </w:rPr>
              <w:t>Nominali paskolų suma amortizuota savikaina 2018 m. gruodžio 31 d.</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1 051 317</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593 324</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60 717</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3 588</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1 708 946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35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noProof/>
                <w:color w:val="000000"/>
                <w:sz w:val="20"/>
              </w:rPr>
            </w:pPr>
          </w:p>
        </w:tc>
        <w:tc>
          <w:tcPr>
            <w:tcW w:w="52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noProof/>
                <w:color w:val="000000"/>
                <w:sz w:val="20"/>
              </w:rPr>
            </w:pPr>
          </w:p>
        </w:tc>
        <w:tc>
          <w:tcPr>
            <w:tcW w:w="577"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hAnsi="Arial"/>
                <w:b/>
                <w:noProof/>
                <w:color w:val="000000"/>
                <w:sz w:val="16"/>
              </w:rPr>
              <w:t>Vertės sumažėjimas dėl atidėjinių nuostoliams 2018 m. sausio 1 d.</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−35 082</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−57 911</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−62 546</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−155 539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 xml:space="preserve">Tikėtinų kredito nuostolių 12-os mėnesių laikotarpiu grynasis pokytis </w:t>
            </w:r>
          </w:p>
        </w:tc>
        <w:tc>
          <w:tcPr>
            <w:tcW w:w="523"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−1 853</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288</w:t>
            </w:r>
          </w:p>
        </w:tc>
        <w:tc>
          <w:tcPr>
            <w:tcW w:w="577"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−1 565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Tikėtinų kredito nuostolių finansinės priemonės galiojimo laikotarpiu, kurių vertė dėl kredito rizikos nesumažėjusi, grynasis pokytis</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4 696</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870</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−2 146</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3 420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Tikėtini kredito nuostoliai finansinės priemonės galiojimo laikotarpiu, kurių vertė dėl kredito rizikos sumažėjusi</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−71 204</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−1 794</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−72 998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 xml:space="preserve">Tikėtinų kredito nuostolių finansinės priemonės galiojimo laikotarpiu, kurių vertė dėl kredito rizikos sumažėjusi, atkūrimas </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2 214</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8 480</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37 678</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48 372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Nurašytos sumos</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Užsienio valiutos kursų skirtumai</w:t>
            </w:r>
          </w:p>
        </w:tc>
        <w:tc>
          <w:tcPr>
            <w:tcW w:w="523"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−2 639</w:t>
            </w:r>
          </w:p>
        </w:tc>
        <w:tc>
          <w:tcPr>
            <w:tcW w:w="51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−1 336</w:t>
            </w:r>
          </w:p>
        </w:tc>
        <w:tc>
          <w:tcPr>
            <w:tcW w:w="577"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−2 346</w:t>
            </w:r>
          </w:p>
        </w:tc>
        <w:tc>
          <w:tcPr>
            <w:tcW w:w="51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−6 321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hAnsi="Arial"/>
                <w:b/>
                <w:noProof/>
                <w:color w:val="000000"/>
                <w:sz w:val="16"/>
              </w:rPr>
              <w:t>Vertės sumažėjimas dėl atidėjinių nuostoliams 2018 m. sausio 1 d.</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−103 868</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−49 609</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−29 360</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−1 794</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−184 631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35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23"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77"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FFFFFF" w:fill="BFBFBF"/>
            <w:tcMar>
              <w:left w:w="40" w:type="dxa"/>
              <w:right w:w="40" w:type="dxa"/>
            </w:tcMar>
            <w:vAlign w:val="center"/>
          </w:tcPr>
          <w:p>
            <w:pPr>
              <w:pStyle w:val="Normal133"/>
              <w:rPr>
                <w:rFonts w:ascii="Arial" w:eastAsia="Arial" w:hAnsi="Arial" w:cs="Arial"/>
                <w:b/>
                <w:noProof/>
                <w:color w:val="000000"/>
                <w:sz w:val="16"/>
              </w:rPr>
            </w:pPr>
            <w:r>
              <w:rPr>
                <w:rFonts w:ascii="Arial" w:hAnsi="Arial"/>
                <w:b/>
                <w:noProof/>
                <w:color w:val="000000"/>
                <w:sz w:val="16"/>
              </w:rPr>
              <w:t>Paskolos ir išankstiniai mokėjimai amortizuota savikaina, 2018 m. gruodžio 31 d.</w:t>
            </w:r>
          </w:p>
        </w:tc>
        <w:tc>
          <w:tcPr>
            <w:tcW w:w="523"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947 449</w:t>
            </w:r>
          </w:p>
        </w:tc>
        <w:tc>
          <w:tcPr>
            <w:tcW w:w="515"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543 715</w:t>
            </w:r>
          </w:p>
        </w:tc>
        <w:tc>
          <w:tcPr>
            <w:tcW w:w="577"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31 357</w:t>
            </w:r>
          </w:p>
        </w:tc>
        <w:tc>
          <w:tcPr>
            <w:tcW w:w="515"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1 794</w:t>
            </w:r>
          </w:p>
        </w:tc>
        <w:tc>
          <w:tcPr>
            <w:tcW w:w="515"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1 524 315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c>
          <w:tcPr>
            <w:tcW w:w="523"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77"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hAnsi="Arial"/>
                <w:b/>
                <w:noProof/>
                <w:color w:val="000000"/>
                <w:sz w:val="16"/>
              </w:rPr>
              <w:t>Nominali paskolų suma tikrąja verte, kurios pasikeitimas pripažįstamas pelnu arba nuostoliais, 2018 m. sausio 1 d.</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1 800</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Išmokos</w:t>
            </w:r>
          </w:p>
        </w:tc>
        <w:tc>
          <w:tcPr>
            <w:tcW w:w="523" w:type="pct"/>
            <w:tcBorders>
              <w:top w:val="single" w:sz="4" w:space="0" w:color="000000"/>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single" w:sz="4" w:space="0" w:color="000000"/>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77" w:type="pct"/>
            <w:tcBorders>
              <w:top w:val="single" w:sz="4" w:space="0" w:color="000000"/>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single" w:sz="4" w:space="0" w:color="000000"/>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single" w:sz="4" w:space="0" w:color="000000"/>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Grąžintos sumos</w:t>
            </w:r>
          </w:p>
        </w:tc>
        <w:tc>
          <w:tcPr>
            <w:tcW w:w="523"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77"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Nurašytos sumos</w:t>
            </w:r>
          </w:p>
        </w:tc>
        <w:tc>
          <w:tcPr>
            <w:tcW w:w="523"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77"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 xml:space="preserve">Užsienio valiutos kursų skirtumai </w:t>
            </w:r>
          </w:p>
        </w:tc>
        <w:tc>
          <w:tcPr>
            <w:tcW w:w="523" w:type="pct"/>
            <w:tcBorders>
              <w:top w:val="nil"/>
              <w:left w:val="nil"/>
              <w:bottom w:val="single" w:sz="4" w:space="0" w:color="000000"/>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single" w:sz="4" w:space="0" w:color="000000"/>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77" w:type="pct"/>
            <w:tcBorders>
              <w:top w:val="nil"/>
              <w:left w:val="nil"/>
              <w:bottom w:val="single" w:sz="4" w:space="0" w:color="000000"/>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single" w:sz="4" w:space="0" w:color="000000"/>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single" w:sz="4" w:space="0" w:color="000000"/>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hAnsi="Arial"/>
                <w:b/>
                <w:noProof/>
                <w:color w:val="000000"/>
                <w:sz w:val="16"/>
              </w:rPr>
              <w:t>Nominali paskolų suma tikrąja verte, kurios pasikeitimas pripažįstamas pelnu arba nuostoliais, 2018 m. gruodžio 31 d.</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1 800</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c>
          <w:tcPr>
            <w:tcW w:w="52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c>
          <w:tcPr>
            <w:tcW w:w="577"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hAnsi="Arial"/>
                <w:b/>
                <w:noProof/>
                <w:color w:val="000000"/>
                <w:sz w:val="16"/>
              </w:rPr>
              <w:t>Tikrosios vertės tikslinimas 2018 m. sausio 1 d.</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−378</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−378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Grynasis tikrosios vertės pokytis</w:t>
            </w:r>
          </w:p>
        </w:tc>
        <w:tc>
          <w:tcPr>
            <w:tcW w:w="523"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−702</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77"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−702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hAnsi="Arial"/>
                <w:b/>
                <w:noProof/>
                <w:color w:val="000000"/>
                <w:sz w:val="16"/>
              </w:rPr>
              <w:t>Tikrosios vertės tikslinimas 2018 m. gruodžio 31 d.</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−1 080</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−1 080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c>
          <w:tcPr>
            <w:tcW w:w="523"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77"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FFFFFF" w:fill="BFBFBF"/>
            <w:tcMar>
              <w:left w:w="40" w:type="dxa"/>
              <w:right w:w="40" w:type="dxa"/>
            </w:tcMar>
            <w:vAlign w:val="center"/>
          </w:tcPr>
          <w:p>
            <w:pPr>
              <w:pStyle w:val="Normal133"/>
              <w:rPr>
                <w:rFonts w:ascii="Arial" w:eastAsia="Arial" w:hAnsi="Arial" w:cs="Arial"/>
                <w:b/>
                <w:noProof/>
                <w:color w:val="000000"/>
                <w:sz w:val="16"/>
              </w:rPr>
            </w:pPr>
            <w:r>
              <w:rPr>
                <w:rFonts w:ascii="Arial" w:hAnsi="Arial"/>
                <w:b/>
                <w:noProof/>
                <w:color w:val="000000"/>
                <w:sz w:val="16"/>
              </w:rPr>
              <w:t>Paskolos ir išankstiniai mokėjimai tikrąja verte, kurios pokyčiai pripažįstami pelnu arba nuostoliais, 2018 m. gruodžio 31 d.</w:t>
            </w:r>
          </w:p>
        </w:tc>
        <w:tc>
          <w:tcPr>
            <w:tcW w:w="523"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720</w:t>
            </w:r>
          </w:p>
        </w:tc>
        <w:tc>
          <w:tcPr>
            <w:tcW w:w="515"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77"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15"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15"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720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c>
          <w:tcPr>
            <w:tcW w:w="523" w:type="pct"/>
            <w:tcBorders>
              <w:top w:val="nil"/>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77" w:type="pct"/>
            <w:tcBorders>
              <w:top w:val="nil"/>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Amortizuota savikaina</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−3 550</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−3 109</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11</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−6 648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Palūkanos</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12 330</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9 243</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1 031</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22 604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FFFFFF" w:fill="C0C0C0"/>
            <w:tcMar>
              <w:left w:w="40" w:type="dxa"/>
              <w:right w:w="40" w:type="dxa"/>
            </w:tcMar>
            <w:vAlign w:val="center"/>
          </w:tcPr>
          <w:p>
            <w:pPr>
              <w:pStyle w:val="Normal133"/>
              <w:rPr>
                <w:rFonts w:ascii="Arial" w:eastAsia="Arial" w:hAnsi="Arial" w:cs="Arial"/>
                <w:b/>
                <w:noProof/>
                <w:color w:val="000000"/>
                <w:sz w:val="16"/>
              </w:rPr>
            </w:pPr>
            <w:r>
              <w:rPr>
                <w:rFonts w:ascii="Arial" w:hAnsi="Arial"/>
                <w:b/>
                <w:noProof/>
                <w:color w:val="000000"/>
                <w:sz w:val="16"/>
              </w:rPr>
              <w:t>Paskolos ir išankstiniai mokėjimai 2018 m. gruodžio 31 d.</w:t>
            </w:r>
          </w:p>
        </w:tc>
        <w:tc>
          <w:tcPr>
            <w:tcW w:w="523" w:type="pct"/>
            <w:tcBorders>
              <w:top w:val="nil"/>
              <w:left w:val="nil"/>
              <w:bottom w:val="nil"/>
              <w:right w:val="nil"/>
              <w:tl2br w:val="nil"/>
              <w:tr2bl w:val="nil"/>
            </w:tcBorders>
            <w:shd w:val="clear" w:color="FFFFFF" w:fill="C0C0C0"/>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956 949</w:t>
            </w:r>
          </w:p>
        </w:tc>
        <w:tc>
          <w:tcPr>
            <w:tcW w:w="515" w:type="pct"/>
            <w:tcBorders>
              <w:top w:val="nil"/>
              <w:left w:val="nil"/>
              <w:bottom w:val="nil"/>
              <w:right w:val="nil"/>
              <w:tl2br w:val="nil"/>
              <w:tr2bl w:val="nil"/>
            </w:tcBorders>
            <w:shd w:val="clear" w:color="FFFFFF" w:fill="C0C0C0"/>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549 849</w:t>
            </w:r>
          </w:p>
        </w:tc>
        <w:tc>
          <w:tcPr>
            <w:tcW w:w="577" w:type="pct"/>
            <w:tcBorders>
              <w:top w:val="nil"/>
              <w:left w:val="nil"/>
              <w:bottom w:val="nil"/>
              <w:right w:val="nil"/>
              <w:tl2br w:val="nil"/>
              <w:tr2bl w:val="nil"/>
            </w:tcBorders>
            <w:shd w:val="clear" w:color="FFFFFF" w:fill="C0C0C0"/>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32 399</w:t>
            </w:r>
          </w:p>
        </w:tc>
        <w:tc>
          <w:tcPr>
            <w:tcW w:w="515" w:type="pct"/>
            <w:tcBorders>
              <w:top w:val="nil"/>
              <w:left w:val="nil"/>
              <w:bottom w:val="nil"/>
              <w:right w:val="nil"/>
              <w:tl2br w:val="nil"/>
              <w:tr2bl w:val="nil"/>
            </w:tcBorders>
            <w:shd w:val="clear" w:color="FFFFFF" w:fill="C0C0C0"/>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1 794</w:t>
            </w:r>
          </w:p>
        </w:tc>
        <w:tc>
          <w:tcPr>
            <w:tcW w:w="515" w:type="pct"/>
            <w:tcBorders>
              <w:top w:val="nil"/>
              <w:left w:val="nil"/>
              <w:bottom w:val="nil"/>
              <w:right w:val="nil"/>
              <w:tl2br w:val="nil"/>
              <w:tr2bl w:val="nil"/>
            </w:tcBorders>
            <w:shd w:val="clear" w:color="FFFFFF" w:fill="C0C0C0"/>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1 540 991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2356"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r>
              <w:rPr>
                <w:rFonts w:ascii="Arial" w:hAnsi="Arial"/>
                <w:noProof/>
                <w:color w:val="000000"/>
                <w:sz w:val="16"/>
              </w:rPr>
              <w:t>* Įskaitant agentūrų susitarimus.</w:t>
            </w:r>
          </w:p>
        </w:tc>
        <w:tc>
          <w:tcPr>
            <w:tcW w:w="523"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77"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p>
        </w:tc>
        <w:tc>
          <w:tcPr>
            <w:tcW w:w="523"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77"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r>
    </w:tbl>
    <w:p>
      <w:pPr>
        <w:pBdr>
          <w:top w:val="nil"/>
          <w:left w:val="nil"/>
          <w:bottom w:val="nil"/>
          <w:right w:val="nil"/>
          <w:between w:val="nil"/>
          <w:bar w:val="nil"/>
        </w:pBdr>
        <w:spacing w:after="200" w:line="276" w:lineRule="auto"/>
        <w:rPr>
          <w:rFonts w:ascii="Calibri" w:eastAsia="Calibri" w:hAnsi="Calibri" w:cs="Arial"/>
          <w:noProof/>
          <w:sz w:val="22"/>
          <w:szCs w:val="22"/>
          <w:bdr w:val="nil"/>
          <w:lang w:eastAsia="en-US"/>
        </w:rPr>
      </w:pPr>
    </w:p>
    <w:p>
      <w:pPr>
        <w:rPr>
          <w:rFonts w:ascii="Calibri" w:eastAsia="Calibri" w:hAnsi="Calibri" w:cs="Arial"/>
          <w:noProof/>
          <w:sz w:val="22"/>
          <w:szCs w:val="22"/>
          <w:bdr w:val="nil"/>
        </w:rPr>
      </w:pPr>
      <w:r>
        <w:rPr>
          <w:noProof/>
        </w:rPr>
        <w:br w:type="page"/>
      </w:r>
    </w:p>
    <w:p>
      <w:pPr>
        <w:pBdr>
          <w:top w:val="nil"/>
          <w:left w:val="nil"/>
          <w:bottom w:val="nil"/>
          <w:right w:val="nil"/>
          <w:between w:val="nil"/>
          <w:bar w:val="nil"/>
        </w:pBdr>
        <w:rPr>
          <w:rFonts w:ascii="Arial" w:eastAsia="Calibri" w:hAnsi="Arial" w:cs="Arial"/>
          <w:b/>
          <w:noProof/>
          <w:sz w:val="20"/>
          <w:szCs w:val="22"/>
          <w:bdr w:val="nil"/>
        </w:rPr>
      </w:pPr>
      <w:r>
        <w:rPr>
          <w:rFonts w:ascii="Arial" w:hAnsi="Arial"/>
          <w:b/>
          <w:noProof/>
          <w:sz w:val="20"/>
          <w:szCs w:val="22"/>
          <w:bdr w:val="nil"/>
        </w:rPr>
        <w:t>7.2. Paskolų ir išankstinių mokėjimų vertės sumažėjimas. Atidėjiniai nuostoliams, atėmus atkūrimą</w:t>
      </w:r>
    </w:p>
    <w:p>
      <w:pPr>
        <w:pStyle w:val="Normal6"/>
        <w:spacing w:after="60"/>
        <w:rPr>
          <w:noProof/>
        </w:rPr>
      </w:pPr>
    </w:p>
    <w:tbl>
      <w:tblPr>
        <w:tblStyle w:val="CDMRange10"/>
        <w:tblW w:w="9975" w:type="dxa"/>
        <w:tblLayout w:type="fixed"/>
        <w:tblLook w:val="0600" w:firstRow="0" w:lastRow="0" w:firstColumn="0" w:lastColumn="0" w:noHBand="1" w:noVBand="1"/>
      </w:tblPr>
      <w:tblGrid>
        <w:gridCol w:w="3825"/>
        <w:gridCol w:w="1350"/>
        <w:gridCol w:w="1350"/>
        <w:gridCol w:w="1350"/>
        <w:gridCol w:w="1050"/>
        <w:gridCol w:w="1050"/>
      </w:tblGrid>
      <w:tr>
        <w:trPr>
          <w:trHeight w:hRule="exact" w:val="300"/>
        </w:trPr>
        <w:tc>
          <w:tcPr>
            <w:tcW w:w="3825"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6"/>
              <w:rPr>
                <w:rFonts w:ascii="Arial" w:eastAsia="Arial" w:hAnsi="Arial"/>
                <w:b/>
                <w:noProof/>
                <w:color w:val="000000"/>
                <w:sz w:val="16"/>
              </w:rPr>
            </w:pPr>
          </w:p>
        </w:tc>
        <w:tc>
          <w:tcPr>
            <w:tcW w:w="6150" w:type="dxa"/>
            <w:gridSpan w:val="5"/>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pStyle w:val="Normal6"/>
              <w:jc w:val="center"/>
              <w:rPr>
                <w:rFonts w:ascii="Arial" w:eastAsia="Arial" w:hAnsi="Arial"/>
                <w:b/>
                <w:noProof/>
                <w:color w:val="000000"/>
                <w:sz w:val="16"/>
              </w:rPr>
            </w:pPr>
            <w:r>
              <w:rPr>
                <w:rFonts w:ascii="Arial" w:hAnsi="Arial"/>
                <w:b/>
                <w:noProof/>
                <w:color w:val="000000"/>
                <w:sz w:val="16"/>
              </w:rPr>
              <w:t>2019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9"/>
        </w:trPr>
        <w:tc>
          <w:tcPr>
            <w:tcW w:w="38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rPr>
                <w:rFonts w:ascii="Arial" w:eastAsia="Arial" w:hAnsi="Arial"/>
                <w:b/>
                <w:noProof/>
                <w:color w:val="000000"/>
                <w:sz w:val="12"/>
                <w:szCs w:val="12"/>
              </w:rPr>
            </w:pPr>
            <w:r>
              <w:rPr>
                <w:rFonts w:ascii="Arial" w:hAnsi="Arial"/>
                <w:b/>
                <w:noProof/>
                <w:color w:val="000000"/>
                <w:sz w:val="12"/>
                <w:szCs w:val="12"/>
              </w:rPr>
              <w:t>tūkst. EUR</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2"/>
                <w:szCs w:val="12"/>
              </w:rPr>
            </w:pPr>
            <w:r>
              <w:rPr>
                <w:rFonts w:ascii="Arial" w:hAnsi="Arial"/>
                <w:b/>
                <w:noProof/>
                <w:color w:val="000000"/>
                <w:sz w:val="12"/>
                <w:szCs w:val="12"/>
              </w:rPr>
              <w:t>Tikėtini kredito nuostoliai 12-os mėnesių laikotarpiu</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2"/>
                <w:szCs w:val="12"/>
              </w:rPr>
            </w:pPr>
            <w:r>
              <w:rPr>
                <w:rFonts w:ascii="Arial" w:hAnsi="Arial"/>
                <w:b/>
                <w:noProof/>
                <w:color w:val="000000"/>
                <w:sz w:val="12"/>
                <w:szCs w:val="12"/>
              </w:rPr>
              <w:t>Tikėtini kredito nuostoliai finansinės priemonės galiojimo laikotarpiu, kurių vertė dėl kredito rizikos nesumažėjusi</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2"/>
                <w:szCs w:val="12"/>
              </w:rPr>
            </w:pPr>
            <w:r>
              <w:rPr>
                <w:rFonts w:ascii="Arial" w:hAnsi="Arial"/>
                <w:b/>
                <w:noProof/>
                <w:color w:val="000000"/>
                <w:sz w:val="12"/>
                <w:szCs w:val="12"/>
              </w:rPr>
              <w:t>Tikėtini kredito nuostoliai finansinės priemonės galiojimo laikotarpiu, kurių vertė dėl kredito rizikos sumažėjusi</w:t>
            </w:r>
          </w:p>
        </w:tc>
        <w:tc>
          <w:tcPr>
            <w:tcW w:w="10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2"/>
                <w:szCs w:val="12"/>
              </w:rPr>
            </w:pPr>
            <w:r>
              <w:rPr>
                <w:rFonts w:ascii="Arial" w:hAnsi="Arial"/>
                <w:b/>
                <w:noProof/>
                <w:color w:val="000000"/>
                <w:sz w:val="12"/>
                <w:szCs w:val="12"/>
              </w:rPr>
              <w:t>Nusipirktos arba suteiktos dėl kredito rizikos sumažėjusios vertės paskolos</w:t>
            </w:r>
          </w:p>
        </w:tc>
        <w:tc>
          <w:tcPr>
            <w:tcW w:w="10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2"/>
                <w:szCs w:val="12"/>
              </w:rPr>
            </w:pPr>
            <w:r>
              <w:rPr>
                <w:rFonts w:ascii="Arial" w:hAnsi="Arial"/>
                <w:b/>
                <w:noProof/>
                <w:color w:val="000000"/>
                <w:sz w:val="12"/>
                <w:szCs w:val="12"/>
              </w:rPr>
              <w:t>Iš viso</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rPr>
                <w:rFonts w:ascii="Arial" w:eastAsia="Arial" w:hAnsi="Arial"/>
                <w:b/>
                <w:noProof/>
                <w:color w:val="000000"/>
                <w:sz w:val="16"/>
              </w:rPr>
            </w:pPr>
            <w:r>
              <w:rPr>
                <w:rFonts w:ascii="Arial" w:hAnsi="Arial"/>
                <w:b/>
                <w:noProof/>
                <w:color w:val="000000"/>
                <w:sz w:val="16"/>
              </w:rPr>
              <w:t>Paskolos ir išankstiniai mokėjimai amortizuota savikaina</w:t>
            </w: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pStyle w:val="Normal6"/>
              <w:jc w:val="right"/>
              <w:rPr>
                <w:rFonts w:ascii="Arial" w:eastAsia="Arial" w:hAnsi="Arial"/>
                <w:b/>
                <w:noProof/>
                <w:color w:val="000000"/>
                <w:sz w:val="16"/>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pStyle w:val="Normal6"/>
              <w:jc w:val="right"/>
              <w:rPr>
                <w:rFonts w:ascii="Arial" w:eastAsia="Arial" w:hAnsi="Arial"/>
                <w:b/>
                <w:noProof/>
                <w:color w:val="000000"/>
                <w:sz w:val="16"/>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pStyle w:val="Normal6"/>
              <w:jc w:val="right"/>
              <w:rPr>
                <w:rFonts w:ascii="Arial" w:eastAsia="Arial" w:hAnsi="Arial"/>
                <w:b/>
                <w:noProof/>
                <w:color w:val="000000"/>
                <w:sz w:val="16"/>
              </w:rPr>
            </w:pP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pStyle w:val="Normal6"/>
              <w:jc w:val="right"/>
              <w:rPr>
                <w:rFonts w:ascii="Arial" w:eastAsia="Arial" w:hAnsi="Arial"/>
                <w:b/>
                <w:noProof/>
                <w:color w:val="000000"/>
                <w:sz w:val="16"/>
              </w:rPr>
            </w:pP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pStyle w:val="Normal6"/>
              <w:jc w:val="right"/>
              <w:rPr>
                <w:rFonts w:ascii="Arial" w:eastAsia="Arial" w:hAnsi="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rPr>
                <w:rFonts w:ascii="Arial" w:eastAsia="Arial" w:hAnsi="Arial"/>
                <w:b/>
                <w:noProof/>
                <w:color w:val="000000"/>
                <w:sz w:val="16"/>
              </w:rPr>
            </w:pPr>
            <w:r>
              <w:rPr>
                <w:rFonts w:ascii="Arial" w:hAnsi="Arial"/>
                <w:b/>
                <w:noProof/>
                <w:color w:val="000000"/>
                <w:sz w:val="16"/>
              </w:rPr>
              <w:t>Likutis 2019 m. sausio 1 d.</w:t>
            </w:r>
          </w:p>
        </w:tc>
        <w:tc>
          <w:tcPr>
            <w:tcW w:w="13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22 023</w:t>
            </w:r>
          </w:p>
        </w:tc>
        <w:tc>
          <w:tcPr>
            <w:tcW w:w="13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27 342</w:t>
            </w:r>
          </w:p>
        </w:tc>
        <w:tc>
          <w:tcPr>
            <w:tcW w:w="13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133 472</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1 794</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184 631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3"/>
        </w:trPr>
        <w:tc>
          <w:tcPr>
            <w:tcW w:w="382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hAnsi="Arial"/>
                <w:noProof/>
                <w:color w:val="000000"/>
                <w:sz w:val="16"/>
              </w:rPr>
              <w:t>Perkėlimas į tikėtinus kredito nuostolius 12-os mėnesių laikotarpiu</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3 952</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3 952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01"/>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hAnsi="Arial"/>
                <w:noProof/>
                <w:color w:val="000000"/>
                <w:sz w:val="16"/>
              </w:rPr>
              <w:t>Perkėlimas į tikėtinus kredito nuostolius finansinės priemonės galiojimo laikotarpiu, kurių vertė dėl kredito rizikos nesumažėjusi</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−4 005</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25 150</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21 145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9"/>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hAnsi="Arial"/>
                <w:noProof/>
                <w:color w:val="000000"/>
                <w:sz w:val="16"/>
              </w:rPr>
              <w:t>Perkėlimas į tikėtinus kredito nuostolius finansinės priemonės galiojimo laikotarpiu, kurių vertė dėl kredito rizikos sumažėjusi</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−46</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−46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hAnsi="Arial"/>
                <w:noProof/>
                <w:color w:val="000000"/>
                <w:sz w:val="16"/>
              </w:rPr>
              <w:t>Parduotos paskolos</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−2 591</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−2 591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hAnsi="Arial"/>
                <w:noProof/>
                <w:color w:val="000000"/>
                <w:sz w:val="16"/>
              </w:rPr>
              <w:t>Verslo modelio keitimas (IFE)*</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−10</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−5 031</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−1 794</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−6 835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hAnsi="Arial"/>
                <w:noProof/>
                <w:color w:val="000000"/>
                <w:sz w:val="16"/>
              </w:rPr>
              <w:t>Finansinis turtas, kurio pripažinimas nutraukiamas</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−129</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−10 049</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−10 178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hAnsi="Arial"/>
                <w:noProof/>
                <w:color w:val="000000"/>
                <w:sz w:val="16"/>
              </w:rPr>
              <w:t>Nurašymai</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−280</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hAnsi="Arial"/>
                <w:noProof/>
                <w:color w:val="000000"/>
                <w:sz w:val="16"/>
              </w:rPr>
              <w:t xml:space="preserve">Užsienio valiutos kursų skirtumai </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247</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371</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2 221</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2 839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FFFFFF" w:fill="BFBFBF"/>
            <w:noWrap/>
            <w:tcMar>
              <w:left w:w="40" w:type="dxa"/>
              <w:right w:w="40" w:type="dxa"/>
            </w:tcMar>
            <w:vAlign w:val="center"/>
          </w:tcPr>
          <w:p>
            <w:pPr>
              <w:pStyle w:val="Normal6"/>
              <w:rPr>
                <w:rFonts w:ascii="Arial" w:eastAsia="Arial" w:hAnsi="Arial"/>
                <w:b/>
                <w:noProof/>
                <w:color w:val="000000"/>
                <w:sz w:val="16"/>
              </w:rPr>
            </w:pPr>
            <w:r>
              <w:rPr>
                <w:rFonts w:ascii="Arial" w:hAnsi="Arial"/>
                <w:b/>
                <w:noProof/>
                <w:color w:val="000000"/>
                <w:sz w:val="16"/>
              </w:rPr>
              <w:t>Likutis 2019 m. gruodžio 31 d.</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17 191</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38 509</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104 830</w:t>
            </w:r>
          </w:p>
        </w:tc>
        <w:tc>
          <w:tcPr>
            <w:tcW w:w="10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w:t>
            </w:r>
          </w:p>
        </w:tc>
        <w:tc>
          <w:tcPr>
            <w:tcW w:w="10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160 530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3825" w:type="dxa"/>
            <w:tcBorders>
              <w:top w:val="nil"/>
              <w:left w:val="nil"/>
              <w:bottom w:val="nil"/>
              <w:right w:val="nil"/>
              <w:tl2br w:val="nil"/>
              <w:tr2bl w:val="nil"/>
            </w:tcBorders>
            <w:shd w:val="clear" w:color="auto" w:fill="auto"/>
            <w:noWrap/>
            <w:tcMar>
              <w:left w:w="0" w:type="dxa"/>
              <w:right w:w="0" w:type="dxa"/>
            </w:tcMar>
            <w:vAlign w:val="center"/>
          </w:tcPr>
          <w:p>
            <w:pPr>
              <w:pStyle w:val="Normal6"/>
              <w:spacing w:before="40"/>
              <w:rPr>
                <w:rFonts w:cs="Calibri"/>
                <w:noProof/>
                <w:color w:val="000000"/>
                <w:sz w:val="22"/>
              </w:rPr>
            </w:pPr>
            <w:r>
              <w:rPr>
                <w:rFonts w:ascii="Arial" w:hAnsi="Arial"/>
                <w:noProof/>
                <w:color w:val="000000"/>
                <w:sz w:val="16"/>
                <w:szCs w:val="16"/>
              </w:rPr>
              <w:t>* Išsamios informacijos žr. 24 pastabą.</w:t>
            </w:r>
          </w:p>
        </w:tc>
        <w:tc>
          <w:tcPr>
            <w:tcW w:w="1350"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cs="Calibri"/>
                <w:noProof/>
                <w:color w:val="000000"/>
                <w:sz w:val="22"/>
              </w:rPr>
            </w:pPr>
          </w:p>
        </w:tc>
        <w:tc>
          <w:tcPr>
            <w:tcW w:w="1350"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cs="Calibri"/>
                <w:noProof/>
                <w:color w:val="000000"/>
                <w:sz w:val="22"/>
              </w:rPr>
            </w:pPr>
          </w:p>
        </w:tc>
        <w:tc>
          <w:tcPr>
            <w:tcW w:w="1350"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cs="Calibri"/>
                <w:noProof/>
                <w:color w:val="000000"/>
                <w:sz w:val="22"/>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cs="Calibri"/>
                <w:noProof/>
                <w:color w:val="000000"/>
                <w:sz w:val="22"/>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cs="Calibri"/>
                <w:noProof/>
                <w:color w:val="000000"/>
                <w:sz w:val="22"/>
              </w:rPr>
            </w:pPr>
          </w:p>
        </w:tc>
      </w:tr>
    </w:tbl>
    <w:p>
      <w:pPr>
        <w:rPr>
          <w:noProof/>
        </w:rPr>
      </w:pPr>
    </w:p>
    <w:tbl>
      <w:tblPr>
        <w:tblStyle w:val="CDMRange10"/>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825"/>
        <w:gridCol w:w="1350"/>
        <w:gridCol w:w="1350"/>
        <w:gridCol w:w="1350"/>
        <w:gridCol w:w="1050"/>
        <w:gridCol w:w="1050"/>
      </w:tblGrid>
      <w:tr>
        <w:trPr>
          <w:trHeight w:hRule="exact" w:val="300"/>
        </w:trPr>
        <w:tc>
          <w:tcPr>
            <w:tcW w:w="3825"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6"/>
              <w:rPr>
                <w:rFonts w:ascii="Arial" w:hAnsi="Arial"/>
                <w:b/>
                <w:noProof/>
                <w:color w:val="000000"/>
                <w:sz w:val="16"/>
              </w:rPr>
            </w:pPr>
          </w:p>
        </w:tc>
        <w:tc>
          <w:tcPr>
            <w:tcW w:w="6150" w:type="dxa"/>
            <w:gridSpan w:val="5"/>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pStyle w:val="Normal6"/>
              <w:jc w:val="center"/>
              <w:rPr>
                <w:rFonts w:ascii="Arial" w:eastAsia="Arial" w:hAnsi="Arial"/>
                <w:b/>
                <w:noProof/>
                <w:color w:val="000000"/>
                <w:sz w:val="16"/>
              </w:rPr>
            </w:pPr>
            <w:r>
              <w:rPr>
                <w:rFonts w:ascii="Arial" w:hAnsi="Arial"/>
                <w:b/>
                <w:noProof/>
                <w:color w:val="000000"/>
                <w:sz w:val="16"/>
              </w:rPr>
              <w:t>2018</w:t>
            </w:r>
          </w:p>
        </w:tc>
      </w:tr>
      <w:tr>
        <w:trPr>
          <w:trHeight w:val="675"/>
        </w:trPr>
        <w:tc>
          <w:tcPr>
            <w:tcW w:w="38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rPr>
                <w:rFonts w:ascii="Arial" w:eastAsia="Arial" w:hAnsi="Arial"/>
                <w:b/>
                <w:noProof/>
                <w:color w:val="000000"/>
                <w:sz w:val="12"/>
                <w:szCs w:val="12"/>
              </w:rPr>
            </w:pPr>
            <w:r>
              <w:rPr>
                <w:rFonts w:ascii="Arial" w:hAnsi="Arial"/>
                <w:b/>
                <w:noProof/>
                <w:color w:val="000000"/>
                <w:sz w:val="12"/>
                <w:szCs w:val="12"/>
              </w:rPr>
              <w:t>tūkst. EUR</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2"/>
                <w:szCs w:val="12"/>
              </w:rPr>
            </w:pPr>
            <w:r>
              <w:rPr>
                <w:rFonts w:ascii="Arial" w:hAnsi="Arial"/>
                <w:b/>
                <w:noProof/>
                <w:color w:val="000000"/>
                <w:sz w:val="12"/>
                <w:szCs w:val="12"/>
              </w:rPr>
              <w:t>Tikėtini kredito nuostoliai 12-os mėnesių laikotarpiu</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2"/>
                <w:szCs w:val="12"/>
              </w:rPr>
            </w:pPr>
            <w:r>
              <w:rPr>
                <w:rFonts w:ascii="Arial" w:hAnsi="Arial"/>
                <w:b/>
                <w:noProof/>
                <w:color w:val="000000"/>
                <w:sz w:val="12"/>
                <w:szCs w:val="12"/>
              </w:rPr>
              <w:t>Tikėtini kredito nuostoliai finansinės priemonės galiojimo laikotarpiu, kurių vertė dėl kredito rizikos nesumažėjusi</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2"/>
                <w:szCs w:val="12"/>
              </w:rPr>
            </w:pPr>
            <w:r>
              <w:rPr>
                <w:rFonts w:ascii="Arial" w:hAnsi="Arial"/>
                <w:b/>
                <w:noProof/>
                <w:color w:val="000000"/>
                <w:sz w:val="12"/>
                <w:szCs w:val="12"/>
              </w:rPr>
              <w:t>Tikėtini kredito nuostoliai finansinės priemonės galiojimo laikotarpiu, kurių vertė dėl kredito rizikos sumažėjusi</w:t>
            </w:r>
          </w:p>
        </w:tc>
        <w:tc>
          <w:tcPr>
            <w:tcW w:w="10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2"/>
                <w:szCs w:val="12"/>
              </w:rPr>
            </w:pPr>
            <w:r>
              <w:rPr>
                <w:rFonts w:ascii="Arial" w:hAnsi="Arial"/>
                <w:b/>
                <w:noProof/>
                <w:color w:val="000000"/>
                <w:sz w:val="12"/>
                <w:szCs w:val="12"/>
              </w:rPr>
              <w:t>Nusipirktos arba suteiktos dėl kredito rizikos sumažėjusios vertės paskolos</w:t>
            </w:r>
          </w:p>
        </w:tc>
        <w:tc>
          <w:tcPr>
            <w:tcW w:w="10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2"/>
                <w:szCs w:val="12"/>
              </w:rPr>
            </w:pPr>
            <w:r>
              <w:rPr>
                <w:rFonts w:ascii="Arial" w:hAnsi="Arial"/>
                <w:b/>
                <w:noProof/>
                <w:color w:val="000000"/>
                <w:sz w:val="12"/>
                <w:szCs w:val="12"/>
              </w:rPr>
              <w:t>Iš viso</w:t>
            </w:r>
          </w:p>
        </w:tc>
      </w:tr>
      <w:tr>
        <w:trPr>
          <w:trHeight w:hRule="exact" w:val="537"/>
        </w:trPr>
        <w:tc>
          <w:tcPr>
            <w:tcW w:w="38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rPr>
                <w:rFonts w:ascii="Arial" w:eastAsia="Arial" w:hAnsi="Arial"/>
                <w:b/>
                <w:noProof/>
                <w:color w:val="000000"/>
                <w:sz w:val="16"/>
              </w:rPr>
            </w:pPr>
            <w:r>
              <w:rPr>
                <w:rFonts w:ascii="Arial" w:hAnsi="Arial"/>
                <w:b/>
                <w:noProof/>
                <w:color w:val="000000"/>
                <w:sz w:val="16"/>
              </w:rPr>
              <w:t>Paskolos ir išankstiniai mokėjimai amortizuota savikaina</w:t>
            </w: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6"/>
              <w:rPr>
                <w:rFonts w:ascii="Arial" w:eastAsia="Arial" w:hAnsi="Arial"/>
                <w:b/>
                <w:noProof/>
                <w:color w:val="000000"/>
                <w:sz w:val="16"/>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6"/>
              <w:rPr>
                <w:rFonts w:ascii="Arial" w:eastAsia="Arial" w:hAnsi="Arial"/>
                <w:b/>
                <w:noProof/>
                <w:color w:val="000000"/>
                <w:sz w:val="16"/>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6"/>
              <w:rPr>
                <w:rFonts w:ascii="Arial" w:eastAsia="Arial" w:hAnsi="Arial"/>
                <w:b/>
                <w:noProof/>
                <w:color w:val="000000"/>
                <w:sz w:val="16"/>
              </w:rPr>
            </w:pP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6"/>
              <w:rPr>
                <w:rFonts w:ascii="Arial" w:eastAsia="Arial" w:hAnsi="Arial"/>
                <w:b/>
                <w:noProof/>
                <w:color w:val="000000"/>
                <w:sz w:val="16"/>
              </w:rPr>
            </w:pP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6"/>
              <w:rPr>
                <w:rFonts w:ascii="Arial" w:eastAsia="Arial" w:hAnsi="Arial"/>
                <w:b/>
                <w:noProof/>
                <w:color w:val="000000"/>
                <w:sz w:val="16"/>
              </w:rPr>
            </w:pPr>
          </w:p>
        </w:tc>
      </w:tr>
      <w:tr>
        <w:trPr>
          <w:trHeight w:hRule="exact" w:val="300"/>
        </w:trPr>
        <w:tc>
          <w:tcPr>
            <w:tcW w:w="38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rPr>
                <w:rFonts w:ascii="Arial" w:eastAsia="Arial" w:hAnsi="Arial"/>
                <w:b/>
                <w:noProof/>
                <w:color w:val="000000"/>
                <w:sz w:val="16"/>
              </w:rPr>
            </w:pPr>
            <w:r>
              <w:rPr>
                <w:rFonts w:ascii="Arial" w:hAnsi="Arial"/>
                <w:b/>
                <w:noProof/>
                <w:color w:val="000000"/>
                <w:sz w:val="16"/>
              </w:rPr>
              <w:t>Likutis 2018 m. sausio 1 d.</w:t>
            </w:r>
          </w:p>
        </w:tc>
        <w:tc>
          <w:tcPr>
            <w:tcW w:w="13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19 738</w:t>
            </w:r>
          </w:p>
        </w:tc>
        <w:tc>
          <w:tcPr>
            <w:tcW w:w="13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29 975</w:t>
            </w:r>
          </w:p>
        </w:tc>
        <w:tc>
          <w:tcPr>
            <w:tcW w:w="13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105 826</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155 539</w:t>
            </w:r>
          </w:p>
        </w:tc>
      </w:tr>
      <w:tr>
        <w:trPr>
          <w:trHeight w:hRule="exact" w:val="406"/>
        </w:trPr>
        <w:tc>
          <w:tcPr>
            <w:tcW w:w="382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hAnsi="Arial"/>
                <w:noProof/>
                <w:color w:val="000000"/>
                <w:sz w:val="16"/>
              </w:rPr>
              <w:t>Perkėlimas į tikėtinus kredito nuostolius 12-os mėnesių laikotarpiu</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2 285</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2 285</w:t>
            </w:r>
          </w:p>
        </w:tc>
      </w:tr>
      <w:tr>
        <w:trPr>
          <w:trHeight w:hRule="exact" w:val="558"/>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hAnsi="Arial"/>
                <w:noProof/>
                <w:color w:val="000000"/>
                <w:sz w:val="16"/>
              </w:rPr>
              <w:t>Perkėlimas į tikėtinus kredito nuostolius finansinės priemonės galiojimo laikotarpiu, kurių vertė dėl kredito rizikos nesumažėjusi</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−2 633</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−2 633</w:t>
            </w:r>
          </w:p>
        </w:tc>
      </w:tr>
      <w:tr>
        <w:trPr>
          <w:trHeight w:hRule="exact" w:val="566"/>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hAnsi="Arial"/>
                <w:noProof/>
                <w:color w:val="000000"/>
                <w:sz w:val="16"/>
              </w:rPr>
              <w:t>Perkėlimas į tikėtinus kredito nuostolius finansinės priemonės galiojimo laikotarpiu, kurių vertė dėl kredito rizikos sumažėjusi</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27 646</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1 794</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29 440</w:t>
            </w:r>
          </w:p>
        </w:tc>
      </w:tr>
      <w:tr>
        <w:trPr>
          <w:trHeight w:hRule="exact" w:val="300"/>
        </w:trPr>
        <w:tc>
          <w:tcPr>
            <w:tcW w:w="3825" w:type="dxa"/>
            <w:tcBorders>
              <w:top w:val="nil"/>
              <w:left w:val="nil"/>
              <w:bottom w:val="nil"/>
              <w:right w:val="nil"/>
              <w:tl2br w:val="nil"/>
              <w:tr2bl w:val="nil"/>
            </w:tcBorders>
            <w:shd w:val="clear" w:color="FFFFFF" w:fill="BFBFBF"/>
            <w:noWrap/>
            <w:tcMar>
              <w:left w:w="40" w:type="dxa"/>
              <w:right w:w="40" w:type="dxa"/>
            </w:tcMar>
            <w:vAlign w:val="center"/>
          </w:tcPr>
          <w:p>
            <w:pPr>
              <w:pStyle w:val="Normal6"/>
              <w:rPr>
                <w:rFonts w:ascii="Arial" w:eastAsia="Arial" w:hAnsi="Arial"/>
                <w:b/>
                <w:noProof/>
                <w:color w:val="000000"/>
                <w:sz w:val="16"/>
              </w:rPr>
            </w:pPr>
            <w:r>
              <w:rPr>
                <w:rFonts w:ascii="Arial" w:hAnsi="Arial"/>
                <w:b/>
                <w:noProof/>
                <w:color w:val="000000"/>
                <w:sz w:val="16"/>
              </w:rPr>
              <w:t>Likutis 2018 m. gruodžio 31 d.</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22 023</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27 342</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133 472</w:t>
            </w:r>
          </w:p>
        </w:tc>
        <w:tc>
          <w:tcPr>
            <w:tcW w:w="10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1 794</w:t>
            </w:r>
          </w:p>
        </w:tc>
        <w:tc>
          <w:tcPr>
            <w:tcW w:w="10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184 631</w:t>
            </w:r>
          </w:p>
        </w:tc>
      </w:tr>
    </w:tbl>
    <w:p>
      <w:pPr>
        <w:rPr>
          <w:noProof/>
        </w:rPr>
      </w:pPr>
    </w:p>
    <w:p>
      <w:pPr>
        <w:pBdr>
          <w:top w:val="nil"/>
          <w:left w:val="nil"/>
          <w:bottom w:val="nil"/>
          <w:right w:val="nil"/>
          <w:between w:val="nil"/>
          <w:bar w:val="nil"/>
        </w:pBdr>
        <w:rPr>
          <w:rFonts w:ascii="Calibri" w:eastAsia="Calibri" w:hAnsi="Calibri" w:cs="Arial"/>
          <w:noProof/>
          <w:sz w:val="22"/>
          <w:szCs w:val="22"/>
          <w:bdr w:val="nil"/>
          <w:lang w:eastAsia="en-US"/>
        </w:rPr>
      </w:pPr>
    </w:p>
    <w:p>
      <w:pPr>
        <w:pStyle w:val="Notes"/>
        <w:pageBreakBefore/>
        <w:pBdr>
          <w:top w:val="nil"/>
          <w:left w:val="nil"/>
          <w:bottom w:val="nil"/>
          <w:right w:val="nil"/>
          <w:between w:val="nil"/>
          <w:bar w:val="nil"/>
        </w:pBdr>
        <w:rPr>
          <w:noProof/>
          <w:bdr w:val="nil"/>
        </w:rPr>
      </w:pPr>
      <w:r>
        <w:rPr>
          <w:noProof/>
          <w:bdr w:val="nil"/>
        </w:rPr>
        <w:t>8.</w:t>
      </w:r>
      <w:r>
        <w:rPr>
          <w:noProof/>
          <w:bdr w:val="nil"/>
        </w:rPr>
        <w:tab/>
        <w:t>Akcijos ir kiti kintamo pelningumo vertybiniai popieriai</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 xml:space="preserve">Toliau pateikiamoje lentelėje parodoma, kaip suderinamas investicijų į nuosavą kapitalą laikotarpio pradžios ir pabaigos balansas: </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15"/>
        <w:tblW w:w="9690" w:type="dxa"/>
        <w:tblLayout w:type="fixed"/>
        <w:tblLook w:val="0600" w:firstRow="0" w:lastRow="0" w:firstColumn="0" w:lastColumn="0" w:noHBand="1" w:noVBand="1"/>
      </w:tblPr>
      <w:tblGrid>
        <w:gridCol w:w="5710"/>
        <w:gridCol w:w="1640"/>
        <w:gridCol w:w="1260"/>
        <w:gridCol w:w="1080"/>
      </w:tblGrid>
      <w:tr>
        <w:trPr>
          <w:trHeight w:val="420"/>
        </w:trPr>
        <w:tc>
          <w:tcPr>
            <w:tcW w:w="57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b/>
                <w:noProof/>
                <w:color w:val="000000"/>
                <w:sz w:val="16"/>
              </w:rPr>
            </w:pPr>
            <w:r>
              <w:rPr>
                <w:rFonts w:ascii="Arial" w:hAnsi="Arial"/>
                <w:b/>
                <w:noProof/>
                <w:color w:val="000000"/>
                <w:sz w:val="16"/>
              </w:rPr>
              <w:t>tūkst. EUR</w:t>
            </w:r>
          </w:p>
        </w:tc>
        <w:tc>
          <w:tcPr>
            <w:tcW w:w="164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Rizikos kapitalo fondai</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Tiesioginės investicijos į nuosavą kapitalą</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Iš viso</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7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b/>
                <w:noProof/>
                <w:color w:val="000000"/>
                <w:sz w:val="16"/>
              </w:rPr>
            </w:pPr>
            <w:r>
              <w:rPr>
                <w:rFonts w:ascii="Arial" w:hAnsi="Arial"/>
                <w:b/>
                <w:noProof/>
                <w:color w:val="000000"/>
                <w:sz w:val="16"/>
              </w:rPr>
              <w:t>Savikaina 2019 m. sausio 1 d.</w:t>
            </w:r>
          </w:p>
        </w:tc>
        <w:tc>
          <w:tcPr>
            <w:tcW w:w="164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421 593</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93 214</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514 807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1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hAnsi="Arial"/>
                <w:noProof/>
                <w:color w:val="000000"/>
                <w:sz w:val="16"/>
              </w:rPr>
              <w:t>Išmokos</w:t>
            </w:r>
          </w:p>
        </w:tc>
        <w:tc>
          <w:tcPr>
            <w:tcW w:w="164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90 972</w:t>
            </w:r>
          </w:p>
        </w:tc>
        <w:tc>
          <w:tcPr>
            <w:tcW w:w="12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15 971</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106 943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10" w:type="dxa"/>
            <w:tcBorders>
              <w:top w:val="nil"/>
              <w:left w:val="nil"/>
              <w:bottom w:val="nil"/>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hAnsi="Arial"/>
                <w:noProof/>
                <w:color w:val="000000"/>
                <w:sz w:val="16"/>
              </w:rPr>
              <w:t>Grąžintos sumos / pardavimai</w:t>
            </w:r>
          </w:p>
        </w:tc>
        <w:tc>
          <w:tcPr>
            <w:tcW w:w="1640"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−56 387</w:t>
            </w:r>
          </w:p>
        </w:tc>
        <w:tc>
          <w:tcPr>
            <w:tcW w:w="1260"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−13 361</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−69 748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1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hAnsi="Arial"/>
                <w:noProof/>
                <w:color w:val="000000"/>
                <w:sz w:val="16"/>
              </w:rPr>
              <w:t xml:space="preserve">Užsienio valiutos kursų skirtumai </w:t>
            </w:r>
          </w:p>
        </w:tc>
        <w:tc>
          <w:tcPr>
            <w:tcW w:w="164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6 126</w:t>
            </w:r>
          </w:p>
        </w:tc>
        <w:tc>
          <w:tcPr>
            <w:tcW w:w="126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281</w:t>
            </w:r>
          </w:p>
        </w:tc>
        <w:tc>
          <w:tcPr>
            <w:tcW w:w="10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6 407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1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noProof/>
                <w:color w:val="000000"/>
                <w:sz w:val="16"/>
              </w:rPr>
            </w:pPr>
            <w:r>
              <w:rPr>
                <w:rFonts w:ascii="Arial" w:hAnsi="Arial"/>
                <w:b/>
                <w:noProof/>
                <w:color w:val="000000"/>
                <w:sz w:val="16"/>
              </w:rPr>
              <w:t>Savikaina 2019 m. gruodžio 31 d.</w:t>
            </w:r>
          </w:p>
        </w:tc>
        <w:tc>
          <w:tcPr>
            <w:tcW w:w="164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hAnsi="Arial"/>
                <w:b/>
                <w:noProof/>
                <w:color w:val="000000"/>
                <w:sz w:val="16"/>
              </w:rPr>
              <w:t>462 304</w:t>
            </w:r>
          </w:p>
        </w:tc>
        <w:tc>
          <w:tcPr>
            <w:tcW w:w="126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hAnsi="Arial"/>
                <w:b/>
                <w:noProof/>
                <w:color w:val="000000"/>
                <w:sz w:val="16"/>
              </w:rPr>
              <w:t>96 105</w:t>
            </w:r>
          </w:p>
        </w:tc>
        <w:tc>
          <w:tcPr>
            <w:tcW w:w="10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hAnsi="Arial"/>
                <w:b/>
                <w:noProof/>
                <w:color w:val="000000"/>
                <w:sz w:val="16"/>
              </w:rPr>
              <w:t>558 409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1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5"/>
              <w:rPr>
                <w:rFonts w:ascii="Arial" w:eastAsia="Arial" w:hAnsi="Arial" w:cs="Arial"/>
                <w:b/>
                <w:noProof/>
                <w:color w:val="000000"/>
                <w:sz w:val="16"/>
              </w:rPr>
            </w:pPr>
          </w:p>
        </w:tc>
        <w:tc>
          <w:tcPr>
            <w:tcW w:w="164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c>
          <w:tcPr>
            <w:tcW w:w="12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c>
          <w:tcPr>
            <w:tcW w:w="108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1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rPr>
                <w:rFonts w:ascii="Arial" w:eastAsia="Arial" w:hAnsi="Arial"/>
                <w:noProof/>
                <w:color w:val="000000"/>
                <w:sz w:val="16"/>
              </w:rPr>
            </w:pPr>
            <w:r>
              <w:rPr>
                <w:rFonts w:ascii="Arial" w:hAnsi="Arial"/>
                <w:b/>
                <w:noProof/>
                <w:color w:val="000000"/>
                <w:sz w:val="16"/>
              </w:rPr>
              <w:t>Nerealizuotas pelnas ir nuostoliai 2019 m. sausio 1 d.</w:t>
            </w:r>
          </w:p>
        </w:tc>
        <w:tc>
          <w:tcPr>
            <w:tcW w:w="164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hAnsi="Arial"/>
                <w:b/>
                <w:noProof/>
                <w:color w:val="000000"/>
                <w:sz w:val="16"/>
              </w:rPr>
              <w:t>45 559</w:t>
            </w:r>
          </w:p>
        </w:tc>
        <w:tc>
          <w:tcPr>
            <w:tcW w:w="12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hAnsi="Arial"/>
                <w:b/>
                <w:noProof/>
                <w:color w:val="000000"/>
                <w:sz w:val="16"/>
              </w:rPr>
              <w:t>6 926</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hAnsi="Arial"/>
                <w:b/>
                <w:noProof/>
                <w:color w:val="000000"/>
                <w:sz w:val="16"/>
              </w:rPr>
              <w:t>52 485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1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hAnsi="Arial"/>
                <w:noProof/>
                <w:color w:val="000000"/>
                <w:sz w:val="16"/>
              </w:rPr>
              <w:t>Nerealizuoto pelno ir nuostolių grynasis pokytis</w:t>
            </w:r>
          </w:p>
        </w:tc>
        <w:tc>
          <w:tcPr>
            <w:tcW w:w="164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−3 488</w:t>
            </w:r>
          </w:p>
        </w:tc>
        <w:tc>
          <w:tcPr>
            <w:tcW w:w="12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12 117*</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8 629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1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hAnsi="Arial"/>
                <w:noProof/>
                <w:color w:val="000000"/>
                <w:sz w:val="16"/>
              </w:rPr>
              <w:t>Užsienio valiutos kursų skirtumai</w:t>
            </w:r>
          </w:p>
        </w:tc>
        <w:tc>
          <w:tcPr>
            <w:tcW w:w="164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319</w:t>
            </w:r>
          </w:p>
        </w:tc>
        <w:tc>
          <w:tcPr>
            <w:tcW w:w="126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86</w:t>
            </w:r>
          </w:p>
        </w:tc>
        <w:tc>
          <w:tcPr>
            <w:tcW w:w="10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405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1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noProof/>
                <w:color w:val="000000"/>
                <w:sz w:val="16"/>
              </w:rPr>
            </w:pPr>
            <w:r>
              <w:rPr>
                <w:rFonts w:ascii="Arial" w:hAnsi="Arial"/>
                <w:b/>
                <w:noProof/>
                <w:color w:val="000000"/>
                <w:sz w:val="16"/>
              </w:rPr>
              <w:t>Nerealizuotas pelnas ir nuostoliai 2019 m. gruodžio 31 d.</w:t>
            </w:r>
          </w:p>
        </w:tc>
        <w:tc>
          <w:tcPr>
            <w:tcW w:w="164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hAnsi="Arial"/>
                <w:b/>
                <w:noProof/>
                <w:color w:val="000000"/>
                <w:sz w:val="16"/>
              </w:rPr>
              <w:t>42 390</w:t>
            </w:r>
          </w:p>
        </w:tc>
        <w:tc>
          <w:tcPr>
            <w:tcW w:w="126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hAnsi="Arial"/>
                <w:b/>
                <w:noProof/>
                <w:color w:val="000000"/>
                <w:sz w:val="16"/>
              </w:rPr>
              <w:t>19 129</w:t>
            </w:r>
          </w:p>
        </w:tc>
        <w:tc>
          <w:tcPr>
            <w:tcW w:w="10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hAnsi="Arial"/>
                <w:b/>
                <w:noProof/>
                <w:color w:val="000000"/>
                <w:sz w:val="16"/>
              </w:rPr>
              <w:t>61 519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1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5"/>
              <w:rPr>
                <w:rFonts w:ascii="Arial" w:eastAsia="Arial" w:hAnsi="Arial" w:cs="Arial"/>
                <w:b/>
                <w:noProof/>
                <w:color w:val="000000"/>
                <w:sz w:val="16"/>
              </w:rPr>
            </w:pPr>
          </w:p>
        </w:tc>
        <w:tc>
          <w:tcPr>
            <w:tcW w:w="164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5"/>
              <w:rPr>
                <w:rFonts w:ascii="Arial" w:eastAsia="Arial" w:hAnsi="Arial" w:cs="Arial"/>
                <w:b/>
                <w:noProof/>
                <w:color w:val="000000"/>
                <w:sz w:val="16"/>
              </w:rPr>
            </w:pPr>
          </w:p>
        </w:tc>
        <w:tc>
          <w:tcPr>
            <w:tcW w:w="126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5"/>
              <w:rPr>
                <w:rFonts w:ascii="Arial" w:eastAsia="Arial" w:hAnsi="Arial" w:cs="Arial"/>
                <w:b/>
                <w:noProof/>
                <w:color w:val="000000"/>
                <w:sz w:val="16"/>
              </w:rPr>
            </w:pPr>
          </w:p>
        </w:tc>
        <w:tc>
          <w:tcPr>
            <w:tcW w:w="108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5"/>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10" w:type="dxa"/>
            <w:tcBorders>
              <w:top w:val="nil"/>
              <w:left w:val="nil"/>
              <w:bottom w:val="nil"/>
              <w:right w:val="nil"/>
              <w:tl2br w:val="nil"/>
              <w:tr2bl w:val="nil"/>
            </w:tcBorders>
            <w:shd w:val="clear" w:color="FFFFFF" w:fill="C0C0C0"/>
            <w:tcMar>
              <w:left w:w="40" w:type="dxa"/>
              <w:right w:w="40" w:type="dxa"/>
            </w:tcMar>
            <w:vAlign w:val="center"/>
          </w:tcPr>
          <w:p>
            <w:pPr>
              <w:pStyle w:val="Normal135"/>
              <w:rPr>
                <w:rFonts w:ascii="Arial" w:eastAsia="Arial" w:hAnsi="Arial" w:cs="Arial"/>
                <w:b/>
                <w:noProof/>
                <w:color w:val="000000"/>
                <w:sz w:val="16"/>
              </w:rPr>
            </w:pPr>
            <w:r>
              <w:rPr>
                <w:rFonts w:ascii="Arial" w:hAnsi="Arial"/>
                <w:b/>
                <w:noProof/>
                <w:color w:val="000000"/>
                <w:sz w:val="16"/>
              </w:rPr>
              <w:t>Akcijos ir kiti kintamo pelningumo vertybiniai popieriai 2019 m. gruodžio 31 d.</w:t>
            </w:r>
          </w:p>
        </w:tc>
        <w:tc>
          <w:tcPr>
            <w:tcW w:w="1640" w:type="dxa"/>
            <w:tcBorders>
              <w:top w:val="nil"/>
              <w:left w:val="nil"/>
              <w:bottom w:val="nil"/>
              <w:right w:val="nil"/>
              <w:tl2br w:val="nil"/>
              <w:tr2bl w:val="nil"/>
            </w:tcBorders>
            <w:shd w:val="clear" w:color="FFFFFF" w:fill="C0C0C0"/>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504 694</w:t>
            </w:r>
          </w:p>
        </w:tc>
        <w:tc>
          <w:tcPr>
            <w:tcW w:w="1260" w:type="dxa"/>
            <w:tcBorders>
              <w:top w:val="nil"/>
              <w:left w:val="nil"/>
              <w:bottom w:val="nil"/>
              <w:right w:val="nil"/>
              <w:tl2br w:val="nil"/>
              <w:tr2bl w:val="nil"/>
            </w:tcBorders>
            <w:shd w:val="clear" w:color="FFFFFF" w:fill="C0C0C0"/>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115 234</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619 928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9690" w:type="dxa"/>
            <w:gridSpan w:val="4"/>
            <w:tcBorders>
              <w:top w:val="nil"/>
              <w:left w:val="nil"/>
              <w:bottom w:val="nil"/>
              <w:right w:val="nil"/>
              <w:tl2br w:val="nil"/>
              <w:tr2bl w:val="nil"/>
            </w:tcBorders>
            <w:shd w:val="clear" w:color="auto" w:fill="auto"/>
            <w:tcMar>
              <w:left w:w="40" w:type="dxa"/>
              <w:right w:w="40" w:type="dxa"/>
            </w:tcMar>
            <w:vAlign w:val="center"/>
          </w:tcPr>
          <w:p>
            <w:pPr>
              <w:pStyle w:val="Normal135"/>
              <w:spacing w:before="40"/>
              <w:jc w:val="both"/>
              <w:rPr>
                <w:rFonts w:ascii="Arial" w:eastAsia="Arial" w:hAnsi="Arial" w:cs="Arial"/>
                <w:b/>
                <w:noProof/>
                <w:color w:val="000000"/>
                <w:sz w:val="16"/>
              </w:rPr>
            </w:pPr>
            <w:r>
              <w:rPr>
                <w:rFonts w:ascii="Arial" w:hAnsi="Arial"/>
                <w:noProof/>
                <w:color w:val="000000"/>
                <w:sz w:val="16"/>
              </w:rPr>
              <w:t>* Įskaitant 2018 m. gruodžio 31 d. apskaičiuotos tikrosios vertės (5 853 tūkst. EUR) iškraipymą, kuris buvo ištaisytas 2019 m. Be jo, grynasis nerealizuoto pelno ir nuostolių pokytis 2019 finansiniais metais sudarytų 17 970 tūkst. EUR.</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571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5"/>
              <w:rPr>
                <w:rFonts w:ascii="Arial" w:eastAsia="Arial" w:hAnsi="Arial" w:cs="Arial"/>
                <w:noProof/>
                <w:color w:val="000000"/>
                <w:sz w:val="20"/>
              </w:rPr>
            </w:pPr>
          </w:p>
        </w:tc>
        <w:tc>
          <w:tcPr>
            <w:tcW w:w="164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5"/>
              <w:rPr>
                <w:rFonts w:ascii="Arial" w:eastAsia="Arial" w:hAnsi="Arial" w:cs="Arial"/>
                <w:noProof/>
                <w:color w:val="000000"/>
                <w:sz w:val="20"/>
              </w:rPr>
            </w:pPr>
          </w:p>
        </w:tc>
        <w:tc>
          <w:tcPr>
            <w:tcW w:w="126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5"/>
              <w:rPr>
                <w:rFonts w:ascii="Arial" w:eastAsia="Arial" w:hAnsi="Arial" w:cs="Arial"/>
                <w:noProof/>
                <w:color w:val="000000"/>
                <w:sz w:val="20"/>
              </w:rPr>
            </w:pPr>
          </w:p>
        </w:tc>
        <w:tc>
          <w:tcPr>
            <w:tcW w:w="108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57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35"/>
              <w:rPr>
                <w:rFonts w:ascii="Arial" w:eastAsia="Arial" w:hAnsi="Arial" w:cs="Arial"/>
                <w:b/>
                <w:noProof/>
                <w:color w:val="000000"/>
                <w:sz w:val="16"/>
              </w:rPr>
            </w:pPr>
            <w:r>
              <w:rPr>
                <w:rFonts w:ascii="Arial" w:hAnsi="Arial"/>
                <w:b/>
                <w:noProof/>
                <w:color w:val="000000"/>
                <w:sz w:val="16"/>
              </w:rPr>
              <w:t>tūkst. EUR</w:t>
            </w:r>
          </w:p>
        </w:tc>
        <w:tc>
          <w:tcPr>
            <w:tcW w:w="164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Rizikos kapitalo fondai</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Tiesioginės investicijos į nuosavą kapitalą</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Iš viso</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7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b/>
                <w:noProof/>
                <w:color w:val="000000"/>
                <w:sz w:val="16"/>
              </w:rPr>
            </w:pPr>
            <w:r>
              <w:rPr>
                <w:rFonts w:ascii="Arial" w:hAnsi="Arial"/>
                <w:b/>
                <w:noProof/>
                <w:color w:val="000000"/>
                <w:sz w:val="16"/>
              </w:rPr>
              <w:t>Savikaina 2018 m. sausio 1 d.</w:t>
            </w:r>
          </w:p>
        </w:tc>
        <w:tc>
          <w:tcPr>
            <w:tcW w:w="164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356 086</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70 310</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426 396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1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hAnsi="Arial"/>
                <w:noProof/>
                <w:color w:val="000000"/>
                <w:sz w:val="16"/>
              </w:rPr>
              <w:t>Išmokos</w:t>
            </w:r>
          </w:p>
        </w:tc>
        <w:tc>
          <w:tcPr>
            <w:tcW w:w="164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73 250</w:t>
            </w:r>
          </w:p>
        </w:tc>
        <w:tc>
          <w:tcPr>
            <w:tcW w:w="12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22 184</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95 434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10" w:type="dxa"/>
            <w:tcBorders>
              <w:top w:val="nil"/>
              <w:left w:val="nil"/>
              <w:bottom w:val="nil"/>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hAnsi="Arial"/>
                <w:noProof/>
                <w:color w:val="000000"/>
                <w:sz w:val="16"/>
              </w:rPr>
              <w:t>Grąžintos sumos / pardavimai</w:t>
            </w:r>
          </w:p>
        </w:tc>
        <w:tc>
          <w:tcPr>
            <w:tcW w:w="1640"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−21 681</w:t>
            </w:r>
          </w:p>
        </w:tc>
        <w:tc>
          <w:tcPr>
            <w:tcW w:w="1260"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−635</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−22 316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10" w:type="dxa"/>
            <w:tcBorders>
              <w:top w:val="nil"/>
              <w:left w:val="nil"/>
              <w:bottom w:val="nil"/>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hAnsi="Arial"/>
                <w:noProof/>
                <w:color w:val="000000"/>
                <w:sz w:val="16"/>
              </w:rPr>
              <w:t xml:space="preserve">Užsienio valiutos kursų skirtumai </w:t>
            </w:r>
          </w:p>
        </w:tc>
        <w:tc>
          <w:tcPr>
            <w:tcW w:w="1640"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13 938</w:t>
            </w:r>
          </w:p>
        </w:tc>
        <w:tc>
          <w:tcPr>
            <w:tcW w:w="1260"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1 355</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15 293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b/>
                <w:noProof/>
                <w:color w:val="000000"/>
                <w:sz w:val="16"/>
              </w:rPr>
            </w:pPr>
            <w:r>
              <w:rPr>
                <w:rFonts w:ascii="Arial" w:hAnsi="Arial"/>
                <w:b/>
                <w:noProof/>
                <w:color w:val="000000"/>
                <w:sz w:val="16"/>
              </w:rPr>
              <w:t>Savikaina 2018 m. gruodžio 31 d.</w:t>
            </w:r>
          </w:p>
        </w:tc>
        <w:tc>
          <w:tcPr>
            <w:tcW w:w="164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421 593</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93 214</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514 807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1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5"/>
              <w:rPr>
                <w:rFonts w:ascii="Arial" w:eastAsia="Arial" w:hAnsi="Arial" w:cs="Arial"/>
                <w:b/>
                <w:noProof/>
                <w:color w:val="000000"/>
                <w:sz w:val="16"/>
              </w:rPr>
            </w:pPr>
          </w:p>
        </w:tc>
        <w:tc>
          <w:tcPr>
            <w:tcW w:w="164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c>
          <w:tcPr>
            <w:tcW w:w="12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c>
          <w:tcPr>
            <w:tcW w:w="108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b/>
                <w:noProof/>
                <w:color w:val="000000"/>
                <w:sz w:val="16"/>
              </w:rPr>
            </w:pPr>
            <w:r>
              <w:rPr>
                <w:rFonts w:ascii="Arial" w:hAnsi="Arial"/>
                <w:b/>
                <w:noProof/>
                <w:color w:val="000000"/>
                <w:sz w:val="16"/>
              </w:rPr>
              <w:t>Nerealizuotas pelnas ir nuostoliai 2018 m. sausio 1 d.</w:t>
            </w:r>
          </w:p>
        </w:tc>
        <w:tc>
          <w:tcPr>
            <w:tcW w:w="164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64 018</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7 125</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71 143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1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hAnsi="Arial"/>
                <w:noProof/>
                <w:color w:val="000000"/>
                <w:sz w:val="16"/>
              </w:rPr>
              <w:t>Nerealizuoto pelno ir nuostolių grynasis pokytis</w:t>
            </w:r>
          </w:p>
        </w:tc>
        <w:tc>
          <w:tcPr>
            <w:tcW w:w="164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−20 493</w:t>
            </w:r>
          </w:p>
        </w:tc>
        <w:tc>
          <w:tcPr>
            <w:tcW w:w="12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−172</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−20 665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1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hAnsi="Arial"/>
                <w:noProof/>
                <w:color w:val="000000"/>
                <w:sz w:val="16"/>
              </w:rPr>
              <w:t xml:space="preserve">Užsienio valiutos kursų skirtumai </w:t>
            </w:r>
          </w:p>
        </w:tc>
        <w:tc>
          <w:tcPr>
            <w:tcW w:w="164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2 034</w:t>
            </w:r>
          </w:p>
        </w:tc>
        <w:tc>
          <w:tcPr>
            <w:tcW w:w="126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−27</w:t>
            </w:r>
          </w:p>
        </w:tc>
        <w:tc>
          <w:tcPr>
            <w:tcW w:w="10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2 007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b/>
                <w:noProof/>
                <w:color w:val="000000"/>
                <w:sz w:val="16"/>
              </w:rPr>
            </w:pPr>
            <w:r>
              <w:rPr>
                <w:rFonts w:ascii="Arial" w:hAnsi="Arial"/>
                <w:b/>
                <w:noProof/>
                <w:color w:val="000000"/>
                <w:sz w:val="16"/>
              </w:rPr>
              <w:t>Nerealizuotas pelnas ir nuostoliai 2018 m. gruodžio 31 d.</w:t>
            </w:r>
          </w:p>
        </w:tc>
        <w:tc>
          <w:tcPr>
            <w:tcW w:w="164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45 559</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6 926</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52 485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1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5"/>
              <w:rPr>
                <w:rFonts w:ascii="Arial" w:eastAsia="Arial" w:hAnsi="Arial" w:cs="Arial"/>
                <w:b/>
                <w:noProof/>
                <w:color w:val="000000"/>
                <w:sz w:val="16"/>
              </w:rPr>
            </w:pPr>
          </w:p>
        </w:tc>
        <w:tc>
          <w:tcPr>
            <w:tcW w:w="164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c>
          <w:tcPr>
            <w:tcW w:w="126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c>
          <w:tcPr>
            <w:tcW w:w="108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10" w:type="dxa"/>
            <w:tcBorders>
              <w:top w:val="nil"/>
              <w:left w:val="nil"/>
              <w:bottom w:val="nil"/>
              <w:right w:val="nil"/>
              <w:tl2br w:val="nil"/>
              <w:tr2bl w:val="nil"/>
            </w:tcBorders>
            <w:shd w:val="clear" w:color="FFFFFF" w:fill="C0C0C0"/>
            <w:tcMar>
              <w:left w:w="40" w:type="dxa"/>
              <w:right w:w="40" w:type="dxa"/>
            </w:tcMar>
            <w:vAlign w:val="center"/>
          </w:tcPr>
          <w:p>
            <w:pPr>
              <w:pStyle w:val="Normal135"/>
              <w:rPr>
                <w:rFonts w:ascii="Arial" w:eastAsia="Arial" w:hAnsi="Arial" w:cs="Arial"/>
                <w:b/>
                <w:noProof/>
                <w:color w:val="000000"/>
                <w:sz w:val="16"/>
              </w:rPr>
            </w:pPr>
            <w:r>
              <w:rPr>
                <w:rFonts w:ascii="Arial" w:hAnsi="Arial"/>
                <w:b/>
                <w:noProof/>
                <w:color w:val="000000"/>
                <w:sz w:val="16"/>
              </w:rPr>
              <w:t>Akcijos ir kiti kintamo pelningumo vertybiniai popieriai 2018 m. gruodžio 31 d.</w:t>
            </w:r>
          </w:p>
        </w:tc>
        <w:tc>
          <w:tcPr>
            <w:tcW w:w="1640" w:type="dxa"/>
            <w:tcBorders>
              <w:top w:val="nil"/>
              <w:left w:val="nil"/>
              <w:bottom w:val="nil"/>
              <w:right w:val="nil"/>
              <w:tl2br w:val="nil"/>
              <w:tr2bl w:val="nil"/>
            </w:tcBorders>
            <w:shd w:val="clear" w:color="FFFFFF" w:fill="C0C0C0"/>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467 152</w:t>
            </w:r>
          </w:p>
        </w:tc>
        <w:tc>
          <w:tcPr>
            <w:tcW w:w="1260" w:type="dxa"/>
            <w:tcBorders>
              <w:top w:val="nil"/>
              <w:left w:val="nil"/>
              <w:bottom w:val="nil"/>
              <w:right w:val="nil"/>
              <w:tl2br w:val="nil"/>
              <w:tr2bl w:val="nil"/>
            </w:tcBorders>
            <w:shd w:val="clear" w:color="FFFFFF" w:fill="C0C0C0"/>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100 140</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567 292</w:t>
            </w:r>
          </w:p>
        </w:tc>
      </w:tr>
    </w:tbl>
    <w:p>
      <w:pPr>
        <w:pStyle w:val="Title1"/>
        <w:pageBreakBefore/>
        <w:pBdr>
          <w:top w:val="nil"/>
          <w:left w:val="nil"/>
          <w:bottom w:val="nil"/>
          <w:right w:val="nil"/>
          <w:between w:val="nil"/>
          <w:bar w:val="nil"/>
        </w:pBdr>
        <w:spacing w:before="120" w:after="120"/>
        <w:ind w:left="431" w:hanging="431"/>
        <w:rPr>
          <w:noProof/>
          <w:bdr w:val="nil"/>
        </w:rPr>
      </w:pPr>
      <w:r>
        <w:rPr>
          <w:noProof/>
          <w:bdr w:val="nil"/>
        </w:rPr>
        <w:t>9.</w:t>
      </w:r>
      <w:r>
        <w:rPr>
          <w:noProof/>
          <w:bdr w:val="nil"/>
        </w:rPr>
        <w:tab/>
        <w:t xml:space="preserve">Iš įnašų mokėtojų gautinos sumos </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Iš įnašų mokėtojų gautiną 86 330 tūkst. EUR sumą sudaro vien tik pareikalauti, bet neįmokėti valstybių narių įnašai</w:t>
      </w:r>
    </w:p>
    <w:p>
      <w:pPr>
        <w:pBdr>
          <w:top w:val="nil"/>
          <w:left w:val="nil"/>
          <w:bottom w:val="nil"/>
          <w:right w:val="nil"/>
          <w:between w:val="nil"/>
          <w:bar w:val="nil"/>
        </w:pBdr>
        <w:spacing w:before="60" w:after="60"/>
        <w:jc w:val="both"/>
        <w:rPr>
          <w:rFonts w:ascii="Arial" w:hAnsi="Arial"/>
          <w:noProof/>
          <w:sz w:val="16"/>
          <w:bdr w:val="nil"/>
        </w:rPr>
      </w:pPr>
      <w:r>
        <w:rPr>
          <w:noProof/>
        </w:rPr>
        <w:t xml:space="preserve"> </w:t>
      </w:r>
    </w:p>
    <w:p>
      <w:pPr>
        <w:pStyle w:val="Notes"/>
        <w:pBdr>
          <w:top w:val="nil"/>
          <w:left w:val="nil"/>
          <w:bottom w:val="nil"/>
          <w:right w:val="nil"/>
          <w:between w:val="nil"/>
          <w:bar w:val="nil"/>
        </w:pBdr>
        <w:ind w:left="431" w:hanging="431"/>
        <w:rPr>
          <w:noProof/>
          <w:bdr w:val="nil"/>
        </w:rPr>
      </w:pPr>
      <w:r>
        <w:rPr>
          <w:noProof/>
          <w:bdr w:val="nil"/>
        </w:rPr>
        <w:t>10.</w:t>
      </w:r>
      <w:r>
        <w:rPr>
          <w:noProof/>
          <w:bdr w:val="nil"/>
        </w:rPr>
        <w:tab/>
        <w:t>Iždo finansinis turtas</w:t>
      </w:r>
    </w:p>
    <w:p>
      <w:pPr>
        <w:pBdr>
          <w:top w:val="nil"/>
          <w:left w:val="nil"/>
          <w:bottom w:val="nil"/>
          <w:right w:val="nil"/>
          <w:between w:val="nil"/>
          <w:bar w:val="nil"/>
        </w:pBdr>
        <w:spacing w:before="60" w:after="60"/>
        <w:jc w:val="both"/>
        <w:rPr>
          <w:noProof/>
          <w:sz w:val="16"/>
          <w:szCs w:val="16"/>
          <w:bdr w:val="nil"/>
        </w:rPr>
      </w:pPr>
    </w:p>
    <w:p>
      <w:pPr>
        <w:pBdr>
          <w:top w:val="nil"/>
          <w:left w:val="nil"/>
          <w:bottom w:val="nil"/>
          <w:right w:val="nil"/>
          <w:between w:val="nil"/>
          <w:bar w:val="nil"/>
        </w:pBdr>
        <w:spacing w:before="60" w:after="60"/>
        <w:jc w:val="both"/>
        <w:rPr>
          <w:noProof/>
          <w:sz w:val="16"/>
        </w:rPr>
      </w:pPr>
      <w:r>
        <w:rPr>
          <w:rFonts w:ascii="Arial" w:hAnsi="Arial"/>
          <w:noProof/>
          <w:sz w:val="16"/>
          <w:szCs w:val="16"/>
          <w:bdr w:val="nil"/>
        </w:rPr>
        <w:t xml:space="preserve">Iždo portfelį sudaro kotiruojamos obligacijos, kurių likęs terminas finansinių ataskaitų sudarymo dieną yra trumpesnis nei trys mėnesiai. Lentelėje parodyti iždo portfelio pokyčiai. </w:t>
      </w:r>
      <w:r>
        <w:rPr>
          <w:noProof/>
          <w:sz w:val="16"/>
          <w:szCs w:val="16"/>
        </w:rPr>
        <w:t xml:space="preserve"> </w:t>
      </w:r>
    </w:p>
    <w:p>
      <w:pPr>
        <w:pBdr>
          <w:top w:val="nil"/>
          <w:left w:val="nil"/>
          <w:bottom w:val="nil"/>
          <w:right w:val="nil"/>
          <w:between w:val="nil"/>
          <w:bar w:val="nil"/>
        </w:pBdr>
        <w:spacing w:before="60" w:after="60"/>
        <w:jc w:val="both"/>
        <w:rPr>
          <w:rFonts w:ascii="Arial" w:hAnsi="Arial" w:cs="Arial"/>
          <w:noProof/>
          <w:sz w:val="16"/>
        </w:rPr>
      </w:pPr>
    </w:p>
    <w:tbl>
      <w:tblPr>
        <w:tblStyle w:val="CDMRange215"/>
        <w:tblW w:w="5000" w:type="pct"/>
        <w:tblLayout w:type="fixed"/>
        <w:tblLook w:val="0600" w:firstRow="0" w:lastRow="0" w:firstColumn="0" w:lastColumn="0" w:noHBand="1" w:noVBand="1"/>
      </w:tblPr>
      <w:tblGrid>
        <w:gridCol w:w="8223"/>
        <w:gridCol w:w="1456"/>
      </w:tblGrid>
      <w:tr>
        <w:trPr>
          <w:trHeight w:val="250"/>
        </w:trPr>
        <w:tc>
          <w:tcPr>
            <w:tcW w:w="424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b/>
                <w:noProof/>
                <w:color w:val="000000"/>
                <w:sz w:val="16"/>
              </w:rPr>
            </w:pPr>
            <w:r>
              <w:rPr>
                <w:rFonts w:ascii="Arial" w:hAnsi="Arial"/>
                <w:b/>
                <w:noProof/>
                <w:color w:val="000000"/>
                <w:sz w:val="16"/>
              </w:rPr>
              <w:t>tūkst. EUR</w:t>
            </w:r>
          </w:p>
        </w:tc>
        <w:tc>
          <w:tcPr>
            <w:tcW w:w="752"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36"/>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6"/>
              <w:rPr>
                <w:rFonts w:ascii="Arial" w:eastAsia="Arial" w:hAnsi="Arial" w:cs="Arial"/>
                <w:b/>
                <w:noProof/>
                <w:color w:val="000000"/>
                <w:sz w:val="16"/>
              </w:rPr>
            </w:pPr>
            <w:r>
              <w:rPr>
                <w:rFonts w:ascii="Arial" w:hAnsi="Arial"/>
                <w:b/>
                <w:noProof/>
                <w:color w:val="000000"/>
                <w:sz w:val="16"/>
              </w:rPr>
              <w:t>Likutis 2019 m. sausio 1 d.</w:t>
            </w:r>
          </w:p>
        </w:tc>
        <w:tc>
          <w:tcPr>
            <w:tcW w:w="752"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6"/>
              <w:jc w:val="right"/>
              <w:rPr>
                <w:rFonts w:ascii="Arial" w:eastAsia="Arial" w:hAnsi="Arial" w:cs="Arial"/>
                <w:b/>
                <w:noProof/>
                <w:color w:val="000000"/>
                <w:sz w:val="16"/>
              </w:rPr>
            </w:pPr>
            <w:r>
              <w:rPr>
                <w:rFonts w:ascii="Arial" w:hAnsi="Arial"/>
                <w:b/>
                <w:noProof/>
                <w:color w:val="000000"/>
                <w:sz w:val="16"/>
              </w:rPr>
              <w:t>335 140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noProof/>
                <w:color w:val="000000"/>
                <w:sz w:val="16"/>
              </w:rPr>
            </w:pPr>
            <w:r>
              <w:rPr>
                <w:rFonts w:ascii="Arial" w:hAnsi="Arial"/>
                <w:noProof/>
                <w:color w:val="000000"/>
                <w:sz w:val="16"/>
              </w:rPr>
              <w:t>Įsigijimai</w:t>
            </w:r>
          </w:p>
        </w:tc>
        <w:tc>
          <w:tcPr>
            <w:tcW w:w="752"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6"/>
              <w:jc w:val="right"/>
              <w:rPr>
                <w:rFonts w:ascii="Arial" w:eastAsia="Arial" w:hAnsi="Arial" w:cs="Arial"/>
                <w:noProof/>
                <w:color w:val="000000"/>
                <w:sz w:val="16"/>
              </w:rPr>
            </w:pPr>
            <w:r>
              <w:rPr>
                <w:rFonts w:ascii="Arial" w:hAnsi="Arial"/>
                <w:noProof/>
                <w:color w:val="000000"/>
                <w:sz w:val="16"/>
              </w:rPr>
              <w:t>2 948 021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noProof/>
                <w:color w:val="000000"/>
                <w:sz w:val="16"/>
              </w:rPr>
            </w:pPr>
            <w:r>
              <w:rPr>
                <w:rFonts w:ascii="Arial" w:hAnsi="Arial"/>
                <w:noProof/>
                <w:color w:val="000000"/>
                <w:sz w:val="16"/>
              </w:rPr>
              <w:t>Obligacijų, kurių išpirkimo terminas suėjęs, vertė</w:t>
            </w:r>
          </w:p>
        </w:tc>
        <w:tc>
          <w:tcPr>
            <w:tcW w:w="752" w:type="pct"/>
            <w:tcBorders>
              <w:top w:val="nil"/>
              <w:left w:val="nil"/>
              <w:bottom w:val="nil"/>
              <w:right w:val="nil"/>
              <w:tl2br w:val="nil"/>
              <w:tr2bl w:val="nil"/>
            </w:tcBorders>
            <w:shd w:val="clear" w:color="auto" w:fill="auto"/>
            <w:tcMar>
              <w:left w:w="40" w:type="dxa"/>
              <w:right w:w="40" w:type="dxa"/>
            </w:tcMar>
            <w:vAlign w:val="center"/>
          </w:tcPr>
          <w:p>
            <w:pPr>
              <w:pStyle w:val="Normal136"/>
              <w:jc w:val="right"/>
              <w:rPr>
                <w:rFonts w:ascii="Arial" w:eastAsia="Arial" w:hAnsi="Arial" w:cs="Arial"/>
                <w:noProof/>
                <w:color w:val="000000"/>
                <w:sz w:val="16"/>
              </w:rPr>
            </w:pPr>
            <w:r>
              <w:rPr>
                <w:rFonts w:ascii="Arial" w:hAnsi="Arial"/>
                <w:noProof/>
                <w:color w:val="000000"/>
                <w:sz w:val="16"/>
              </w:rPr>
              <w:t>−2 952 905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noProof/>
                <w:color w:val="000000"/>
                <w:sz w:val="16"/>
              </w:rPr>
            </w:pPr>
            <w:r>
              <w:rPr>
                <w:rFonts w:ascii="Arial" w:hAnsi="Arial"/>
                <w:noProof/>
                <w:color w:val="000000"/>
                <w:sz w:val="16"/>
              </w:rPr>
              <w:t>Priedų / nuolaidų amortizacijos pokytis</w:t>
            </w:r>
          </w:p>
        </w:tc>
        <w:tc>
          <w:tcPr>
            <w:tcW w:w="752" w:type="pct"/>
            <w:tcBorders>
              <w:top w:val="nil"/>
              <w:left w:val="nil"/>
              <w:bottom w:val="nil"/>
              <w:right w:val="nil"/>
              <w:tl2br w:val="nil"/>
              <w:tr2bl w:val="nil"/>
            </w:tcBorders>
            <w:shd w:val="clear" w:color="auto" w:fill="auto"/>
            <w:tcMar>
              <w:left w:w="40" w:type="dxa"/>
              <w:right w:w="40" w:type="dxa"/>
            </w:tcMar>
            <w:vAlign w:val="center"/>
          </w:tcPr>
          <w:p>
            <w:pPr>
              <w:pStyle w:val="Normal136"/>
              <w:jc w:val="right"/>
              <w:rPr>
                <w:rFonts w:ascii="Arial" w:eastAsia="Arial" w:hAnsi="Arial" w:cs="Arial"/>
                <w:noProof/>
                <w:color w:val="000000"/>
                <w:sz w:val="16"/>
              </w:rPr>
            </w:pPr>
            <w:r>
              <w:rPr>
                <w:rFonts w:ascii="Arial" w:hAnsi="Arial"/>
                <w:noProof/>
                <w:color w:val="000000"/>
                <w:sz w:val="16"/>
              </w:rPr>
              <w:t>−93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noProof/>
                <w:color w:val="000000"/>
                <w:sz w:val="16"/>
              </w:rPr>
            </w:pPr>
            <w:r>
              <w:rPr>
                <w:rFonts w:ascii="Arial" w:hAnsi="Arial"/>
                <w:noProof/>
                <w:color w:val="000000"/>
                <w:sz w:val="16"/>
              </w:rPr>
              <w:t xml:space="preserve">Sukauptų palūkanų pokytis </w:t>
            </w:r>
          </w:p>
        </w:tc>
        <w:tc>
          <w:tcPr>
            <w:tcW w:w="752" w:type="pct"/>
            <w:tcBorders>
              <w:top w:val="nil"/>
              <w:left w:val="nil"/>
              <w:bottom w:val="nil"/>
              <w:right w:val="nil"/>
              <w:tl2br w:val="nil"/>
              <w:tr2bl w:val="nil"/>
            </w:tcBorders>
            <w:shd w:val="clear" w:color="auto" w:fill="auto"/>
            <w:tcMar>
              <w:left w:w="40" w:type="dxa"/>
              <w:right w:w="40" w:type="dxa"/>
            </w:tcMar>
            <w:vAlign w:val="center"/>
          </w:tcPr>
          <w:p>
            <w:pPr>
              <w:pStyle w:val="Normal136"/>
              <w:jc w:val="right"/>
              <w:rPr>
                <w:rFonts w:ascii="Arial" w:eastAsia="Arial" w:hAnsi="Arial" w:cs="Arial"/>
                <w:noProof/>
                <w:color w:val="000000"/>
                <w:sz w:val="16"/>
              </w:rPr>
            </w:pPr>
            <w:r>
              <w:rPr>
                <w:rFonts w:ascii="Arial" w:hAnsi="Arial"/>
                <w:noProof/>
                <w:color w:val="000000"/>
                <w:sz w:val="16"/>
              </w:rPr>
              <w:t>424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FFFFFF" w:fill="BFBFBF"/>
            <w:tcMar>
              <w:left w:w="40" w:type="dxa"/>
              <w:right w:w="40" w:type="dxa"/>
            </w:tcMar>
            <w:vAlign w:val="center"/>
          </w:tcPr>
          <w:p>
            <w:pPr>
              <w:pStyle w:val="Normal136"/>
              <w:rPr>
                <w:rFonts w:ascii="Arial" w:eastAsia="Arial" w:hAnsi="Arial" w:cs="Arial"/>
                <w:b/>
                <w:noProof/>
                <w:color w:val="000000"/>
                <w:sz w:val="16"/>
              </w:rPr>
            </w:pPr>
            <w:r>
              <w:rPr>
                <w:rFonts w:ascii="Arial" w:hAnsi="Arial"/>
                <w:b/>
                <w:noProof/>
                <w:color w:val="000000"/>
                <w:sz w:val="16"/>
              </w:rPr>
              <w:t>Likutis 2019 m. gruodžio 31 d.</w:t>
            </w:r>
          </w:p>
        </w:tc>
        <w:tc>
          <w:tcPr>
            <w:tcW w:w="752" w:type="pct"/>
            <w:tcBorders>
              <w:top w:val="nil"/>
              <w:left w:val="nil"/>
              <w:bottom w:val="nil"/>
              <w:right w:val="nil"/>
              <w:tl2br w:val="nil"/>
              <w:tr2bl w:val="nil"/>
            </w:tcBorders>
            <w:shd w:val="clear" w:color="FFFFFF" w:fill="BFBFBF"/>
            <w:tcMar>
              <w:left w:w="40" w:type="dxa"/>
              <w:right w:w="40" w:type="dxa"/>
            </w:tcMar>
            <w:vAlign w:val="center"/>
          </w:tcPr>
          <w:p>
            <w:pPr>
              <w:pStyle w:val="Normal136"/>
              <w:jc w:val="right"/>
              <w:rPr>
                <w:rFonts w:ascii="Arial" w:eastAsia="Arial" w:hAnsi="Arial" w:cs="Arial"/>
                <w:b/>
                <w:noProof/>
                <w:color w:val="000000"/>
                <w:sz w:val="16"/>
              </w:rPr>
            </w:pPr>
            <w:r>
              <w:rPr>
                <w:rFonts w:ascii="Arial" w:hAnsi="Arial"/>
                <w:b/>
                <w:noProof/>
                <w:color w:val="000000"/>
                <w:sz w:val="16"/>
              </w:rPr>
              <w:t>330 587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4248"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6"/>
              <w:rPr>
                <w:rFonts w:ascii="Arial" w:eastAsia="Arial" w:hAnsi="Arial" w:cs="Arial"/>
                <w:noProof/>
                <w:color w:val="000000"/>
                <w:sz w:val="20"/>
              </w:rPr>
            </w:pPr>
          </w:p>
        </w:tc>
        <w:tc>
          <w:tcPr>
            <w:tcW w:w="752"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6"/>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4248" w:type="pct"/>
            <w:tcBorders>
              <w:top w:val="single" w:sz="4" w:space="0" w:color="000000"/>
              <w:left w:val="nil"/>
              <w:bottom w:val="nil"/>
              <w:right w:val="nil"/>
              <w:tl2br w:val="nil"/>
              <w:tr2bl w:val="nil"/>
            </w:tcBorders>
            <w:shd w:val="clear" w:color="auto" w:fill="auto"/>
            <w:noWrap/>
            <w:tcMar>
              <w:left w:w="40" w:type="dxa"/>
              <w:right w:w="40" w:type="dxa"/>
            </w:tcMar>
            <w:vAlign w:val="bottom"/>
          </w:tcPr>
          <w:p>
            <w:pPr>
              <w:pStyle w:val="Normal136"/>
              <w:rPr>
                <w:rFonts w:ascii="Arial" w:eastAsia="Arial" w:hAnsi="Arial" w:cs="Arial"/>
                <w:b/>
                <w:noProof/>
                <w:color w:val="000000"/>
                <w:sz w:val="16"/>
              </w:rPr>
            </w:pPr>
            <w:r>
              <w:rPr>
                <w:rFonts w:ascii="Arial" w:hAnsi="Arial"/>
                <w:b/>
                <w:noProof/>
                <w:color w:val="000000"/>
                <w:sz w:val="16"/>
              </w:rPr>
              <w:t>tūkst. EUR</w:t>
            </w:r>
          </w:p>
        </w:tc>
        <w:tc>
          <w:tcPr>
            <w:tcW w:w="752"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36"/>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6"/>
              <w:rPr>
                <w:rFonts w:ascii="Arial" w:eastAsia="Arial" w:hAnsi="Arial" w:cs="Arial"/>
                <w:b/>
                <w:noProof/>
                <w:color w:val="000000"/>
                <w:sz w:val="16"/>
              </w:rPr>
            </w:pPr>
            <w:r>
              <w:rPr>
                <w:rFonts w:ascii="Arial" w:hAnsi="Arial"/>
                <w:b/>
                <w:noProof/>
                <w:color w:val="000000"/>
                <w:sz w:val="16"/>
              </w:rPr>
              <w:t>Likutis 2018 m. sausio 1 d.</w:t>
            </w:r>
          </w:p>
        </w:tc>
        <w:tc>
          <w:tcPr>
            <w:tcW w:w="752"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6"/>
              <w:jc w:val="right"/>
              <w:rPr>
                <w:rFonts w:ascii="Arial" w:eastAsia="Arial" w:hAnsi="Arial" w:cs="Arial"/>
                <w:b/>
                <w:noProof/>
                <w:color w:val="000000"/>
                <w:sz w:val="16"/>
              </w:rPr>
            </w:pPr>
            <w:r>
              <w:rPr>
                <w:rFonts w:ascii="Arial" w:hAnsi="Arial"/>
                <w:b/>
                <w:noProof/>
                <w:color w:val="000000"/>
                <w:sz w:val="16"/>
              </w:rPr>
              <w:t>144 382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noProof/>
                <w:color w:val="000000"/>
                <w:sz w:val="16"/>
              </w:rPr>
            </w:pPr>
            <w:r>
              <w:rPr>
                <w:rFonts w:ascii="Arial" w:hAnsi="Arial"/>
                <w:noProof/>
                <w:color w:val="000000"/>
                <w:sz w:val="16"/>
              </w:rPr>
              <w:t>Įsigijimai</w:t>
            </w:r>
          </w:p>
        </w:tc>
        <w:tc>
          <w:tcPr>
            <w:tcW w:w="752"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6"/>
              <w:jc w:val="right"/>
              <w:rPr>
                <w:rFonts w:ascii="Arial" w:eastAsia="Arial" w:hAnsi="Arial" w:cs="Arial"/>
                <w:noProof/>
                <w:color w:val="000000"/>
                <w:sz w:val="16"/>
              </w:rPr>
            </w:pPr>
            <w:r>
              <w:rPr>
                <w:rFonts w:ascii="Arial" w:hAnsi="Arial"/>
                <w:noProof/>
                <w:color w:val="000000"/>
                <w:sz w:val="16"/>
              </w:rPr>
              <w:t>2 219 062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noProof/>
                <w:color w:val="000000"/>
                <w:sz w:val="16"/>
              </w:rPr>
            </w:pPr>
            <w:r>
              <w:rPr>
                <w:rFonts w:ascii="Arial" w:hAnsi="Arial"/>
                <w:noProof/>
                <w:color w:val="000000"/>
                <w:sz w:val="16"/>
              </w:rPr>
              <w:t xml:space="preserve">Obligacijų, kurių išpirkimo terminas suėjęs, vertė </w:t>
            </w:r>
          </w:p>
        </w:tc>
        <w:tc>
          <w:tcPr>
            <w:tcW w:w="752" w:type="pct"/>
            <w:tcBorders>
              <w:top w:val="nil"/>
              <w:left w:val="nil"/>
              <w:bottom w:val="nil"/>
              <w:right w:val="nil"/>
              <w:tl2br w:val="nil"/>
              <w:tr2bl w:val="nil"/>
            </w:tcBorders>
            <w:shd w:val="clear" w:color="auto" w:fill="auto"/>
            <w:tcMar>
              <w:left w:w="40" w:type="dxa"/>
              <w:right w:w="40" w:type="dxa"/>
            </w:tcMar>
            <w:vAlign w:val="center"/>
          </w:tcPr>
          <w:p>
            <w:pPr>
              <w:pStyle w:val="Normal136"/>
              <w:jc w:val="right"/>
              <w:rPr>
                <w:rFonts w:ascii="Arial" w:eastAsia="Arial" w:hAnsi="Arial" w:cs="Arial"/>
                <w:noProof/>
                <w:color w:val="000000"/>
                <w:sz w:val="16"/>
              </w:rPr>
            </w:pPr>
            <w:r>
              <w:rPr>
                <w:rFonts w:ascii="Arial" w:hAnsi="Arial"/>
                <w:noProof/>
                <w:color w:val="000000"/>
                <w:sz w:val="16"/>
              </w:rPr>
              <w:t>−2 026 659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noProof/>
                <w:color w:val="000000"/>
                <w:sz w:val="16"/>
              </w:rPr>
            </w:pPr>
            <w:r>
              <w:rPr>
                <w:rFonts w:ascii="Arial" w:hAnsi="Arial"/>
                <w:noProof/>
                <w:color w:val="000000"/>
                <w:sz w:val="16"/>
              </w:rPr>
              <w:t>Priedų / nuolaidų amortizacijos pokytis</w:t>
            </w:r>
          </w:p>
        </w:tc>
        <w:tc>
          <w:tcPr>
            <w:tcW w:w="752" w:type="pct"/>
            <w:tcBorders>
              <w:top w:val="nil"/>
              <w:left w:val="nil"/>
              <w:bottom w:val="nil"/>
              <w:right w:val="nil"/>
              <w:tl2br w:val="nil"/>
              <w:tr2bl w:val="nil"/>
            </w:tcBorders>
            <w:shd w:val="clear" w:color="auto" w:fill="auto"/>
            <w:tcMar>
              <w:left w:w="40" w:type="dxa"/>
              <w:right w:w="40" w:type="dxa"/>
            </w:tcMar>
            <w:vAlign w:val="center"/>
          </w:tcPr>
          <w:p>
            <w:pPr>
              <w:pStyle w:val="Normal136"/>
              <w:jc w:val="right"/>
              <w:rPr>
                <w:rFonts w:ascii="Arial" w:eastAsia="Arial" w:hAnsi="Arial" w:cs="Arial"/>
                <w:noProof/>
                <w:color w:val="000000"/>
                <w:sz w:val="16"/>
              </w:rPr>
            </w:pPr>
            <w:r>
              <w:rPr>
                <w:rFonts w:ascii="Arial" w:hAnsi="Arial"/>
                <w:noProof/>
                <w:color w:val="000000"/>
                <w:sz w:val="16"/>
              </w:rPr>
              <w:t>149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noProof/>
                <w:color w:val="000000"/>
                <w:sz w:val="16"/>
              </w:rPr>
            </w:pPr>
            <w:r>
              <w:rPr>
                <w:rFonts w:ascii="Arial" w:hAnsi="Arial"/>
                <w:noProof/>
                <w:color w:val="000000"/>
                <w:sz w:val="16"/>
              </w:rPr>
              <w:t xml:space="preserve">Sukauptų palūkanų pokytis </w:t>
            </w:r>
          </w:p>
        </w:tc>
        <w:tc>
          <w:tcPr>
            <w:tcW w:w="752" w:type="pct"/>
            <w:tcBorders>
              <w:top w:val="nil"/>
              <w:left w:val="nil"/>
              <w:bottom w:val="nil"/>
              <w:right w:val="nil"/>
              <w:tl2br w:val="nil"/>
              <w:tr2bl w:val="nil"/>
            </w:tcBorders>
            <w:shd w:val="clear" w:color="auto" w:fill="auto"/>
            <w:tcMar>
              <w:left w:w="40" w:type="dxa"/>
              <w:right w:w="40" w:type="dxa"/>
            </w:tcMar>
            <w:vAlign w:val="center"/>
          </w:tcPr>
          <w:p>
            <w:pPr>
              <w:pStyle w:val="Normal136"/>
              <w:jc w:val="right"/>
              <w:rPr>
                <w:rFonts w:ascii="Arial" w:eastAsia="Arial" w:hAnsi="Arial" w:cs="Arial"/>
                <w:noProof/>
                <w:color w:val="000000"/>
                <w:sz w:val="16"/>
              </w:rPr>
            </w:pPr>
            <w:r>
              <w:rPr>
                <w:rFonts w:ascii="Arial" w:hAnsi="Arial"/>
                <w:noProof/>
                <w:color w:val="000000"/>
                <w:sz w:val="16"/>
              </w:rPr>
              <w:t>−1 794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FFFFFF" w:fill="BFBFBF"/>
            <w:tcMar>
              <w:left w:w="40" w:type="dxa"/>
              <w:right w:w="40" w:type="dxa"/>
            </w:tcMar>
            <w:vAlign w:val="center"/>
          </w:tcPr>
          <w:p>
            <w:pPr>
              <w:pStyle w:val="Normal136"/>
              <w:rPr>
                <w:rFonts w:ascii="Arial" w:eastAsia="Arial" w:hAnsi="Arial" w:cs="Arial"/>
                <w:b/>
                <w:noProof/>
                <w:color w:val="000000"/>
                <w:sz w:val="16"/>
              </w:rPr>
            </w:pPr>
            <w:r>
              <w:rPr>
                <w:rFonts w:ascii="Arial" w:hAnsi="Arial"/>
                <w:b/>
                <w:noProof/>
                <w:color w:val="000000"/>
                <w:sz w:val="16"/>
              </w:rPr>
              <w:t>Likutis 2018 m. gruodžio 31 d.</w:t>
            </w:r>
          </w:p>
        </w:tc>
        <w:tc>
          <w:tcPr>
            <w:tcW w:w="752" w:type="pct"/>
            <w:tcBorders>
              <w:top w:val="nil"/>
              <w:left w:val="nil"/>
              <w:bottom w:val="nil"/>
              <w:right w:val="nil"/>
              <w:tl2br w:val="nil"/>
              <w:tr2bl w:val="nil"/>
            </w:tcBorders>
            <w:shd w:val="clear" w:color="FFFFFF" w:fill="BFBFBF"/>
            <w:tcMar>
              <w:left w:w="40" w:type="dxa"/>
              <w:right w:w="40" w:type="dxa"/>
            </w:tcMar>
            <w:vAlign w:val="center"/>
          </w:tcPr>
          <w:p>
            <w:pPr>
              <w:pStyle w:val="Normal136"/>
              <w:jc w:val="right"/>
              <w:rPr>
                <w:rFonts w:ascii="Arial" w:eastAsia="Arial" w:hAnsi="Arial" w:cs="Arial"/>
                <w:b/>
                <w:noProof/>
                <w:color w:val="000000"/>
                <w:sz w:val="16"/>
              </w:rPr>
            </w:pPr>
            <w:r>
              <w:rPr>
                <w:rFonts w:ascii="Arial" w:hAnsi="Arial"/>
                <w:b/>
                <w:noProof/>
                <w:color w:val="000000"/>
                <w:sz w:val="16"/>
              </w:rPr>
              <w:t>335 140</w:t>
            </w:r>
          </w:p>
        </w:tc>
      </w:tr>
    </w:tbl>
    <w:p>
      <w:pPr>
        <w:pBdr>
          <w:top w:val="nil"/>
          <w:left w:val="nil"/>
          <w:bottom w:val="nil"/>
          <w:right w:val="nil"/>
          <w:between w:val="nil"/>
          <w:bar w:val="nil"/>
        </w:pBdr>
        <w:spacing w:before="60" w:after="60"/>
        <w:rPr>
          <w:rFonts w:ascii="Arial" w:hAnsi="Arial"/>
          <w:noProof/>
          <w:sz w:val="16"/>
          <w:bdr w:val="nil"/>
        </w:rPr>
      </w:pPr>
    </w:p>
    <w:p>
      <w:pPr>
        <w:pStyle w:val="Notes"/>
        <w:pBdr>
          <w:top w:val="nil"/>
          <w:left w:val="nil"/>
          <w:bottom w:val="nil"/>
          <w:right w:val="nil"/>
          <w:between w:val="nil"/>
          <w:bar w:val="nil"/>
        </w:pBdr>
        <w:ind w:left="431" w:hanging="431"/>
        <w:rPr>
          <w:noProof/>
          <w:bdr w:val="nil"/>
        </w:rPr>
      </w:pPr>
      <w:r>
        <w:rPr>
          <w:noProof/>
          <w:bdr w:val="nil"/>
        </w:rPr>
        <w:t>11.</w:t>
      </w:r>
      <w:r>
        <w:rPr>
          <w:noProof/>
          <w:bdr w:val="nil"/>
        </w:rPr>
        <w:tab/>
        <w:t>Kitas turtas</w:t>
      </w:r>
    </w:p>
    <w:p>
      <w:pPr>
        <w:pBdr>
          <w:top w:val="nil"/>
          <w:left w:val="nil"/>
          <w:bottom w:val="nil"/>
          <w:right w:val="nil"/>
          <w:between w:val="nil"/>
          <w:bar w:val="nil"/>
        </w:pBdr>
        <w:spacing w:before="60" w:after="60"/>
        <w:jc w:val="both"/>
        <w:rPr>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Pagrindiniai kito turto komponentai:</w:t>
      </w:r>
    </w:p>
    <w:p>
      <w:pPr>
        <w:pBdr>
          <w:top w:val="nil"/>
          <w:left w:val="nil"/>
          <w:bottom w:val="nil"/>
          <w:right w:val="nil"/>
          <w:between w:val="nil"/>
          <w:bar w:val="nil"/>
        </w:pBdr>
        <w:spacing w:before="60" w:after="60"/>
        <w:jc w:val="both"/>
        <w:rPr>
          <w:rFonts w:ascii="Arial" w:hAnsi="Arial"/>
          <w:noProof/>
          <w:sz w:val="16"/>
          <w:szCs w:val="16"/>
          <w:bdr w:val="nil"/>
        </w:rPr>
      </w:pPr>
    </w:p>
    <w:tbl>
      <w:tblPr>
        <w:tblStyle w:val="CDMRange116"/>
        <w:tblW w:w="5000" w:type="pct"/>
        <w:tblLayout w:type="fixed"/>
        <w:tblLook w:val="0600" w:firstRow="0" w:lastRow="0" w:firstColumn="0" w:lastColumn="0" w:noHBand="1" w:noVBand="1"/>
      </w:tblPr>
      <w:tblGrid>
        <w:gridCol w:w="6795"/>
        <w:gridCol w:w="1462"/>
        <w:gridCol w:w="1462"/>
      </w:tblGrid>
      <w:tr>
        <w:trPr>
          <w:trHeight w:val="250"/>
        </w:trPr>
        <w:tc>
          <w:tcPr>
            <w:tcW w:w="3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7"/>
              <w:rPr>
                <w:rFonts w:ascii="Arial" w:eastAsia="Arial" w:hAnsi="Arial" w:cs="Arial"/>
                <w:b/>
                <w:noProof/>
                <w:color w:val="000000"/>
                <w:sz w:val="16"/>
              </w:rPr>
            </w:pPr>
            <w:r>
              <w:rPr>
                <w:rFonts w:ascii="Arial" w:hAnsi="Arial"/>
                <w:b/>
                <w:noProof/>
                <w:color w:val="000000"/>
                <w:sz w:val="16"/>
              </w:rPr>
              <w:t>tūkst. EUR</w:t>
            </w:r>
          </w:p>
        </w:tc>
        <w:tc>
          <w:tcPr>
            <w:tcW w:w="75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7"/>
              <w:jc w:val="right"/>
              <w:rPr>
                <w:rFonts w:ascii="Arial" w:eastAsia="Arial" w:hAnsi="Arial" w:cs="Arial"/>
                <w:b/>
                <w:noProof/>
                <w:color w:val="000000"/>
                <w:sz w:val="16"/>
              </w:rPr>
            </w:pPr>
            <w:r>
              <w:rPr>
                <w:rFonts w:ascii="Arial" w:hAnsi="Arial"/>
                <w:b/>
                <w:noProof/>
                <w:color w:val="000000"/>
                <w:sz w:val="16"/>
              </w:rPr>
              <w:t>2019 12 31</w:t>
            </w:r>
          </w:p>
        </w:tc>
        <w:tc>
          <w:tcPr>
            <w:tcW w:w="75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7"/>
              <w:jc w:val="right"/>
              <w:rPr>
                <w:rFonts w:ascii="Arial" w:eastAsia="Arial" w:hAnsi="Arial" w:cs="Arial"/>
                <w:b/>
                <w:noProof/>
                <w:color w:val="000000"/>
                <w:sz w:val="16"/>
              </w:rPr>
            </w:pPr>
            <w:r>
              <w:rPr>
                <w:rFonts w:ascii="Arial" w:hAnsi="Arial"/>
                <w:b/>
                <w:noProof/>
                <w:color w:val="000000"/>
                <w:sz w:val="16"/>
              </w:rPr>
              <w:t>2018 12 31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496" w:type="pct"/>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137"/>
              <w:rPr>
                <w:rFonts w:ascii="Arial" w:eastAsia="Arial" w:hAnsi="Arial" w:cs="Arial"/>
                <w:noProof/>
                <w:color w:val="000000"/>
                <w:sz w:val="16"/>
              </w:rPr>
            </w:pPr>
            <w:r>
              <w:rPr>
                <w:rFonts w:ascii="Arial" w:hAnsi="Arial"/>
                <w:noProof/>
                <w:color w:val="000000"/>
                <w:sz w:val="16"/>
              </w:rPr>
              <w:t>Finansinės garantijos</w:t>
            </w:r>
          </w:p>
        </w:tc>
        <w:tc>
          <w:tcPr>
            <w:tcW w:w="752" w:type="pct"/>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137"/>
              <w:jc w:val="right"/>
              <w:rPr>
                <w:rFonts w:ascii="Arial" w:eastAsia="Arial" w:hAnsi="Arial" w:cs="Arial"/>
                <w:noProof/>
                <w:color w:val="000000"/>
                <w:sz w:val="16"/>
              </w:rPr>
            </w:pPr>
            <w:r>
              <w:rPr>
                <w:rFonts w:ascii="Arial" w:hAnsi="Arial"/>
                <w:noProof/>
                <w:color w:val="000000"/>
                <w:sz w:val="16"/>
              </w:rPr>
              <w:t>-</w:t>
            </w:r>
          </w:p>
        </w:tc>
        <w:tc>
          <w:tcPr>
            <w:tcW w:w="752" w:type="pct"/>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137"/>
              <w:jc w:val="right"/>
              <w:rPr>
                <w:rFonts w:ascii="Arial" w:eastAsia="Arial" w:hAnsi="Arial" w:cs="Arial"/>
                <w:noProof/>
                <w:color w:val="000000"/>
                <w:sz w:val="16"/>
              </w:rPr>
            </w:pPr>
            <w:r>
              <w:rPr>
                <w:rFonts w:ascii="Arial" w:hAnsi="Arial"/>
                <w:noProof/>
                <w:color w:val="000000"/>
                <w:sz w:val="16"/>
              </w:rPr>
              <w:t>171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496" w:type="pct"/>
            <w:tcBorders>
              <w:top w:val="nil"/>
              <w:left w:val="nil"/>
              <w:bottom w:val="nil"/>
              <w:right w:val="nil"/>
              <w:tl2br w:val="nil"/>
              <w:tr2bl w:val="nil"/>
            </w:tcBorders>
            <w:shd w:val="clear" w:color="FFFFFF" w:fill="C0C0C0"/>
            <w:tcMar>
              <w:left w:w="40" w:type="dxa"/>
              <w:right w:w="40" w:type="dxa"/>
            </w:tcMar>
            <w:vAlign w:val="center"/>
          </w:tcPr>
          <w:p>
            <w:pPr>
              <w:pStyle w:val="Normal137"/>
              <w:rPr>
                <w:rFonts w:ascii="Arial" w:eastAsia="Arial" w:hAnsi="Arial" w:cs="Arial"/>
                <w:b/>
                <w:noProof/>
                <w:color w:val="000000"/>
                <w:sz w:val="16"/>
              </w:rPr>
            </w:pPr>
            <w:r>
              <w:rPr>
                <w:rFonts w:ascii="Arial" w:hAnsi="Arial"/>
                <w:b/>
                <w:noProof/>
                <w:color w:val="000000"/>
                <w:sz w:val="16"/>
              </w:rPr>
              <w:t>Iš viso kito turto</w:t>
            </w:r>
          </w:p>
        </w:tc>
        <w:tc>
          <w:tcPr>
            <w:tcW w:w="752" w:type="pct"/>
            <w:tcBorders>
              <w:top w:val="nil"/>
              <w:left w:val="nil"/>
              <w:bottom w:val="nil"/>
              <w:right w:val="nil"/>
              <w:tl2br w:val="nil"/>
              <w:tr2bl w:val="nil"/>
            </w:tcBorders>
            <w:shd w:val="clear" w:color="FFFFFF" w:fill="C0C0C0"/>
            <w:tcMar>
              <w:left w:w="40" w:type="dxa"/>
              <w:right w:w="40" w:type="dxa"/>
            </w:tcMar>
            <w:vAlign w:val="center"/>
          </w:tcPr>
          <w:p>
            <w:pPr>
              <w:pStyle w:val="Normal137"/>
              <w:jc w:val="right"/>
              <w:rPr>
                <w:rFonts w:ascii="Arial" w:eastAsia="Arial" w:hAnsi="Arial" w:cs="Arial"/>
                <w:b/>
                <w:noProof/>
                <w:color w:val="000000"/>
                <w:sz w:val="16"/>
              </w:rPr>
            </w:pPr>
            <w:r>
              <w:rPr>
                <w:rFonts w:ascii="Arial" w:hAnsi="Arial"/>
                <w:b/>
                <w:noProof/>
                <w:color w:val="000000"/>
                <w:sz w:val="16"/>
              </w:rPr>
              <w:t>-</w:t>
            </w:r>
          </w:p>
        </w:tc>
        <w:tc>
          <w:tcPr>
            <w:tcW w:w="752" w:type="pct"/>
            <w:tcBorders>
              <w:top w:val="nil"/>
              <w:left w:val="nil"/>
              <w:bottom w:val="nil"/>
              <w:right w:val="nil"/>
              <w:tl2br w:val="nil"/>
              <w:tr2bl w:val="nil"/>
            </w:tcBorders>
            <w:shd w:val="clear" w:color="FFFFFF" w:fill="C0C0C0"/>
            <w:tcMar>
              <w:left w:w="40" w:type="dxa"/>
              <w:right w:w="40" w:type="dxa"/>
            </w:tcMar>
            <w:vAlign w:val="center"/>
          </w:tcPr>
          <w:p>
            <w:pPr>
              <w:pStyle w:val="Normal137"/>
              <w:jc w:val="right"/>
              <w:rPr>
                <w:rFonts w:ascii="Arial" w:eastAsia="Arial" w:hAnsi="Arial" w:cs="Arial"/>
                <w:b/>
                <w:noProof/>
                <w:color w:val="000000"/>
                <w:sz w:val="16"/>
              </w:rPr>
            </w:pPr>
            <w:r>
              <w:rPr>
                <w:rFonts w:ascii="Arial" w:hAnsi="Arial"/>
                <w:b/>
                <w:noProof/>
                <w:color w:val="000000"/>
                <w:sz w:val="16"/>
              </w:rPr>
              <w:t>171</w:t>
            </w:r>
          </w:p>
        </w:tc>
      </w:tr>
    </w:tbl>
    <w:p>
      <w:pPr>
        <w:pBdr>
          <w:top w:val="nil"/>
          <w:left w:val="nil"/>
          <w:bottom w:val="nil"/>
          <w:right w:val="nil"/>
          <w:between w:val="nil"/>
          <w:bar w:val="nil"/>
        </w:pBdr>
        <w:rPr>
          <w:rFonts w:ascii="Arial" w:hAnsi="Arial"/>
          <w:noProof/>
          <w:sz w:val="16"/>
          <w:bdr w:val="nil"/>
        </w:rPr>
      </w:pPr>
    </w:p>
    <w:p>
      <w:pPr>
        <w:pStyle w:val="Notes"/>
        <w:pBdr>
          <w:top w:val="nil"/>
          <w:left w:val="nil"/>
          <w:bottom w:val="nil"/>
          <w:right w:val="nil"/>
          <w:between w:val="nil"/>
          <w:bar w:val="nil"/>
        </w:pBdr>
        <w:ind w:left="431" w:hanging="431"/>
        <w:rPr>
          <w:noProof/>
          <w:bdr w:val="nil"/>
        </w:rPr>
      </w:pPr>
      <w:r>
        <w:rPr>
          <w:noProof/>
          <w:bdr w:val="nil"/>
        </w:rPr>
        <w:t>12.    Būsimojo laikotarpio pajamos</w:t>
      </w:r>
    </w:p>
    <w:p>
      <w:pPr>
        <w:pBdr>
          <w:top w:val="nil"/>
          <w:left w:val="nil"/>
          <w:bottom w:val="nil"/>
          <w:right w:val="nil"/>
          <w:between w:val="nil"/>
          <w:bar w:val="nil"/>
        </w:pBdr>
        <w:spacing w:before="60" w:after="60"/>
        <w:jc w:val="both"/>
        <w:rPr>
          <w:rFonts w:ascii="Arial" w:hAnsi="Arial"/>
          <w:b/>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Pagrindiniai būsimojo laikotarpio pajamų komponentai:</w:t>
      </w:r>
    </w:p>
    <w:p>
      <w:pPr>
        <w:pBdr>
          <w:top w:val="nil"/>
          <w:left w:val="nil"/>
          <w:bottom w:val="nil"/>
          <w:right w:val="nil"/>
          <w:between w:val="nil"/>
          <w:bar w:val="nil"/>
        </w:pBdr>
        <w:spacing w:after="60"/>
        <w:rPr>
          <w:rFonts w:ascii="Arial" w:hAnsi="Arial"/>
          <w:b/>
          <w:noProof/>
          <w:sz w:val="16"/>
          <w:szCs w:val="16"/>
          <w:bdr w:val="nil"/>
        </w:rPr>
      </w:pPr>
      <w:r>
        <w:rPr>
          <w:noProof/>
        </w:rPr>
        <w:t xml:space="preserve"> </w:t>
      </w:r>
    </w:p>
    <w:tbl>
      <w:tblPr>
        <w:tblStyle w:val="CDMRange216"/>
        <w:tblW w:w="5000" w:type="pct"/>
        <w:tblLayout w:type="fixed"/>
        <w:tblLook w:val="0600" w:firstRow="0" w:lastRow="0" w:firstColumn="0" w:lastColumn="0" w:noHBand="1" w:noVBand="1"/>
      </w:tblPr>
      <w:tblGrid>
        <w:gridCol w:w="6795"/>
        <w:gridCol w:w="1462"/>
        <w:gridCol w:w="1462"/>
      </w:tblGrid>
      <w:tr>
        <w:trPr>
          <w:trHeight w:val="250"/>
        </w:trPr>
        <w:tc>
          <w:tcPr>
            <w:tcW w:w="3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8"/>
              <w:rPr>
                <w:rFonts w:ascii="Arial" w:eastAsia="Arial" w:hAnsi="Arial" w:cs="Arial"/>
                <w:b/>
                <w:noProof/>
                <w:color w:val="000000"/>
                <w:sz w:val="16"/>
              </w:rPr>
            </w:pPr>
            <w:r>
              <w:rPr>
                <w:rFonts w:ascii="Arial" w:hAnsi="Arial"/>
                <w:b/>
                <w:noProof/>
                <w:color w:val="000000"/>
                <w:sz w:val="16"/>
              </w:rPr>
              <w:t>tūkst. EUR</w:t>
            </w:r>
          </w:p>
        </w:tc>
        <w:tc>
          <w:tcPr>
            <w:tcW w:w="75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8"/>
              <w:jc w:val="right"/>
              <w:rPr>
                <w:rFonts w:ascii="Arial" w:eastAsia="Arial" w:hAnsi="Arial" w:cs="Arial"/>
                <w:b/>
                <w:noProof/>
                <w:color w:val="000000"/>
                <w:sz w:val="16"/>
              </w:rPr>
            </w:pPr>
            <w:r>
              <w:rPr>
                <w:rFonts w:ascii="Arial" w:hAnsi="Arial"/>
                <w:b/>
                <w:noProof/>
                <w:color w:val="000000"/>
                <w:sz w:val="16"/>
              </w:rPr>
              <w:t>2019 12 31</w:t>
            </w:r>
          </w:p>
        </w:tc>
        <w:tc>
          <w:tcPr>
            <w:tcW w:w="75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8"/>
              <w:jc w:val="right"/>
              <w:rPr>
                <w:rFonts w:ascii="Arial" w:eastAsia="Arial" w:hAnsi="Arial" w:cs="Arial"/>
                <w:b/>
                <w:noProof/>
                <w:color w:val="000000"/>
                <w:sz w:val="16"/>
              </w:rPr>
            </w:pPr>
            <w:r>
              <w:rPr>
                <w:rFonts w:ascii="Arial" w:hAnsi="Arial"/>
                <w:b/>
                <w:noProof/>
                <w:color w:val="000000"/>
                <w:sz w:val="16"/>
              </w:rPr>
              <w:t>2018 12 31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49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8"/>
              <w:rPr>
                <w:rFonts w:ascii="Arial" w:eastAsia="Arial" w:hAnsi="Arial" w:cs="Arial"/>
                <w:noProof/>
                <w:color w:val="000000"/>
                <w:sz w:val="16"/>
              </w:rPr>
            </w:pPr>
            <w:r>
              <w:rPr>
                <w:rFonts w:ascii="Arial" w:hAnsi="Arial"/>
                <w:noProof/>
                <w:color w:val="000000"/>
                <w:sz w:val="16"/>
              </w:rPr>
              <w:t>Būsimojo laikotarpio palūkanų subsidijos</w:t>
            </w:r>
          </w:p>
        </w:tc>
        <w:tc>
          <w:tcPr>
            <w:tcW w:w="752"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8"/>
              <w:jc w:val="right"/>
              <w:rPr>
                <w:rFonts w:ascii="Arial" w:eastAsia="Arial" w:hAnsi="Arial" w:cs="Arial"/>
                <w:noProof/>
                <w:color w:val="000000"/>
                <w:sz w:val="16"/>
              </w:rPr>
            </w:pPr>
            <w:r>
              <w:rPr>
                <w:rFonts w:ascii="Arial" w:hAnsi="Arial"/>
                <w:noProof/>
                <w:color w:val="000000"/>
                <w:sz w:val="16"/>
              </w:rPr>
              <w:t>32 085</w:t>
            </w:r>
          </w:p>
        </w:tc>
        <w:tc>
          <w:tcPr>
            <w:tcW w:w="752"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8"/>
              <w:jc w:val="right"/>
              <w:rPr>
                <w:rFonts w:ascii="Arial" w:eastAsia="Arial" w:hAnsi="Arial" w:cs="Arial"/>
                <w:noProof/>
                <w:color w:val="000000"/>
                <w:sz w:val="16"/>
              </w:rPr>
            </w:pPr>
            <w:r>
              <w:rPr>
                <w:rFonts w:ascii="Arial" w:hAnsi="Arial"/>
                <w:noProof/>
                <w:color w:val="000000"/>
                <w:sz w:val="16"/>
              </w:rPr>
              <w:t>32 658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496" w:type="pct"/>
            <w:tcBorders>
              <w:top w:val="nil"/>
              <w:left w:val="nil"/>
              <w:bottom w:val="nil"/>
              <w:right w:val="nil"/>
              <w:tl2br w:val="nil"/>
              <w:tr2bl w:val="nil"/>
            </w:tcBorders>
            <w:shd w:val="clear" w:color="auto" w:fill="auto"/>
            <w:tcMar>
              <w:left w:w="40" w:type="dxa"/>
              <w:right w:w="40" w:type="dxa"/>
            </w:tcMar>
            <w:vAlign w:val="center"/>
          </w:tcPr>
          <w:p>
            <w:pPr>
              <w:pStyle w:val="Normal138"/>
              <w:rPr>
                <w:rFonts w:ascii="Arial" w:eastAsia="Arial" w:hAnsi="Arial" w:cs="Arial"/>
                <w:noProof/>
                <w:color w:val="000000"/>
                <w:sz w:val="16"/>
              </w:rPr>
            </w:pPr>
            <w:r>
              <w:rPr>
                <w:rFonts w:ascii="Arial" w:hAnsi="Arial"/>
                <w:noProof/>
                <w:color w:val="000000"/>
                <w:sz w:val="16"/>
              </w:rPr>
              <w:t>Būsimojo laikotarpio komisiniai už paskolas ir išankstinius mokėjimus</w:t>
            </w:r>
          </w:p>
        </w:tc>
        <w:tc>
          <w:tcPr>
            <w:tcW w:w="752" w:type="pct"/>
            <w:tcBorders>
              <w:top w:val="nil"/>
              <w:left w:val="nil"/>
              <w:bottom w:val="nil"/>
              <w:right w:val="nil"/>
              <w:tl2br w:val="nil"/>
              <w:tr2bl w:val="nil"/>
            </w:tcBorders>
            <w:shd w:val="clear" w:color="auto" w:fill="auto"/>
            <w:tcMar>
              <w:left w:w="40" w:type="dxa"/>
              <w:right w:w="40" w:type="dxa"/>
            </w:tcMar>
            <w:vAlign w:val="center"/>
          </w:tcPr>
          <w:p>
            <w:pPr>
              <w:pStyle w:val="Normal138"/>
              <w:jc w:val="right"/>
              <w:rPr>
                <w:rFonts w:ascii="Arial" w:eastAsia="Arial" w:hAnsi="Arial" w:cs="Arial"/>
                <w:noProof/>
                <w:color w:val="000000"/>
                <w:sz w:val="16"/>
              </w:rPr>
            </w:pPr>
            <w:r>
              <w:rPr>
                <w:rFonts w:ascii="Arial" w:hAnsi="Arial"/>
                <w:noProof/>
                <w:color w:val="000000"/>
                <w:sz w:val="16"/>
              </w:rPr>
              <w:t>481</w:t>
            </w:r>
          </w:p>
        </w:tc>
        <w:tc>
          <w:tcPr>
            <w:tcW w:w="752" w:type="pct"/>
            <w:tcBorders>
              <w:top w:val="nil"/>
              <w:left w:val="nil"/>
              <w:bottom w:val="nil"/>
              <w:right w:val="nil"/>
              <w:tl2br w:val="nil"/>
              <w:tr2bl w:val="nil"/>
            </w:tcBorders>
            <w:shd w:val="clear" w:color="auto" w:fill="auto"/>
            <w:tcMar>
              <w:left w:w="40" w:type="dxa"/>
              <w:right w:w="40" w:type="dxa"/>
            </w:tcMar>
            <w:vAlign w:val="center"/>
          </w:tcPr>
          <w:p>
            <w:pPr>
              <w:pStyle w:val="Normal138"/>
              <w:jc w:val="right"/>
              <w:rPr>
                <w:rFonts w:ascii="Arial" w:eastAsia="Arial" w:hAnsi="Arial" w:cs="Arial"/>
                <w:noProof/>
                <w:color w:val="000000"/>
                <w:sz w:val="16"/>
              </w:rPr>
            </w:pPr>
            <w:r>
              <w:rPr>
                <w:rFonts w:ascii="Arial" w:hAnsi="Arial"/>
                <w:noProof/>
                <w:color w:val="000000"/>
                <w:sz w:val="16"/>
              </w:rPr>
              <w:t>1 106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496" w:type="pct"/>
            <w:tcBorders>
              <w:top w:val="nil"/>
              <w:left w:val="nil"/>
              <w:bottom w:val="nil"/>
              <w:right w:val="nil"/>
              <w:tl2br w:val="nil"/>
              <w:tr2bl w:val="nil"/>
            </w:tcBorders>
            <w:shd w:val="clear" w:color="FFFFFF" w:fill="C0C0C0"/>
            <w:tcMar>
              <w:left w:w="40" w:type="dxa"/>
              <w:right w:w="40" w:type="dxa"/>
            </w:tcMar>
            <w:vAlign w:val="center"/>
          </w:tcPr>
          <w:p>
            <w:pPr>
              <w:pStyle w:val="Normal138"/>
              <w:rPr>
                <w:rFonts w:ascii="Arial" w:eastAsia="Arial" w:hAnsi="Arial" w:cs="Arial"/>
                <w:b/>
                <w:noProof/>
                <w:color w:val="000000"/>
                <w:sz w:val="16"/>
              </w:rPr>
            </w:pPr>
            <w:r>
              <w:rPr>
                <w:rFonts w:ascii="Arial" w:hAnsi="Arial"/>
                <w:b/>
                <w:noProof/>
                <w:color w:val="000000"/>
                <w:sz w:val="16"/>
              </w:rPr>
              <w:t>Iš viso būsimojo laikotarpio pajamų</w:t>
            </w:r>
          </w:p>
        </w:tc>
        <w:tc>
          <w:tcPr>
            <w:tcW w:w="752" w:type="pct"/>
            <w:tcBorders>
              <w:top w:val="nil"/>
              <w:left w:val="nil"/>
              <w:bottom w:val="nil"/>
              <w:right w:val="nil"/>
              <w:tl2br w:val="nil"/>
              <w:tr2bl w:val="nil"/>
            </w:tcBorders>
            <w:shd w:val="clear" w:color="FFFFFF" w:fill="C0C0C0"/>
            <w:tcMar>
              <w:left w:w="40" w:type="dxa"/>
              <w:right w:w="40" w:type="dxa"/>
            </w:tcMar>
            <w:vAlign w:val="center"/>
          </w:tcPr>
          <w:p>
            <w:pPr>
              <w:pStyle w:val="Normal138"/>
              <w:jc w:val="right"/>
              <w:rPr>
                <w:rFonts w:ascii="Arial" w:eastAsia="Arial" w:hAnsi="Arial" w:cs="Arial"/>
                <w:b/>
                <w:noProof/>
                <w:color w:val="000000"/>
                <w:sz w:val="16"/>
              </w:rPr>
            </w:pPr>
            <w:r>
              <w:rPr>
                <w:rFonts w:ascii="Arial" w:hAnsi="Arial"/>
                <w:b/>
                <w:noProof/>
                <w:color w:val="000000"/>
                <w:sz w:val="16"/>
              </w:rPr>
              <w:t>32 566</w:t>
            </w:r>
          </w:p>
        </w:tc>
        <w:tc>
          <w:tcPr>
            <w:tcW w:w="752" w:type="pct"/>
            <w:tcBorders>
              <w:top w:val="nil"/>
              <w:left w:val="nil"/>
              <w:bottom w:val="nil"/>
              <w:right w:val="nil"/>
              <w:tl2br w:val="nil"/>
              <w:tr2bl w:val="nil"/>
            </w:tcBorders>
            <w:shd w:val="clear" w:color="FFFFFF" w:fill="C0C0C0"/>
            <w:tcMar>
              <w:left w:w="40" w:type="dxa"/>
              <w:right w:w="40" w:type="dxa"/>
            </w:tcMar>
            <w:vAlign w:val="center"/>
          </w:tcPr>
          <w:p>
            <w:pPr>
              <w:pStyle w:val="Normal138"/>
              <w:jc w:val="right"/>
              <w:rPr>
                <w:rFonts w:ascii="Arial" w:eastAsia="Arial" w:hAnsi="Arial" w:cs="Arial"/>
                <w:b/>
                <w:noProof/>
                <w:color w:val="000000"/>
                <w:sz w:val="16"/>
              </w:rPr>
            </w:pPr>
            <w:r>
              <w:rPr>
                <w:rFonts w:ascii="Arial" w:hAnsi="Arial"/>
                <w:b/>
                <w:noProof/>
                <w:color w:val="000000"/>
                <w:sz w:val="16"/>
              </w:rPr>
              <w:t>33 764</w:t>
            </w:r>
          </w:p>
        </w:tc>
      </w:tr>
    </w:tbl>
    <w:p>
      <w:pPr>
        <w:pBdr>
          <w:top w:val="nil"/>
          <w:left w:val="nil"/>
          <w:bottom w:val="nil"/>
          <w:right w:val="nil"/>
          <w:between w:val="nil"/>
          <w:bar w:val="nil"/>
        </w:pBdr>
        <w:spacing w:before="60" w:after="60"/>
        <w:jc w:val="both"/>
        <w:rPr>
          <w:noProof/>
          <w:bdr w:val="nil"/>
        </w:rPr>
      </w:pPr>
    </w:p>
    <w:p>
      <w:pPr>
        <w:pStyle w:val="Notes"/>
        <w:pageBreakBefore/>
        <w:pBdr>
          <w:top w:val="nil"/>
          <w:left w:val="nil"/>
          <w:bottom w:val="nil"/>
          <w:right w:val="nil"/>
          <w:between w:val="nil"/>
          <w:bar w:val="nil"/>
        </w:pBdr>
        <w:rPr>
          <w:noProof/>
          <w:bdr w:val="nil"/>
        </w:rPr>
      </w:pPr>
      <w:r>
        <w:rPr>
          <w:noProof/>
          <w:bdr w:val="nil"/>
        </w:rPr>
        <w:t>13.</w:t>
      </w:r>
      <w:r>
        <w:rPr>
          <w:noProof/>
          <w:bdr w:val="nil"/>
        </w:rPr>
        <w:tab/>
        <w:t>Atidėjiniai suteiktoms garantijoms, atėmus atkūrimą</w:t>
      </w:r>
    </w:p>
    <w:p>
      <w:pPr>
        <w:pBdr>
          <w:top w:val="nil"/>
          <w:left w:val="nil"/>
          <w:bottom w:val="nil"/>
          <w:right w:val="nil"/>
          <w:between w:val="nil"/>
          <w:bar w:val="nil"/>
        </w:pBdr>
        <w:spacing w:before="60" w:after="60"/>
        <w:jc w:val="both"/>
        <w:rPr>
          <w:rFonts w:ascii="Arial" w:hAnsi="Arial"/>
          <w:noProof/>
          <w:sz w:val="16"/>
          <w:szCs w:val="16"/>
          <w:bdr w:val="nil"/>
        </w:rPr>
      </w:pPr>
    </w:p>
    <w:p>
      <w:pPr>
        <w:pStyle w:val="Normal67"/>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Toliau pateikiamose lentelėse parodoma, kaip suderinamas atidėjinių finansinėms garantijoms laikotarpio pradžios ir pabaigos balansas pagal tikėtinų kredito nuostolių pagal 9-ąjį TFAS modelį:</w:t>
      </w:r>
    </w:p>
    <w:p>
      <w:pPr>
        <w:pStyle w:val="Normal67"/>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17"/>
        <w:tblW w:w="5000" w:type="pct"/>
        <w:tblLayout w:type="fixed"/>
        <w:tblLook w:val="0600" w:firstRow="0" w:lastRow="0" w:firstColumn="0" w:lastColumn="0" w:noHBand="1" w:noVBand="1"/>
      </w:tblPr>
      <w:tblGrid>
        <w:gridCol w:w="4149"/>
        <w:gridCol w:w="1382"/>
        <w:gridCol w:w="1382"/>
        <w:gridCol w:w="1382"/>
        <w:gridCol w:w="1384"/>
      </w:tblGrid>
      <w:tr>
        <w:trPr>
          <w:trHeight w:hRule="exact" w:val="250"/>
        </w:trPr>
        <w:tc>
          <w:tcPr>
            <w:tcW w:w="2143"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2857" w:type="pct"/>
            <w:gridSpan w:val="4"/>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pStyle w:val="Normal139"/>
              <w:jc w:val="center"/>
              <w:rPr>
                <w:rFonts w:ascii="Arial" w:eastAsia="Arial" w:hAnsi="Arial" w:cs="Arial"/>
                <w:b/>
                <w:noProof/>
                <w:color w:val="000000"/>
                <w:sz w:val="16"/>
              </w:rPr>
            </w:pPr>
            <w:r>
              <w:rPr>
                <w:rFonts w:ascii="Arial" w:hAnsi="Arial"/>
                <w:b/>
                <w:noProof/>
                <w:color w:val="000000"/>
                <w:sz w:val="16"/>
              </w:rPr>
              <w:t>2019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143"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9"/>
              <w:rPr>
                <w:rFonts w:ascii="Arial" w:eastAsia="Arial" w:hAnsi="Arial" w:cs="Arial"/>
                <w:b/>
                <w:noProof/>
                <w:color w:val="000000"/>
                <w:sz w:val="16"/>
              </w:rPr>
            </w:pPr>
            <w:r>
              <w:rPr>
                <w:rFonts w:ascii="Arial" w:hAnsi="Arial"/>
                <w:b/>
                <w:noProof/>
                <w:color w:val="000000"/>
                <w:sz w:val="16"/>
              </w:rPr>
              <w:t>tūkst. EUR</w:t>
            </w:r>
          </w:p>
        </w:tc>
        <w:tc>
          <w:tcPr>
            <w:tcW w:w="714"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Tikėtini kredito nuostoliai 12-os mėnesių laikotarpiu</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Tikėtini kredito nuostoliai finansinės priemonės galiojimo laikotarpiu, kurių vertė dėl kredito rizikos nesumažėjusi</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Tikėtini kredito nuostoliai finansinės priemonės galiojimo laikotarpiu, kurių vertė dėl kredito rizikos sumažėjusi</w:t>
            </w:r>
          </w:p>
        </w:tc>
        <w:tc>
          <w:tcPr>
            <w:tcW w:w="715"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Iš viso</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rPr>
                <w:rFonts w:ascii="Arial" w:eastAsia="Arial" w:hAnsi="Arial" w:cs="Arial"/>
                <w:b/>
                <w:noProof/>
                <w:color w:val="000000"/>
                <w:sz w:val="16"/>
              </w:rPr>
            </w:pPr>
            <w:r>
              <w:rPr>
                <w:rFonts w:ascii="Arial" w:hAnsi="Arial"/>
                <w:b/>
                <w:noProof/>
                <w:color w:val="000000"/>
                <w:sz w:val="16"/>
              </w:rPr>
              <w:t xml:space="preserve">Suteiktos garantijos </w:t>
            </w:r>
          </w:p>
        </w:tc>
        <w:tc>
          <w:tcPr>
            <w:tcW w:w="71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9"/>
              <w:jc w:val="right"/>
              <w:rPr>
                <w:rFonts w:ascii="Arial" w:eastAsia="Arial" w:hAnsi="Arial" w:cs="Arial"/>
                <w:b/>
                <w:noProof/>
                <w:color w:val="000000"/>
                <w:sz w:val="16"/>
              </w:rPr>
            </w:pPr>
          </w:p>
        </w:tc>
        <w:tc>
          <w:tcPr>
            <w:tcW w:w="71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9"/>
              <w:jc w:val="right"/>
              <w:rPr>
                <w:rFonts w:ascii="Arial" w:eastAsia="Arial" w:hAnsi="Arial" w:cs="Arial"/>
                <w:b/>
                <w:noProof/>
                <w:color w:val="000000"/>
                <w:sz w:val="16"/>
              </w:rPr>
            </w:pPr>
          </w:p>
        </w:tc>
        <w:tc>
          <w:tcPr>
            <w:tcW w:w="71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9"/>
              <w:jc w:val="right"/>
              <w:rPr>
                <w:rFonts w:ascii="Arial" w:eastAsia="Arial" w:hAnsi="Arial" w:cs="Arial"/>
                <w:b/>
                <w:noProof/>
                <w:color w:val="000000"/>
                <w:sz w:val="16"/>
              </w:rPr>
            </w:pPr>
          </w:p>
        </w:tc>
        <w:tc>
          <w:tcPr>
            <w:tcW w:w="7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9"/>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rPr>
                <w:rFonts w:ascii="Arial" w:eastAsia="Arial" w:hAnsi="Arial" w:cs="Arial"/>
                <w:b/>
                <w:noProof/>
                <w:color w:val="000000"/>
                <w:sz w:val="16"/>
              </w:rPr>
            </w:pPr>
            <w:r>
              <w:rPr>
                <w:rFonts w:ascii="Arial" w:hAnsi="Arial"/>
                <w:b/>
                <w:noProof/>
                <w:color w:val="000000"/>
                <w:sz w:val="16"/>
              </w:rPr>
              <w:t>Sausio 1 d. likutis</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94</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699</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w:t>
            </w:r>
          </w:p>
        </w:tc>
        <w:tc>
          <w:tcPr>
            <w:tcW w:w="7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793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Perkėlimas į tikėtinus kredito nuostolius 12-os mėnesių laikotarpiu</w:t>
            </w:r>
          </w:p>
        </w:tc>
        <w:tc>
          <w:tcPr>
            <w:tcW w:w="71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534</w:t>
            </w:r>
          </w:p>
        </w:tc>
        <w:tc>
          <w:tcPr>
            <w:tcW w:w="71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534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Perkėlimas į tikėtinus kredito nuostolius finansinės priemonės galiojimo laikotarpiu, kurių vertė dėl kredito rizikos nesumažėjusi</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Perkėlimas į tikėtinus kredito nuostolius finansinės priemonės galiojimo laikotarpiu, kurių vertė dėl kredito rizikos sumažėjusi</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Garantijos, kurių pripažinimas nutraukiamas</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−588</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−588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Reikalavimai mokėti pagal garantiją</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−53</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Mokėjimo pradžios mokesčių amortizacija</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−71</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Užsienio valiutos kursų skirtumai</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13</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FFFFFF" w:fill="C0C0C0"/>
            <w:tcMar>
              <w:left w:w="40" w:type="dxa"/>
              <w:right w:w="40" w:type="dxa"/>
            </w:tcMar>
            <w:vAlign w:val="center"/>
          </w:tcPr>
          <w:p>
            <w:pPr>
              <w:pStyle w:val="Normal139"/>
              <w:rPr>
                <w:rFonts w:ascii="Arial" w:eastAsia="Arial" w:hAnsi="Arial" w:cs="Arial"/>
                <w:b/>
                <w:noProof/>
                <w:color w:val="000000"/>
                <w:sz w:val="16"/>
              </w:rPr>
            </w:pPr>
            <w:r>
              <w:rPr>
                <w:rFonts w:ascii="Arial" w:hAnsi="Arial"/>
                <w:b/>
                <w:noProof/>
                <w:color w:val="000000"/>
                <w:sz w:val="16"/>
              </w:rPr>
              <w:t xml:space="preserve">Gruodžio 31 d. likutis </w:t>
            </w:r>
          </w:p>
        </w:tc>
        <w:tc>
          <w:tcPr>
            <w:tcW w:w="714" w:type="pct"/>
            <w:tcBorders>
              <w:top w:val="nil"/>
              <w:left w:val="nil"/>
              <w:bottom w:val="nil"/>
              <w:right w:val="nil"/>
              <w:tl2br w:val="nil"/>
              <w:tr2bl w:val="nil"/>
            </w:tcBorders>
            <w:shd w:val="clear" w:color="FFFFFF" w:fill="C0C0C0"/>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628</w:t>
            </w:r>
          </w:p>
        </w:tc>
        <w:tc>
          <w:tcPr>
            <w:tcW w:w="714" w:type="pct"/>
            <w:tcBorders>
              <w:top w:val="nil"/>
              <w:left w:val="nil"/>
              <w:bottom w:val="nil"/>
              <w:right w:val="nil"/>
              <w:tl2br w:val="nil"/>
              <w:tr2bl w:val="nil"/>
            </w:tcBorders>
            <w:shd w:val="clear" w:color="FFFFFF" w:fill="C0C0C0"/>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w:t>
            </w:r>
          </w:p>
        </w:tc>
        <w:tc>
          <w:tcPr>
            <w:tcW w:w="714" w:type="pct"/>
            <w:tcBorders>
              <w:top w:val="nil"/>
              <w:left w:val="nil"/>
              <w:bottom w:val="nil"/>
              <w:right w:val="nil"/>
              <w:tl2br w:val="nil"/>
              <w:tr2bl w:val="nil"/>
            </w:tcBorders>
            <w:shd w:val="clear" w:color="FFFFFF" w:fill="C0C0C0"/>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w:t>
            </w:r>
          </w:p>
        </w:tc>
        <w:tc>
          <w:tcPr>
            <w:tcW w:w="715" w:type="pct"/>
            <w:tcBorders>
              <w:top w:val="nil"/>
              <w:left w:val="nil"/>
              <w:bottom w:val="nil"/>
              <w:right w:val="nil"/>
              <w:tl2br w:val="nil"/>
              <w:tr2bl w:val="nil"/>
            </w:tcBorders>
            <w:shd w:val="clear" w:color="FFFFFF" w:fill="C0C0C0"/>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628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2143"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5"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2143"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5"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2143"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2857" w:type="pct"/>
            <w:gridSpan w:val="4"/>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pStyle w:val="Normal139"/>
              <w:jc w:val="center"/>
              <w:rPr>
                <w:rFonts w:ascii="Arial" w:eastAsia="Arial" w:hAnsi="Arial" w:cs="Arial"/>
                <w:b/>
                <w:noProof/>
                <w:color w:val="000000"/>
                <w:sz w:val="16"/>
              </w:rPr>
            </w:pPr>
            <w:r>
              <w:rPr>
                <w:rFonts w:ascii="Arial" w:hAnsi="Arial"/>
                <w:b/>
                <w:noProof/>
                <w:color w:val="000000"/>
                <w:sz w:val="16"/>
              </w:rPr>
              <w:t>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143"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9"/>
              <w:rPr>
                <w:rFonts w:ascii="Arial" w:eastAsia="Arial" w:hAnsi="Arial" w:cs="Arial"/>
                <w:b/>
                <w:noProof/>
                <w:color w:val="000000"/>
                <w:sz w:val="16"/>
              </w:rPr>
            </w:pPr>
            <w:r>
              <w:rPr>
                <w:rFonts w:ascii="Arial" w:hAnsi="Arial"/>
                <w:b/>
                <w:noProof/>
                <w:color w:val="000000"/>
                <w:sz w:val="16"/>
              </w:rPr>
              <w:t>tūkst. EUR</w:t>
            </w:r>
          </w:p>
        </w:tc>
        <w:tc>
          <w:tcPr>
            <w:tcW w:w="714"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Tikėtini kredito nuostoliai 12-os mėnesių laikotarpiu</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Tikėtini kredito nuostoliai finansinės priemonės galiojimo laikotarpiu, kurių vertė dėl kredito rizikos nesumažėjusi</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Tikėtini kredito nuostoliai finansinės priemonės galiojimo laikotarpiu, kurių vertė dėl kredito rizikos sumažėjusi</w:t>
            </w:r>
          </w:p>
        </w:tc>
        <w:tc>
          <w:tcPr>
            <w:tcW w:w="715"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Iš viso</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rPr>
                <w:rFonts w:ascii="Arial" w:eastAsia="Arial" w:hAnsi="Arial" w:cs="Arial"/>
                <w:b/>
                <w:noProof/>
                <w:color w:val="000000"/>
                <w:sz w:val="16"/>
              </w:rPr>
            </w:pPr>
            <w:r>
              <w:rPr>
                <w:rFonts w:ascii="Arial" w:hAnsi="Arial"/>
                <w:b/>
                <w:noProof/>
                <w:color w:val="000000"/>
                <w:sz w:val="16"/>
              </w:rPr>
              <w:t xml:space="preserve">Suteiktos garantijos </w:t>
            </w:r>
          </w:p>
        </w:tc>
        <w:tc>
          <w:tcPr>
            <w:tcW w:w="71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9"/>
              <w:jc w:val="right"/>
              <w:rPr>
                <w:rFonts w:ascii="Arial" w:eastAsia="Arial" w:hAnsi="Arial" w:cs="Arial"/>
                <w:b/>
                <w:noProof/>
                <w:color w:val="000000"/>
                <w:sz w:val="16"/>
              </w:rPr>
            </w:pPr>
          </w:p>
        </w:tc>
        <w:tc>
          <w:tcPr>
            <w:tcW w:w="71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9"/>
              <w:jc w:val="right"/>
              <w:rPr>
                <w:rFonts w:ascii="Arial" w:eastAsia="Arial" w:hAnsi="Arial" w:cs="Arial"/>
                <w:b/>
                <w:noProof/>
                <w:color w:val="000000"/>
                <w:sz w:val="16"/>
              </w:rPr>
            </w:pPr>
          </w:p>
        </w:tc>
        <w:tc>
          <w:tcPr>
            <w:tcW w:w="71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9"/>
              <w:jc w:val="right"/>
              <w:rPr>
                <w:rFonts w:ascii="Arial" w:eastAsia="Arial" w:hAnsi="Arial" w:cs="Arial"/>
                <w:b/>
                <w:noProof/>
                <w:color w:val="000000"/>
                <w:sz w:val="16"/>
              </w:rPr>
            </w:pPr>
          </w:p>
        </w:tc>
        <w:tc>
          <w:tcPr>
            <w:tcW w:w="7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9"/>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rPr>
                <w:rFonts w:ascii="Arial" w:eastAsia="Arial" w:hAnsi="Arial" w:cs="Arial"/>
                <w:b/>
                <w:noProof/>
                <w:color w:val="000000"/>
                <w:sz w:val="16"/>
              </w:rPr>
            </w:pPr>
            <w:r>
              <w:rPr>
                <w:rFonts w:ascii="Arial" w:hAnsi="Arial"/>
                <w:b/>
                <w:noProof/>
                <w:color w:val="000000"/>
                <w:sz w:val="16"/>
              </w:rPr>
              <w:t>Sausio 1 d. likutis</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484</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w:t>
            </w:r>
          </w:p>
        </w:tc>
        <w:tc>
          <w:tcPr>
            <w:tcW w:w="7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484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Perkėlimas į tikėtinus kredito nuostolius 12-os mėnesių laikotarpiu</w:t>
            </w:r>
          </w:p>
        </w:tc>
        <w:tc>
          <w:tcPr>
            <w:tcW w:w="71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94</w:t>
            </w:r>
          </w:p>
        </w:tc>
        <w:tc>
          <w:tcPr>
            <w:tcW w:w="71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Perkėlimas į tikėtinus kredito nuostolius finansinės priemonės galiojimo laikotarpiu, kurių vertė dėl kredito rizikos nesumažėjusi</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391</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391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Perkėlimas į tikėtinus kredito nuostolius finansinės priemonės galiojimo laikotarpiu, kurių vertė dėl kredito rizikos sumažėjusi</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Garantijos, kurių pripažinimas nutraukiamas</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sz w:val="16"/>
                <w:szCs w:val="16"/>
              </w:rPr>
              <w:t>Reikalavimai mokėti pagal garantiją</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Mokėjimo pradžios mokesčių amortizacija</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−128</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−128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Užsienio valiutos kursų skirtumai</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−48</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FFFFFF" w:fill="C0C0C0"/>
            <w:tcMar>
              <w:left w:w="40" w:type="dxa"/>
              <w:right w:w="40" w:type="dxa"/>
            </w:tcMar>
            <w:vAlign w:val="center"/>
          </w:tcPr>
          <w:p>
            <w:pPr>
              <w:pStyle w:val="Normal139"/>
              <w:rPr>
                <w:rFonts w:ascii="Arial" w:eastAsia="Arial" w:hAnsi="Arial" w:cs="Arial"/>
                <w:b/>
                <w:noProof/>
                <w:color w:val="000000"/>
                <w:sz w:val="16"/>
              </w:rPr>
            </w:pPr>
            <w:r>
              <w:rPr>
                <w:rFonts w:ascii="Arial" w:hAnsi="Arial"/>
                <w:b/>
                <w:noProof/>
                <w:color w:val="000000"/>
                <w:sz w:val="16"/>
              </w:rPr>
              <w:t>Gruodžio 31 d. likutis</w:t>
            </w:r>
          </w:p>
        </w:tc>
        <w:tc>
          <w:tcPr>
            <w:tcW w:w="714" w:type="pct"/>
            <w:tcBorders>
              <w:top w:val="nil"/>
              <w:left w:val="nil"/>
              <w:bottom w:val="nil"/>
              <w:right w:val="nil"/>
              <w:tl2br w:val="nil"/>
              <w:tr2bl w:val="nil"/>
            </w:tcBorders>
            <w:shd w:val="clear" w:color="FFFFFF" w:fill="C0C0C0"/>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94</w:t>
            </w:r>
          </w:p>
        </w:tc>
        <w:tc>
          <w:tcPr>
            <w:tcW w:w="714" w:type="pct"/>
            <w:tcBorders>
              <w:top w:val="nil"/>
              <w:left w:val="nil"/>
              <w:bottom w:val="nil"/>
              <w:right w:val="nil"/>
              <w:tl2br w:val="nil"/>
              <w:tr2bl w:val="nil"/>
            </w:tcBorders>
            <w:shd w:val="clear" w:color="FFFFFF" w:fill="C0C0C0"/>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699</w:t>
            </w:r>
          </w:p>
        </w:tc>
        <w:tc>
          <w:tcPr>
            <w:tcW w:w="714" w:type="pct"/>
            <w:tcBorders>
              <w:top w:val="nil"/>
              <w:left w:val="nil"/>
              <w:bottom w:val="nil"/>
              <w:right w:val="nil"/>
              <w:tl2br w:val="nil"/>
              <w:tr2bl w:val="nil"/>
            </w:tcBorders>
            <w:shd w:val="clear" w:color="FFFFFF" w:fill="C0C0C0"/>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w:t>
            </w:r>
          </w:p>
        </w:tc>
        <w:tc>
          <w:tcPr>
            <w:tcW w:w="715" w:type="pct"/>
            <w:tcBorders>
              <w:top w:val="nil"/>
              <w:left w:val="nil"/>
              <w:bottom w:val="nil"/>
              <w:right w:val="nil"/>
              <w:tl2br w:val="nil"/>
              <w:tr2bl w:val="nil"/>
            </w:tcBorders>
            <w:shd w:val="clear" w:color="FFFFFF" w:fill="C0C0C0"/>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793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2143"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5"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r>
    </w:tbl>
    <w:p>
      <w:pPr>
        <w:pBdr>
          <w:top w:val="nil"/>
          <w:left w:val="nil"/>
          <w:bottom w:val="nil"/>
          <w:right w:val="nil"/>
          <w:between w:val="nil"/>
          <w:bar w:val="nil"/>
        </w:pBdr>
        <w:rPr>
          <w:noProof/>
          <w:bdr w:val="nil"/>
        </w:rPr>
      </w:pPr>
    </w:p>
    <w:p>
      <w:pPr>
        <w:rPr>
          <w:noProof/>
          <w:bdr w:val="nil"/>
        </w:rPr>
      </w:pPr>
      <w:r>
        <w:rPr>
          <w:noProof/>
        </w:rPr>
        <w:br w:type="page"/>
      </w:r>
    </w:p>
    <w:p>
      <w:pPr>
        <w:pStyle w:val="Notes"/>
        <w:pBdr>
          <w:top w:val="nil"/>
          <w:left w:val="nil"/>
          <w:bottom w:val="nil"/>
          <w:right w:val="nil"/>
          <w:between w:val="nil"/>
          <w:bar w:val="nil"/>
        </w:pBdr>
        <w:ind w:left="431" w:hanging="431"/>
        <w:rPr>
          <w:rFonts w:cs="Arial"/>
          <w:noProof/>
          <w:szCs w:val="20"/>
          <w:bdr w:val="nil"/>
        </w:rPr>
      </w:pPr>
      <w:r>
        <w:rPr>
          <w:noProof/>
          <w:szCs w:val="20"/>
          <w:bdr w:val="nil"/>
        </w:rPr>
        <w:t>14.</w:t>
      </w:r>
      <w:r>
        <w:rPr>
          <w:noProof/>
          <w:szCs w:val="20"/>
          <w:bdr w:val="nil"/>
        </w:rPr>
        <w:tab/>
        <w:t>Atidėjiniai kreditavimo įsipareigojimams, atėmus atkūrimą</w:t>
      </w:r>
    </w:p>
    <w:p>
      <w:pPr>
        <w:pStyle w:val="Notes"/>
        <w:pBdr>
          <w:top w:val="nil"/>
          <w:left w:val="nil"/>
          <w:bottom w:val="nil"/>
          <w:right w:val="nil"/>
          <w:between w:val="nil"/>
          <w:bar w:val="nil"/>
        </w:pBdr>
        <w:spacing w:before="60" w:after="60"/>
        <w:ind w:left="431" w:hanging="431"/>
        <w:rPr>
          <w:noProof/>
          <w:sz w:val="16"/>
          <w:szCs w:val="20"/>
          <w:bdr w:val="nil"/>
        </w:rPr>
      </w:pPr>
    </w:p>
    <w:p>
      <w:pPr>
        <w:pBdr>
          <w:top w:val="nil"/>
          <w:left w:val="nil"/>
          <w:bottom w:val="nil"/>
          <w:right w:val="nil"/>
          <w:between w:val="nil"/>
          <w:bar w:val="nil"/>
        </w:pBdr>
        <w:spacing w:after="240"/>
        <w:jc w:val="both"/>
        <w:rPr>
          <w:rFonts w:ascii="Arial" w:hAnsi="Arial"/>
          <w:noProof/>
          <w:sz w:val="16"/>
          <w:szCs w:val="16"/>
          <w:bdr w:val="nil"/>
        </w:rPr>
      </w:pPr>
      <w:r>
        <w:rPr>
          <w:rFonts w:ascii="Arial" w:hAnsi="Arial"/>
          <w:noProof/>
          <w:sz w:val="16"/>
          <w:szCs w:val="16"/>
          <w:bdr w:val="nil"/>
        </w:rPr>
        <w:t>Toliau pateikiamoje lentelėje parodoma, kaip suderinamas neišmokėtų paskolų atidėjinių nuostoliams (kreditavimo įsipareigojimų) laikotarpio pradžios ir pabaigos balansas pagal tikėtinų kredito nuostolių pagal 9-ąjį TFAS modelį:</w:t>
      </w:r>
    </w:p>
    <w:tbl>
      <w:tblPr>
        <w:tblStyle w:val="CDMRange217"/>
        <w:tblW w:w="5000" w:type="pct"/>
        <w:tblLayout w:type="fixed"/>
        <w:tblLook w:val="0600" w:firstRow="0" w:lastRow="0" w:firstColumn="0" w:lastColumn="0" w:noHBand="1" w:noVBand="1"/>
      </w:tblPr>
      <w:tblGrid>
        <w:gridCol w:w="3629"/>
        <w:gridCol w:w="1512"/>
        <w:gridCol w:w="1512"/>
        <w:gridCol w:w="1512"/>
        <w:gridCol w:w="1514"/>
      </w:tblGrid>
      <w:tr>
        <w:trPr>
          <w:trHeight w:hRule="exact" w:val="249"/>
        </w:trPr>
        <w:tc>
          <w:tcPr>
            <w:tcW w:w="1875"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400"/>
              <w:rPr>
                <w:rFonts w:ascii="Arial" w:eastAsia="Arial" w:hAnsi="Arial" w:cs="Arial"/>
                <w:noProof/>
                <w:color w:val="000000"/>
                <w:sz w:val="20"/>
              </w:rPr>
            </w:pPr>
          </w:p>
        </w:tc>
        <w:tc>
          <w:tcPr>
            <w:tcW w:w="3125" w:type="pct"/>
            <w:gridSpan w:val="4"/>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pStyle w:val="Normal1400"/>
              <w:jc w:val="center"/>
              <w:rPr>
                <w:rFonts w:ascii="Arial" w:eastAsia="Arial" w:hAnsi="Arial" w:cs="Arial"/>
                <w:b/>
                <w:noProof/>
                <w:color w:val="000000"/>
                <w:sz w:val="16"/>
              </w:rPr>
            </w:pPr>
            <w:r>
              <w:rPr>
                <w:rFonts w:ascii="Arial" w:hAnsi="Arial"/>
                <w:b/>
                <w:noProof/>
                <w:color w:val="000000"/>
                <w:sz w:val="16"/>
              </w:rPr>
              <w:t>2019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187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400"/>
              <w:rPr>
                <w:rFonts w:ascii="Arial" w:eastAsia="Arial" w:hAnsi="Arial" w:cs="Arial"/>
                <w:b/>
                <w:noProof/>
                <w:color w:val="000000"/>
                <w:sz w:val="16"/>
              </w:rPr>
            </w:pPr>
            <w:r>
              <w:rPr>
                <w:rFonts w:ascii="Arial" w:hAnsi="Arial"/>
                <w:b/>
                <w:noProof/>
                <w:color w:val="000000"/>
                <w:sz w:val="16"/>
              </w:rPr>
              <w:t>tūkst. EUR</w:t>
            </w:r>
          </w:p>
        </w:tc>
        <w:tc>
          <w:tcPr>
            <w:tcW w:w="781"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Tikėtini kredito nuostoliai 12-os mėnesių laikotarpiu</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 xml:space="preserve">Tikėtini kredito nuostoliai finansinės priemonės galiojimo laikotarpiu, kurių vertė dėl kredito rizikos nesumažėjusi </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Tikėtini kredito nuostoliai finansinės priemonės galiojimo laikotarpiu, kurių vertė dėl kredito rizikos sumažėjusi</w:t>
            </w:r>
          </w:p>
        </w:tc>
        <w:tc>
          <w:tcPr>
            <w:tcW w:w="782"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Iš viso</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rPr>
                <w:rFonts w:ascii="Arial" w:eastAsia="Arial" w:hAnsi="Arial" w:cs="Arial"/>
                <w:b/>
                <w:noProof/>
                <w:color w:val="000000"/>
                <w:sz w:val="16"/>
              </w:rPr>
            </w:pPr>
            <w:r>
              <w:rPr>
                <w:rFonts w:ascii="Arial" w:hAnsi="Arial"/>
                <w:b/>
                <w:noProof/>
                <w:color w:val="000000"/>
                <w:sz w:val="16"/>
              </w:rPr>
              <w:t>Kreditavimo įsipareigojimai</w:t>
            </w:r>
          </w:p>
        </w:tc>
        <w:tc>
          <w:tcPr>
            <w:tcW w:w="78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400"/>
              <w:jc w:val="right"/>
              <w:rPr>
                <w:rFonts w:ascii="Arial" w:eastAsia="Arial" w:hAnsi="Arial" w:cs="Arial"/>
                <w:b/>
                <w:noProof/>
                <w:color w:val="000000"/>
                <w:sz w:val="16"/>
              </w:rPr>
            </w:pPr>
          </w:p>
        </w:tc>
        <w:tc>
          <w:tcPr>
            <w:tcW w:w="78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400"/>
              <w:jc w:val="right"/>
              <w:rPr>
                <w:rFonts w:ascii="Arial" w:eastAsia="Arial" w:hAnsi="Arial" w:cs="Arial"/>
                <w:b/>
                <w:noProof/>
                <w:color w:val="000000"/>
                <w:sz w:val="16"/>
              </w:rPr>
            </w:pPr>
          </w:p>
        </w:tc>
        <w:tc>
          <w:tcPr>
            <w:tcW w:w="78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400"/>
              <w:jc w:val="right"/>
              <w:rPr>
                <w:rFonts w:ascii="Arial" w:eastAsia="Arial" w:hAnsi="Arial" w:cs="Arial"/>
                <w:b/>
                <w:noProof/>
                <w:color w:val="000000"/>
                <w:sz w:val="16"/>
              </w:rPr>
            </w:pPr>
          </w:p>
        </w:tc>
        <w:tc>
          <w:tcPr>
            <w:tcW w:w="782"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400"/>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rPr>
                <w:rFonts w:ascii="Arial" w:eastAsia="Arial" w:hAnsi="Arial" w:cs="Arial"/>
                <w:b/>
                <w:noProof/>
                <w:color w:val="000000"/>
                <w:sz w:val="16"/>
              </w:rPr>
            </w:pPr>
            <w:r>
              <w:rPr>
                <w:rFonts w:ascii="Arial" w:hAnsi="Arial"/>
                <w:b/>
                <w:noProof/>
                <w:color w:val="000000"/>
                <w:sz w:val="16"/>
              </w:rPr>
              <w:t>Sausio 1 d. likutis</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10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7 225</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10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16 597</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10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w:t>
            </w:r>
          </w:p>
        </w:tc>
        <w:tc>
          <w:tcPr>
            <w:tcW w:w="782" w:type="pct"/>
            <w:tcBorders>
              <w:top w:val="single" w:sz="4" w:space="0" w:color="000000"/>
              <w:left w:val="nil"/>
              <w:bottom w:val="single" w:sz="4" w:space="0" w:color="000000"/>
              <w:right w:val="nil"/>
              <w:tl2br w:val="nil"/>
              <w:tr2bl w:val="nil"/>
            </w:tcBorders>
            <w:shd w:val="clear" w:color="auto" w:fill="auto"/>
            <w:tcMar>
              <w:left w:w="40" w:type="dxa"/>
              <w:right w:w="10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23 822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hAnsi="Arial"/>
                <w:noProof/>
                <w:color w:val="000000"/>
                <w:sz w:val="16"/>
              </w:rPr>
              <w:t>Perkėlimas į tikėtinus kredito nuostolius 12-os mėnesių laikotarpiu</w:t>
            </w:r>
          </w:p>
        </w:tc>
        <w:tc>
          <w:tcPr>
            <w:tcW w:w="781"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1 669</w:t>
            </w:r>
          </w:p>
        </w:tc>
        <w:tc>
          <w:tcPr>
            <w:tcW w:w="781"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9 983</w:t>
            </w:r>
          </w:p>
        </w:tc>
        <w:tc>
          <w:tcPr>
            <w:tcW w:w="781"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2"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11 652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hAnsi="Arial"/>
                <w:noProof/>
                <w:color w:val="000000"/>
                <w:sz w:val="16"/>
              </w:rPr>
              <w:t>Perkėlimas į tikėtinus kredito nuostolius finansinės priemonės galiojimo laikotarpiu, kurių vertė dėl kredito rizikos nesumažėjusi</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−836</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15 138*</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14 302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hAnsi="Arial"/>
                <w:noProof/>
                <w:color w:val="000000"/>
                <w:sz w:val="16"/>
              </w:rPr>
              <w:t>Perkėlimas į tikėtinus kredito nuostolius finansinės priemonės galiojimo laikotarpiu, kurių vertė dėl kredito rizikos sumažėjusi</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hAnsi="Arial"/>
                <w:noProof/>
                <w:color w:val="000000"/>
                <w:sz w:val="16"/>
              </w:rPr>
              <w:t>Atidėjinio nuostoliams grynasis vertinimas</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696</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773</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1 469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hAnsi="Arial"/>
                <w:noProof/>
                <w:color w:val="000000"/>
                <w:sz w:val="16"/>
              </w:rPr>
              <w:t>Verslo modelio keitimas (IFE)**</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−2 974</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−1 387</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−4 361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hAnsi="Arial"/>
                <w:noProof/>
                <w:color w:val="000000"/>
                <w:sz w:val="16"/>
              </w:rPr>
              <w:t>Finansinis turtas, kurio pripažinimas nutraukiamas</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−1 960</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−7 858</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−9 818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hAnsi="Arial"/>
                <w:noProof/>
                <w:color w:val="000000"/>
                <w:sz w:val="16"/>
              </w:rPr>
              <w:t xml:space="preserve">Užsienio valiutos kursų skirtumai </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123</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80</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203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FFFFFF" w:fill="C0C0C0"/>
            <w:tcMar>
              <w:left w:w="40" w:type="dxa"/>
              <w:right w:w="40" w:type="dxa"/>
            </w:tcMar>
            <w:vAlign w:val="center"/>
          </w:tcPr>
          <w:p>
            <w:pPr>
              <w:pStyle w:val="Normal1400"/>
              <w:rPr>
                <w:rFonts w:ascii="Arial" w:eastAsia="Arial" w:hAnsi="Arial" w:cs="Arial"/>
                <w:b/>
                <w:noProof/>
                <w:color w:val="000000"/>
                <w:sz w:val="16"/>
              </w:rPr>
            </w:pPr>
            <w:r>
              <w:rPr>
                <w:rFonts w:ascii="Arial" w:hAnsi="Arial"/>
                <w:b/>
                <w:noProof/>
                <w:color w:val="000000"/>
                <w:sz w:val="16"/>
              </w:rPr>
              <w:t>Gruodžio 31 d. likutis</w:t>
            </w:r>
          </w:p>
        </w:tc>
        <w:tc>
          <w:tcPr>
            <w:tcW w:w="781" w:type="pct"/>
            <w:tcBorders>
              <w:top w:val="nil"/>
              <w:left w:val="nil"/>
              <w:bottom w:val="nil"/>
              <w:right w:val="nil"/>
              <w:tl2br w:val="nil"/>
              <w:tr2bl w:val="nil"/>
            </w:tcBorders>
            <w:shd w:val="clear" w:color="FFFFFF" w:fill="C0C0C0"/>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3 943</w:t>
            </w:r>
          </w:p>
        </w:tc>
        <w:tc>
          <w:tcPr>
            <w:tcW w:w="781" w:type="pct"/>
            <w:tcBorders>
              <w:top w:val="nil"/>
              <w:left w:val="nil"/>
              <w:bottom w:val="nil"/>
              <w:right w:val="nil"/>
              <w:tl2br w:val="nil"/>
              <w:tr2bl w:val="nil"/>
            </w:tcBorders>
            <w:shd w:val="clear" w:color="FFFFFF" w:fill="C0C0C0"/>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33 326</w:t>
            </w:r>
          </w:p>
        </w:tc>
        <w:tc>
          <w:tcPr>
            <w:tcW w:w="781" w:type="pct"/>
            <w:tcBorders>
              <w:top w:val="nil"/>
              <w:left w:val="nil"/>
              <w:bottom w:val="nil"/>
              <w:right w:val="nil"/>
              <w:tl2br w:val="nil"/>
              <w:tr2bl w:val="nil"/>
            </w:tcBorders>
            <w:shd w:val="clear" w:color="FFFFFF" w:fill="C0C0C0"/>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w:t>
            </w:r>
          </w:p>
        </w:tc>
        <w:tc>
          <w:tcPr>
            <w:tcW w:w="782" w:type="pct"/>
            <w:tcBorders>
              <w:top w:val="nil"/>
              <w:left w:val="nil"/>
              <w:bottom w:val="nil"/>
              <w:right w:val="nil"/>
              <w:tl2br w:val="nil"/>
              <w:tr2bl w:val="nil"/>
            </w:tcBorders>
            <w:shd w:val="clear" w:color="FFFFFF" w:fill="C0C0C0"/>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37 269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7"/>
        </w:trPr>
        <w:tc>
          <w:tcPr>
            <w:tcW w:w="5000" w:type="pct"/>
            <w:gridSpan w:val="5"/>
            <w:tcBorders>
              <w:top w:val="nil"/>
              <w:left w:val="nil"/>
              <w:bottom w:val="nil"/>
              <w:right w:val="nil"/>
              <w:tl2br w:val="nil"/>
              <w:tr2bl w:val="nil"/>
            </w:tcBorders>
            <w:shd w:val="clear" w:color="auto" w:fill="auto"/>
            <w:noWrap/>
            <w:tcMar>
              <w:left w:w="0" w:type="dxa"/>
              <w:right w:w="0" w:type="dxa"/>
            </w:tcMar>
            <w:vAlign w:val="bottom"/>
          </w:tcPr>
          <w:p>
            <w:pPr>
              <w:pStyle w:val="Normal1400"/>
              <w:spacing w:before="40"/>
              <w:jc w:val="both"/>
              <w:rPr>
                <w:rFonts w:ascii="Arial" w:eastAsia="Arial" w:hAnsi="Arial"/>
                <w:noProof/>
                <w:color w:val="000000"/>
                <w:sz w:val="16"/>
              </w:rPr>
            </w:pPr>
            <w:r>
              <w:rPr>
                <w:rFonts w:ascii="Arial" w:hAnsi="Arial"/>
                <w:noProof/>
                <w:color w:val="000000"/>
                <w:sz w:val="16"/>
              </w:rPr>
              <w:t>* 2019 m. gruodžio 31 d. atidėjinių kreditavimo įsipareigojimams apskaičiavimo metodika, taikoma 2 etapo kreditavimo įsipareigojimams, buvo pakeista, todėl atliekant skaičiavimus kredito konvertavimo koeficientai netaikyti. Dėl šio pokyčio susidarė papildoma 7,7 mln. EUR tikėtų kredito nuostolių suma.</w:t>
            </w:r>
          </w:p>
          <w:p>
            <w:pPr>
              <w:pStyle w:val="Normal1400"/>
              <w:spacing w:before="40"/>
              <w:jc w:val="both"/>
              <w:rPr>
                <w:rFonts w:ascii="Arial" w:eastAsia="Arial" w:hAnsi="Arial" w:cs="Arial"/>
                <w:noProof/>
                <w:color w:val="000000"/>
                <w:sz w:val="16"/>
              </w:rPr>
            </w:pPr>
            <w:r>
              <w:rPr>
                <w:rFonts w:ascii="Arial" w:hAnsi="Arial"/>
                <w:noProof/>
                <w:color w:val="000000"/>
                <w:sz w:val="16"/>
              </w:rPr>
              <w:t>** Išsamios informacijos žr. 24 pastabą.</w:t>
            </w:r>
          </w:p>
          <w:p>
            <w:pPr>
              <w:pStyle w:val="Normal1400"/>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9"/>
        </w:trPr>
        <w:tc>
          <w:tcPr>
            <w:tcW w:w="5000" w:type="pct"/>
            <w:gridSpan w:val="5"/>
            <w:tcBorders>
              <w:top w:val="nil"/>
              <w:left w:val="nil"/>
              <w:bottom w:val="nil"/>
              <w:right w:val="nil"/>
              <w:tl2br w:val="nil"/>
              <w:tr2bl w:val="nil"/>
            </w:tcBorders>
            <w:shd w:val="clear" w:color="auto" w:fill="auto"/>
            <w:noWrap/>
            <w:tcMar>
              <w:left w:w="0" w:type="dxa"/>
              <w:right w:w="0" w:type="dxa"/>
            </w:tcMar>
            <w:vAlign w:val="bottom"/>
          </w:tcPr>
          <w:p>
            <w:pPr>
              <w:pStyle w:val="Normal1400"/>
              <w:rPr>
                <w:rFonts w:ascii="Arial" w:eastAsia="Arial" w:hAnsi="Arial" w:cs="Arial"/>
                <w:noProof/>
                <w:color w:val="000000"/>
                <w:sz w:val="14"/>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9"/>
        </w:trPr>
        <w:tc>
          <w:tcPr>
            <w:tcW w:w="1875"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400"/>
              <w:rPr>
                <w:rFonts w:ascii="Arial" w:eastAsia="Arial" w:hAnsi="Arial" w:cs="Arial"/>
                <w:noProof/>
                <w:color w:val="000000"/>
                <w:sz w:val="14"/>
              </w:rPr>
            </w:pPr>
          </w:p>
        </w:tc>
        <w:tc>
          <w:tcPr>
            <w:tcW w:w="3125" w:type="pct"/>
            <w:gridSpan w:val="4"/>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pStyle w:val="Normal1400"/>
              <w:jc w:val="center"/>
              <w:rPr>
                <w:rFonts w:ascii="Arial" w:eastAsia="Arial" w:hAnsi="Arial" w:cs="Arial"/>
                <w:b/>
                <w:noProof/>
                <w:color w:val="000000"/>
                <w:sz w:val="16"/>
              </w:rPr>
            </w:pPr>
            <w:r>
              <w:rPr>
                <w:rFonts w:ascii="Arial" w:hAnsi="Arial"/>
                <w:b/>
                <w:noProof/>
                <w:color w:val="000000"/>
                <w:sz w:val="16"/>
              </w:rPr>
              <w:t>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187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400"/>
              <w:rPr>
                <w:rFonts w:ascii="Arial" w:eastAsia="Arial" w:hAnsi="Arial" w:cs="Arial"/>
                <w:b/>
                <w:noProof/>
                <w:color w:val="000000"/>
                <w:sz w:val="16"/>
              </w:rPr>
            </w:pPr>
            <w:r>
              <w:rPr>
                <w:rFonts w:ascii="Arial" w:hAnsi="Arial"/>
                <w:b/>
                <w:noProof/>
                <w:color w:val="000000"/>
                <w:sz w:val="16"/>
              </w:rPr>
              <w:t>tūkst. EUR</w:t>
            </w:r>
          </w:p>
        </w:tc>
        <w:tc>
          <w:tcPr>
            <w:tcW w:w="781"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Tikėtini kredito nuostoliai 12-os mėnesių laikotarpiu</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Tikėtini kredito nuostoliai finansinės priemonės galiojimo laikotarpiu, kurių vertė dėl kredito rizikos nesumažėjusi</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Tikėtini kredito nuostoliai finansinės priemonės galiojimo laikotarpiu, kurių vertė dėl kredito rizikos sumažėjusi</w:t>
            </w:r>
          </w:p>
        </w:tc>
        <w:tc>
          <w:tcPr>
            <w:tcW w:w="782"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Iš viso</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rPr>
                <w:rFonts w:ascii="Arial" w:eastAsia="Arial" w:hAnsi="Arial" w:cs="Arial"/>
                <w:b/>
                <w:noProof/>
                <w:color w:val="000000"/>
                <w:sz w:val="16"/>
              </w:rPr>
            </w:pPr>
            <w:r>
              <w:rPr>
                <w:rFonts w:ascii="Arial" w:hAnsi="Arial"/>
                <w:b/>
                <w:noProof/>
                <w:color w:val="000000"/>
                <w:sz w:val="16"/>
              </w:rPr>
              <w:t>Kreditavimo įsipareigojimai</w:t>
            </w:r>
          </w:p>
        </w:tc>
        <w:tc>
          <w:tcPr>
            <w:tcW w:w="78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400"/>
              <w:jc w:val="right"/>
              <w:rPr>
                <w:rFonts w:ascii="Arial" w:eastAsia="Arial" w:hAnsi="Arial" w:cs="Arial"/>
                <w:b/>
                <w:noProof/>
                <w:color w:val="000000"/>
                <w:sz w:val="16"/>
              </w:rPr>
            </w:pPr>
          </w:p>
        </w:tc>
        <w:tc>
          <w:tcPr>
            <w:tcW w:w="78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400"/>
              <w:jc w:val="right"/>
              <w:rPr>
                <w:rFonts w:ascii="Arial" w:eastAsia="Arial" w:hAnsi="Arial" w:cs="Arial"/>
                <w:b/>
                <w:noProof/>
                <w:color w:val="000000"/>
                <w:sz w:val="16"/>
              </w:rPr>
            </w:pPr>
          </w:p>
        </w:tc>
        <w:tc>
          <w:tcPr>
            <w:tcW w:w="78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400"/>
              <w:jc w:val="right"/>
              <w:rPr>
                <w:rFonts w:ascii="Arial" w:eastAsia="Arial" w:hAnsi="Arial" w:cs="Arial"/>
                <w:b/>
                <w:noProof/>
                <w:color w:val="000000"/>
                <w:sz w:val="16"/>
              </w:rPr>
            </w:pPr>
          </w:p>
        </w:tc>
        <w:tc>
          <w:tcPr>
            <w:tcW w:w="782"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400"/>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rPr>
                <w:rFonts w:ascii="Arial" w:eastAsia="Arial" w:hAnsi="Arial" w:cs="Arial"/>
                <w:b/>
                <w:noProof/>
                <w:color w:val="000000"/>
                <w:sz w:val="16"/>
              </w:rPr>
            </w:pPr>
            <w:r>
              <w:rPr>
                <w:rFonts w:ascii="Arial" w:hAnsi="Arial"/>
                <w:b/>
                <w:noProof/>
                <w:color w:val="000000"/>
                <w:sz w:val="16"/>
              </w:rPr>
              <w:t>Sausio 1 d. likutis</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1 993</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2 163</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w:t>
            </w:r>
          </w:p>
        </w:tc>
        <w:tc>
          <w:tcPr>
            <w:tcW w:w="78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4 156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hAnsi="Arial"/>
                <w:noProof/>
                <w:color w:val="000000"/>
                <w:sz w:val="16"/>
              </w:rPr>
              <w:t>Perkėlimas į tikėtinus kredito nuostolius 12-os mėnesių laikotarpiu</w:t>
            </w:r>
          </w:p>
        </w:tc>
        <w:tc>
          <w:tcPr>
            <w:tcW w:w="781"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5 192</w:t>
            </w:r>
          </w:p>
        </w:tc>
        <w:tc>
          <w:tcPr>
            <w:tcW w:w="781"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1"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2"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5 192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hAnsi="Arial"/>
                <w:noProof/>
                <w:color w:val="000000"/>
                <w:sz w:val="16"/>
              </w:rPr>
              <w:t>Perkėlimas į tikėtinus kredito nuostolius finansinės priemonės galiojimo laikotarpiu, kurių vertė dėl kredito rizikos nesumažėjusi</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14 420</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14 420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hAnsi="Arial"/>
                <w:noProof/>
                <w:color w:val="000000"/>
                <w:sz w:val="16"/>
              </w:rPr>
              <w:t>Perkėlimas į tikėtinus kredito nuostolius finansinės priemonės galiojimo laikotarpiu, kurių vertė dėl kredito rizikos sumažėjusi</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hAnsi="Arial"/>
                <w:noProof/>
                <w:color w:val="000000"/>
                <w:sz w:val="16"/>
              </w:rPr>
              <w:t xml:space="preserve">Užsienio valiutos kursų skirtumai </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40</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14</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FFFFFF" w:fill="C0C0C0"/>
            <w:tcMar>
              <w:left w:w="40" w:type="dxa"/>
              <w:right w:w="40" w:type="dxa"/>
            </w:tcMar>
            <w:vAlign w:val="center"/>
          </w:tcPr>
          <w:p>
            <w:pPr>
              <w:pStyle w:val="Normal1400"/>
              <w:rPr>
                <w:rFonts w:ascii="Arial" w:eastAsia="Arial" w:hAnsi="Arial" w:cs="Arial"/>
                <w:b/>
                <w:noProof/>
                <w:color w:val="000000"/>
                <w:sz w:val="16"/>
              </w:rPr>
            </w:pPr>
            <w:r>
              <w:rPr>
                <w:rFonts w:ascii="Arial" w:hAnsi="Arial"/>
                <w:b/>
                <w:noProof/>
                <w:color w:val="000000"/>
                <w:sz w:val="16"/>
              </w:rPr>
              <w:t>Gruodžio 31 d. likutis</w:t>
            </w:r>
          </w:p>
        </w:tc>
        <w:tc>
          <w:tcPr>
            <w:tcW w:w="781" w:type="pct"/>
            <w:tcBorders>
              <w:top w:val="nil"/>
              <w:left w:val="nil"/>
              <w:bottom w:val="nil"/>
              <w:right w:val="nil"/>
              <w:tl2br w:val="nil"/>
              <w:tr2bl w:val="nil"/>
            </w:tcBorders>
            <w:shd w:val="clear" w:color="FFFFFF" w:fill="C0C0C0"/>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7 225</w:t>
            </w:r>
          </w:p>
        </w:tc>
        <w:tc>
          <w:tcPr>
            <w:tcW w:w="781" w:type="pct"/>
            <w:tcBorders>
              <w:top w:val="nil"/>
              <w:left w:val="nil"/>
              <w:bottom w:val="nil"/>
              <w:right w:val="nil"/>
              <w:tl2br w:val="nil"/>
              <w:tr2bl w:val="nil"/>
            </w:tcBorders>
            <w:shd w:val="clear" w:color="FFFFFF" w:fill="C0C0C0"/>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16 597</w:t>
            </w:r>
          </w:p>
        </w:tc>
        <w:tc>
          <w:tcPr>
            <w:tcW w:w="781" w:type="pct"/>
            <w:tcBorders>
              <w:top w:val="nil"/>
              <w:left w:val="nil"/>
              <w:bottom w:val="nil"/>
              <w:right w:val="nil"/>
              <w:tl2br w:val="nil"/>
              <w:tr2bl w:val="nil"/>
            </w:tcBorders>
            <w:shd w:val="clear" w:color="FFFFFF" w:fill="C0C0C0"/>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w:t>
            </w:r>
          </w:p>
        </w:tc>
        <w:tc>
          <w:tcPr>
            <w:tcW w:w="782" w:type="pct"/>
            <w:tcBorders>
              <w:top w:val="nil"/>
              <w:left w:val="nil"/>
              <w:bottom w:val="nil"/>
              <w:right w:val="nil"/>
              <w:tl2br w:val="nil"/>
              <w:tr2bl w:val="nil"/>
            </w:tcBorders>
            <w:shd w:val="clear" w:color="FFFFFF" w:fill="C0C0C0"/>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23 822</w:t>
            </w:r>
          </w:p>
        </w:tc>
      </w:tr>
    </w:tbl>
    <w:p>
      <w:pPr>
        <w:pStyle w:val="Notes"/>
        <w:pBdr>
          <w:top w:val="nil"/>
          <w:left w:val="nil"/>
          <w:bottom w:val="nil"/>
          <w:right w:val="nil"/>
          <w:between w:val="nil"/>
          <w:bar w:val="nil"/>
        </w:pBdr>
        <w:spacing w:before="60" w:after="60"/>
        <w:ind w:left="431" w:hanging="431"/>
        <w:rPr>
          <w:noProof/>
          <w:sz w:val="16"/>
          <w:bdr w:val="nil"/>
        </w:rPr>
      </w:pPr>
    </w:p>
    <w:p>
      <w:pPr>
        <w:pStyle w:val="Notes"/>
        <w:pBdr>
          <w:top w:val="nil"/>
          <w:left w:val="nil"/>
          <w:bottom w:val="nil"/>
          <w:right w:val="nil"/>
          <w:between w:val="nil"/>
          <w:bar w:val="nil"/>
        </w:pBdr>
        <w:ind w:left="431" w:hanging="431"/>
        <w:rPr>
          <w:noProof/>
          <w:bdr w:val="nil"/>
        </w:rPr>
      </w:pPr>
      <w:r>
        <w:rPr>
          <w:noProof/>
          <w:bdr w:val="nil"/>
        </w:rPr>
        <w:t>15.</w:t>
      </w:r>
      <w:r>
        <w:rPr>
          <w:noProof/>
          <w:bdr w:val="nil"/>
        </w:rPr>
        <w:tab/>
        <w:t xml:space="preserve">Trečiosioms šalims mokėtinos sumos </w:t>
      </w:r>
    </w:p>
    <w:p>
      <w:pPr>
        <w:pStyle w:val="Notes"/>
        <w:pBdr>
          <w:top w:val="nil"/>
          <w:left w:val="nil"/>
          <w:bottom w:val="nil"/>
          <w:right w:val="nil"/>
          <w:between w:val="nil"/>
          <w:bar w:val="nil"/>
        </w:pBdr>
        <w:spacing w:before="60" w:after="60"/>
        <w:ind w:left="431" w:hanging="431"/>
        <w:rPr>
          <w:noProof/>
          <w:sz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Pagrindiniai trečiosioms šalims mokėtinų sumų komponentai:</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18"/>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1"/>
              <w:rPr>
                <w:rFonts w:ascii="Arial" w:eastAsia="Arial" w:hAnsi="Arial" w:cs="Arial"/>
                <w:b/>
                <w:noProof/>
                <w:color w:val="000000"/>
                <w:sz w:val="16"/>
              </w:rPr>
            </w:pPr>
            <w:r>
              <w:rPr>
                <w:rFonts w:ascii="Arial" w:hAnsi="Arial"/>
                <w:b/>
                <w:noProof/>
                <w:color w:val="000000"/>
                <w:sz w:val="16"/>
              </w:rPr>
              <w:t>tūkst.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1"/>
              <w:jc w:val="right"/>
              <w:rPr>
                <w:rFonts w:ascii="Arial" w:eastAsia="Arial" w:hAnsi="Arial" w:cs="Arial"/>
                <w:b/>
                <w:noProof/>
                <w:color w:val="000000"/>
                <w:sz w:val="16"/>
              </w:rPr>
            </w:pPr>
            <w:r>
              <w:rPr>
                <w:rFonts w:ascii="Arial" w:hAnsi="Arial"/>
                <w:b/>
                <w:noProof/>
                <w:color w:val="000000"/>
                <w:sz w:val="16"/>
              </w:rPr>
              <w:t>2019 12 31</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1"/>
              <w:jc w:val="right"/>
              <w:rPr>
                <w:rFonts w:ascii="Arial" w:eastAsia="Arial" w:hAnsi="Arial" w:cs="Arial"/>
                <w:b/>
                <w:noProof/>
                <w:color w:val="000000"/>
                <w:sz w:val="16"/>
              </w:rPr>
            </w:pPr>
            <w:r>
              <w:rPr>
                <w:rFonts w:ascii="Arial" w:hAnsi="Arial"/>
                <w:b/>
                <w:noProof/>
                <w:color w:val="000000"/>
                <w:sz w:val="16"/>
              </w:rPr>
              <w:t>2018 12 31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1"/>
              <w:rPr>
                <w:rFonts w:ascii="Arial" w:eastAsia="Arial" w:hAnsi="Arial" w:cs="Arial"/>
                <w:noProof/>
                <w:color w:val="000000"/>
                <w:sz w:val="16"/>
              </w:rPr>
            </w:pPr>
            <w:r>
              <w:rPr>
                <w:rFonts w:ascii="Arial" w:hAnsi="Arial"/>
                <w:noProof/>
                <w:color w:val="000000"/>
                <w:sz w:val="16"/>
              </w:rPr>
              <w:t>Grynosios bendrosios administracinės išlaidos, mokėtinos EIB</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1"/>
              <w:jc w:val="right"/>
              <w:rPr>
                <w:rFonts w:ascii="Arial" w:eastAsia="Arial" w:hAnsi="Arial" w:cs="Arial"/>
                <w:noProof/>
                <w:color w:val="000000"/>
                <w:sz w:val="16"/>
              </w:rPr>
            </w:pPr>
            <w:r>
              <w:rPr>
                <w:rFonts w:ascii="Arial" w:hAnsi="Arial"/>
                <w:noProof/>
                <w:color w:val="000000"/>
                <w:sz w:val="16"/>
              </w:rPr>
              <w:t>50 009</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1"/>
              <w:jc w:val="right"/>
              <w:rPr>
                <w:rFonts w:ascii="Arial" w:eastAsia="Arial" w:hAnsi="Arial" w:cs="Arial"/>
                <w:noProof/>
                <w:color w:val="000000"/>
                <w:sz w:val="16"/>
              </w:rPr>
            </w:pPr>
            <w:r>
              <w:rPr>
                <w:rFonts w:ascii="Arial" w:hAnsi="Arial"/>
                <w:noProof/>
                <w:color w:val="000000"/>
                <w:sz w:val="16"/>
              </w:rPr>
              <w:t>47 799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1"/>
              <w:rPr>
                <w:rFonts w:ascii="Arial" w:eastAsia="Arial" w:hAnsi="Arial" w:cs="Arial"/>
                <w:noProof/>
                <w:color w:val="000000"/>
                <w:sz w:val="16"/>
              </w:rPr>
            </w:pPr>
            <w:r>
              <w:rPr>
                <w:rFonts w:ascii="Arial" w:hAnsi="Arial"/>
                <w:noProof/>
                <w:color w:val="000000"/>
                <w:sz w:val="16"/>
              </w:rPr>
              <w:t>Kitos sumos, mokėtinos EIB</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1"/>
              <w:jc w:val="right"/>
              <w:rPr>
                <w:rFonts w:ascii="Arial" w:eastAsia="Arial" w:hAnsi="Arial" w:cs="Arial"/>
                <w:noProof/>
                <w:color w:val="000000"/>
                <w:sz w:val="16"/>
              </w:rPr>
            </w:pPr>
            <w:r>
              <w:rPr>
                <w:rFonts w:ascii="Arial" w:hAnsi="Arial"/>
                <w:noProof/>
                <w:color w:val="000000"/>
                <w:sz w:val="16"/>
              </w:rPr>
              <w:t>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1"/>
              <w:jc w:val="right"/>
              <w:rPr>
                <w:rFonts w:ascii="Arial" w:eastAsia="Arial" w:hAnsi="Arial" w:cs="Arial"/>
                <w:noProof/>
                <w:color w:val="000000"/>
                <w:sz w:val="16"/>
              </w:rPr>
            </w:pPr>
            <w:r>
              <w:rPr>
                <w:rFonts w:ascii="Arial" w:hAnsi="Arial"/>
                <w:noProof/>
                <w:color w:val="000000"/>
                <w:sz w:val="16"/>
              </w:rPr>
              <w:t>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1"/>
              <w:rPr>
                <w:rFonts w:ascii="Arial" w:eastAsia="Arial" w:hAnsi="Arial" w:cs="Arial"/>
                <w:noProof/>
                <w:color w:val="000000"/>
                <w:sz w:val="16"/>
              </w:rPr>
            </w:pPr>
            <w:r>
              <w:rPr>
                <w:rFonts w:ascii="Arial" w:hAnsi="Arial"/>
                <w:noProof/>
                <w:color w:val="000000"/>
                <w:sz w:val="16"/>
              </w:rPr>
              <w:t>Valstybėms narėms dar neišmokėtos palūkanų subsidijos ir TP</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1"/>
              <w:jc w:val="right"/>
              <w:rPr>
                <w:rFonts w:ascii="Arial" w:eastAsia="Arial" w:hAnsi="Arial" w:cs="Arial"/>
                <w:noProof/>
                <w:color w:val="000000"/>
                <w:sz w:val="16"/>
              </w:rPr>
            </w:pPr>
            <w:r>
              <w:rPr>
                <w:rFonts w:ascii="Arial" w:hAnsi="Arial"/>
                <w:noProof/>
                <w:color w:val="000000"/>
                <w:sz w:val="16"/>
              </w:rPr>
              <w:t>97 398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1"/>
              <w:jc w:val="right"/>
              <w:rPr>
                <w:rFonts w:ascii="Arial" w:eastAsia="Arial" w:hAnsi="Arial" w:cs="Arial"/>
                <w:noProof/>
                <w:color w:val="000000"/>
                <w:sz w:val="16"/>
              </w:rPr>
            </w:pPr>
            <w:r>
              <w:rPr>
                <w:rFonts w:ascii="Arial" w:hAnsi="Arial"/>
                <w:noProof/>
                <w:color w:val="000000"/>
                <w:sz w:val="16"/>
              </w:rPr>
              <w:t>95 960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1"/>
              <w:rPr>
                <w:rFonts w:ascii="Arial" w:eastAsia="Arial" w:hAnsi="Arial" w:cs="Arial"/>
                <w:b/>
                <w:noProof/>
                <w:color w:val="000000"/>
                <w:sz w:val="16"/>
              </w:rPr>
            </w:pPr>
            <w:r>
              <w:rPr>
                <w:rFonts w:ascii="Arial" w:hAnsi="Arial"/>
                <w:b/>
                <w:noProof/>
                <w:color w:val="000000"/>
                <w:sz w:val="16"/>
              </w:rPr>
              <w:t>Iš viso trečiosioms šalims mokėtinos sumos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1"/>
              <w:jc w:val="right"/>
              <w:rPr>
                <w:rFonts w:ascii="Arial" w:eastAsia="Arial" w:hAnsi="Arial" w:cs="Arial"/>
                <w:b/>
                <w:noProof/>
                <w:color w:val="000000"/>
                <w:sz w:val="16"/>
              </w:rPr>
            </w:pPr>
            <w:r>
              <w:rPr>
                <w:rFonts w:ascii="Arial" w:hAnsi="Arial"/>
                <w:b/>
                <w:noProof/>
                <w:color w:val="000000"/>
                <w:sz w:val="16"/>
              </w:rPr>
              <w:t>147 438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1"/>
              <w:jc w:val="right"/>
              <w:rPr>
                <w:rFonts w:ascii="Arial" w:eastAsia="Arial" w:hAnsi="Arial" w:cs="Arial"/>
                <w:b/>
                <w:noProof/>
                <w:color w:val="000000"/>
                <w:sz w:val="16"/>
              </w:rPr>
            </w:pPr>
            <w:r>
              <w:rPr>
                <w:rFonts w:ascii="Arial" w:hAnsi="Arial"/>
                <w:b/>
                <w:noProof/>
                <w:color w:val="000000"/>
                <w:sz w:val="16"/>
              </w:rPr>
              <w:t>143 813</w:t>
            </w:r>
          </w:p>
        </w:tc>
      </w:tr>
    </w:tbl>
    <w:p>
      <w:pPr>
        <w:pBdr>
          <w:top w:val="nil"/>
          <w:left w:val="nil"/>
          <w:bottom w:val="nil"/>
          <w:right w:val="nil"/>
          <w:between w:val="nil"/>
          <w:bar w:val="nil"/>
        </w:pBdr>
        <w:rPr>
          <w:rFonts w:ascii="Arial" w:hAnsi="Arial"/>
          <w:noProof/>
          <w:sz w:val="16"/>
          <w:bdr w:val="nil"/>
        </w:rPr>
      </w:pPr>
    </w:p>
    <w:p>
      <w:pPr>
        <w:pStyle w:val="Notes"/>
        <w:pBdr>
          <w:top w:val="nil"/>
          <w:left w:val="nil"/>
          <w:bottom w:val="nil"/>
          <w:right w:val="nil"/>
          <w:between w:val="nil"/>
          <w:bar w:val="nil"/>
        </w:pBdr>
        <w:ind w:left="431" w:hanging="431"/>
        <w:rPr>
          <w:noProof/>
          <w:bdr w:val="nil"/>
        </w:rPr>
      </w:pPr>
      <w:r>
        <w:rPr>
          <w:noProof/>
          <w:bdr w:val="nil"/>
        </w:rPr>
        <w:t>16.</w:t>
      </w:r>
      <w:r>
        <w:rPr>
          <w:noProof/>
          <w:bdr w:val="nil"/>
        </w:rPr>
        <w:tab/>
        <w:t>Kiti įsipareigojimai</w:t>
      </w:r>
    </w:p>
    <w:p>
      <w:pPr>
        <w:pStyle w:val="Notes"/>
        <w:pBdr>
          <w:top w:val="nil"/>
          <w:left w:val="nil"/>
          <w:bottom w:val="nil"/>
          <w:right w:val="nil"/>
          <w:between w:val="nil"/>
          <w:bar w:val="nil"/>
        </w:pBdr>
        <w:spacing w:before="60" w:after="60"/>
        <w:ind w:left="431" w:hanging="431"/>
        <w:rPr>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Pagrindiniai kitų įsipareigojimų komponentai:</w:t>
      </w:r>
    </w:p>
    <w:p>
      <w:pPr>
        <w:pBdr>
          <w:top w:val="nil"/>
          <w:left w:val="nil"/>
          <w:bottom w:val="nil"/>
          <w:right w:val="nil"/>
          <w:between w:val="nil"/>
          <w:bar w:val="nil"/>
        </w:pBdr>
        <w:spacing w:before="60" w:after="60"/>
        <w:jc w:val="both"/>
        <w:rPr>
          <w:rFonts w:ascii="Arial" w:hAnsi="Arial"/>
          <w:noProof/>
          <w:sz w:val="16"/>
          <w:szCs w:val="16"/>
          <w:bdr w:val="nil"/>
        </w:rPr>
      </w:pPr>
      <w:r>
        <w:rPr>
          <w:noProof/>
          <w:sz w:val="16"/>
          <w:szCs w:val="16"/>
        </w:rPr>
        <w:t xml:space="preserve"> </w:t>
      </w:r>
    </w:p>
    <w:tbl>
      <w:tblPr>
        <w:tblStyle w:val="CDMRange218"/>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2"/>
              <w:rPr>
                <w:rFonts w:ascii="Arial" w:eastAsia="Arial" w:hAnsi="Arial" w:cs="Arial"/>
                <w:b/>
                <w:noProof/>
                <w:color w:val="000000"/>
                <w:sz w:val="16"/>
              </w:rPr>
            </w:pPr>
            <w:r>
              <w:rPr>
                <w:rFonts w:ascii="Arial" w:hAnsi="Arial"/>
                <w:b/>
                <w:noProof/>
                <w:color w:val="000000"/>
                <w:sz w:val="16"/>
              </w:rPr>
              <w:t>tūkst.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2"/>
              <w:jc w:val="right"/>
              <w:rPr>
                <w:rFonts w:ascii="Arial" w:eastAsia="Arial" w:hAnsi="Arial" w:cs="Arial"/>
                <w:b/>
                <w:noProof/>
                <w:color w:val="000000"/>
                <w:sz w:val="16"/>
              </w:rPr>
            </w:pPr>
            <w:r>
              <w:rPr>
                <w:rFonts w:ascii="Arial" w:hAnsi="Arial"/>
                <w:b/>
                <w:noProof/>
                <w:color w:val="000000"/>
                <w:sz w:val="16"/>
              </w:rPr>
              <w:t>2019 12 31</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2"/>
              <w:jc w:val="right"/>
              <w:rPr>
                <w:rFonts w:ascii="Arial" w:eastAsia="Arial" w:hAnsi="Arial" w:cs="Arial"/>
                <w:b/>
                <w:noProof/>
                <w:color w:val="000000"/>
                <w:sz w:val="16"/>
              </w:rPr>
            </w:pPr>
            <w:r>
              <w:rPr>
                <w:rFonts w:ascii="Arial" w:hAnsi="Arial"/>
                <w:b/>
                <w:noProof/>
                <w:color w:val="000000"/>
                <w:sz w:val="16"/>
              </w:rPr>
              <w:t>2018 12 31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2"/>
              <w:rPr>
                <w:rFonts w:ascii="Arial" w:eastAsia="Arial" w:hAnsi="Arial" w:cs="Arial"/>
                <w:noProof/>
                <w:color w:val="000000"/>
                <w:sz w:val="16"/>
              </w:rPr>
            </w:pPr>
            <w:r>
              <w:rPr>
                <w:rFonts w:ascii="Arial" w:hAnsi="Arial"/>
                <w:noProof/>
                <w:color w:val="000000"/>
                <w:sz w:val="16"/>
              </w:rPr>
              <w:t xml:space="preserve">Iš anksto gauti paskolos mokėjimai </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2"/>
              <w:jc w:val="right"/>
              <w:rPr>
                <w:rFonts w:ascii="Arial" w:eastAsia="Arial" w:hAnsi="Arial" w:cs="Arial"/>
                <w:noProof/>
                <w:color w:val="000000"/>
                <w:sz w:val="16"/>
              </w:rPr>
            </w:pPr>
            <w:r>
              <w:rPr>
                <w:rFonts w:ascii="Arial" w:hAnsi="Arial"/>
                <w:noProof/>
                <w:color w:val="000000"/>
                <w:sz w:val="16"/>
              </w:rPr>
              <w:t>1 961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2"/>
              <w:jc w:val="right"/>
              <w:rPr>
                <w:rFonts w:ascii="Arial" w:eastAsia="Arial" w:hAnsi="Arial" w:cs="Arial"/>
                <w:noProof/>
                <w:color w:val="000000"/>
                <w:sz w:val="16"/>
              </w:rPr>
            </w:pPr>
            <w:r>
              <w:rPr>
                <w:rFonts w:ascii="Arial" w:hAnsi="Arial"/>
                <w:noProof/>
                <w:color w:val="000000"/>
                <w:sz w:val="16"/>
              </w:rPr>
              <w:t>2 124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2"/>
              <w:rPr>
                <w:rFonts w:ascii="Arial" w:eastAsia="Arial" w:hAnsi="Arial" w:cs="Arial"/>
                <w:noProof/>
                <w:color w:val="000000"/>
                <w:sz w:val="16"/>
              </w:rPr>
            </w:pPr>
            <w:r>
              <w:rPr>
                <w:rFonts w:ascii="Arial" w:hAnsi="Arial"/>
                <w:noProof/>
                <w:color w:val="000000"/>
                <w:sz w:val="16"/>
              </w:rPr>
              <w:t>Būsimojo laikotarpio pajamos iš palūkanų subsidijų</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2"/>
              <w:jc w:val="right"/>
              <w:rPr>
                <w:rFonts w:ascii="Arial" w:eastAsia="Arial" w:hAnsi="Arial" w:cs="Arial"/>
                <w:noProof/>
                <w:color w:val="000000"/>
                <w:sz w:val="16"/>
              </w:rPr>
            </w:pPr>
            <w:r>
              <w:rPr>
                <w:rFonts w:ascii="Arial" w:hAnsi="Arial"/>
                <w:noProof/>
                <w:color w:val="000000"/>
                <w:sz w:val="16"/>
              </w:rPr>
              <w:t>339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2"/>
              <w:jc w:val="right"/>
              <w:rPr>
                <w:rFonts w:ascii="Arial" w:eastAsia="Arial" w:hAnsi="Arial" w:cs="Arial"/>
                <w:noProof/>
                <w:color w:val="000000"/>
                <w:sz w:val="16"/>
              </w:rPr>
            </w:pPr>
            <w:r>
              <w:rPr>
                <w:rFonts w:ascii="Arial" w:hAnsi="Arial"/>
                <w:noProof/>
                <w:color w:val="000000"/>
                <w:sz w:val="16"/>
              </w:rPr>
              <w:t>369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2"/>
              <w:rPr>
                <w:rFonts w:ascii="Arial" w:eastAsia="Arial" w:hAnsi="Arial" w:cs="Arial"/>
                <w:noProof/>
                <w:color w:val="000000"/>
                <w:sz w:val="16"/>
              </w:rPr>
            </w:pPr>
            <w:r>
              <w:rPr>
                <w:rFonts w:ascii="Arial" w:hAnsi="Arial"/>
                <w:noProof/>
                <w:color w:val="000000"/>
                <w:sz w:val="16"/>
              </w:rPr>
              <w:t>Finansinių garantijų reikalavimai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2"/>
              <w:jc w:val="right"/>
              <w:rPr>
                <w:rFonts w:ascii="Arial" w:eastAsia="Arial" w:hAnsi="Arial" w:cs="Arial"/>
                <w:noProof/>
                <w:color w:val="000000"/>
                <w:sz w:val="16"/>
              </w:rPr>
            </w:pPr>
            <w:r>
              <w:rPr>
                <w:rFonts w:ascii="Arial" w:hAnsi="Arial"/>
                <w:noProof/>
                <w:color w:val="000000"/>
                <w:sz w:val="16"/>
              </w:rPr>
              <w:t>53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2"/>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2"/>
              <w:rPr>
                <w:rFonts w:ascii="Arial" w:eastAsia="Arial" w:hAnsi="Arial" w:cs="Arial"/>
                <w:b/>
                <w:noProof/>
                <w:color w:val="000000"/>
                <w:sz w:val="16"/>
              </w:rPr>
            </w:pPr>
            <w:r>
              <w:rPr>
                <w:rFonts w:ascii="Arial" w:hAnsi="Arial"/>
                <w:b/>
                <w:noProof/>
                <w:color w:val="000000"/>
                <w:sz w:val="16"/>
              </w:rPr>
              <w:t>Iš viso kitų įsipareigojimų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2"/>
              <w:jc w:val="right"/>
              <w:rPr>
                <w:rFonts w:ascii="Arial" w:eastAsia="Arial" w:hAnsi="Arial" w:cs="Arial"/>
                <w:b/>
                <w:noProof/>
                <w:color w:val="000000"/>
                <w:sz w:val="16"/>
              </w:rPr>
            </w:pPr>
            <w:r>
              <w:rPr>
                <w:rFonts w:ascii="Arial" w:hAnsi="Arial"/>
                <w:b/>
                <w:noProof/>
                <w:color w:val="000000"/>
                <w:sz w:val="16"/>
              </w:rPr>
              <w:t>2 353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2"/>
              <w:jc w:val="right"/>
              <w:rPr>
                <w:rFonts w:ascii="Arial" w:eastAsia="Arial" w:hAnsi="Arial" w:cs="Arial"/>
                <w:b/>
                <w:noProof/>
                <w:color w:val="000000"/>
                <w:sz w:val="16"/>
              </w:rPr>
            </w:pPr>
            <w:r>
              <w:rPr>
                <w:rFonts w:ascii="Arial" w:hAnsi="Arial"/>
                <w:b/>
                <w:noProof/>
                <w:color w:val="000000"/>
                <w:sz w:val="16"/>
              </w:rPr>
              <w:t>2 493</w:t>
            </w:r>
          </w:p>
        </w:tc>
      </w:tr>
    </w:tbl>
    <w:p>
      <w:pPr>
        <w:pStyle w:val="Notes"/>
        <w:pageBreakBefore/>
        <w:pBdr>
          <w:top w:val="nil"/>
          <w:left w:val="nil"/>
          <w:bottom w:val="nil"/>
          <w:right w:val="nil"/>
          <w:between w:val="nil"/>
          <w:bar w:val="nil"/>
        </w:pBdr>
        <w:ind w:left="431" w:hanging="431"/>
        <w:rPr>
          <w:noProof/>
          <w:bdr w:val="nil"/>
        </w:rPr>
      </w:pPr>
      <w:r>
        <w:rPr>
          <w:noProof/>
          <w:bdr w:val="nil"/>
        </w:rPr>
        <w:t>17.</w:t>
      </w:r>
      <w:r>
        <w:rPr>
          <w:noProof/>
          <w:bdr w:val="nil"/>
        </w:rPr>
        <w:tab/>
        <w:t>Pareikalautieji valstybių narių įnašai (tūkst. EUR)</w:t>
      </w:r>
    </w:p>
    <w:p>
      <w:pPr>
        <w:pStyle w:val="Notes"/>
        <w:pBdr>
          <w:top w:val="nil"/>
          <w:left w:val="nil"/>
          <w:bottom w:val="nil"/>
          <w:right w:val="nil"/>
          <w:between w:val="nil"/>
          <w:bar w:val="nil"/>
        </w:pBdr>
        <w:rPr>
          <w:noProof/>
          <w:sz w:val="16"/>
          <w:szCs w:val="16"/>
          <w:bdr w:val="nil"/>
        </w:rPr>
      </w:pPr>
      <w:r>
        <w:rPr>
          <w:noProof/>
        </w:rPr>
        <w:t xml:space="preserve"> </w:t>
      </w:r>
    </w:p>
    <w:tbl>
      <w:tblPr>
        <w:tblStyle w:val="CDMRange119"/>
        <w:tblW w:w="9975" w:type="dxa"/>
        <w:tblLayout w:type="fixed"/>
        <w:tblLook w:val="0600" w:firstRow="0" w:lastRow="0" w:firstColumn="0" w:lastColumn="0" w:noHBand="1" w:noVBand="1"/>
      </w:tblPr>
      <w:tblGrid>
        <w:gridCol w:w="3975"/>
        <w:gridCol w:w="1500"/>
        <w:gridCol w:w="1500"/>
        <w:gridCol w:w="1500"/>
        <w:gridCol w:w="1500"/>
      </w:tblGrid>
      <w:tr>
        <w:trPr>
          <w:trHeight w:val="840"/>
        </w:trPr>
        <w:tc>
          <w:tcPr>
            <w:tcW w:w="3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3"/>
              <w:rPr>
                <w:rFonts w:ascii="Arial" w:eastAsia="Arial" w:hAnsi="Arial" w:cs="Arial"/>
                <w:b/>
                <w:noProof/>
                <w:color w:val="000000"/>
                <w:sz w:val="16"/>
              </w:rPr>
            </w:pPr>
            <w:r>
              <w:rPr>
                <w:rFonts w:ascii="Arial" w:hAnsi="Arial"/>
                <w:b/>
                <w:noProof/>
                <w:color w:val="000000"/>
                <w:sz w:val="16"/>
              </w:rPr>
              <w:t>Valstybės narės</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3"/>
              <w:jc w:val="right"/>
              <w:rPr>
                <w:rFonts w:ascii="Arial" w:eastAsia="Arial" w:hAnsi="Arial" w:cs="Arial"/>
                <w:b/>
                <w:noProof/>
                <w:color w:val="000000"/>
                <w:sz w:val="16"/>
              </w:rPr>
            </w:pPr>
            <w:r>
              <w:rPr>
                <w:rFonts w:ascii="Arial" w:hAnsi="Arial"/>
                <w:b/>
                <w:noProof/>
                <w:color w:val="000000"/>
                <w:sz w:val="16"/>
              </w:rPr>
              <w:t>Priemonei skirtas įnašas</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3"/>
              <w:jc w:val="right"/>
              <w:rPr>
                <w:rFonts w:ascii="Arial" w:eastAsia="Arial" w:hAnsi="Arial" w:cs="Arial"/>
                <w:b/>
                <w:noProof/>
                <w:color w:val="000000"/>
                <w:sz w:val="16"/>
              </w:rPr>
            </w:pPr>
            <w:r>
              <w:rPr>
                <w:rFonts w:ascii="Arial" w:hAnsi="Arial"/>
                <w:b/>
                <w:noProof/>
                <w:color w:val="000000"/>
                <w:sz w:val="16"/>
              </w:rPr>
              <w:t>Įnašas, skirtas palūkanų subsidijoms ir techninei pagalbai</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3"/>
              <w:jc w:val="right"/>
              <w:rPr>
                <w:rFonts w:ascii="Arial" w:eastAsia="Arial" w:hAnsi="Arial" w:cs="Arial"/>
                <w:b/>
                <w:noProof/>
                <w:color w:val="000000"/>
                <w:sz w:val="16"/>
              </w:rPr>
            </w:pPr>
            <w:r>
              <w:rPr>
                <w:rFonts w:ascii="Arial" w:hAnsi="Arial"/>
                <w:b/>
                <w:noProof/>
                <w:color w:val="000000"/>
                <w:sz w:val="16"/>
              </w:rPr>
              <w:t>Iš viso</w:t>
            </w:r>
          </w:p>
          <w:p>
            <w:pPr>
              <w:pStyle w:val="Normal143"/>
              <w:jc w:val="right"/>
              <w:rPr>
                <w:rFonts w:ascii="Arial" w:eastAsia="Arial" w:hAnsi="Arial" w:cs="Arial"/>
                <w:b/>
                <w:noProof/>
                <w:color w:val="000000"/>
                <w:sz w:val="16"/>
              </w:rPr>
            </w:pPr>
            <w:r>
              <w:rPr>
                <w:rFonts w:ascii="Arial" w:hAnsi="Arial"/>
                <w:b/>
                <w:noProof/>
                <w:color w:val="000000"/>
                <w:sz w:val="16"/>
              </w:rPr>
              <w:t>įnešta</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3"/>
              <w:jc w:val="right"/>
              <w:rPr>
                <w:rFonts w:ascii="Arial" w:eastAsia="Arial" w:hAnsi="Arial" w:cs="Arial"/>
                <w:b/>
                <w:noProof/>
                <w:color w:val="000000"/>
                <w:sz w:val="16"/>
              </w:rPr>
            </w:pPr>
            <w:r>
              <w:rPr>
                <w:rFonts w:ascii="Arial" w:hAnsi="Arial"/>
                <w:b/>
                <w:noProof/>
                <w:color w:val="000000"/>
                <w:sz w:val="16"/>
              </w:rPr>
              <w:t>Pareikalauta, bet neįmokėta*</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Austrija</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76 442</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9 592</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86 034</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2 410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Belgija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112 757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14 105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126 862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3 530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Bulgarija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1 274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1 610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Kipras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819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216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1 035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90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Čekija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4 641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1 224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5 865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510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Danija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62 220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7 875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70 095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Estija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455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575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Suomija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43 821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5 655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49 476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1 470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Prancūzija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677 756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81 837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759 593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19 550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Vokietija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667 065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82 766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749 831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20 500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Graikija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39 090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5 324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44 414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1 470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Vengrija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5 005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1 320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6 325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550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Airija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21 034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3 075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24 109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910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Italija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374 974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48 883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423 857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12 860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Latvija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637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805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Lietuva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1 092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288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1 380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Liuksemburgas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8 422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1 065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9 487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Malta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273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72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345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Nyderlandai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151 510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19 140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170 650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4 850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Lenkija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11 830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3 120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14 950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1 300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Portugalija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30 418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4 154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34 572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2 300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Rumunija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3 367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888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4 255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Slovakija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1 911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504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2 415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Slovėnija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1 638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432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2 070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Ispanija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191 564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27 231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218 795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7 850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Švedija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81 090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10 499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91 589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2 740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Jungtinė Karalystė</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395 895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53 802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449 697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FFFFFF" w:fill="C0C0C0"/>
            <w:tcMar>
              <w:left w:w="40" w:type="dxa"/>
              <w:right w:w="40" w:type="dxa"/>
            </w:tcMar>
            <w:vAlign w:val="center"/>
          </w:tcPr>
          <w:p>
            <w:pPr>
              <w:pStyle w:val="Normal143"/>
              <w:rPr>
                <w:rFonts w:ascii="Arial" w:eastAsia="Arial" w:hAnsi="Arial" w:cs="Arial"/>
                <w:b/>
                <w:noProof/>
                <w:color w:val="000000"/>
                <w:sz w:val="16"/>
              </w:rPr>
            </w:pPr>
            <w:r>
              <w:rPr>
                <w:rFonts w:ascii="Arial" w:hAnsi="Arial"/>
                <w:b/>
                <w:noProof/>
                <w:color w:val="000000"/>
                <w:sz w:val="16"/>
              </w:rPr>
              <w:t>Iš viso 2019 m. gruodžio 31 d.</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3"/>
              <w:jc w:val="right"/>
              <w:rPr>
                <w:rFonts w:ascii="Arial" w:eastAsia="Arial" w:hAnsi="Arial" w:cs="Arial"/>
                <w:b/>
                <w:noProof/>
                <w:color w:val="000000"/>
                <w:sz w:val="16"/>
              </w:rPr>
            </w:pPr>
            <w:r>
              <w:rPr>
                <w:rFonts w:ascii="Arial" w:hAnsi="Arial"/>
                <w:b/>
                <w:noProof/>
                <w:color w:val="000000"/>
                <w:sz w:val="16"/>
              </w:rPr>
              <w:t>2 967 000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3"/>
              <w:jc w:val="right"/>
              <w:rPr>
                <w:rFonts w:ascii="Arial" w:eastAsia="Arial" w:hAnsi="Arial" w:cs="Arial"/>
                <w:b/>
                <w:noProof/>
                <w:color w:val="000000"/>
                <w:sz w:val="16"/>
              </w:rPr>
            </w:pPr>
            <w:r>
              <w:rPr>
                <w:rFonts w:ascii="Arial" w:hAnsi="Arial"/>
                <w:b/>
                <w:noProof/>
                <w:color w:val="000000"/>
                <w:sz w:val="16"/>
              </w:rPr>
              <w:t>383 691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3"/>
              <w:jc w:val="right"/>
              <w:rPr>
                <w:rFonts w:ascii="Arial" w:eastAsia="Arial" w:hAnsi="Arial" w:cs="Arial"/>
                <w:b/>
                <w:noProof/>
                <w:color w:val="000000"/>
                <w:sz w:val="16"/>
              </w:rPr>
            </w:pPr>
            <w:r>
              <w:rPr>
                <w:rFonts w:ascii="Arial" w:hAnsi="Arial"/>
                <w:b/>
                <w:noProof/>
                <w:color w:val="000000"/>
                <w:sz w:val="16"/>
              </w:rPr>
              <w:t>3 350 691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3"/>
              <w:jc w:val="right"/>
              <w:rPr>
                <w:rFonts w:ascii="Arial" w:eastAsia="Arial" w:hAnsi="Arial" w:cs="Arial"/>
                <w:b/>
                <w:noProof/>
                <w:color w:val="000000"/>
                <w:sz w:val="16"/>
              </w:rPr>
            </w:pPr>
            <w:r>
              <w:rPr>
                <w:rFonts w:ascii="Arial" w:hAnsi="Arial"/>
                <w:b/>
                <w:noProof/>
                <w:color w:val="000000"/>
                <w:sz w:val="16"/>
              </w:rPr>
              <w:t>86 330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FFFFFF" w:fill="C0C0C0"/>
            <w:tcMar>
              <w:left w:w="40" w:type="dxa"/>
              <w:right w:w="40" w:type="dxa"/>
            </w:tcMar>
            <w:vAlign w:val="center"/>
          </w:tcPr>
          <w:p>
            <w:pPr>
              <w:pStyle w:val="Normal143"/>
              <w:rPr>
                <w:rFonts w:ascii="Arial" w:eastAsia="Arial" w:hAnsi="Arial" w:cs="Arial"/>
                <w:b/>
                <w:noProof/>
                <w:color w:val="000000"/>
                <w:sz w:val="16"/>
              </w:rPr>
            </w:pPr>
            <w:r>
              <w:rPr>
                <w:rFonts w:ascii="Arial" w:hAnsi="Arial"/>
                <w:b/>
                <w:noProof/>
                <w:color w:val="000000"/>
                <w:sz w:val="16"/>
              </w:rPr>
              <w:t>Iš viso 2018 m. gruodžio 31 d.</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3"/>
              <w:jc w:val="right"/>
              <w:rPr>
                <w:rFonts w:ascii="Arial" w:eastAsia="Arial" w:hAnsi="Arial" w:cs="Arial"/>
                <w:b/>
                <w:noProof/>
                <w:color w:val="000000"/>
                <w:sz w:val="16"/>
              </w:rPr>
            </w:pPr>
            <w:r>
              <w:rPr>
                <w:rFonts w:ascii="Arial" w:hAnsi="Arial"/>
                <w:b/>
                <w:noProof/>
                <w:color w:val="000000"/>
                <w:sz w:val="16"/>
              </w:rPr>
              <w:t>2 697 000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3"/>
              <w:jc w:val="right"/>
              <w:rPr>
                <w:rFonts w:ascii="Arial" w:eastAsia="Arial" w:hAnsi="Arial" w:cs="Arial"/>
                <w:b/>
                <w:noProof/>
                <w:color w:val="000000"/>
                <w:sz w:val="16"/>
              </w:rPr>
            </w:pPr>
            <w:r>
              <w:rPr>
                <w:rFonts w:ascii="Arial" w:hAnsi="Arial"/>
                <w:b/>
                <w:noProof/>
                <w:color w:val="000000"/>
                <w:sz w:val="16"/>
              </w:rPr>
              <w:t>353 691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3"/>
              <w:jc w:val="right"/>
              <w:rPr>
                <w:rFonts w:ascii="Arial" w:eastAsia="Arial" w:hAnsi="Arial" w:cs="Arial"/>
                <w:b/>
                <w:noProof/>
                <w:color w:val="000000"/>
                <w:sz w:val="16"/>
              </w:rPr>
            </w:pPr>
            <w:r>
              <w:rPr>
                <w:rFonts w:ascii="Arial" w:hAnsi="Arial"/>
                <w:b/>
                <w:noProof/>
                <w:color w:val="000000"/>
                <w:sz w:val="16"/>
              </w:rPr>
              <w:t>3 050 691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3"/>
              <w:jc w:val="right"/>
              <w:rPr>
                <w:rFonts w:ascii="Arial" w:eastAsia="Arial" w:hAnsi="Arial" w:cs="Arial"/>
                <w:b/>
                <w:noProof/>
                <w:color w:val="000000"/>
                <w:sz w:val="16"/>
              </w:rPr>
            </w:pPr>
            <w:r>
              <w:rPr>
                <w:rFonts w:ascii="Arial" w:hAnsi="Arial"/>
                <w:b/>
                <w:noProof/>
                <w:color w:val="000000"/>
                <w:sz w:val="16"/>
              </w:rPr>
              <w:t>100 000</w:t>
            </w:r>
          </w:p>
        </w:tc>
      </w:tr>
    </w:tbl>
    <w:p>
      <w:pPr>
        <w:pBdr>
          <w:top w:val="nil"/>
          <w:left w:val="nil"/>
          <w:bottom w:val="nil"/>
          <w:right w:val="nil"/>
          <w:between w:val="nil"/>
          <w:bar w:val="nil"/>
        </w:pBdr>
        <w:spacing w:before="40"/>
        <w:jc w:val="both"/>
        <w:rPr>
          <w:rFonts w:ascii="Arial" w:hAnsi="Arial"/>
          <w:noProof/>
          <w:sz w:val="16"/>
          <w:szCs w:val="16"/>
          <w:bdr w:val="nil"/>
        </w:rPr>
      </w:pPr>
      <w:r>
        <w:rPr>
          <w:rFonts w:ascii="Arial" w:hAnsi="Arial"/>
          <w:noProof/>
          <w:sz w:val="16"/>
          <w:szCs w:val="16"/>
          <w:bdr w:val="nil"/>
        </w:rPr>
        <w:t xml:space="preserve">* 2019 m. spalio 24 d. Taryba nustatė kiekvienos valstybės narės iki 2020 m. sausio 21 d. mokėtinų įnašų sumas. 2019 m. gruodžio 31 d. buvo neįmokėta 86 330 EUR. </w:t>
      </w:r>
    </w:p>
    <w:p>
      <w:pPr>
        <w:rPr>
          <w:rFonts w:ascii="Arial" w:hAnsi="Arial"/>
          <w:noProof/>
          <w:sz w:val="16"/>
          <w:szCs w:val="16"/>
          <w:bdr w:val="nil"/>
        </w:rPr>
      </w:pPr>
      <w:r>
        <w:rPr>
          <w:noProof/>
        </w:rPr>
        <w:br w:type="page"/>
      </w:r>
    </w:p>
    <w:p>
      <w:pPr>
        <w:pStyle w:val="Notes"/>
        <w:pBdr>
          <w:top w:val="nil"/>
          <w:left w:val="nil"/>
          <w:bottom w:val="nil"/>
          <w:right w:val="nil"/>
          <w:between w:val="nil"/>
          <w:bar w:val="nil"/>
        </w:pBdr>
        <w:rPr>
          <w:noProof/>
          <w:bdr w:val="nil"/>
        </w:rPr>
      </w:pPr>
      <w:r>
        <w:rPr>
          <w:noProof/>
          <w:bdr w:val="nil"/>
        </w:rPr>
        <w:t>18.</w:t>
      </w:r>
      <w:r>
        <w:rPr>
          <w:noProof/>
          <w:bdr w:val="nil"/>
        </w:rPr>
        <w:tab/>
        <w:t>Įsipareigojimai ir neapibrėžtieji įsipareigojimai</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19"/>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144"/>
              <w:rPr>
                <w:rFonts w:ascii="Arial" w:eastAsia="Arial" w:hAnsi="Arial" w:cs="Arial"/>
                <w:b/>
                <w:noProof/>
                <w:color w:val="000000"/>
                <w:sz w:val="16"/>
              </w:rPr>
            </w:pPr>
            <w:r>
              <w:rPr>
                <w:rFonts w:ascii="Arial" w:hAnsi="Arial"/>
                <w:b/>
                <w:noProof/>
                <w:color w:val="000000"/>
                <w:sz w:val="16"/>
              </w:rPr>
              <w:t>tūkst. EUR</w:t>
            </w:r>
          </w:p>
        </w:tc>
        <w:tc>
          <w:tcPr>
            <w:tcW w:w="1500" w:type="dxa"/>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144"/>
              <w:jc w:val="right"/>
              <w:rPr>
                <w:rFonts w:ascii="Arial" w:eastAsia="Arial" w:hAnsi="Arial" w:cs="Arial"/>
                <w:b/>
                <w:noProof/>
                <w:color w:val="000000"/>
                <w:sz w:val="16"/>
              </w:rPr>
            </w:pPr>
            <w:r>
              <w:rPr>
                <w:rFonts w:ascii="Arial" w:hAnsi="Arial"/>
                <w:b/>
                <w:noProof/>
                <w:color w:val="000000"/>
                <w:sz w:val="16"/>
              </w:rPr>
              <w:t>2019 12 31</w:t>
            </w:r>
          </w:p>
        </w:tc>
        <w:tc>
          <w:tcPr>
            <w:tcW w:w="1500" w:type="dxa"/>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144"/>
              <w:jc w:val="right"/>
              <w:rPr>
                <w:rFonts w:ascii="Arial" w:eastAsia="Arial" w:hAnsi="Arial" w:cs="Arial"/>
                <w:b/>
                <w:noProof/>
                <w:color w:val="000000"/>
                <w:sz w:val="16"/>
              </w:rPr>
            </w:pPr>
            <w:r>
              <w:rPr>
                <w:rFonts w:ascii="Arial" w:hAnsi="Arial"/>
                <w:b/>
                <w:noProof/>
                <w:color w:val="000000"/>
                <w:sz w:val="16"/>
              </w:rPr>
              <w:t>2018 12 31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4"/>
              <w:rPr>
                <w:rFonts w:ascii="Arial" w:eastAsia="Arial" w:hAnsi="Arial" w:cs="Arial"/>
                <w:b/>
                <w:i/>
                <w:noProof/>
                <w:color w:val="000000"/>
                <w:sz w:val="16"/>
              </w:rPr>
            </w:pPr>
            <w:r>
              <w:rPr>
                <w:rFonts w:ascii="Arial" w:hAnsi="Arial"/>
                <w:b/>
                <w:i/>
                <w:noProof/>
                <w:color w:val="000000"/>
                <w:sz w:val="16"/>
              </w:rPr>
              <w:t>Įsipareigojimai</w:t>
            </w: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144"/>
              <w:rPr>
                <w:noProof/>
                <w:color w:val="000000"/>
                <w:sz w:val="20"/>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144"/>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144"/>
              <w:rPr>
                <w:rFonts w:ascii="Arial" w:eastAsia="Arial" w:hAnsi="Arial" w:cs="Arial"/>
                <w:noProof/>
                <w:color w:val="000000"/>
                <w:sz w:val="16"/>
              </w:rPr>
            </w:pPr>
            <w:r>
              <w:rPr>
                <w:rFonts w:ascii="Arial" w:hAnsi="Arial"/>
                <w:noProof/>
                <w:color w:val="000000"/>
                <w:sz w:val="16"/>
              </w:rPr>
              <w:t>Neišmokėtos paskolos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hAnsi="Arial"/>
                <w:noProof/>
                <w:color w:val="000000"/>
                <w:sz w:val="16"/>
              </w:rPr>
              <w:t>1 357 320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hAnsi="Arial"/>
                <w:noProof/>
                <w:color w:val="000000"/>
                <w:sz w:val="16"/>
              </w:rPr>
              <w:t>1 283 931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144"/>
              <w:rPr>
                <w:rFonts w:ascii="Arial" w:eastAsia="Arial" w:hAnsi="Arial" w:cs="Arial"/>
                <w:noProof/>
                <w:color w:val="000000"/>
                <w:sz w:val="16"/>
              </w:rPr>
            </w:pPr>
            <w:r>
              <w:rPr>
                <w:rFonts w:ascii="Arial" w:hAnsi="Arial"/>
                <w:noProof/>
                <w:color w:val="000000"/>
                <w:sz w:val="16"/>
              </w:rPr>
              <w:t>Neišmokėtos sumos, kurias įsipareigota skirti, susijusios su akcijomis ir kitais kintamo pelningumo vertybiniais popieriais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hAnsi="Arial"/>
                <w:noProof/>
                <w:color w:val="000000"/>
                <w:sz w:val="16"/>
              </w:rPr>
              <w:t>405 920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hAnsi="Arial"/>
                <w:noProof/>
                <w:color w:val="000000"/>
                <w:sz w:val="16"/>
              </w:rPr>
              <w:t>347 167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144"/>
              <w:rPr>
                <w:rFonts w:ascii="Arial" w:eastAsia="Arial" w:hAnsi="Arial" w:cs="Arial"/>
                <w:noProof/>
                <w:color w:val="000000"/>
                <w:sz w:val="16"/>
              </w:rPr>
            </w:pPr>
            <w:r>
              <w:rPr>
                <w:rFonts w:ascii="Arial" w:hAnsi="Arial"/>
                <w:noProof/>
                <w:color w:val="000000"/>
                <w:sz w:val="16"/>
              </w:rPr>
              <w:t>Išduotos garantijos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hAnsi="Arial"/>
                <w:noProof/>
                <w:color w:val="000000"/>
                <w:sz w:val="16"/>
              </w:rPr>
              <w:t>200 013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hAnsi="Arial"/>
                <w:noProof/>
                <w:color w:val="000000"/>
                <w:sz w:val="16"/>
              </w:rPr>
              <w:t>2 800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144"/>
              <w:rPr>
                <w:rFonts w:ascii="Arial" w:eastAsia="Arial" w:hAnsi="Arial" w:cs="Arial"/>
                <w:noProof/>
                <w:color w:val="000000"/>
                <w:sz w:val="16"/>
              </w:rPr>
            </w:pPr>
            <w:r>
              <w:rPr>
                <w:rFonts w:ascii="Arial" w:hAnsi="Arial"/>
                <w:noProof/>
                <w:color w:val="000000"/>
                <w:sz w:val="16"/>
              </w:rPr>
              <w:t>Palūkanų subsidijos ir techninė pagalba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hAnsi="Arial"/>
                <w:noProof/>
                <w:color w:val="000000"/>
                <w:sz w:val="16"/>
              </w:rPr>
              <w:t>455 671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hAnsi="Arial"/>
                <w:noProof/>
                <w:color w:val="000000"/>
                <w:sz w:val="16"/>
              </w:rPr>
              <w:t>457 328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0" w:type="dxa"/>
              <w:right w:w="0" w:type="dxa"/>
            </w:tcMar>
            <w:vAlign w:val="bottom"/>
          </w:tcPr>
          <w:p>
            <w:pPr>
              <w:pStyle w:val="Normal144"/>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44"/>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44"/>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4"/>
              <w:rPr>
                <w:rFonts w:ascii="Arial" w:eastAsia="Arial" w:hAnsi="Arial" w:cs="Arial"/>
                <w:b/>
                <w:i/>
                <w:noProof/>
                <w:color w:val="000000"/>
                <w:sz w:val="16"/>
              </w:rPr>
            </w:pPr>
            <w:r>
              <w:rPr>
                <w:rFonts w:ascii="Arial" w:hAnsi="Arial"/>
                <w:b/>
                <w:i/>
                <w:noProof/>
                <w:color w:val="000000"/>
                <w:sz w:val="16"/>
              </w:rPr>
              <w:t>Neapibrėžtieji įsipareigojimai</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44"/>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44"/>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144"/>
              <w:rPr>
                <w:rFonts w:ascii="Arial" w:eastAsia="Arial" w:hAnsi="Arial" w:cs="Arial"/>
                <w:noProof/>
                <w:color w:val="000000"/>
                <w:sz w:val="16"/>
              </w:rPr>
            </w:pPr>
            <w:r>
              <w:rPr>
                <w:rFonts w:ascii="Arial" w:hAnsi="Arial"/>
                <w:noProof/>
                <w:color w:val="000000"/>
                <w:sz w:val="16"/>
              </w:rPr>
              <w:t>Pasirašytos, bet neišduotos garantijos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hAnsi="Arial"/>
                <w:noProof/>
                <w:color w:val="000000"/>
                <w:sz w:val="16"/>
              </w:rPr>
              <w:t>1 359 818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hAnsi="Arial"/>
                <w:noProof/>
                <w:color w:val="000000"/>
                <w:sz w:val="16"/>
              </w:rPr>
              <w:t>1 553 668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0" w:type="dxa"/>
              <w:right w:w="0" w:type="dxa"/>
            </w:tcMar>
            <w:vAlign w:val="bottom"/>
          </w:tcPr>
          <w:p>
            <w:pPr>
              <w:pStyle w:val="Normal144"/>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44"/>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44"/>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4"/>
              <w:rPr>
                <w:rFonts w:ascii="Arial" w:eastAsia="Arial" w:hAnsi="Arial" w:cs="Arial"/>
                <w:b/>
                <w:noProof/>
                <w:color w:val="000000"/>
                <w:sz w:val="16"/>
              </w:rPr>
            </w:pPr>
            <w:r>
              <w:rPr>
                <w:rFonts w:ascii="Arial" w:hAnsi="Arial"/>
                <w:b/>
                <w:noProof/>
                <w:color w:val="000000"/>
                <w:sz w:val="16"/>
              </w:rPr>
              <w:t>Visi įsipareigojimai ir neapibrėžtieji įsipareigojimai</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4"/>
              <w:jc w:val="right"/>
              <w:rPr>
                <w:rFonts w:ascii="Arial" w:eastAsia="Arial" w:hAnsi="Arial" w:cs="Arial"/>
                <w:b/>
                <w:noProof/>
                <w:color w:val="000000"/>
                <w:sz w:val="16"/>
              </w:rPr>
            </w:pPr>
            <w:r>
              <w:rPr>
                <w:rFonts w:ascii="Arial" w:hAnsi="Arial"/>
                <w:b/>
                <w:noProof/>
                <w:color w:val="000000"/>
                <w:sz w:val="16"/>
              </w:rPr>
              <w:t>3 778 742</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4"/>
              <w:jc w:val="right"/>
              <w:rPr>
                <w:rFonts w:ascii="Arial" w:eastAsia="Arial" w:hAnsi="Arial" w:cs="Arial"/>
                <w:b/>
                <w:noProof/>
                <w:color w:val="000000"/>
                <w:sz w:val="16"/>
              </w:rPr>
            </w:pPr>
            <w:r>
              <w:rPr>
                <w:rFonts w:ascii="Arial" w:hAnsi="Arial"/>
                <w:b/>
                <w:noProof/>
                <w:color w:val="000000"/>
                <w:sz w:val="16"/>
              </w:rPr>
              <w:t>3 644 894</w:t>
            </w:r>
          </w:p>
        </w:tc>
      </w:tr>
    </w:tbl>
    <w:p>
      <w:pPr>
        <w:pBdr>
          <w:top w:val="nil"/>
          <w:left w:val="nil"/>
          <w:bottom w:val="nil"/>
          <w:right w:val="nil"/>
          <w:between w:val="nil"/>
          <w:bar w:val="nil"/>
        </w:pBdr>
        <w:spacing w:before="60" w:after="60"/>
        <w:rPr>
          <w:rFonts w:ascii="Arial" w:hAnsi="Arial"/>
          <w:noProof/>
          <w:sz w:val="16"/>
          <w:bdr w:val="nil"/>
        </w:rPr>
      </w:pPr>
    </w:p>
    <w:p>
      <w:pPr>
        <w:pStyle w:val="Notes"/>
        <w:pBdr>
          <w:top w:val="nil"/>
          <w:left w:val="nil"/>
          <w:bottom w:val="nil"/>
          <w:right w:val="nil"/>
          <w:between w:val="nil"/>
          <w:bar w:val="nil"/>
        </w:pBdr>
        <w:rPr>
          <w:noProof/>
          <w:bdr w:val="nil"/>
        </w:rPr>
      </w:pPr>
      <w:r>
        <w:rPr>
          <w:noProof/>
          <w:bdr w:val="nil"/>
        </w:rPr>
        <w:t>19.</w:t>
      </w:r>
      <w:r>
        <w:rPr>
          <w:noProof/>
          <w:bdr w:val="nil"/>
        </w:rPr>
        <w:tab/>
        <w:t>Pajamos iš palūkanų ir panašios pajamos ir išlaidos</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Pagrindiniai pajamų iš palūkanų ir panašių pajamų komponentai:</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20"/>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rPr>
                <w:rFonts w:ascii="Arial" w:eastAsia="Arial" w:hAnsi="Arial" w:cs="Arial"/>
                <w:b/>
                <w:noProof/>
                <w:color w:val="000000"/>
                <w:sz w:val="16"/>
              </w:rPr>
            </w:pPr>
            <w:r>
              <w:rPr>
                <w:rFonts w:ascii="Arial" w:hAnsi="Arial"/>
                <w:b/>
                <w:noProof/>
                <w:color w:val="000000"/>
                <w:sz w:val="16"/>
              </w:rPr>
              <w:t>tūkst. EUR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b/>
                <w:noProof/>
                <w:color w:val="000000"/>
                <w:sz w:val="16"/>
              </w:rPr>
            </w:pPr>
            <w:r>
              <w:rPr>
                <w:rFonts w:ascii="Arial" w:hAnsi="Arial"/>
                <w:b/>
                <w:noProof/>
                <w:color w:val="000000"/>
                <w:sz w:val="16"/>
              </w:rPr>
              <w:t>Nuo 2019 01 01</w:t>
            </w:r>
          </w:p>
          <w:p>
            <w:pPr>
              <w:pStyle w:val="Normal145"/>
              <w:jc w:val="right"/>
              <w:rPr>
                <w:rFonts w:ascii="Arial" w:eastAsia="Arial" w:hAnsi="Arial" w:cs="Arial"/>
                <w:b/>
                <w:noProof/>
                <w:color w:val="000000"/>
                <w:sz w:val="16"/>
              </w:rPr>
            </w:pPr>
            <w:r>
              <w:rPr>
                <w:rFonts w:ascii="Arial" w:hAnsi="Arial"/>
                <w:b/>
                <w:noProof/>
                <w:color w:val="000000"/>
                <w:sz w:val="16"/>
              </w:rPr>
              <w:t>iki 2019 12 31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b/>
                <w:noProof/>
                <w:color w:val="000000"/>
                <w:sz w:val="16"/>
              </w:rPr>
            </w:pPr>
            <w:r>
              <w:rPr>
                <w:rFonts w:ascii="Arial" w:hAnsi="Arial"/>
                <w:b/>
                <w:noProof/>
                <w:color w:val="000000"/>
                <w:sz w:val="16"/>
              </w:rPr>
              <w:t>Nuo 2018 01 01</w:t>
            </w:r>
          </w:p>
          <w:p>
            <w:pPr>
              <w:pStyle w:val="Normal145"/>
              <w:jc w:val="right"/>
              <w:rPr>
                <w:rFonts w:ascii="Arial" w:eastAsia="Arial" w:hAnsi="Arial" w:cs="Arial"/>
                <w:b/>
                <w:noProof/>
                <w:color w:val="000000"/>
                <w:sz w:val="16"/>
              </w:rPr>
            </w:pPr>
            <w:r>
              <w:rPr>
                <w:rFonts w:ascii="Arial" w:hAnsi="Arial"/>
                <w:b/>
                <w:noProof/>
                <w:color w:val="000000"/>
                <w:sz w:val="16"/>
              </w:rPr>
              <w:t>iki 2018 12 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rPr>
                <w:rFonts w:ascii="Arial" w:eastAsia="Arial" w:hAnsi="Arial" w:cs="Arial"/>
                <w:noProof/>
                <w:color w:val="000000"/>
                <w:sz w:val="16"/>
              </w:rPr>
            </w:pPr>
            <w:r>
              <w:rPr>
                <w:rFonts w:ascii="Arial" w:hAnsi="Arial"/>
                <w:noProof/>
                <w:color w:val="000000"/>
                <w:sz w:val="16"/>
              </w:rPr>
              <w:t>Paskolos ir išankstiniai mokėjimai</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hAnsi="Arial"/>
                <w:noProof/>
                <w:color w:val="000000"/>
                <w:sz w:val="16"/>
              </w:rPr>
              <w:t>89 244</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hAnsi="Arial"/>
                <w:noProof/>
                <w:color w:val="000000"/>
                <w:sz w:val="16"/>
              </w:rPr>
              <w:t>92 506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5"/>
              <w:rPr>
                <w:rFonts w:ascii="Arial" w:eastAsia="Arial" w:hAnsi="Arial" w:cs="Arial"/>
                <w:noProof/>
                <w:color w:val="000000"/>
                <w:sz w:val="16"/>
              </w:rPr>
            </w:pPr>
            <w:r>
              <w:rPr>
                <w:rFonts w:ascii="Arial" w:hAnsi="Arial"/>
                <w:noProof/>
                <w:color w:val="000000"/>
                <w:sz w:val="16"/>
              </w:rPr>
              <w:t>Palūkanų subsidijos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hAnsi="Arial"/>
                <w:noProof/>
                <w:color w:val="000000"/>
                <w:sz w:val="16"/>
              </w:rPr>
              <w:t>4 679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hAnsi="Arial"/>
                <w:noProof/>
                <w:color w:val="000000"/>
                <w:sz w:val="16"/>
              </w:rPr>
              <w:t>4 224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5"/>
              <w:rPr>
                <w:rFonts w:ascii="Arial" w:eastAsia="Arial" w:hAnsi="Arial" w:cs="Arial"/>
                <w:b/>
                <w:noProof/>
                <w:color w:val="000000"/>
                <w:sz w:val="16"/>
              </w:rPr>
            </w:pPr>
            <w:r>
              <w:rPr>
                <w:rFonts w:ascii="Arial" w:hAnsi="Arial"/>
                <w:b/>
                <w:noProof/>
                <w:color w:val="000000"/>
                <w:sz w:val="16"/>
              </w:rPr>
              <w:t>Iš viso pajamų iš palūkanų ir panašių pajamų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5"/>
              <w:jc w:val="right"/>
              <w:rPr>
                <w:rFonts w:ascii="Arial" w:eastAsia="Arial" w:hAnsi="Arial" w:cs="Arial"/>
                <w:b/>
                <w:noProof/>
                <w:color w:val="000000"/>
                <w:sz w:val="16"/>
              </w:rPr>
            </w:pPr>
            <w:r>
              <w:rPr>
                <w:rFonts w:ascii="Arial" w:hAnsi="Arial"/>
                <w:b/>
                <w:noProof/>
                <w:color w:val="000000"/>
                <w:sz w:val="16"/>
              </w:rPr>
              <w:t>93 923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5"/>
              <w:jc w:val="right"/>
              <w:rPr>
                <w:rFonts w:ascii="Arial" w:eastAsia="Arial" w:hAnsi="Arial" w:cs="Arial"/>
                <w:b/>
                <w:noProof/>
                <w:color w:val="000000"/>
                <w:sz w:val="16"/>
              </w:rPr>
            </w:pPr>
            <w:r>
              <w:rPr>
                <w:rFonts w:ascii="Arial" w:hAnsi="Arial"/>
                <w:b/>
                <w:noProof/>
                <w:color w:val="000000"/>
                <w:sz w:val="16"/>
              </w:rPr>
              <w:t>96 730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0" w:type="dxa"/>
              <w:right w:w="0" w:type="dxa"/>
            </w:tcMar>
            <w:vAlign w:val="bottom"/>
          </w:tcPr>
          <w:p>
            <w:pPr>
              <w:pStyle w:val="Normal145"/>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bottom"/>
          </w:tcPr>
          <w:p>
            <w:pPr>
              <w:pStyle w:val="Normal145"/>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bottom"/>
          </w:tcPr>
          <w:p>
            <w:pPr>
              <w:pStyle w:val="Normal14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9975" w:type="dxa"/>
            <w:gridSpan w:val="3"/>
            <w:tcBorders>
              <w:top w:val="nil"/>
              <w:left w:val="nil"/>
              <w:bottom w:val="nil"/>
              <w:right w:val="nil"/>
              <w:tl2br w:val="nil"/>
              <w:tr2bl w:val="nil"/>
            </w:tcBorders>
            <w:shd w:val="clear" w:color="auto" w:fill="auto"/>
            <w:noWrap/>
            <w:tcMar>
              <w:left w:w="40" w:type="dxa"/>
              <w:right w:w="40" w:type="dxa"/>
            </w:tcMar>
            <w:vAlign w:val="center"/>
          </w:tcPr>
          <w:p>
            <w:pPr>
              <w:pStyle w:val="Normal145"/>
              <w:rPr>
                <w:rFonts w:ascii="Arial" w:eastAsia="Arial" w:hAnsi="Arial" w:cs="Arial"/>
                <w:noProof/>
                <w:color w:val="000000"/>
                <w:sz w:val="16"/>
              </w:rPr>
            </w:pPr>
            <w:r>
              <w:rPr>
                <w:rFonts w:ascii="Arial" w:hAnsi="Arial"/>
                <w:noProof/>
                <w:color w:val="000000"/>
                <w:sz w:val="16"/>
              </w:rPr>
              <w:t>Pagrindiniai palūkanų ir panašių išlaidų komponentai:</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45"/>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45"/>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4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rPr>
                <w:rFonts w:ascii="Arial" w:eastAsia="Arial" w:hAnsi="Arial" w:cs="Arial"/>
                <w:b/>
                <w:noProof/>
                <w:color w:val="000000"/>
                <w:sz w:val="16"/>
              </w:rPr>
            </w:pPr>
            <w:r>
              <w:rPr>
                <w:rFonts w:ascii="Arial" w:hAnsi="Arial"/>
                <w:b/>
                <w:noProof/>
                <w:color w:val="000000"/>
                <w:sz w:val="16"/>
              </w:rPr>
              <w:t>tūkst. EUR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b/>
                <w:noProof/>
                <w:color w:val="000000"/>
                <w:sz w:val="16"/>
              </w:rPr>
            </w:pPr>
            <w:r>
              <w:rPr>
                <w:rFonts w:ascii="Arial" w:hAnsi="Arial"/>
                <w:b/>
                <w:noProof/>
                <w:color w:val="000000"/>
                <w:sz w:val="16"/>
              </w:rPr>
              <w:t>Nuo 2019 01 01</w:t>
            </w:r>
          </w:p>
          <w:p>
            <w:pPr>
              <w:pStyle w:val="Normal145"/>
              <w:jc w:val="right"/>
              <w:rPr>
                <w:rFonts w:ascii="Arial" w:eastAsia="Arial" w:hAnsi="Arial" w:cs="Arial"/>
                <w:b/>
                <w:noProof/>
                <w:color w:val="000000"/>
                <w:sz w:val="16"/>
              </w:rPr>
            </w:pPr>
            <w:r>
              <w:rPr>
                <w:rFonts w:ascii="Arial" w:hAnsi="Arial"/>
                <w:b/>
                <w:noProof/>
                <w:color w:val="000000"/>
                <w:sz w:val="16"/>
              </w:rPr>
              <w:t>iki 2019 12 31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b/>
                <w:noProof/>
                <w:color w:val="000000"/>
                <w:sz w:val="16"/>
              </w:rPr>
            </w:pPr>
            <w:r>
              <w:rPr>
                <w:rFonts w:ascii="Arial" w:hAnsi="Arial"/>
                <w:b/>
                <w:noProof/>
                <w:color w:val="000000"/>
                <w:sz w:val="16"/>
              </w:rPr>
              <w:t>Nuo 2018 01 01</w:t>
            </w:r>
          </w:p>
          <w:p>
            <w:pPr>
              <w:pStyle w:val="Normal145"/>
              <w:jc w:val="right"/>
              <w:rPr>
                <w:rFonts w:ascii="Arial" w:eastAsia="Arial" w:hAnsi="Arial" w:cs="Arial"/>
                <w:b/>
                <w:noProof/>
                <w:color w:val="000000"/>
                <w:sz w:val="16"/>
              </w:rPr>
            </w:pPr>
            <w:r>
              <w:rPr>
                <w:rFonts w:ascii="Arial" w:hAnsi="Arial"/>
                <w:b/>
                <w:noProof/>
                <w:color w:val="000000"/>
                <w:sz w:val="16"/>
              </w:rPr>
              <w:t>iki 2018 12 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rPr>
                <w:rFonts w:ascii="Arial" w:eastAsia="Arial" w:hAnsi="Arial" w:cs="Arial"/>
                <w:noProof/>
                <w:color w:val="000000"/>
                <w:sz w:val="16"/>
              </w:rPr>
            </w:pPr>
            <w:r>
              <w:rPr>
                <w:rFonts w:ascii="Arial" w:hAnsi="Arial"/>
                <w:noProof/>
                <w:color w:val="000000"/>
                <w:sz w:val="16"/>
              </w:rPr>
              <w:t>Išvestinės finansinės priemonės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hAnsi="Arial"/>
                <w:noProof/>
                <w:color w:val="000000"/>
                <w:sz w:val="16"/>
              </w:rPr>
              <w:t>−261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hAnsi="Arial"/>
                <w:noProof/>
                <w:color w:val="000000"/>
                <w:sz w:val="16"/>
              </w:rPr>
              <w:t>−563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5"/>
              <w:rPr>
                <w:rFonts w:ascii="Arial" w:eastAsia="Arial" w:hAnsi="Arial" w:cs="Arial"/>
                <w:noProof/>
                <w:color w:val="000000"/>
                <w:sz w:val="16"/>
              </w:rPr>
            </w:pPr>
            <w:r>
              <w:rPr>
                <w:rFonts w:ascii="Arial" w:hAnsi="Arial"/>
                <w:noProof/>
                <w:color w:val="000000"/>
                <w:sz w:val="16"/>
              </w:rPr>
              <w:t>Pinigai ir pinigų ekvivalentai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hAnsi="Arial"/>
                <w:noProof/>
                <w:color w:val="000000"/>
                <w:sz w:val="16"/>
              </w:rPr>
              <w:t>−722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hAnsi="Arial"/>
                <w:noProof/>
                <w:color w:val="000000"/>
                <w:sz w:val="16"/>
              </w:rPr>
              <w:t>−654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5"/>
              <w:rPr>
                <w:rFonts w:ascii="Arial" w:eastAsia="Arial" w:hAnsi="Arial" w:cs="Arial"/>
                <w:noProof/>
                <w:color w:val="000000"/>
                <w:sz w:val="16"/>
              </w:rPr>
            </w:pPr>
            <w:r>
              <w:rPr>
                <w:rFonts w:ascii="Arial" w:hAnsi="Arial"/>
                <w:noProof/>
                <w:color w:val="000000"/>
                <w:sz w:val="16"/>
              </w:rPr>
              <w:t>Iždo finansinis turtas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hAnsi="Arial"/>
                <w:noProof/>
                <w:color w:val="000000"/>
                <w:sz w:val="16"/>
              </w:rPr>
              <w:t>−1 965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hAnsi="Arial"/>
                <w:noProof/>
                <w:color w:val="000000"/>
                <w:sz w:val="16"/>
              </w:rPr>
              <w:t>−1 322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5"/>
              <w:rPr>
                <w:rFonts w:ascii="Arial" w:eastAsia="Arial" w:hAnsi="Arial" w:cs="Arial"/>
                <w:b/>
                <w:noProof/>
                <w:color w:val="000000"/>
                <w:sz w:val="16"/>
              </w:rPr>
            </w:pPr>
            <w:r>
              <w:rPr>
                <w:rFonts w:ascii="Arial" w:hAnsi="Arial"/>
                <w:b/>
                <w:noProof/>
                <w:color w:val="000000"/>
                <w:sz w:val="16"/>
              </w:rPr>
              <w:t>Iš viso palūkanų ir panašių išlaidų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5"/>
              <w:jc w:val="right"/>
              <w:rPr>
                <w:rFonts w:ascii="Arial" w:eastAsia="Arial" w:hAnsi="Arial" w:cs="Arial"/>
                <w:b/>
                <w:noProof/>
                <w:color w:val="000000"/>
                <w:sz w:val="16"/>
              </w:rPr>
            </w:pPr>
            <w:r>
              <w:rPr>
                <w:rFonts w:ascii="Arial" w:hAnsi="Arial"/>
                <w:b/>
                <w:noProof/>
                <w:color w:val="000000"/>
                <w:sz w:val="16"/>
              </w:rPr>
              <w:t>−2 948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5"/>
              <w:jc w:val="right"/>
              <w:rPr>
                <w:rFonts w:ascii="Arial" w:eastAsia="Arial" w:hAnsi="Arial" w:cs="Arial"/>
                <w:b/>
                <w:noProof/>
                <w:color w:val="000000"/>
                <w:sz w:val="16"/>
              </w:rPr>
            </w:pPr>
            <w:r>
              <w:rPr>
                <w:rFonts w:ascii="Arial" w:hAnsi="Arial"/>
                <w:b/>
                <w:noProof/>
                <w:color w:val="000000"/>
                <w:sz w:val="16"/>
              </w:rPr>
              <w:t>−2 539</w:t>
            </w:r>
          </w:p>
        </w:tc>
      </w:tr>
    </w:tbl>
    <w:p>
      <w:pPr>
        <w:pStyle w:val="Notes"/>
        <w:pBdr>
          <w:top w:val="nil"/>
          <w:left w:val="nil"/>
          <w:bottom w:val="nil"/>
          <w:right w:val="nil"/>
          <w:between w:val="nil"/>
          <w:bar w:val="nil"/>
        </w:pBdr>
        <w:spacing w:before="60" w:after="60"/>
        <w:ind w:left="431" w:hanging="431"/>
        <w:rPr>
          <w:noProof/>
          <w:sz w:val="18"/>
          <w:bdr w:val="nil"/>
        </w:rPr>
      </w:pPr>
    </w:p>
    <w:p>
      <w:pPr>
        <w:pStyle w:val="Notes"/>
        <w:pBdr>
          <w:top w:val="nil"/>
          <w:left w:val="nil"/>
          <w:bottom w:val="nil"/>
          <w:right w:val="nil"/>
          <w:between w:val="nil"/>
          <w:bar w:val="nil"/>
        </w:pBdr>
        <w:rPr>
          <w:noProof/>
          <w:bdr w:val="nil"/>
        </w:rPr>
      </w:pPr>
      <w:r>
        <w:rPr>
          <w:noProof/>
          <w:bdr w:val="nil"/>
        </w:rPr>
        <w:t>20.</w:t>
      </w:r>
      <w:r>
        <w:rPr>
          <w:noProof/>
          <w:bdr w:val="nil"/>
        </w:rPr>
        <w:tab/>
        <w:t xml:space="preserve">Mokesčių ir komisinių pajamos ir išlaidos </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Pagrindiniai mokesčių ir komisinių pajamų komponentai:</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20"/>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000000"/>
              <w:left w:val="nil"/>
              <w:bottom w:val="nil"/>
              <w:right w:val="nil"/>
              <w:tl2br w:val="nil"/>
              <w:tr2bl w:val="nil"/>
            </w:tcBorders>
            <w:shd w:val="clear" w:color="auto" w:fill="auto"/>
            <w:noWrap/>
            <w:tcMar>
              <w:left w:w="40" w:type="dxa"/>
              <w:right w:w="40" w:type="dxa"/>
            </w:tcMar>
            <w:vAlign w:val="bottom"/>
          </w:tcPr>
          <w:p>
            <w:pPr>
              <w:pStyle w:val="Normal146"/>
              <w:rPr>
                <w:rFonts w:ascii="Arial" w:eastAsia="Arial" w:hAnsi="Arial" w:cs="Arial"/>
                <w:b/>
                <w:noProof/>
                <w:color w:val="000000"/>
                <w:sz w:val="16"/>
              </w:rPr>
            </w:pPr>
            <w:r>
              <w:rPr>
                <w:rFonts w:ascii="Arial" w:hAnsi="Arial"/>
                <w:b/>
                <w:noProof/>
                <w:color w:val="000000"/>
                <w:sz w:val="16"/>
              </w:rPr>
              <w:t>tūkst. EUR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b/>
                <w:noProof/>
                <w:color w:val="000000"/>
                <w:sz w:val="16"/>
              </w:rPr>
            </w:pPr>
            <w:r>
              <w:rPr>
                <w:rFonts w:ascii="Arial" w:hAnsi="Arial"/>
                <w:b/>
                <w:noProof/>
                <w:color w:val="000000"/>
                <w:sz w:val="16"/>
              </w:rPr>
              <w:t>Nuo 2019 01 01</w:t>
            </w:r>
          </w:p>
          <w:p>
            <w:pPr>
              <w:pStyle w:val="Normal146"/>
              <w:jc w:val="right"/>
              <w:rPr>
                <w:rFonts w:ascii="Arial" w:eastAsia="Arial" w:hAnsi="Arial" w:cs="Arial"/>
                <w:b/>
                <w:noProof/>
                <w:color w:val="000000"/>
                <w:sz w:val="16"/>
              </w:rPr>
            </w:pPr>
            <w:r>
              <w:rPr>
                <w:rFonts w:ascii="Arial" w:hAnsi="Arial"/>
                <w:b/>
                <w:noProof/>
                <w:color w:val="000000"/>
                <w:sz w:val="16"/>
              </w:rPr>
              <w:t>iki 2019 12 31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b/>
                <w:noProof/>
                <w:color w:val="000000"/>
                <w:sz w:val="16"/>
              </w:rPr>
            </w:pPr>
            <w:r>
              <w:rPr>
                <w:rFonts w:ascii="Arial" w:hAnsi="Arial"/>
                <w:b/>
                <w:noProof/>
                <w:color w:val="000000"/>
                <w:sz w:val="16"/>
              </w:rPr>
              <w:t>Nuo 2018 01 01</w:t>
            </w:r>
          </w:p>
          <w:p>
            <w:pPr>
              <w:pStyle w:val="Normal146"/>
              <w:jc w:val="right"/>
              <w:rPr>
                <w:rFonts w:ascii="Arial" w:eastAsia="Arial" w:hAnsi="Arial"/>
                <w:noProof/>
                <w:color w:val="000000"/>
                <w:sz w:val="16"/>
              </w:rPr>
            </w:pPr>
            <w:r>
              <w:rPr>
                <w:rFonts w:ascii="Arial" w:hAnsi="Arial"/>
                <w:b/>
                <w:noProof/>
                <w:color w:val="000000"/>
                <w:sz w:val="16"/>
              </w:rPr>
              <w:t>iki 2018 12 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rPr>
                <w:rFonts w:ascii="Arial" w:eastAsia="Arial" w:hAnsi="Arial" w:cs="Arial"/>
                <w:noProof/>
                <w:color w:val="000000"/>
                <w:sz w:val="16"/>
              </w:rPr>
            </w:pPr>
            <w:r>
              <w:rPr>
                <w:rFonts w:ascii="Arial" w:hAnsi="Arial"/>
                <w:noProof/>
                <w:color w:val="000000"/>
                <w:sz w:val="16"/>
              </w:rPr>
              <w:t>Paskolų ir išankstinių mokėjimų mokesčiai ir komisiniai</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noProof/>
                <w:color w:val="000000"/>
                <w:sz w:val="16"/>
              </w:rPr>
            </w:pPr>
            <w:r>
              <w:rPr>
                <w:rFonts w:ascii="Arial" w:hAnsi="Arial"/>
                <w:noProof/>
                <w:color w:val="000000"/>
                <w:sz w:val="16"/>
              </w:rPr>
              <w:t>4 399</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noProof/>
                <w:color w:val="000000"/>
                <w:sz w:val="16"/>
              </w:rPr>
            </w:pPr>
            <w:r>
              <w:rPr>
                <w:rFonts w:ascii="Arial" w:hAnsi="Arial"/>
                <w:noProof/>
                <w:color w:val="000000"/>
                <w:sz w:val="16"/>
              </w:rPr>
              <w:t>107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6"/>
              <w:rPr>
                <w:rFonts w:ascii="Arial" w:eastAsia="Arial" w:hAnsi="Arial" w:cs="Arial"/>
                <w:noProof/>
                <w:color w:val="000000"/>
                <w:sz w:val="16"/>
              </w:rPr>
            </w:pPr>
            <w:r>
              <w:rPr>
                <w:rFonts w:ascii="Arial" w:hAnsi="Arial"/>
                <w:noProof/>
                <w:color w:val="000000"/>
                <w:sz w:val="16"/>
              </w:rPr>
              <w:t>Finansinių garantijų mokesčiai ir komisiniai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noProof/>
                <w:color w:val="000000"/>
                <w:sz w:val="16"/>
              </w:rPr>
            </w:pPr>
            <w:r>
              <w:rPr>
                <w:rFonts w:ascii="Arial" w:hAnsi="Arial"/>
                <w:noProof/>
                <w:color w:val="000000"/>
                <w:sz w:val="16"/>
              </w:rPr>
              <w:t>39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noProof/>
                <w:color w:val="000000"/>
                <w:sz w:val="16"/>
              </w:rPr>
            </w:pPr>
            <w:r>
              <w:rPr>
                <w:rFonts w:ascii="Arial" w:hAnsi="Arial"/>
                <w:noProof/>
                <w:color w:val="000000"/>
                <w:sz w:val="16"/>
              </w:rPr>
              <w:t>170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6"/>
              <w:rPr>
                <w:rFonts w:ascii="Arial" w:eastAsia="Arial" w:hAnsi="Arial" w:cs="Arial"/>
                <w:noProof/>
                <w:color w:val="000000"/>
                <w:sz w:val="16"/>
              </w:rPr>
            </w:pPr>
            <w:r>
              <w:rPr>
                <w:rFonts w:ascii="Arial" w:hAnsi="Arial"/>
                <w:noProof/>
                <w:color w:val="000000"/>
                <w:sz w:val="16"/>
              </w:rPr>
              <w:t>Kitos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noProof/>
                <w:color w:val="000000"/>
                <w:sz w:val="16"/>
              </w:rPr>
            </w:pPr>
            <w:r>
              <w:rPr>
                <w:rFonts w:ascii="Arial" w:hAnsi="Arial"/>
                <w:noProof/>
                <w:color w:val="000000"/>
                <w:sz w:val="16"/>
              </w:rPr>
              <w:t>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6"/>
              <w:rPr>
                <w:rFonts w:ascii="Arial" w:eastAsia="Arial" w:hAnsi="Arial" w:cs="Arial"/>
                <w:b/>
                <w:noProof/>
                <w:color w:val="000000"/>
                <w:sz w:val="16"/>
              </w:rPr>
            </w:pPr>
            <w:r>
              <w:rPr>
                <w:rFonts w:ascii="Arial" w:hAnsi="Arial"/>
                <w:b/>
                <w:noProof/>
                <w:color w:val="000000"/>
                <w:sz w:val="16"/>
              </w:rPr>
              <w:t>Iš viso mokesčių ir komisinių pajamų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6"/>
              <w:jc w:val="right"/>
              <w:rPr>
                <w:rFonts w:ascii="Arial" w:eastAsia="Arial" w:hAnsi="Arial" w:cs="Arial"/>
                <w:b/>
                <w:noProof/>
                <w:color w:val="000000"/>
                <w:sz w:val="16"/>
              </w:rPr>
            </w:pPr>
            <w:r>
              <w:rPr>
                <w:rFonts w:ascii="Arial" w:hAnsi="Arial"/>
                <w:b/>
                <w:noProof/>
                <w:color w:val="000000"/>
                <w:sz w:val="16"/>
              </w:rPr>
              <w:t>4 438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6"/>
              <w:jc w:val="right"/>
              <w:rPr>
                <w:rFonts w:ascii="Arial" w:eastAsia="Arial" w:hAnsi="Arial" w:cs="Arial"/>
                <w:b/>
                <w:noProof/>
                <w:color w:val="000000"/>
                <w:sz w:val="16"/>
              </w:rPr>
            </w:pPr>
            <w:r>
              <w:rPr>
                <w:rFonts w:ascii="Arial" w:hAnsi="Arial"/>
                <w:b/>
                <w:noProof/>
                <w:color w:val="000000"/>
                <w:sz w:val="16"/>
              </w:rPr>
              <w:t>284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0" w:type="dxa"/>
              <w:right w:w="0" w:type="dxa"/>
            </w:tcMar>
            <w:vAlign w:val="center"/>
          </w:tcPr>
          <w:p>
            <w:pPr>
              <w:pStyle w:val="Normal146"/>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146"/>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146"/>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9975" w:type="dxa"/>
            <w:gridSpan w:val="3"/>
            <w:tcBorders>
              <w:top w:val="nil"/>
              <w:left w:val="nil"/>
              <w:bottom w:val="nil"/>
              <w:right w:val="nil"/>
              <w:tl2br w:val="nil"/>
              <w:tr2bl w:val="nil"/>
            </w:tcBorders>
            <w:shd w:val="clear" w:color="auto" w:fill="auto"/>
            <w:tcMar>
              <w:left w:w="40" w:type="dxa"/>
              <w:right w:w="40" w:type="dxa"/>
            </w:tcMar>
            <w:vAlign w:val="center"/>
          </w:tcPr>
          <w:p>
            <w:pPr>
              <w:pStyle w:val="Normal146"/>
              <w:rPr>
                <w:rFonts w:ascii="Arial" w:eastAsia="Arial" w:hAnsi="Arial" w:cs="Arial"/>
                <w:noProof/>
                <w:color w:val="000000"/>
                <w:sz w:val="16"/>
              </w:rPr>
            </w:pPr>
            <w:r>
              <w:rPr>
                <w:rFonts w:ascii="Arial" w:hAnsi="Arial"/>
                <w:noProof/>
                <w:color w:val="000000"/>
                <w:sz w:val="16"/>
              </w:rPr>
              <w:t>Pagrindiniai mokesčių ir komisinių išlaidų komponentai:</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697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46"/>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46"/>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46"/>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rPr>
                <w:rFonts w:ascii="Arial" w:eastAsia="Arial" w:hAnsi="Arial" w:cs="Arial"/>
                <w:b/>
                <w:noProof/>
                <w:color w:val="000000"/>
                <w:sz w:val="16"/>
              </w:rPr>
            </w:pPr>
            <w:r>
              <w:rPr>
                <w:rFonts w:ascii="Arial" w:hAnsi="Arial"/>
                <w:b/>
                <w:noProof/>
                <w:color w:val="000000"/>
                <w:sz w:val="16"/>
              </w:rPr>
              <w:t>tūkst. EUR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b/>
                <w:noProof/>
                <w:color w:val="000000"/>
                <w:sz w:val="16"/>
              </w:rPr>
            </w:pPr>
            <w:r>
              <w:rPr>
                <w:rFonts w:ascii="Arial" w:hAnsi="Arial"/>
                <w:b/>
                <w:noProof/>
                <w:color w:val="000000"/>
                <w:sz w:val="16"/>
              </w:rPr>
              <w:t>Nuo 2019 01 01</w:t>
            </w:r>
          </w:p>
          <w:p>
            <w:pPr>
              <w:pStyle w:val="Normal146"/>
              <w:jc w:val="right"/>
              <w:rPr>
                <w:rFonts w:ascii="Arial" w:eastAsia="Arial" w:hAnsi="Arial" w:cs="Arial"/>
                <w:b/>
                <w:noProof/>
                <w:color w:val="000000"/>
                <w:sz w:val="16"/>
              </w:rPr>
            </w:pPr>
            <w:r>
              <w:rPr>
                <w:rFonts w:ascii="Arial" w:hAnsi="Arial"/>
                <w:b/>
                <w:noProof/>
                <w:color w:val="000000"/>
                <w:sz w:val="16"/>
              </w:rPr>
              <w:t>iki 2019 12 31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b/>
                <w:noProof/>
                <w:color w:val="000000"/>
                <w:sz w:val="16"/>
              </w:rPr>
            </w:pPr>
            <w:r>
              <w:rPr>
                <w:rFonts w:ascii="Arial" w:hAnsi="Arial"/>
                <w:b/>
                <w:noProof/>
                <w:color w:val="000000"/>
                <w:sz w:val="16"/>
              </w:rPr>
              <w:t>Nuo 2018 01 01</w:t>
            </w:r>
          </w:p>
          <w:p>
            <w:pPr>
              <w:pStyle w:val="Normal146"/>
              <w:jc w:val="right"/>
              <w:rPr>
                <w:rFonts w:ascii="Arial" w:eastAsia="Arial" w:hAnsi="Arial"/>
                <w:noProof/>
                <w:color w:val="000000"/>
                <w:sz w:val="16"/>
              </w:rPr>
            </w:pPr>
            <w:r>
              <w:rPr>
                <w:rFonts w:ascii="Arial" w:hAnsi="Arial"/>
                <w:b/>
                <w:noProof/>
                <w:color w:val="000000"/>
                <w:sz w:val="16"/>
              </w:rPr>
              <w:t>iki 2018 12 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rPr>
                <w:rFonts w:ascii="Arial" w:eastAsia="Arial" w:hAnsi="Arial" w:cs="Arial"/>
                <w:noProof/>
                <w:color w:val="000000"/>
                <w:sz w:val="16"/>
              </w:rPr>
            </w:pPr>
            <w:r>
              <w:rPr>
                <w:rFonts w:ascii="Arial" w:hAnsi="Arial"/>
                <w:noProof/>
                <w:color w:val="000000"/>
                <w:sz w:val="16"/>
              </w:rPr>
              <w:t>Trečiosioms šalims sumokėti su akcijomis ir kitais kintamo pelningumo vertybiniais popieriais susiję komisiniai</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noProof/>
                <w:color w:val="000000"/>
                <w:sz w:val="16"/>
              </w:rPr>
            </w:pPr>
            <w:r>
              <w:rPr>
                <w:rFonts w:ascii="Arial" w:hAnsi="Arial"/>
                <w:noProof/>
                <w:color w:val="000000"/>
                <w:sz w:val="16"/>
              </w:rPr>
              <w:t>−721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noProof/>
                <w:color w:val="000000"/>
                <w:sz w:val="16"/>
              </w:rPr>
            </w:pPr>
            <w:r>
              <w:rPr>
                <w:rFonts w:ascii="Arial" w:hAnsi="Arial"/>
                <w:noProof/>
                <w:color w:val="000000"/>
                <w:sz w:val="16"/>
              </w:rPr>
              <w:t>−106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6"/>
              <w:rPr>
                <w:rFonts w:ascii="Arial" w:eastAsia="Arial" w:hAnsi="Arial" w:cs="Arial"/>
                <w:b/>
                <w:noProof/>
                <w:color w:val="000000"/>
                <w:sz w:val="16"/>
              </w:rPr>
            </w:pPr>
            <w:r>
              <w:rPr>
                <w:rFonts w:ascii="Arial" w:hAnsi="Arial"/>
                <w:b/>
                <w:noProof/>
                <w:color w:val="000000"/>
                <w:sz w:val="16"/>
              </w:rPr>
              <w:t>Iš viso mokesčių ir komisinių išlaidų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6"/>
              <w:jc w:val="right"/>
              <w:rPr>
                <w:rFonts w:ascii="Arial" w:eastAsia="Arial" w:hAnsi="Arial" w:cs="Arial"/>
                <w:b/>
                <w:noProof/>
                <w:color w:val="000000"/>
                <w:sz w:val="16"/>
              </w:rPr>
            </w:pPr>
            <w:r>
              <w:rPr>
                <w:rFonts w:ascii="Arial" w:hAnsi="Arial"/>
                <w:b/>
                <w:noProof/>
                <w:color w:val="000000"/>
                <w:sz w:val="16"/>
              </w:rPr>
              <w:t>−721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6"/>
              <w:jc w:val="right"/>
              <w:rPr>
                <w:rFonts w:ascii="Arial" w:eastAsia="Arial" w:hAnsi="Arial" w:cs="Arial"/>
                <w:b/>
                <w:noProof/>
                <w:color w:val="000000"/>
                <w:sz w:val="16"/>
              </w:rPr>
            </w:pPr>
            <w:r>
              <w:rPr>
                <w:rFonts w:ascii="Arial" w:hAnsi="Arial"/>
                <w:b/>
                <w:noProof/>
                <w:color w:val="000000"/>
                <w:sz w:val="16"/>
              </w:rPr>
              <w:t>−106</w:t>
            </w:r>
          </w:p>
        </w:tc>
      </w:tr>
    </w:tbl>
    <w:p>
      <w:pPr>
        <w:rPr>
          <w:rFonts w:ascii="Arial" w:hAnsi="Arial"/>
          <w:b/>
          <w:noProof/>
          <w:sz w:val="20"/>
          <w:bdr w:val="nil"/>
        </w:rPr>
      </w:pPr>
      <w:r>
        <w:rPr>
          <w:noProof/>
        </w:rPr>
        <w:br w:type="page"/>
      </w:r>
    </w:p>
    <w:p>
      <w:pPr>
        <w:pStyle w:val="Notes"/>
        <w:pBdr>
          <w:top w:val="nil"/>
          <w:left w:val="nil"/>
          <w:bottom w:val="nil"/>
          <w:right w:val="nil"/>
          <w:between w:val="nil"/>
          <w:bar w:val="nil"/>
        </w:pBdr>
        <w:rPr>
          <w:noProof/>
          <w:bdr w:val="nil"/>
        </w:rPr>
      </w:pPr>
      <w:r>
        <w:rPr>
          <w:noProof/>
          <w:bdr w:val="nil"/>
        </w:rPr>
        <w:t xml:space="preserve">21. </w:t>
      </w:r>
      <w:r>
        <w:rPr>
          <w:noProof/>
          <w:bdr w:val="nil"/>
        </w:rPr>
        <w:tab/>
        <w:t>Akcijų ir kitų kintamo pelningumo vertybinių popierių grynasis rezultatas</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Grynojo realizuoto pelno iš akcijų ir kitų kintamo pelningumo vertybinių popierių pagrindiniai komponentai:</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21"/>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bottom"/>
          </w:tcPr>
          <w:p>
            <w:pPr>
              <w:pStyle w:val="Normal147"/>
              <w:rPr>
                <w:rFonts w:ascii="Arial" w:eastAsia="Arial" w:hAnsi="Arial" w:cs="Arial"/>
                <w:b/>
                <w:noProof/>
                <w:color w:val="000000"/>
                <w:sz w:val="16"/>
              </w:rPr>
            </w:pPr>
            <w:r>
              <w:rPr>
                <w:rFonts w:ascii="Arial" w:hAnsi="Arial"/>
                <w:b/>
                <w:noProof/>
                <w:color w:val="000000"/>
                <w:sz w:val="16"/>
              </w:rPr>
              <w:t>tūkst. EUR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7"/>
              <w:jc w:val="right"/>
              <w:rPr>
                <w:rFonts w:ascii="Arial" w:eastAsia="Arial" w:hAnsi="Arial" w:cs="Arial"/>
                <w:b/>
                <w:noProof/>
                <w:color w:val="000000"/>
                <w:sz w:val="16"/>
              </w:rPr>
            </w:pPr>
            <w:r>
              <w:rPr>
                <w:rFonts w:ascii="Arial" w:hAnsi="Arial"/>
                <w:b/>
                <w:noProof/>
                <w:color w:val="000000"/>
                <w:sz w:val="16"/>
              </w:rPr>
              <w:t>Nuo 2019 01 01</w:t>
            </w:r>
          </w:p>
          <w:p>
            <w:pPr>
              <w:pStyle w:val="Normal147"/>
              <w:jc w:val="right"/>
              <w:rPr>
                <w:rFonts w:ascii="Arial" w:eastAsia="Arial" w:hAnsi="Arial" w:cs="Arial"/>
                <w:b/>
                <w:noProof/>
                <w:color w:val="000000"/>
                <w:sz w:val="16"/>
              </w:rPr>
            </w:pPr>
            <w:r>
              <w:rPr>
                <w:rFonts w:ascii="Arial" w:hAnsi="Arial"/>
                <w:b/>
                <w:noProof/>
                <w:color w:val="000000"/>
                <w:sz w:val="16"/>
              </w:rPr>
              <w:t>iki 2019 12 31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7"/>
              <w:jc w:val="right"/>
              <w:rPr>
                <w:rFonts w:ascii="Arial" w:eastAsia="Arial" w:hAnsi="Arial" w:cs="Arial"/>
                <w:b/>
                <w:noProof/>
                <w:color w:val="000000"/>
                <w:sz w:val="16"/>
              </w:rPr>
            </w:pPr>
            <w:r>
              <w:rPr>
                <w:rFonts w:ascii="Arial" w:hAnsi="Arial"/>
                <w:b/>
                <w:noProof/>
                <w:color w:val="000000"/>
                <w:sz w:val="16"/>
              </w:rPr>
              <w:t>Nuo 2018 01 01</w:t>
            </w:r>
          </w:p>
          <w:p>
            <w:pPr>
              <w:pStyle w:val="Normal147"/>
              <w:jc w:val="right"/>
              <w:rPr>
                <w:rFonts w:ascii="Arial" w:eastAsia="Arial" w:hAnsi="Arial" w:cs="Arial"/>
                <w:b/>
                <w:noProof/>
                <w:color w:val="000000"/>
                <w:sz w:val="16"/>
              </w:rPr>
            </w:pPr>
            <w:r>
              <w:rPr>
                <w:rFonts w:ascii="Arial" w:hAnsi="Arial"/>
                <w:b/>
                <w:noProof/>
                <w:color w:val="000000"/>
                <w:sz w:val="16"/>
              </w:rPr>
              <w:t>iki 2018 12 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7"/>
              <w:rPr>
                <w:rFonts w:ascii="Arial" w:eastAsia="Arial" w:hAnsi="Arial" w:cs="Arial"/>
                <w:noProof/>
                <w:color w:val="000000"/>
                <w:sz w:val="16"/>
              </w:rPr>
            </w:pPr>
            <w:r>
              <w:rPr>
                <w:rFonts w:ascii="Arial" w:hAnsi="Arial"/>
                <w:noProof/>
                <w:color w:val="000000"/>
                <w:sz w:val="16"/>
              </w:rPr>
              <w:t>Grynasis realizuotas pelnas iš akcijų ir kitų kintamo pelningumo vertybinių popierių</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7"/>
              <w:jc w:val="right"/>
              <w:rPr>
                <w:rFonts w:ascii="Arial" w:eastAsia="Arial" w:hAnsi="Arial" w:cs="Arial"/>
                <w:noProof/>
                <w:color w:val="000000"/>
                <w:sz w:val="16"/>
              </w:rPr>
            </w:pPr>
            <w:r>
              <w:rPr>
                <w:rFonts w:ascii="Arial" w:hAnsi="Arial"/>
                <w:noProof/>
                <w:color w:val="000000"/>
                <w:sz w:val="16"/>
              </w:rPr>
              <w:t>−133</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7"/>
              <w:jc w:val="right"/>
              <w:rPr>
                <w:rFonts w:ascii="Arial" w:eastAsia="Arial" w:hAnsi="Arial" w:cs="Arial"/>
                <w:noProof/>
                <w:color w:val="000000"/>
                <w:sz w:val="16"/>
              </w:rPr>
            </w:pPr>
            <w:r>
              <w:rPr>
                <w:rFonts w:ascii="Arial" w:hAnsi="Arial"/>
                <w:noProof/>
                <w:color w:val="000000"/>
                <w:sz w:val="16"/>
              </w:rPr>
              <w:t>3 166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7"/>
              <w:rPr>
                <w:rFonts w:ascii="Arial" w:eastAsia="Arial" w:hAnsi="Arial" w:cs="Arial"/>
                <w:noProof/>
                <w:color w:val="000000"/>
                <w:sz w:val="16"/>
              </w:rPr>
            </w:pPr>
            <w:r>
              <w:rPr>
                <w:rFonts w:ascii="Arial" w:hAnsi="Arial"/>
                <w:noProof/>
                <w:color w:val="000000"/>
                <w:sz w:val="16"/>
              </w:rPr>
              <w:t>Dividendų pajamos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7"/>
              <w:jc w:val="right"/>
              <w:rPr>
                <w:rFonts w:ascii="Arial" w:eastAsia="Arial" w:hAnsi="Arial" w:cs="Arial"/>
                <w:noProof/>
                <w:color w:val="000000"/>
                <w:sz w:val="16"/>
              </w:rPr>
            </w:pPr>
            <w:r>
              <w:rPr>
                <w:rFonts w:ascii="Arial" w:hAnsi="Arial"/>
                <w:noProof/>
                <w:color w:val="000000"/>
                <w:sz w:val="16"/>
              </w:rPr>
              <w:t>1 408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7"/>
              <w:jc w:val="right"/>
              <w:rPr>
                <w:rFonts w:ascii="Arial" w:eastAsia="Arial" w:hAnsi="Arial" w:cs="Arial"/>
                <w:noProof/>
                <w:color w:val="000000"/>
                <w:sz w:val="16"/>
              </w:rPr>
            </w:pPr>
            <w:r>
              <w:rPr>
                <w:rFonts w:ascii="Arial" w:hAnsi="Arial"/>
                <w:noProof/>
                <w:color w:val="000000"/>
                <w:sz w:val="16"/>
              </w:rPr>
              <w:t>7 320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7"/>
              <w:rPr>
                <w:rFonts w:ascii="Arial" w:eastAsia="Arial" w:hAnsi="Arial" w:cs="Arial"/>
                <w:noProof/>
                <w:color w:val="000000"/>
                <w:sz w:val="16"/>
              </w:rPr>
            </w:pPr>
            <w:r>
              <w:rPr>
                <w:rFonts w:ascii="Arial" w:hAnsi="Arial"/>
                <w:noProof/>
                <w:color w:val="000000"/>
                <w:sz w:val="16"/>
              </w:rPr>
              <w:t>Grynasis tikrosios vertės pokytis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7"/>
              <w:jc w:val="right"/>
              <w:rPr>
                <w:rFonts w:ascii="Arial" w:eastAsia="Arial" w:hAnsi="Arial" w:cs="Arial"/>
                <w:noProof/>
                <w:color w:val="000000"/>
                <w:sz w:val="16"/>
              </w:rPr>
            </w:pPr>
            <w:r>
              <w:rPr>
                <w:rFonts w:ascii="Arial" w:hAnsi="Arial"/>
                <w:noProof/>
                <w:color w:val="000000"/>
                <w:sz w:val="16"/>
              </w:rPr>
              <w:t>8 629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7"/>
              <w:jc w:val="right"/>
              <w:rPr>
                <w:rFonts w:ascii="Arial" w:eastAsia="Arial" w:hAnsi="Arial" w:cs="Arial"/>
                <w:noProof/>
                <w:color w:val="000000"/>
                <w:sz w:val="16"/>
              </w:rPr>
            </w:pPr>
            <w:r>
              <w:rPr>
                <w:rFonts w:ascii="Arial" w:hAnsi="Arial"/>
                <w:noProof/>
                <w:color w:val="000000"/>
                <w:sz w:val="16"/>
              </w:rPr>
              <w:t>−20 665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7"/>
              <w:rPr>
                <w:rFonts w:ascii="Arial" w:eastAsia="Arial" w:hAnsi="Arial" w:cs="Arial"/>
                <w:b/>
                <w:noProof/>
                <w:color w:val="000000"/>
                <w:sz w:val="16"/>
              </w:rPr>
            </w:pPr>
            <w:r>
              <w:rPr>
                <w:rFonts w:ascii="Arial" w:hAnsi="Arial"/>
                <w:b/>
                <w:noProof/>
                <w:color w:val="000000"/>
                <w:sz w:val="16"/>
              </w:rPr>
              <w:t>Akcijų ir kitų kintamo pelningumo vertybinių popierių grynasis rezultatas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7"/>
              <w:jc w:val="right"/>
              <w:rPr>
                <w:rFonts w:ascii="Arial" w:eastAsia="Arial" w:hAnsi="Arial" w:cs="Arial"/>
                <w:b/>
                <w:noProof/>
                <w:color w:val="000000"/>
                <w:sz w:val="16"/>
              </w:rPr>
            </w:pPr>
            <w:r>
              <w:rPr>
                <w:rFonts w:ascii="Arial" w:hAnsi="Arial"/>
                <w:b/>
                <w:noProof/>
                <w:color w:val="000000"/>
                <w:sz w:val="16"/>
              </w:rPr>
              <w:t>9 904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7"/>
              <w:jc w:val="right"/>
              <w:rPr>
                <w:rFonts w:ascii="Arial" w:eastAsia="Arial" w:hAnsi="Arial" w:cs="Arial"/>
                <w:b/>
                <w:noProof/>
                <w:color w:val="000000"/>
                <w:sz w:val="16"/>
              </w:rPr>
            </w:pPr>
            <w:r>
              <w:rPr>
                <w:rFonts w:ascii="Arial" w:hAnsi="Arial"/>
                <w:b/>
                <w:noProof/>
                <w:color w:val="000000"/>
                <w:sz w:val="16"/>
              </w:rPr>
              <w:t>−10 179</w:t>
            </w:r>
          </w:p>
        </w:tc>
      </w:tr>
    </w:tbl>
    <w:p>
      <w:pPr>
        <w:pStyle w:val="Notes"/>
        <w:pBdr>
          <w:top w:val="nil"/>
          <w:left w:val="nil"/>
          <w:bottom w:val="nil"/>
          <w:right w:val="nil"/>
          <w:between w:val="nil"/>
          <w:bar w:val="nil"/>
        </w:pBdr>
        <w:rPr>
          <w:noProof/>
          <w:sz w:val="16"/>
          <w:bdr w:val="nil"/>
        </w:rPr>
      </w:pPr>
    </w:p>
    <w:p>
      <w:pPr>
        <w:pStyle w:val="Notes"/>
        <w:pBdr>
          <w:top w:val="nil"/>
          <w:left w:val="nil"/>
          <w:bottom w:val="nil"/>
          <w:right w:val="nil"/>
          <w:between w:val="nil"/>
          <w:bar w:val="nil"/>
        </w:pBdr>
        <w:ind w:left="431" w:hanging="431"/>
        <w:rPr>
          <w:noProof/>
          <w:bdr w:val="nil"/>
        </w:rPr>
      </w:pPr>
      <w:r>
        <w:rPr>
          <w:noProof/>
          <w:bdr w:val="nil"/>
        </w:rPr>
        <w:t>22.</w:t>
      </w:r>
      <w:r>
        <w:rPr>
          <w:noProof/>
          <w:bdr w:val="nil"/>
        </w:rPr>
        <w:tab/>
        <w:t>Bendrosios administracinės išlaidos</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noProof/>
          <w:sz w:val="16"/>
          <w:szCs w:val="16"/>
        </w:rPr>
      </w:pPr>
      <w:r>
        <w:rPr>
          <w:rFonts w:ascii="Arial" w:hAnsi="Arial"/>
          <w:noProof/>
          <w:sz w:val="16"/>
          <w:szCs w:val="16"/>
          <w:bdr w:val="nil"/>
        </w:rPr>
        <w:t>Bendrosios administracinės sąnaudos – tai faktinės EIB patirtos Priemonės valdymo išlaidos, atėmus pajamas iš standartinių įvertinimo mokesčių, kuriais EIB tiesiogiai apmokestina Priemonės klientus.</w:t>
      </w:r>
    </w:p>
    <w:p>
      <w:pPr>
        <w:pBdr>
          <w:top w:val="nil"/>
          <w:left w:val="nil"/>
          <w:bottom w:val="nil"/>
          <w:right w:val="nil"/>
          <w:between w:val="nil"/>
          <w:bar w:val="nil"/>
        </w:pBdr>
        <w:spacing w:before="60" w:after="60"/>
        <w:jc w:val="both"/>
        <w:rPr>
          <w:rFonts w:ascii="Arial" w:hAnsi="Arial"/>
          <w:noProof/>
          <w:sz w:val="16"/>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Pagrindiniai bendrųjų administracinių išlaidų komponentai:</w:t>
      </w:r>
    </w:p>
    <w:p>
      <w:pPr>
        <w:pBdr>
          <w:top w:val="nil"/>
          <w:left w:val="nil"/>
          <w:bottom w:val="nil"/>
          <w:right w:val="nil"/>
          <w:between w:val="nil"/>
          <w:bar w:val="nil"/>
        </w:pBdr>
        <w:spacing w:before="60" w:after="60"/>
        <w:jc w:val="both"/>
        <w:rPr>
          <w:rFonts w:ascii="Arial" w:hAnsi="Arial"/>
          <w:noProof/>
          <w:sz w:val="16"/>
          <w:szCs w:val="16"/>
          <w:bdr w:val="nil"/>
        </w:rPr>
      </w:pPr>
    </w:p>
    <w:tbl>
      <w:tblPr>
        <w:tblStyle w:val="CDMRange221"/>
        <w:tblW w:w="9975" w:type="dxa"/>
        <w:tblLayout w:type="fixed"/>
        <w:tblLook w:val="0600" w:firstRow="0" w:lastRow="0" w:firstColumn="0" w:lastColumn="0" w:noHBand="1" w:noVBand="1"/>
      </w:tblPr>
      <w:tblGrid>
        <w:gridCol w:w="6975"/>
        <w:gridCol w:w="1500"/>
        <w:gridCol w:w="1500"/>
      </w:tblGrid>
      <w:tr>
        <w:trPr>
          <w:trHeight w:val="255"/>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8"/>
              <w:rPr>
                <w:rFonts w:ascii="Arial" w:eastAsia="Arial" w:hAnsi="Arial" w:cs="Arial"/>
                <w:b/>
                <w:noProof/>
                <w:color w:val="000000"/>
                <w:sz w:val="16"/>
              </w:rPr>
            </w:pPr>
            <w:r>
              <w:rPr>
                <w:rFonts w:ascii="Arial" w:hAnsi="Arial"/>
                <w:b/>
                <w:noProof/>
                <w:color w:val="000000"/>
                <w:sz w:val="16"/>
              </w:rPr>
              <w:t>tūkst. EUR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8"/>
              <w:jc w:val="right"/>
              <w:rPr>
                <w:rFonts w:ascii="Arial" w:eastAsia="Arial" w:hAnsi="Arial" w:cs="Arial"/>
                <w:b/>
                <w:noProof/>
                <w:color w:val="000000"/>
                <w:sz w:val="16"/>
              </w:rPr>
            </w:pPr>
            <w:r>
              <w:rPr>
                <w:rFonts w:ascii="Arial" w:hAnsi="Arial"/>
                <w:b/>
                <w:noProof/>
                <w:color w:val="000000"/>
                <w:sz w:val="16"/>
              </w:rPr>
              <w:t>Nuo 2019 01 01</w:t>
            </w:r>
          </w:p>
          <w:p>
            <w:pPr>
              <w:pStyle w:val="Normal148"/>
              <w:jc w:val="right"/>
              <w:rPr>
                <w:rFonts w:ascii="Arial" w:eastAsia="Arial" w:hAnsi="Arial" w:cs="Arial"/>
                <w:b/>
                <w:noProof/>
                <w:color w:val="000000"/>
                <w:sz w:val="16"/>
              </w:rPr>
            </w:pPr>
            <w:r>
              <w:rPr>
                <w:rFonts w:ascii="Arial" w:hAnsi="Arial"/>
                <w:b/>
                <w:noProof/>
                <w:color w:val="000000"/>
                <w:sz w:val="16"/>
              </w:rPr>
              <w:t>iki 2019 12 31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8"/>
              <w:jc w:val="right"/>
              <w:rPr>
                <w:rFonts w:ascii="Arial" w:eastAsia="Arial" w:hAnsi="Arial" w:cs="Arial"/>
                <w:b/>
                <w:noProof/>
                <w:color w:val="000000"/>
                <w:sz w:val="16"/>
              </w:rPr>
            </w:pPr>
            <w:r>
              <w:rPr>
                <w:rFonts w:ascii="Arial" w:hAnsi="Arial"/>
                <w:b/>
                <w:noProof/>
                <w:color w:val="000000"/>
                <w:sz w:val="16"/>
              </w:rPr>
              <w:t>Nuo 2018 01 01 iki 2018 12 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8"/>
              <w:rPr>
                <w:rFonts w:ascii="Arial" w:eastAsia="Arial" w:hAnsi="Arial" w:cs="Arial"/>
                <w:noProof/>
                <w:color w:val="000000"/>
                <w:sz w:val="16"/>
              </w:rPr>
            </w:pPr>
            <w:r>
              <w:rPr>
                <w:rFonts w:ascii="Arial" w:hAnsi="Arial"/>
                <w:noProof/>
                <w:color w:val="000000"/>
                <w:sz w:val="16"/>
              </w:rPr>
              <w:t>Faktinės EIB patirtos išlaidos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8"/>
              <w:jc w:val="right"/>
              <w:rPr>
                <w:rFonts w:ascii="Arial" w:eastAsia="Arial" w:hAnsi="Arial" w:cs="Arial"/>
                <w:noProof/>
                <w:color w:val="000000"/>
                <w:sz w:val="16"/>
              </w:rPr>
            </w:pPr>
            <w:r>
              <w:rPr>
                <w:rFonts w:ascii="Arial" w:hAnsi="Arial"/>
                <w:noProof/>
                <w:color w:val="000000"/>
                <w:sz w:val="16"/>
              </w:rPr>
              <w:t>−52 982</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8"/>
              <w:jc w:val="right"/>
              <w:rPr>
                <w:rFonts w:ascii="Arial" w:eastAsia="Arial" w:hAnsi="Arial" w:cs="Arial"/>
                <w:noProof/>
                <w:color w:val="000000"/>
                <w:sz w:val="16"/>
              </w:rPr>
            </w:pPr>
            <w:r>
              <w:rPr>
                <w:rFonts w:ascii="Arial" w:hAnsi="Arial"/>
                <w:noProof/>
                <w:color w:val="000000"/>
                <w:sz w:val="16"/>
              </w:rPr>
              <w:t>−50 021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8"/>
              <w:rPr>
                <w:rFonts w:ascii="Arial" w:eastAsia="Arial" w:hAnsi="Arial" w:cs="Arial"/>
                <w:noProof/>
                <w:color w:val="000000"/>
                <w:sz w:val="16"/>
              </w:rPr>
            </w:pPr>
            <w:r>
              <w:rPr>
                <w:rFonts w:ascii="Arial" w:hAnsi="Arial"/>
                <w:noProof/>
                <w:color w:val="000000"/>
                <w:sz w:val="16"/>
              </w:rPr>
              <w:t>Pajamos iš Priemonės klientams tiesiogiai taikomų įvertinimo mokesčių</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8"/>
              <w:jc w:val="right"/>
              <w:rPr>
                <w:rFonts w:ascii="Arial" w:eastAsia="Arial" w:hAnsi="Arial" w:cs="Arial"/>
                <w:noProof/>
                <w:color w:val="000000"/>
                <w:sz w:val="16"/>
              </w:rPr>
            </w:pPr>
            <w:r>
              <w:rPr>
                <w:rFonts w:ascii="Arial" w:hAnsi="Arial"/>
                <w:noProof/>
                <w:color w:val="000000"/>
                <w:sz w:val="16"/>
              </w:rPr>
              <w:t>2 973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8"/>
              <w:jc w:val="right"/>
              <w:rPr>
                <w:rFonts w:ascii="Arial" w:eastAsia="Arial" w:hAnsi="Arial" w:cs="Arial"/>
                <w:noProof/>
                <w:color w:val="000000"/>
                <w:sz w:val="16"/>
              </w:rPr>
            </w:pPr>
            <w:r>
              <w:rPr>
                <w:rFonts w:ascii="Arial" w:hAnsi="Arial"/>
                <w:noProof/>
                <w:color w:val="000000"/>
                <w:sz w:val="16"/>
              </w:rPr>
              <w:t>2 222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8"/>
              <w:rPr>
                <w:rFonts w:ascii="Arial" w:eastAsia="Arial" w:hAnsi="Arial" w:cs="Arial"/>
                <w:b/>
                <w:noProof/>
                <w:color w:val="000000"/>
                <w:sz w:val="16"/>
              </w:rPr>
            </w:pPr>
            <w:r>
              <w:rPr>
                <w:rFonts w:ascii="Arial" w:hAnsi="Arial"/>
                <w:b/>
                <w:noProof/>
                <w:color w:val="000000"/>
                <w:sz w:val="16"/>
              </w:rPr>
              <w:t>Iš viso bendrųjų administracinių išlaidų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8"/>
              <w:jc w:val="right"/>
              <w:rPr>
                <w:rFonts w:ascii="Arial" w:eastAsia="Arial" w:hAnsi="Arial" w:cs="Arial"/>
                <w:b/>
                <w:noProof/>
                <w:color w:val="000000"/>
                <w:sz w:val="16"/>
              </w:rPr>
            </w:pPr>
            <w:r>
              <w:rPr>
                <w:rFonts w:ascii="Arial" w:hAnsi="Arial"/>
                <w:b/>
                <w:noProof/>
                <w:color w:val="000000"/>
                <w:sz w:val="16"/>
              </w:rPr>
              <w:t>−50 009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8"/>
              <w:jc w:val="right"/>
              <w:rPr>
                <w:rFonts w:ascii="Arial" w:eastAsia="Arial" w:hAnsi="Arial" w:cs="Arial"/>
                <w:b/>
                <w:noProof/>
                <w:color w:val="000000"/>
                <w:sz w:val="16"/>
              </w:rPr>
            </w:pPr>
            <w:r>
              <w:rPr>
                <w:rFonts w:ascii="Arial" w:hAnsi="Arial"/>
                <w:b/>
                <w:noProof/>
                <w:color w:val="000000"/>
                <w:sz w:val="16"/>
              </w:rPr>
              <w:t>−47 799</w:t>
            </w:r>
          </w:p>
        </w:tc>
      </w:tr>
    </w:tbl>
    <w:p>
      <w:pPr>
        <w:pStyle w:val="Notes33"/>
        <w:pageBreakBefore/>
        <w:numPr>
          <w:ilvl w:val="0"/>
          <w:numId w:val="0"/>
        </w:numPr>
        <w:ind w:left="432" w:hanging="432"/>
        <w:rPr>
          <w:noProof/>
          <w:szCs w:val="20"/>
        </w:rPr>
      </w:pPr>
      <w:r>
        <w:rPr>
          <w:noProof/>
        </w:rPr>
        <w:t>23.</w:t>
      </w:r>
      <w:r>
        <w:rPr>
          <w:noProof/>
        </w:rPr>
        <w:tab/>
        <w:t>Ryšiai su nekonsoliduojamais struktūrizuotais ūkio subjektais (tūkst. EUR)</w:t>
      </w:r>
    </w:p>
    <w:p>
      <w:pPr>
        <w:pStyle w:val="Normal149"/>
        <w:spacing w:before="60" w:after="60"/>
        <w:jc w:val="both"/>
        <w:rPr>
          <w:noProof/>
          <w:sz w:val="16"/>
          <w:szCs w:val="16"/>
        </w:rPr>
      </w:pPr>
    </w:p>
    <w:p>
      <w:pPr>
        <w:pStyle w:val="Normal149"/>
        <w:spacing w:before="60"/>
        <w:jc w:val="both"/>
        <w:rPr>
          <w:rFonts w:ascii="Arial" w:hAnsi="Arial"/>
          <w:i/>
          <w:noProof/>
          <w:sz w:val="16"/>
          <w:szCs w:val="16"/>
        </w:rPr>
      </w:pPr>
      <w:r>
        <w:rPr>
          <w:rFonts w:ascii="Arial" w:hAnsi="Arial"/>
          <w:i/>
          <w:noProof/>
          <w:sz w:val="16"/>
          <w:szCs w:val="16"/>
        </w:rPr>
        <w:t>Struktūrizuoto ūkio subjekto apibrėžtis</w:t>
      </w:r>
    </w:p>
    <w:p>
      <w:pPr>
        <w:pStyle w:val="Normal149"/>
        <w:spacing w:after="60"/>
        <w:jc w:val="both"/>
        <w:rPr>
          <w:rFonts w:ascii="Arial" w:hAnsi="Arial"/>
          <w:i/>
          <w:noProof/>
          <w:sz w:val="16"/>
          <w:szCs w:val="16"/>
        </w:rPr>
      </w:pPr>
    </w:p>
    <w:p>
      <w:pPr>
        <w:pStyle w:val="Normal149"/>
        <w:spacing w:before="60" w:after="60"/>
        <w:jc w:val="both"/>
        <w:rPr>
          <w:rFonts w:ascii="Arial" w:hAnsi="Arial"/>
          <w:noProof/>
          <w:sz w:val="16"/>
          <w:szCs w:val="16"/>
        </w:rPr>
      </w:pPr>
      <w:r>
        <w:rPr>
          <w:rFonts w:ascii="Arial" w:hAnsi="Arial"/>
          <w:noProof/>
          <w:sz w:val="16"/>
          <w:szCs w:val="16"/>
        </w:rPr>
        <w:t>Struktūrizuotas ūkio subjektas – tai subjektas, sukurtas taip, kad balsavimo arba panašios teisės nebūtų lemiamas veiksnys sprendžiant, kas kontroliuoja subjektą. 12-ajame TFAS nurodoma, kad struktūrizuotam ūkio subjektui dažnai būdingi keli ar visi šie požymiai:</w:t>
      </w:r>
    </w:p>
    <w:p>
      <w:pPr>
        <w:pStyle w:val="Normal149"/>
        <w:numPr>
          <w:ilvl w:val="0"/>
          <w:numId w:val="112"/>
        </w:numPr>
        <w:spacing w:before="60" w:after="60"/>
        <w:jc w:val="both"/>
        <w:rPr>
          <w:rFonts w:ascii="Arial" w:hAnsi="Arial"/>
          <w:noProof/>
          <w:sz w:val="16"/>
          <w:szCs w:val="16"/>
        </w:rPr>
      </w:pPr>
      <w:r>
        <w:rPr>
          <w:rFonts w:ascii="Arial" w:hAnsi="Arial"/>
          <w:noProof/>
          <w:sz w:val="16"/>
          <w:szCs w:val="16"/>
        </w:rPr>
        <w:t>apribota veikla;</w:t>
      </w:r>
    </w:p>
    <w:p>
      <w:pPr>
        <w:pStyle w:val="Normal149"/>
        <w:numPr>
          <w:ilvl w:val="0"/>
          <w:numId w:val="112"/>
        </w:numPr>
        <w:spacing w:before="60" w:after="60"/>
        <w:jc w:val="both"/>
        <w:rPr>
          <w:rFonts w:ascii="Arial" w:hAnsi="Arial"/>
          <w:noProof/>
          <w:sz w:val="16"/>
          <w:szCs w:val="16"/>
        </w:rPr>
      </w:pPr>
      <w:r>
        <w:rPr>
          <w:rFonts w:ascii="Arial" w:hAnsi="Arial"/>
          <w:noProof/>
          <w:sz w:val="16"/>
          <w:szCs w:val="16"/>
        </w:rPr>
        <w:t>siauras ir aiškiai apibrėžtas tikslas, pavyzdžiui, suorganizuoti nuomą palankiomis mokestinėmis sąlygomis, vykdyti mokslinių tyrimų ir technologinės plėtros veiklą, suteikti kapitalo arba finansavimo šaltinį subjektui arba suteikti investavimo galimybių investuotojams, perduodant investuotojams su struktūrizuoto ūkio subjekto turtu susijusią riziką ir naudą;</w:t>
      </w:r>
    </w:p>
    <w:p>
      <w:pPr>
        <w:pStyle w:val="Normal149"/>
        <w:numPr>
          <w:ilvl w:val="0"/>
          <w:numId w:val="112"/>
        </w:numPr>
        <w:spacing w:before="60" w:after="60"/>
        <w:jc w:val="both"/>
        <w:rPr>
          <w:rFonts w:ascii="Arial" w:hAnsi="Arial"/>
          <w:noProof/>
          <w:sz w:val="16"/>
          <w:szCs w:val="16"/>
        </w:rPr>
      </w:pPr>
      <w:r>
        <w:rPr>
          <w:rFonts w:ascii="Arial" w:hAnsi="Arial"/>
          <w:noProof/>
          <w:sz w:val="16"/>
          <w:szCs w:val="16"/>
        </w:rPr>
        <w:t>nepakankamai nuosavybės, kad struktūrizuotas ūkio subjektas galėtų finansuoti savo veiklą be subordinuotos finansinės paramos;</w:t>
      </w:r>
    </w:p>
    <w:p>
      <w:pPr>
        <w:pStyle w:val="Normal149"/>
        <w:numPr>
          <w:ilvl w:val="0"/>
          <w:numId w:val="112"/>
        </w:numPr>
        <w:spacing w:before="60" w:after="60"/>
        <w:jc w:val="both"/>
        <w:rPr>
          <w:rFonts w:ascii="Arial" w:hAnsi="Arial"/>
          <w:noProof/>
          <w:sz w:val="16"/>
          <w:szCs w:val="16"/>
        </w:rPr>
      </w:pPr>
      <w:r>
        <w:rPr>
          <w:rFonts w:ascii="Arial" w:hAnsi="Arial"/>
          <w:noProof/>
          <w:sz w:val="16"/>
          <w:szCs w:val="16"/>
        </w:rPr>
        <w:t>finansavimas naudojant daugelį priemonių, kurios susietos sutartimis su investuotojais ir dėl kurių atsiranda kredito ar kitokios rizikos koncentracija (segmentai).</w:t>
      </w:r>
    </w:p>
    <w:p>
      <w:pPr>
        <w:pStyle w:val="Normal149"/>
        <w:spacing w:before="60" w:after="60"/>
        <w:jc w:val="both"/>
        <w:rPr>
          <w:rFonts w:ascii="Arial" w:hAnsi="Arial"/>
          <w:noProof/>
          <w:sz w:val="16"/>
          <w:szCs w:val="16"/>
        </w:rPr>
      </w:pPr>
    </w:p>
    <w:p>
      <w:pPr>
        <w:pStyle w:val="Normal149"/>
        <w:spacing w:before="60"/>
        <w:jc w:val="both"/>
        <w:rPr>
          <w:rFonts w:ascii="Arial" w:hAnsi="Arial"/>
          <w:i/>
          <w:noProof/>
          <w:sz w:val="16"/>
          <w:szCs w:val="16"/>
        </w:rPr>
      </w:pPr>
      <w:r>
        <w:rPr>
          <w:rFonts w:ascii="Arial" w:hAnsi="Arial"/>
          <w:i/>
          <w:noProof/>
          <w:sz w:val="16"/>
          <w:szCs w:val="16"/>
        </w:rPr>
        <w:t>Nekonsoliduojami struktūrizuoti ūkio subjektai</w:t>
      </w:r>
    </w:p>
    <w:p>
      <w:pPr>
        <w:pStyle w:val="Normal149"/>
        <w:spacing w:after="60"/>
        <w:jc w:val="both"/>
        <w:rPr>
          <w:rFonts w:ascii="Arial" w:hAnsi="Arial"/>
          <w:i/>
          <w:noProof/>
          <w:sz w:val="16"/>
          <w:szCs w:val="16"/>
        </w:rPr>
      </w:pPr>
    </w:p>
    <w:p>
      <w:pPr>
        <w:pStyle w:val="Normal149"/>
        <w:spacing w:before="60" w:after="60"/>
        <w:jc w:val="both"/>
        <w:rPr>
          <w:rFonts w:ascii="Arial" w:hAnsi="Arial"/>
          <w:noProof/>
          <w:sz w:val="16"/>
          <w:szCs w:val="16"/>
        </w:rPr>
      </w:pPr>
      <w:r>
        <w:rPr>
          <w:rFonts w:ascii="Arial" w:hAnsi="Arial"/>
          <w:noProof/>
          <w:sz w:val="16"/>
          <w:szCs w:val="16"/>
        </w:rPr>
        <w:t>Terminas „nekonsoliduojami struktūrizuoti ūkio subjektai“ taikomas visiems struktūrizuotiems ūkio subjektams, kurių Priemonė nekontroliuoja, ir apima nekonsoliduojamų struktūrizuotų ūkio subjektų palūkanas.</w:t>
      </w:r>
    </w:p>
    <w:p>
      <w:pPr>
        <w:pStyle w:val="Normal149"/>
        <w:spacing w:before="60" w:after="60"/>
        <w:jc w:val="both"/>
        <w:rPr>
          <w:rFonts w:ascii="Arial" w:hAnsi="Arial"/>
          <w:i/>
          <w:noProof/>
          <w:sz w:val="16"/>
          <w:szCs w:val="16"/>
        </w:rPr>
      </w:pPr>
    </w:p>
    <w:p>
      <w:pPr>
        <w:pStyle w:val="Normal149"/>
        <w:spacing w:before="60"/>
        <w:jc w:val="both"/>
        <w:rPr>
          <w:rFonts w:ascii="Arial" w:hAnsi="Arial"/>
          <w:i/>
          <w:noProof/>
          <w:sz w:val="16"/>
          <w:szCs w:val="16"/>
        </w:rPr>
      </w:pPr>
      <w:r>
        <w:rPr>
          <w:rFonts w:ascii="Arial" w:hAnsi="Arial"/>
          <w:i/>
          <w:noProof/>
          <w:sz w:val="16"/>
          <w:szCs w:val="16"/>
        </w:rPr>
        <w:t>Dalių struktūrizuotuose ūkio subjektuose apibrėžtis</w:t>
      </w:r>
    </w:p>
    <w:p>
      <w:pPr>
        <w:pStyle w:val="Normal149"/>
        <w:spacing w:after="60"/>
        <w:jc w:val="both"/>
        <w:rPr>
          <w:rFonts w:ascii="Arial" w:hAnsi="Arial"/>
          <w:noProof/>
          <w:sz w:val="16"/>
          <w:szCs w:val="16"/>
        </w:rPr>
      </w:pPr>
    </w:p>
    <w:p>
      <w:pPr>
        <w:pStyle w:val="Normal149"/>
        <w:spacing w:before="60" w:after="60"/>
        <w:jc w:val="both"/>
        <w:rPr>
          <w:rFonts w:ascii="Arial" w:hAnsi="Arial"/>
          <w:noProof/>
          <w:sz w:val="16"/>
          <w:szCs w:val="16"/>
        </w:rPr>
      </w:pPr>
      <w:r>
        <w:rPr>
          <w:rFonts w:ascii="Arial" w:hAnsi="Arial"/>
          <w:noProof/>
          <w:sz w:val="16"/>
          <w:szCs w:val="16"/>
        </w:rPr>
        <w:t>12-jame TFAS „dalys“ apibrėžiamos taip, kad būtų įtrauktas sutartinis ir nesutartinis ryšys, dėl kurio ataskaitas teikiantis subjektas gauna kintamą grąžą iš to kito subjekto veiklos. Tokių dalių pavyzdžiai apima dalyvavimą nuosavybės dalių valdyme ir kitokius ryšius, pvz., finansavimo teikimą, paramą likvidumui užtikrinti, kredito vertės didinimo priemones, įsipareigojimus ir garantijas kitam subjektui. 12-ajame TFAS nurodyta, kad ataskaitas teikiantis subjektas nebūtinai turi dalį kitame subjekte tik dėl to, kad su juo palaiko įprastus kliento ir tiekėjo santykius.</w:t>
      </w:r>
    </w:p>
    <w:p>
      <w:pPr>
        <w:pStyle w:val="Normal149"/>
        <w:spacing w:before="60" w:after="60"/>
        <w:jc w:val="both"/>
        <w:rPr>
          <w:rFonts w:ascii="Arial" w:hAnsi="Arial"/>
          <w:noProof/>
          <w:sz w:val="16"/>
          <w:szCs w:val="16"/>
        </w:rPr>
      </w:pPr>
    </w:p>
    <w:p>
      <w:pPr>
        <w:pStyle w:val="Normal149"/>
        <w:spacing w:before="60" w:after="60"/>
        <w:jc w:val="both"/>
        <w:rPr>
          <w:rFonts w:ascii="Arial" w:hAnsi="Arial"/>
          <w:noProof/>
          <w:sz w:val="16"/>
          <w:szCs w:val="16"/>
        </w:rPr>
      </w:pPr>
      <w:r>
        <w:rPr>
          <w:rFonts w:ascii="Arial" w:hAnsi="Arial"/>
          <w:noProof/>
          <w:sz w:val="16"/>
          <w:szCs w:val="16"/>
        </w:rPr>
        <w:t>Toliau pateikiamoje lentelėje aprašyti struktūrizuotų ūkio subjektų, kurių Priemonė nekonsoliduoja, bet kuriuose Priemonė turi dalių, tipai.</w:t>
      </w:r>
    </w:p>
    <w:p>
      <w:pPr>
        <w:pStyle w:val="Normal149"/>
        <w:spacing w:before="60" w:after="60"/>
        <w:jc w:val="both"/>
        <w:rPr>
          <w:rFonts w:ascii="Arial" w:hAnsi="Arial"/>
          <w:noProof/>
          <w:sz w:val="16"/>
          <w:szCs w:val="16"/>
        </w:rPr>
      </w:pPr>
    </w:p>
    <w:tbl>
      <w:tblPr>
        <w:tblStyle w:val="TableGrid0"/>
        <w:tblW w:w="9923" w:type="dxa"/>
        <w:tblInd w:w="108" w:type="dxa"/>
        <w:tblBorders>
          <w:left w:val="nil"/>
          <w:right w:val="nil"/>
          <w:insideV w:val="nil"/>
        </w:tblBorders>
        <w:tblLook w:val="04A0" w:firstRow="1" w:lastRow="0" w:firstColumn="1" w:lastColumn="0" w:noHBand="0" w:noVBand="1"/>
      </w:tblPr>
      <w:tblGrid>
        <w:gridCol w:w="1560"/>
        <w:gridCol w:w="5528"/>
        <w:gridCol w:w="2835"/>
      </w:tblGrid>
      <w:tr>
        <w:tc>
          <w:tcPr>
            <w:tcW w:w="1560" w:type="dxa"/>
          </w:tcPr>
          <w:p>
            <w:pPr>
              <w:pStyle w:val="Normal149"/>
              <w:spacing w:before="60" w:after="60"/>
              <w:rPr>
                <w:rFonts w:ascii="Arial" w:hAnsi="Arial"/>
                <w:b/>
                <w:noProof/>
                <w:sz w:val="16"/>
                <w:szCs w:val="16"/>
              </w:rPr>
            </w:pPr>
            <w:r>
              <w:rPr>
                <w:rFonts w:ascii="Arial" w:hAnsi="Arial"/>
                <w:b/>
                <w:noProof/>
                <w:sz w:val="16"/>
                <w:szCs w:val="16"/>
              </w:rPr>
              <w:t>Struktūrizuoto ūkio subjekto tipas</w:t>
            </w:r>
          </w:p>
        </w:tc>
        <w:tc>
          <w:tcPr>
            <w:tcW w:w="5528" w:type="dxa"/>
          </w:tcPr>
          <w:p>
            <w:pPr>
              <w:pStyle w:val="Normal149"/>
              <w:spacing w:before="60" w:after="60"/>
              <w:jc w:val="both"/>
              <w:rPr>
                <w:rFonts w:ascii="Arial" w:hAnsi="Arial"/>
                <w:b/>
                <w:noProof/>
                <w:sz w:val="16"/>
                <w:szCs w:val="16"/>
              </w:rPr>
            </w:pPr>
            <w:r>
              <w:rPr>
                <w:rFonts w:ascii="Arial" w:hAnsi="Arial"/>
                <w:b/>
                <w:noProof/>
                <w:sz w:val="16"/>
                <w:szCs w:val="16"/>
              </w:rPr>
              <w:t>Pobūdis ir paskirtis</w:t>
            </w:r>
          </w:p>
        </w:tc>
        <w:tc>
          <w:tcPr>
            <w:tcW w:w="2835" w:type="dxa"/>
          </w:tcPr>
          <w:p>
            <w:pPr>
              <w:pStyle w:val="Normal149"/>
              <w:spacing w:before="60" w:after="60"/>
              <w:jc w:val="both"/>
              <w:rPr>
                <w:rFonts w:ascii="Arial" w:hAnsi="Arial"/>
                <w:b/>
                <w:noProof/>
                <w:sz w:val="16"/>
                <w:szCs w:val="16"/>
              </w:rPr>
            </w:pPr>
            <w:r>
              <w:rPr>
                <w:rFonts w:ascii="Arial" w:hAnsi="Arial"/>
                <w:b/>
                <w:noProof/>
                <w:sz w:val="16"/>
                <w:szCs w:val="16"/>
              </w:rPr>
              <w:t>Priemonės turimos dalys</w:t>
            </w:r>
          </w:p>
        </w:tc>
      </w:tr>
      <w:tr>
        <w:tc>
          <w:tcPr>
            <w:tcW w:w="1560" w:type="dxa"/>
          </w:tcPr>
          <w:p>
            <w:pPr>
              <w:pStyle w:val="Normal149"/>
              <w:spacing w:before="60" w:after="60"/>
              <w:rPr>
                <w:rFonts w:ascii="Arial" w:hAnsi="Arial"/>
                <w:noProof/>
                <w:sz w:val="16"/>
                <w:szCs w:val="16"/>
              </w:rPr>
            </w:pPr>
            <w:r>
              <w:rPr>
                <w:rFonts w:ascii="Arial" w:hAnsi="Arial"/>
                <w:noProof/>
                <w:sz w:val="16"/>
                <w:szCs w:val="16"/>
              </w:rPr>
              <w:t>Projektų finansavimas. Skolinimas specialiosios paskirties įmonėms (SPĮ)</w:t>
            </w:r>
          </w:p>
        </w:tc>
        <w:tc>
          <w:tcPr>
            <w:tcW w:w="5528" w:type="dxa"/>
          </w:tcPr>
          <w:p>
            <w:pPr>
              <w:pStyle w:val="Normal149"/>
              <w:spacing w:before="60" w:after="60"/>
              <w:jc w:val="both"/>
              <w:rPr>
                <w:rFonts w:ascii="Arial" w:hAnsi="Arial"/>
                <w:noProof/>
                <w:sz w:val="16"/>
                <w:szCs w:val="16"/>
              </w:rPr>
            </w:pPr>
            <w:r>
              <w:rPr>
                <w:rFonts w:ascii="Arial" w:hAnsi="Arial"/>
                <w:noProof/>
                <w:sz w:val="16"/>
                <w:szCs w:val="16"/>
              </w:rPr>
              <w:t>Projektų finansavimo operacijos (PF operacijos) – tai operacijos, kurias vykdant Priemonės skolos tvarkymas priklauso nuo skolininko, kurio vienintelis ar pagrindinis pajamų šaltinis – vienos arba kelių rūšių turtas, finansuojamas tokios skolos lėšomis, arba kitas ankstesnis turtas, sutartimi susijęs su projektu.  PF operacijas dažnai finansuoja SPĮ.</w:t>
            </w:r>
          </w:p>
        </w:tc>
        <w:tc>
          <w:tcPr>
            <w:tcW w:w="2835" w:type="dxa"/>
          </w:tcPr>
          <w:p>
            <w:pPr>
              <w:pStyle w:val="Normal149"/>
              <w:spacing w:before="60" w:after="60"/>
              <w:jc w:val="both"/>
              <w:rPr>
                <w:rFonts w:ascii="Arial" w:hAnsi="Arial"/>
                <w:noProof/>
                <w:sz w:val="16"/>
                <w:szCs w:val="16"/>
              </w:rPr>
            </w:pPr>
            <w:r>
              <w:rPr>
                <w:rFonts w:ascii="Arial" w:hAnsi="Arial"/>
                <w:noProof/>
                <w:sz w:val="16"/>
                <w:szCs w:val="16"/>
              </w:rPr>
              <w:t>Grynosios išmokėtos sumos</w:t>
            </w:r>
          </w:p>
          <w:p>
            <w:pPr>
              <w:pStyle w:val="Normal149"/>
              <w:spacing w:before="60" w:after="60"/>
              <w:jc w:val="both"/>
              <w:rPr>
                <w:rFonts w:ascii="Arial" w:hAnsi="Arial"/>
                <w:noProof/>
                <w:sz w:val="16"/>
                <w:szCs w:val="16"/>
              </w:rPr>
            </w:pPr>
            <w:r>
              <w:rPr>
                <w:rFonts w:ascii="Arial" w:hAnsi="Arial"/>
                <w:noProof/>
                <w:sz w:val="16"/>
                <w:szCs w:val="16"/>
              </w:rPr>
              <w:t>Pajamos iš palūkanų</w:t>
            </w:r>
          </w:p>
        </w:tc>
      </w:tr>
      <w:tr>
        <w:tc>
          <w:tcPr>
            <w:tcW w:w="1560" w:type="dxa"/>
          </w:tcPr>
          <w:p>
            <w:pPr>
              <w:pStyle w:val="Normal149"/>
              <w:spacing w:before="60" w:after="60"/>
              <w:rPr>
                <w:rFonts w:ascii="Arial" w:hAnsi="Arial"/>
                <w:noProof/>
                <w:sz w:val="16"/>
                <w:szCs w:val="16"/>
              </w:rPr>
            </w:pPr>
            <w:r>
              <w:rPr>
                <w:rFonts w:ascii="Arial" w:hAnsi="Arial"/>
                <w:noProof/>
                <w:sz w:val="16"/>
                <w:szCs w:val="16"/>
              </w:rPr>
              <w:t>Rizikos kapitalo operacijos</w:t>
            </w:r>
          </w:p>
        </w:tc>
        <w:tc>
          <w:tcPr>
            <w:tcW w:w="5528" w:type="dxa"/>
          </w:tcPr>
          <w:p>
            <w:pPr>
              <w:pStyle w:val="Normal149"/>
              <w:spacing w:before="60" w:after="60"/>
              <w:jc w:val="both"/>
              <w:rPr>
                <w:rFonts w:ascii="Arial" w:hAnsi="Arial"/>
                <w:noProof/>
                <w:sz w:val="16"/>
                <w:szCs w:val="16"/>
              </w:rPr>
            </w:pPr>
            <w:r>
              <w:rPr>
                <w:rFonts w:ascii="Arial" w:hAnsi="Arial"/>
                <w:noProof/>
                <w:sz w:val="16"/>
                <w:szCs w:val="16"/>
              </w:rPr>
              <w:t>Pagal Priemonę finansuojami rizikos kapitalo ir investiciniai fondai. Rizikos kapitalo ir investiciniai fondai sutelkia ir valdo investuotojų, norinčių turėti privataus akcinio kapitalo dalių didelių augimo galimybių turinčiose mažose ir vidutinio dydžio įmonėse ir finansuoti infrastruktūros projektus, pinigus.</w:t>
            </w:r>
          </w:p>
        </w:tc>
        <w:tc>
          <w:tcPr>
            <w:tcW w:w="2835" w:type="dxa"/>
          </w:tcPr>
          <w:p>
            <w:pPr>
              <w:pStyle w:val="Normal149"/>
              <w:spacing w:before="60" w:after="60"/>
              <w:jc w:val="both"/>
              <w:rPr>
                <w:rFonts w:ascii="Arial" w:hAnsi="Arial"/>
                <w:noProof/>
                <w:sz w:val="16"/>
                <w:szCs w:val="16"/>
              </w:rPr>
            </w:pPr>
            <w:r>
              <w:rPr>
                <w:rFonts w:ascii="Arial" w:hAnsi="Arial"/>
                <w:noProof/>
                <w:sz w:val="16"/>
                <w:szCs w:val="16"/>
              </w:rPr>
              <w:t>Investicijos į rizikos kapitalo subjekto išleistus vienetus ir (arba) akcijas</w:t>
            </w:r>
          </w:p>
          <w:p>
            <w:pPr>
              <w:pStyle w:val="Normal149"/>
              <w:spacing w:before="60" w:after="60"/>
              <w:jc w:val="both"/>
              <w:rPr>
                <w:rFonts w:ascii="Arial" w:hAnsi="Arial"/>
                <w:noProof/>
                <w:sz w:val="16"/>
                <w:szCs w:val="16"/>
              </w:rPr>
            </w:pPr>
            <w:r>
              <w:rPr>
                <w:rFonts w:ascii="Arial" w:hAnsi="Arial"/>
                <w:noProof/>
                <w:sz w:val="16"/>
                <w:szCs w:val="16"/>
              </w:rPr>
              <w:t>Dividendai, gauti kaip dividendų pajamos</w:t>
            </w:r>
          </w:p>
        </w:tc>
      </w:tr>
    </w:tbl>
    <w:p>
      <w:pPr>
        <w:pStyle w:val="Normal149"/>
        <w:spacing w:before="60" w:after="60"/>
        <w:jc w:val="both"/>
        <w:rPr>
          <w:rFonts w:ascii="Arial" w:hAnsi="Arial"/>
          <w:noProof/>
          <w:sz w:val="16"/>
          <w:szCs w:val="16"/>
        </w:rPr>
      </w:pPr>
    </w:p>
    <w:p>
      <w:pPr>
        <w:pStyle w:val="Normal149"/>
        <w:spacing w:before="60" w:after="60"/>
        <w:jc w:val="both"/>
        <w:rPr>
          <w:rFonts w:ascii="Arial" w:hAnsi="Arial"/>
          <w:noProof/>
          <w:sz w:val="16"/>
          <w:szCs w:val="16"/>
        </w:rPr>
      </w:pPr>
      <w:r>
        <w:rPr>
          <w:rFonts w:ascii="Arial" w:hAnsi="Arial"/>
          <w:noProof/>
          <w:sz w:val="16"/>
          <w:szCs w:val="16"/>
        </w:rPr>
        <w:t xml:space="preserve">Toliau pateikiamoje lentelėje parodytos nekonsoliduojamų struktūrizuotų ūkio subjektų, kuriuose Priemonė turi dalių, balansinės vertės finansinių ataskaitų sudarymo dieną, taip pat didžiausia Priemonės nuostolių, susijusių su tais ūkio subjektais, rizika. Didžiausia nuostolių rizika apima balansines vertes ir susijusias neišmokėtas sumas, kurias įsipareigota skirti. </w:t>
      </w:r>
    </w:p>
    <w:p>
      <w:pPr>
        <w:pStyle w:val="Normal149"/>
        <w:spacing w:before="60" w:after="60" w:line="276" w:lineRule="auto"/>
        <w:jc w:val="both"/>
        <w:rPr>
          <w:rFonts w:ascii="Arial" w:hAnsi="Arial"/>
          <w:noProof/>
          <w:sz w:val="16"/>
          <w:szCs w:val="16"/>
        </w:rPr>
      </w:pPr>
      <w:r>
        <w:rPr>
          <w:noProof/>
        </w:rPr>
        <w:t xml:space="preserve"> </w:t>
      </w:r>
    </w:p>
    <w:tbl>
      <w:tblPr>
        <w:tblStyle w:val="CDMRange122"/>
        <w:tblW w:w="9990" w:type="dxa"/>
        <w:tblLayout w:type="fixed"/>
        <w:tblLook w:val="0600" w:firstRow="0" w:lastRow="0" w:firstColumn="0" w:lastColumn="0" w:noHBand="1" w:noVBand="1"/>
      </w:tblPr>
      <w:tblGrid>
        <w:gridCol w:w="2295"/>
        <w:gridCol w:w="2295"/>
        <w:gridCol w:w="1350"/>
        <w:gridCol w:w="1350"/>
        <w:gridCol w:w="1350"/>
        <w:gridCol w:w="1350"/>
      </w:tblGrid>
      <w:tr>
        <w:trPr>
          <w:trHeight w:val="630"/>
        </w:trPr>
        <w:tc>
          <w:tcPr>
            <w:tcW w:w="22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0"/>
              <w:rPr>
                <w:rFonts w:ascii="Arial" w:eastAsia="Arial" w:hAnsi="Arial" w:cs="Arial"/>
                <w:b/>
                <w:noProof/>
                <w:color w:val="000000"/>
                <w:sz w:val="16"/>
              </w:rPr>
            </w:pPr>
            <w:r>
              <w:rPr>
                <w:rFonts w:ascii="Arial" w:hAnsi="Arial"/>
                <w:b/>
                <w:noProof/>
                <w:color w:val="000000"/>
                <w:sz w:val="16"/>
              </w:rPr>
              <w:t>Struktūrizuoto ūkio subjekto tipas</w:t>
            </w:r>
          </w:p>
        </w:tc>
        <w:tc>
          <w:tcPr>
            <w:tcW w:w="22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0"/>
              <w:rPr>
                <w:rFonts w:ascii="Arial" w:eastAsia="Arial" w:hAnsi="Arial" w:cs="Arial"/>
                <w:b/>
                <w:noProof/>
                <w:color w:val="000000"/>
                <w:sz w:val="16"/>
              </w:rPr>
            </w:pPr>
            <w:r>
              <w:rPr>
                <w:rFonts w:ascii="Arial" w:hAnsi="Arial"/>
                <w:b/>
                <w:noProof/>
                <w:color w:val="000000"/>
                <w:sz w:val="16"/>
              </w:rPr>
              <w:t>Antraštinė dalis</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0"/>
              <w:jc w:val="right"/>
              <w:rPr>
                <w:rFonts w:ascii="Arial" w:eastAsia="Arial" w:hAnsi="Arial" w:cs="Arial"/>
                <w:b/>
                <w:noProof/>
                <w:color w:val="000000"/>
                <w:sz w:val="16"/>
              </w:rPr>
            </w:pPr>
            <w:r>
              <w:rPr>
                <w:rFonts w:ascii="Arial" w:hAnsi="Arial"/>
                <w:b/>
                <w:noProof/>
                <w:color w:val="000000"/>
                <w:sz w:val="16"/>
              </w:rPr>
              <w:t>Balansinė vertė 2019 m. gruodžio 31 d.</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0"/>
              <w:jc w:val="right"/>
              <w:rPr>
                <w:rFonts w:ascii="Arial" w:eastAsia="Arial" w:hAnsi="Arial" w:cs="Arial"/>
                <w:b/>
                <w:noProof/>
                <w:color w:val="000000"/>
                <w:sz w:val="16"/>
              </w:rPr>
            </w:pPr>
            <w:r>
              <w:rPr>
                <w:rFonts w:ascii="Arial" w:hAnsi="Arial"/>
                <w:b/>
                <w:noProof/>
                <w:color w:val="000000"/>
                <w:sz w:val="16"/>
              </w:rPr>
              <w:t>Balansinė vertė 2018 m. gruodžio 31 d.</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0"/>
              <w:jc w:val="right"/>
              <w:rPr>
                <w:rFonts w:ascii="Arial" w:eastAsia="Arial" w:hAnsi="Arial" w:cs="Arial"/>
                <w:b/>
                <w:noProof/>
                <w:color w:val="000000"/>
                <w:sz w:val="16"/>
              </w:rPr>
            </w:pPr>
            <w:r>
              <w:rPr>
                <w:rFonts w:ascii="Arial" w:hAnsi="Arial"/>
                <w:b/>
                <w:noProof/>
                <w:color w:val="000000"/>
                <w:sz w:val="16"/>
              </w:rPr>
              <w:t>Didžiausia nuostolių rizika 2019 12 31</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0"/>
              <w:jc w:val="right"/>
              <w:rPr>
                <w:rFonts w:ascii="Arial" w:eastAsia="Arial" w:hAnsi="Arial" w:cs="Arial"/>
                <w:b/>
                <w:noProof/>
                <w:color w:val="000000"/>
                <w:sz w:val="16"/>
              </w:rPr>
            </w:pPr>
            <w:r>
              <w:rPr>
                <w:rFonts w:ascii="Arial" w:hAnsi="Arial"/>
                <w:b/>
                <w:noProof/>
                <w:color w:val="000000"/>
                <w:sz w:val="16"/>
              </w:rPr>
              <w:t>Didžiausia nuostolių rizika 2018 12 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150"/>
              <w:rPr>
                <w:rFonts w:ascii="Arial" w:eastAsia="Arial" w:hAnsi="Arial" w:cs="Arial"/>
                <w:noProof/>
                <w:color w:val="000000"/>
                <w:sz w:val="16"/>
              </w:rPr>
            </w:pPr>
            <w:r>
              <w:rPr>
                <w:rFonts w:ascii="Arial" w:hAnsi="Arial"/>
                <w:noProof/>
                <w:color w:val="000000"/>
                <w:sz w:val="16"/>
              </w:rPr>
              <w:t>Rizikos kapitalo fondai</w:t>
            </w:r>
          </w:p>
        </w:tc>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150"/>
              <w:rPr>
                <w:rFonts w:ascii="Arial" w:eastAsia="Arial" w:hAnsi="Arial" w:cs="Arial"/>
                <w:noProof/>
                <w:color w:val="000000"/>
                <w:sz w:val="16"/>
              </w:rPr>
            </w:pPr>
            <w:r>
              <w:rPr>
                <w:rFonts w:ascii="Arial" w:hAnsi="Arial"/>
                <w:noProof/>
                <w:color w:val="000000"/>
                <w:sz w:val="16"/>
              </w:rPr>
              <w:t>Akcijos ir kiti kintamo pelningumo vertybiniai popieriai</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150"/>
              <w:jc w:val="right"/>
              <w:rPr>
                <w:rFonts w:ascii="Arial" w:eastAsia="Arial" w:hAnsi="Arial" w:cs="Arial"/>
                <w:noProof/>
                <w:color w:val="000000"/>
                <w:sz w:val="16"/>
              </w:rPr>
            </w:pPr>
            <w:r>
              <w:rPr>
                <w:rFonts w:ascii="Arial" w:hAnsi="Arial"/>
                <w:noProof/>
                <w:color w:val="000000"/>
                <w:sz w:val="16"/>
              </w:rPr>
              <w:t>504 332</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150"/>
              <w:jc w:val="right"/>
              <w:rPr>
                <w:rFonts w:ascii="Arial" w:eastAsia="Arial" w:hAnsi="Arial" w:cs="Arial"/>
                <w:noProof/>
                <w:color w:val="000000"/>
                <w:sz w:val="16"/>
              </w:rPr>
            </w:pPr>
            <w:r>
              <w:rPr>
                <w:rFonts w:ascii="Arial" w:hAnsi="Arial"/>
                <w:noProof/>
                <w:color w:val="000000"/>
                <w:sz w:val="16"/>
              </w:rPr>
              <w:t>467 152</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150"/>
              <w:jc w:val="right"/>
              <w:rPr>
                <w:rFonts w:ascii="Arial" w:eastAsia="Arial" w:hAnsi="Arial" w:cs="Arial"/>
                <w:noProof/>
                <w:color w:val="000000"/>
                <w:sz w:val="16"/>
              </w:rPr>
            </w:pPr>
            <w:r>
              <w:rPr>
                <w:rFonts w:ascii="Arial" w:hAnsi="Arial"/>
                <w:noProof/>
                <w:color w:val="000000"/>
                <w:sz w:val="16"/>
              </w:rPr>
              <w:t>834 955</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150"/>
              <w:jc w:val="right"/>
              <w:rPr>
                <w:rFonts w:ascii="Arial" w:eastAsia="Arial" w:hAnsi="Arial" w:cs="Arial"/>
                <w:noProof/>
                <w:color w:val="000000"/>
                <w:sz w:val="16"/>
              </w:rPr>
            </w:pPr>
            <w:r>
              <w:rPr>
                <w:rFonts w:ascii="Arial" w:hAnsi="Arial"/>
                <w:noProof/>
                <w:color w:val="000000"/>
                <w:sz w:val="16"/>
              </w:rPr>
              <w:t>797 775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295" w:type="dxa"/>
            <w:tcBorders>
              <w:top w:val="nil"/>
              <w:left w:val="nil"/>
              <w:bottom w:val="nil"/>
              <w:right w:val="nil"/>
              <w:tl2br w:val="nil"/>
              <w:tr2bl w:val="nil"/>
            </w:tcBorders>
            <w:shd w:val="clear" w:color="FFFFFF" w:fill="C0C0C0"/>
            <w:tcMar>
              <w:left w:w="40" w:type="dxa"/>
              <w:right w:w="40" w:type="dxa"/>
            </w:tcMar>
            <w:vAlign w:val="center"/>
          </w:tcPr>
          <w:p>
            <w:pPr>
              <w:pStyle w:val="Normal150"/>
              <w:rPr>
                <w:rFonts w:ascii="Arial" w:eastAsia="Arial" w:hAnsi="Arial" w:cs="Arial"/>
                <w:b/>
                <w:noProof/>
                <w:color w:val="000000"/>
                <w:sz w:val="16"/>
              </w:rPr>
            </w:pPr>
            <w:r>
              <w:rPr>
                <w:rFonts w:ascii="Arial" w:hAnsi="Arial"/>
                <w:b/>
                <w:noProof/>
                <w:color w:val="000000"/>
                <w:sz w:val="16"/>
              </w:rPr>
              <w:t>Iš viso</w:t>
            </w:r>
          </w:p>
        </w:tc>
        <w:tc>
          <w:tcPr>
            <w:tcW w:w="2295" w:type="dxa"/>
            <w:tcBorders>
              <w:top w:val="nil"/>
              <w:left w:val="nil"/>
              <w:bottom w:val="nil"/>
              <w:right w:val="nil"/>
              <w:tl2br w:val="nil"/>
              <w:tr2bl w:val="nil"/>
            </w:tcBorders>
            <w:shd w:val="clear" w:color="FFFFFF" w:fill="C0C0C0"/>
            <w:tcMar>
              <w:left w:w="0" w:type="dxa"/>
              <w:right w:w="0" w:type="dxa"/>
            </w:tcMar>
            <w:vAlign w:val="center"/>
          </w:tcPr>
          <w:p>
            <w:pPr>
              <w:pStyle w:val="Normal150"/>
              <w:rPr>
                <w:rFonts w:ascii="Arial" w:eastAsia="Arial" w:hAnsi="Arial" w:cs="Arial"/>
                <w:b/>
                <w:noProof/>
                <w:color w:val="000000"/>
                <w:sz w:val="16"/>
              </w:rPr>
            </w:pP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150"/>
              <w:jc w:val="right"/>
              <w:rPr>
                <w:rFonts w:ascii="Arial" w:eastAsia="Arial" w:hAnsi="Arial" w:cs="Arial"/>
                <w:b/>
                <w:noProof/>
                <w:color w:val="000000"/>
                <w:sz w:val="16"/>
              </w:rPr>
            </w:pPr>
            <w:r>
              <w:rPr>
                <w:rFonts w:ascii="Arial" w:hAnsi="Arial"/>
                <w:b/>
                <w:noProof/>
                <w:color w:val="000000"/>
                <w:sz w:val="16"/>
              </w:rPr>
              <w:t>504 332</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150"/>
              <w:jc w:val="right"/>
              <w:rPr>
                <w:rFonts w:ascii="Arial" w:eastAsia="Arial" w:hAnsi="Arial" w:cs="Arial"/>
                <w:b/>
                <w:noProof/>
                <w:color w:val="000000"/>
                <w:sz w:val="16"/>
              </w:rPr>
            </w:pPr>
            <w:r>
              <w:rPr>
                <w:rFonts w:ascii="Arial" w:hAnsi="Arial"/>
                <w:b/>
                <w:noProof/>
                <w:color w:val="000000"/>
                <w:sz w:val="16"/>
              </w:rPr>
              <w:t>467 152</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150"/>
              <w:jc w:val="right"/>
              <w:rPr>
                <w:rFonts w:ascii="Arial" w:eastAsia="Arial" w:hAnsi="Arial" w:cs="Arial"/>
                <w:b/>
                <w:noProof/>
                <w:color w:val="000000"/>
                <w:sz w:val="16"/>
              </w:rPr>
            </w:pPr>
            <w:r>
              <w:rPr>
                <w:rFonts w:ascii="Arial" w:hAnsi="Arial"/>
                <w:b/>
                <w:noProof/>
                <w:color w:val="000000"/>
                <w:sz w:val="16"/>
              </w:rPr>
              <w:t>834 955</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150"/>
              <w:jc w:val="right"/>
              <w:rPr>
                <w:rFonts w:ascii="Arial" w:eastAsia="Arial" w:hAnsi="Arial" w:cs="Arial"/>
                <w:b/>
                <w:noProof/>
                <w:color w:val="000000"/>
                <w:sz w:val="16"/>
              </w:rPr>
            </w:pPr>
            <w:r>
              <w:rPr>
                <w:rFonts w:ascii="Arial" w:hAnsi="Arial"/>
                <w:b/>
                <w:noProof/>
                <w:color w:val="000000"/>
                <w:sz w:val="16"/>
              </w:rPr>
              <w:t>797 775</w:t>
            </w:r>
          </w:p>
        </w:tc>
      </w:tr>
    </w:tbl>
    <w:p>
      <w:pPr>
        <w:pBdr>
          <w:top w:val="nil"/>
          <w:left w:val="nil"/>
          <w:bottom w:val="nil"/>
          <w:right w:val="nil"/>
          <w:between w:val="nil"/>
          <w:bar w:val="nil"/>
        </w:pBdr>
        <w:spacing w:after="200" w:line="276" w:lineRule="auto"/>
        <w:rPr>
          <w:rFonts w:ascii="Calibri" w:eastAsia="Calibri" w:hAnsi="Calibri" w:cs="Arial"/>
          <w:noProof/>
          <w:sz w:val="22"/>
          <w:szCs w:val="22"/>
          <w:bdr w:val="nil"/>
        </w:rPr>
      </w:pPr>
      <w:r>
        <w:rPr>
          <w:rFonts w:ascii="Calibri" w:hAnsi="Calibri"/>
          <w:noProof/>
          <w:sz w:val="22"/>
          <w:szCs w:val="22"/>
          <w:bdr w:val="nil"/>
        </w:rPr>
        <w:br/>
      </w:r>
      <w:r>
        <w:rPr>
          <w:rFonts w:ascii="Calibri" w:hAnsi="Calibri"/>
          <w:noProof/>
          <w:sz w:val="22"/>
          <w:szCs w:val="22"/>
          <w:bdr w:val="nil"/>
        </w:rPr>
        <w:br w:type="page"/>
      </w:r>
    </w:p>
    <w:p>
      <w:pPr>
        <w:pStyle w:val="Notes"/>
        <w:pBdr>
          <w:top w:val="nil"/>
          <w:left w:val="nil"/>
          <w:bottom w:val="nil"/>
          <w:right w:val="nil"/>
          <w:between w:val="nil"/>
          <w:bar w:val="nil"/>
        </w:pBdr>
        <w:rPr>
          <w:rFonts w:eastAsia="Calibri"/>
          <w:noProof/>
          <w:szCs w:val="20"/>
          <w:bdr w:val="nil"/>
        </w:rPr>
      </w:pPr>
      <w:r>
        <w:rPr>
          <w:noProof/>
          <w:szCs w:val="20"/>
          <w:bdr w:val="nil"/>
        </w:rPr>
        <w:t>24.</w:t>
      </w:r>
      <w:r>
        <w:rPr>
          <w:noProof/>
          <w:szCs w:val="20"/>
          <w:bdr w:val="nil"/>
        </w:rPr>
        <w:tab/>
        <w:t>Poveikio finansavimo priemonių paketas (tūkst. EUR)</w:t>
      </w:r>
    </w:p>
    <w:p>
      <w:pPr>
        <w:pBdr>
          <w:top w:val="nil"/>
          <w:left w:val="nil"/>
          <w:bottom w:val="nil"/>
          <w:right w:val="nil"/>
          <w:between w:val="nil"/>
          <w:bar w:val="nil"/>
        </w:pBdr>
        <w:spacing w:before="60" w:after="60"/>
        <w:jc w:val="both"/>
        <w:rPr>
          <w:rFonts w:ascii="Calibri" w:eastAsia="Calibri" w:hAnsi="Calibri" w:cs="Arial"/>
          <w:noProof/>
          <w:sz w:val="16"/>
          <w:szCs w:val="16"/>
          <w:bdr w:val="nil"/>
          <w:lang w:eastAsia="en-US"/>
        </w:rPr>
      </w:pPr>
    </w:p>
    <w:p>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noProof/>
          <w:sz w:val="16"/>
          <w:szCs w:val="16"/>
          <w:bdr w:val="nil"/>
        </w:rPr>
        <w:t xml:space="preserve">2013 m. birželio mėn. bendrame AKR ir ES ministrų tarybos susitikime patvirtintas naujas 11-ojo Europos plėtros fondo (EPF), apimančio 2014–2020 m. laikotarpį, finansinis protokolas. </w:t>
      </w:r>
    </w:p>
    <w:p>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noProof/>
          <w:sz w:val="16"/>
          <w:szCs w:val="16"/>
          <w:bdr w:val="nil"/>
        </w:rPr>
        <w:t xml:space="preserve">Buvo susitarta dėl 500 mln. EUR skyrimo naujai investicinei priemonei – poveikio finansavimo priemonių paketui (angl. </w:t>
      </w:r>
      <w:r>
        <w:rPr>
          <w:rFonts w:ascii="Arial" w:hAnsi="Arial"/>
          <w:i/>
          <w:iCs/>
          <w:noProof/>
          <w:sz w:val="16"/>
          <w:szCs w:val="16"/>
          <w:bdr w:val="nil"/>
        </w:rPr>
        <w:t>Impact Financing Envelope</w:t>
      </w:r>
      <w:r>
        <w:rPr>
          <w:rFonts w:ascii="Arial" w:hAnsi="Arial"/>
          <w:noProof/>
          <w:sz w:val="16"/>
          <w:szCs w:val="16"/>
          <w:bdr w:val="nil"/>
        </w:rPr>
        <w:t>, IFE), kurio tikslas – remti projektus, galinčius turėti ypač didelį poveikį vystymuisi, kartu prisiimant didesnę tokioms investicijoms būdingą riziką. Šis paketas suteiks naujų galimybių pasinaudoti Priemone ir didinti paskolas privačiajam sektoriui, investuojant į šias priemones:</w:t>
      </w:r>
    </w:p>
    <w:p>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b/>
          <w:noProof/>
          <w:sz w:val="16"/>
          <w:szCs w:val="16"/>
          <w:bdr w:val="nil"/>
        </w:rPr>
        <w:t>Socialinio poveikio kapitalo fondus</w:t>
      </w:r>
      <w:r>
        <w:rPr>
          <w:rFonts w:ascii="Arial" w:hAnsi="Arial"/>
          <w:noProof/>
          <w:sz w:val="16"/>
          <w:szCs w:val="16"/>
          <w:bdr w:val="nil"/>
        </w:rPr>
        <w:t>, kuriuos palaiko nauji privataus kapitalo fondų valdytojai, socialinių ir aplinkos problemų sprendimą laikantys savo fondų investavimo strategijos pagrindu, tačiau ir toliau siekiantys fondų ir bendrovių, į kurias investuojama, tvarumo.</w:t>
      </w:r>
    </w:p>
    <w:p>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b/>
          <w:noProof/>
          <w:sz w:val="16"/>
          <w:szCs w:val="16"/>
          <w:bdr w:val="nil"/>
        </w:rPr>
        <w:t>Paskolas finansų tarpininkams</w:t>
      </w:r>
      <w:r>
        <w:rPr>
          <w:rFonts w:ascii="Arial" w:hAnsi="Arial"/>
          <w:noProof/>
          <w:sz w:val="16"/>
          <w:szCs w:val="16"/>
          <w:bdr w:val="nil"/>
        </w:rPr>
        <w:t xml:space="preserve"> (pvz., mikrofinansų įstaigoms, vietos bankams ir kredito unijoms), veikiantiems AKR šalyse, kuriose EIB, remdamasis kredito rizikos gairėmis, negali teikti finansavimo (visų pirma, vietos valiuta) pvz., dėl didelės šalies rizikos, valiutos kurso svyravimo arba kainų nustatymo lyginamųjų kriterijų nebuvimo. Pagrindinis tokių paskolų tikslas – finansuoti projektus, kuriais daromas didelis poveikis plėtrai, visų pirma, susijusius su parama labai mažoms ir mažoms įmonėms ir žemės ūkiu, kuriems paprastai negali būti taikomas finansavimas pagal IP.</w:t>
      </w:r>
    </w:p>
    <w:p>
      <w:pPr>
        <w:pBdr>
          <w:top w:val="nil"/>
          <w:left w:val="nil"/>
          <w:bottom w:val="nil"/>
          <w:right w:val="nil"/>
          <w:between w:val="nil"/>
          <w:bar w:val="nil"/>
        </w:pBdr>
        <w:spacing w:before="60" w:after="60"/>
        <w:jc w:val="both"/>
        <w:rPr>
          <w:rFonts w:ascii="Arial" w:eastAsia="Calibri" w:hAnsi="Arial" w:cs="Arial"/>
          <w:b/>
          <w:noProof/>
          <w:sz w:val="16"/>
          <w:szCs w:val="16"/>
          <w:bdr w:val="nil"/>
          <w:lang w:eastAsia="en-US"/>
        </w:rPr>
      </w:pPr>
    </w:p>
    <w:p>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b/>
          <w:noProof/>
          <w:sz w:val="16"/>
          <w:szCs w:val="16"/>
          <w:bdr w:val="nil"/>
        </w:rPr>
        <w:t>Rizikos pasidalijimą lengvinančias priemones</w:t>
      </w:r>
      <w:r>
        <w:rPr>
          <w:rFonts w:ascii="Arial" w:hAnsi="Arial"/>
          <w:noProof/>
          <w:sz w:val="16"/>
          <w:szCs w:val="16"/>
          <w:bdr w:val="nil"/>
        </w:rPr>
        <w:t>, kurios taikomos kaip pirmųjų nuostolių garantijos, sudarančios palankesnes sąlygas EIB rizikos dalijimosi su vietos finansų tarpininkais (daugiausia komerciniais bankais) operacijoms. Ši priemonė taikoma MVĮ ir smulkiems projektams, kurie šiuo metu tokia pagalba negali naudotis ir kurie atitinka poveikio finansavimo kriterijus, tais atvejais, kai nustatoma rinkos spraga, susijusi su MVĮ ir (arba) smulkių projektų galimybe gauti finansavimą. Pirmųjų nuostolių garantijos priemonė veiks kaip priešpriešinė garantija, taikoma EIB pagal investicinę priemonę ir kitų tarptautinių finansų įstaigų bei vystymosi finansų įstaigų finansuotoms pirmaeilės garantijos dalims, taip užtikrinant didelį sverto poveikį.</w:t>
      </w:r>
    </w:p>
    <w:p>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b/>
          <w:noProof/>
          <w:sz w:val="16"/>
          <w:szCs w:val="16"/>
          <w:bdr w:val="nil"/>
        </w:rPr>
        <w:t>Tiesioginiam finansavimui</w:t>
      </w:r>
      <w:r>
        <w:rPr>
          <w:rFonts w:ascii="Arial" w:hAnsi="Arial"/>
          <w:noProof/>
          <w:sz w:val="16"/>
          <w:szCs w:val="16"/>
          <w:bdr w:val="nil"/>
        </w:rPr>
        <w:t>, taikant skolos ar nuosavo kapitalo priemones projektams, kuriuos įgyvendina patikimi ir patyrę vykdytojai ir kurie turi didelį poveikį plėtrai; tačiau įgyvendinant šiuos projektus kyla didesnė nuostolių ir sunkumų susigrąžinti investicijas rizika (nuosavo kapitalo tipo rizika su didesniais nei įprasta tikėtinais nuostoliais). Pagal šią priemonę EIB taiko griežtus atrankos ir tinkamumo finansuoti kriterijus, nes šie projektai, nepaisant didelio jų poveikio plėtrai, negalėtų atitikti priimtinų finansavimo kriterijų (pvz., mažai tikėtina galimybė atgauti investuotas lėšas arba kompensuoti nuostolius palūkanomis ir (arba) nuosavo kapitalo grąža).</w:t>
      </w:r>
    </w:p>
    <w:p>
      <w:pPr>
        <w:pBdr>
          <w:top w:val="nil"/>
          <w:left w:val="nil"/>
          <w:bottom w:val="nil"/>
          <w:right w:val="nil"/>
          <w:between w:val="nil"/>
          <w:bar w:val="nil"/>
        </w:pBdr>
        <w:tabs>
          <w:tab w:val="left" w:pos="426"/>
        </w:tabs>
        <w:spacing w:before="60" w:after="60"/>
        <w:jc w:val="both"/>
        <w:rPr>
          <w:rFonts w:eastAsia="Calibri" w:cs="Arial"/>
          <w:noProof/>
          <w:sz w:val="16"/>
          <w:szCs w:val="16"/>
          <w:bdr w:val="nil"/>
          <w:lang w:eastAsia="en-US"/>
        </w:rPr>
      </w:pPr>
    </w:p>
    <w:p>
      <w:pPr>
        <w:pBdr>
          <w:top w:val="nil"/>
          <w:left w:val="nil"/>
          <w:bottom w:val="nil"/>
          <w:right w:val="nil"/>
          <w:between w:val="nil"/>
          <w:bar w:val="nil"/>
        </w:pBdr>
        <w:tabs>
          <w:tab w:val="left" w:pos="0"/>
        </w:tabs>
        <w:spacing w:before="60" w:after="60"/>
        <w:jc w:val="both"/>
        <w:rPr>
          <w:rFonts w:eastAsia="Calibri" w:cs="Arial"/>
          <w:noProof/>
          <w:sz w:val="16"/>
          <w:szCs w:val="16"/>
          <w:bdr w:val="nil"/>
        </w:rPr>
      </w:pPr>
      <w:r>
        <w:rPr>
          <w:rFonts w:ascii="Arial" w:hAnsi="Arial"/>
          <w:noProof/>
          <w:sz w:val="16"/>
          <w:szCs w:val="16"/>
          <w:bdr w:val="nil"/>
        </w:rPr>
        <w:t>Poveikio finansavimo priemonių paketas sudaro sąlygas vykdyti veiklą naujuose sektoriuose, pavyzdžiui, sveikatos apsaugos ir švietimo, žemės ūkio ir aprūpinimo maistu, ir plėtoti naujas ir novatoriškas rizikos pasidalijimo priemones.</w:t>
      </w:r>
    </w:p>
    <w:p>
      <w:pPr>
        <w:pBdr>
          <w:top w:val="nil"/>
          <w:left w:val="nil"/>
          <w:bottom w:val="nil"/>
          <w:right w:val="nil"/>
          <w:between w:val="nil"/>
          <w:bar w:val="nil"/>
        </w:pBdr>
        <w:tabs>
          <w:tab w:val="left" w:pos="0"/>
        </w:tabs>
        <w:spacing w:before="60" w:after="60"/>
        <w:jc w:val="both"/>
        <w:rPr>
          <w:rFonts w:eastAsia="Calibri" w:cs="Arial"/>
          <w:noProof/>
          <w:sz w:val="16"/>
          <w:szCs w:val="16"/>
          <w:bdr w:val="nil"/>
          <w:lang w:eastAsia="en-US"/>
        </w:rPr>
      </w:pPr>
    </w:p>
    <w:p>
      <w:pPr>
        <w:pBdr>
          <w:top w:val="nil"/>
          <w:left w:val="nil"/>
          <w:bottom w:val="nil"/>
          <w:right w:val="nil"/>
          <w:between w:val="nil"/>
          <w:bar w:val="nil"/>
        </w:pBdr>
        <w:tabs>
          <w:tab w:val="left" w:pos="0"/>
        </w:tabs>
        <w:spacing w:before="60" w:after="60"/>
        <w:jc w:val="both"/>
        <w:rPr>
          <w:rFonts w:ascii="Arial" w:eastAsia="Calibri" w:hAnsi="Arial" w:cs="Arial"/>
          <w:noProof/>
          <w:sz w:val="16"/>
          <w:szCs w:val="16"/>
          <w:bdr w:val="nil"/>
        </w:rPr>
        <w:sectPr>
          <w:headerReference w:type="even" r:id="rId413"/>
          <w:headerReference w:type="default" r:id="rId414"/>
          <w:footerReference w:type="even" r:id="rId415"/>
          <w:footerReference w:type="default" r:id="rId416"/>
          <w:headerReference w:type="first" r:id="rId417"/>
          <w:footerReference w:type="first" r:id="rId418"/>
          <w:type w:val="continuous"/>
          <w:pgSz w:w="11907" w:h="16840" w:code="9"/>
          <w:pgMar w:top="765" w:right="1134" w:bottom="765" w:left="1134" w:header="709" w:footer="709" w:gutter="0"/>
          <w:pgBorders>
            <w:top w:val="nil"/>
            <w:left w:val="nil"/>
            <w:bottom w:val="nil"/>
            <w:right w:val="nil"/>
          </w:pgBorders>
          <w:cols w:space="720"/>
          <w:docGrid w:linePitch="360"/>
        </w:sectPr>
      </w:pPr>
      <w:r>
        <w:rPr>
          <w:rFonts w:ascii="Arial" w:hAnsi="Arial"/>
          <w:noProof/>
          <w:sz w:val="16"/>
          <w:szCs w:val="16"/>
          <w:bdr w:val="nil"/>
        </w:rPr>
        <w:t>Finansų ir apskaitos požiūriu poveikio finansavimo priemonių paketas yra IP portfelio dalis ir įtraukiamas į bendras IP metines finansines ataskaitas.</w:t>
      </w:r>
    </w:p>
    <w:p>
      <w:pPr>
        <w:pStyle w:val="Notes"/>
        <w:pBdr>
          <w:top w:val="nil"/>
          <w:left w:val="nil"/>
          <w:bottom w:val="nil"/>
          <w:right w:val="nil"/>
          <w:between w:val="nil"/>
          <w:bar w:val="nil"/>
        </w:pBdr>
        <w:rPr>
          <w:rFonts w:eastAsia="Calibri" w:cs="Arial"/>
          <w:b w:val="0"/>
          <w:noProof/>
          <w:sz w:val="16"/>
          <w:szCs w:val="16"/>
          <w:bdr w:val="nil"/>
        </w:rPr>
      </w:pPr>
      <w:r>
        <w:rPr>
          <w:b w:val="0"/>
          <w:noProof/>
          <w:sz w:val="16"/>
          <w:szCs w:val="16"/>
          <w:bdr w:val="nil"/>
        </w:rPr>
        <w:t>Šioje lentelėje pagal turto rūšis pateikiamos balansinės vertės ir skirtos, bet neišmokėtos sumos:</w:t>
      </w:r>
    </w:p>
    <w:tbl>
      <w:tblPr>
        <w:tblStyle w:val="CDMRange222"/>
        <w:tblW w:w="9679" w:type="dxa"/>
        <w:tblLayout w:type="fixed"/>
        <w:tblLook w:val="0600" w:firstRow="0" w:lastRow="0" w:firstColumn="0" w:lastColumn="0" w:noHBand="1" w:noVBand="1"/>
      </w:tblPr>
      <w:tblGrid>
        <w:gridCol w:w="1474"/>
        <w:gridCol w:w="1495"/>
        <w:gridCol w:w="1324"/>
        <w:gridCol w:w="1012"/>
        <w:gridCol w:w="126"/>
        <w:gridCol w:w="893"/>
        <w:gridCol w:w="237"/>
        <w:gridCol w:w="718"/>
        <w:gridCol w:w="132"/>
        <w:gridCol w:w="621"/>
        <w:gridCol w:w="456"/>
        <w:gridCol w:w="340"/>
        <w:gridCol w:w="851"/>
      </w:tblGrid>
      <w:tr>
        <w:trPr>
          <w:trHeight w:val="867"/>
        </w:trPr>
        <w:tc>
          <w:tcPr>
            <w:tcW w:w="1474"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rPr>
                <w:rFonts w:ascii="Arial" w:eastAsia="Arial" w:hAnsi="Arial" w:cs="Arial"/>
                <w:b/>
                <w:noProof/>
                <w:color w:val="000000"/>
                <w:sz w:val="16"/>
              </w:rPr>
            </w:pPr>
            <w:r>
              <w:rPr>
                <w:rFonts w:ascii="Arial" w:hAnsi="Arial"/>
                <w:b/>
                <w:noProof/>
                <w:color w:val="000000"/>
                <w:sz w:val="16"/>
              </w:rPr>
              <w:t>Poveikio finansavimo priemonių paketo investicijų rūšis</w:t>
            </w:r>
          </w:p>
        </w:tc>
        <w:tc>
          <w:tcPr>
            <w:tcW w:w="14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rPr>
                <w:rFonts w:ascii="Arial" w:eastAsia="Arial" w:hAnsi="Arial" w:cs="Arial"/>
                <w:b/>
                <w:noProof/>
                <w:color w:val="000000"/>
                <w:sz w:val="16"/>
              </w:rPr>
            </w:pPr>
            <w:r>
              <w:rPr>
                <w:rFonts w:ascii="Arial" w:hAnsi="Arial"/>
                <w:b/>
                <w:noProof/>
                <w:color w:val="000000"/>
                <w:sz w:val="16"/>
              </w:rPr>
              <w:t>Antraštinė dalis</w:t>
            </w:r>
          </w:p>
        </w:tc>
        <w:tc>
          <w:tcPr>
            <w:tcW w:w="1324"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rPr>
                <w:rFonts w:ascii="Arial" w:eastAsia="Arial" w:hAnsi="Arial" w:cs="Arial"/>
                <w:b/>
                <w:noProof/>
                <w:color w:val="000000"/>
                <w:sz w:val="16"/>
              </w:rPr>
            </w:pPr>
            <w:r>
              <w:rPr>
                <w:rFonts w:ascii="Arial" w:hAnsi="Arial"/>
                <w:b/>
                <w:noProof/>
                <w:color w:val="000000"/>
                <w:sz w:val="16"/>
              </w:rPr>
              <w:t>Vertinimas</w:t>
            </w:r>
          </w:p>
        </w:tc>
        <w:tc>
          <w:tcPr>
            <w:tcW w:w="1138"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Bendroji balansinė vertė 2019 m. gruodžio 31 d.</w:t>
            </w:r>
          </w:p>
        </w:tc>
        <w:tc>
          <w:tcPr>
            <w:tcW w:w="1130"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Atidėjinys nuostoliams / koreguota tikroji vertė 2019 m. gruodžio 31 d.</w:t>
            </w:r>
          </w:p>
        </w:tc>
        <w:tc>
          <w:tcPr>
            <w:tcW w:w="850"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Balansinė vertė 2019 m. gruodžio 31 d.</w:t>
            </w:r>
          </w:p>
        </w:tc>
        <w:tc>
          <w:tcPr>
            <w:tcW w:w="1077"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Neišmokėta suma 2019 m. gruodžio 31 d.</w:t>
            </w:r>
          </w:p>
        </w:tc>
        <w:tc>
          <w:tcPr>
            <w:tcW w:w="1191"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Nebalansinė tikėtinų kredito nuostolių koreguota suma 2019 m. gruodžio 31 d.</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3"/>
        </w:trPr>
        <w:tc>
          <w:tcPr>
            <w:tcW w:w="1474"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Socialinio poveikio kapitalo fondas</w:t>
            </w:r>
          </w:p>
        </w:tc>
        <w:tc>
          <w:tcPr>
            <w:tcW w:w="149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Akcijos ir kiti kintamo pelningumo vertybiniai popieriai</w:t>
            </w:r>
          </w:p>
        </w:tc>
        <w:tc>
          <w:tcPr>
            <w:tcW w:w="1324"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Tikroji vertė, kurios pokyčiai pripažįstami pelnu arba nuostoliais</w:t>
            </w:r>
          </w:p>
        </w:tc>
        <w:tc>
          <w:tcPr>
            <w:tcW w:w="1138"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33 417</w:t>
            </w:r>
          </w:p>
        </w:tc>
        <w:tc>
          <w:tcPr>
            <w:tcW w:w="1130"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−3 175</w:t>
            </w:r>
          </w:p>
        </w:tc>
        <w:tc>
          <w:tcPr>
            <w:tcW w:w="850"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30 242</w:t>
            </w:r>
          </w:p>
        </w:tc>
        <w:tc>
          <w:tcPr>
            <w:tcW w:w="1077"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66 840</w:t>
            </w:r>
          </w:p>
        </w:tc>
        <w:tc>
          <w:tcPr>
            <w:tcW w:w="1191" w:type="dxa"/>
            <w:gridSpan w:val="2"/>
            <w:tcBorders>
              <w:top w:val="single" w:sz="4" w:space="0" w:color="000000"/>
              <w:left w:val="nil"/>
              <w:bottom w:val="nil"/>
              <w:right w:val="nil"/>
              <w:tl2br w:val="nil"/>
              <w:tr2bl w:val="nil"/>
            </w:tcBorders>
            <w:shd w:val="clear" w:color="auto" w:fill="auto"/>
            <w:tcMar>
              <w:left w:w="40" w:type="dxa"/>
              <w:right w:w="10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5"/>
        </w:trPr>
        <w:tc>
          <w:tcPr>
            <w:tcW w:w="1474"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Paskolos finansų tarpininkams</w:t>
            </w:r>
          </w:p>
        </w:tc>
        <w:tc>
          <w:tcPr>
            <w:tcW w:w="1495"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 xml:space="preserve">Paskolos ir išankstiniai mokėjimai </w:t>
            </w:r>
          </w:p>
        </w:tc>
        <w:tc>
          <w:tcPr>
            <w:tcW w:w="1324"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Amortizuota savikaina</w:t>
            </w:r>
          </w:p>
        </w:tc>
        <w:tc>
          <w:tcPr>
            <w:tcW w:w="1138"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22 347</w:t>
            </w:r>
          </w:p>
        </w:tc>
        <w:tc>
          <w:tcPr>
            <w:tcW w:w="1130"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−354</w:t>
            </w:r>
          </w:p>
        </w:tc>
        <w:tc>
          <w:tcPr>
            <w:tcW w:w="850"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21 993</w:t>
            </w:r>
          </w:p>
        </w:tc>
        <w:tc>
          <w:tcPr>
            <w:tcW w:w="1077"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42 400</w:t>
            </w:r>
          </w:p>
        </w:tc>
        <w:tc>
          <w:tcPr>
            <w:tcW w:w="1191"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−1 251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3"/>
        </w:trPr>
        <w:tc>
          <w:tcPr>
            <w:tcW w:w="1474"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Rizikos pasidalijimą lengvinančios priemonės</w:t>
            </w:r>
          </w:p>
        </w:tc>
        <w:tc>
          <w:tcPr>
            <w:tcW w:w="1495"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Išduotos garantijos</w:t>
            </w:r>
          </w:p>
        </w:tc>
        <w:tc>
          <w:tcPr>
            <w:tcW w:w="1324"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Metodas „kuri didesnė“*</w:t>
            </w:r>
          </w:p>
        </w:tc>
        <w:tc>
          <w:tcPr>
            <w:tcW w:w="1138" w:type="dxa"/>
            <w:gridSpan w:val="2"/>
            <w:tcBorders>
              <w:top w:val="nil"/>
              <w:left w:val="nil"/>
              <w:bottom w:val="nil"/>
              <w:right w:val="nil"/>
              <w:tl2br w:val="nil"/>
              <w:tr2bl w:val="nil"/>
            </w:tcBorders>
            <w:shd w:val="clear" w:color="auto" w:fill="auto"/>
            <w:tcMar>
              <w:left w:w="40" w:type="dxa"/>
              <w:right w:w="10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w:t>
            </w:r>
          </w:p>
        </w:tc>
        <w:tc>
          <w:tcPr>
            <w:tcW w:w="1130" w:type="dxa"/>
            <w:gridSpan w:val="2"/>
            <w:tcBorders>
              <w:top w:val="nil"/>
              <w:left w:val="nil"/>
              <w:bottom w:val="nil"/>
              <w:right w:val="nil"/>
              <w:tl2br w:val="nil"/>
              <w:tr2bl w:val="nil"/>
            </w:tcBorders>
            <w:shd w:val="clear" w:color="auto" w:fill="auto"/>
            <w:tcMar>
              <w:left w:w="40" w:type="dxa"/>
              <w:right w:w="10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w:t>
            </w:r>
          </w:p>
        </w:tc>
        <w:tc>
          <w:tcPr>
            <w:tcW w:w="850" w:type="dxa"/>
            <w:gridSpan w:val="2"/>
            <w:tcBorders>
              <w:top w:val="nil"/>
              <w:left w:val="nil"/>
              <w:bottom w:val="nil"/>
              <w:right w:val="nil"/>
              <w:tl2br w:val="nil"/>
              <w:tr2bl w:val="nil"/>
            </w:tcBorders>
            <w:shd w:val="clear" w:color="auto" w:fill="auto"/>
            <w:tcMar>
              <w:left w:w="40" w:type="dxa"/>
              <w:right w:w="10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w:t>
            </w:r>
          </w:p>
        </w:tc>
        <w:tc>
          <w:tcPr>
            <w:tcW w:w="1077"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47 331</w:t>
            </w:r>
          </w:p>
        </w:tc>
        <w:tc>
          <w:tcPr>
            <w:tcW w:w="1191"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3"/>
        </w:trPr>
        <w:tc>
          <w:tcPr>
            <w:tcW w:w="1474"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Tiesioginis dalyvavimas valdant kapitalą</w:t>
            </w:r>
          </w:p>
        </w:tc>
        <w:tc>
          <w:tcPr>
            <w:tcW w:w="1495"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Akcijos ir kiti kintamo pelningumo vertybiniai popieriai</w:t>
            </w:r>
          </w:p>
        </w:tc>
        <w:tc>
          <w:tcPr>
            <w:tcW w:w="1324"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Tikroji vertė, kurios pokyčiai pripažįstami pelnu arba nuostoliais</w:t>
            </w:r>
          </w:p>
        </w:tc>
        <w:tc>
          <w:tcPr>
            <w:tcW w:w="1138"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58 643</w:t>
            </w:r>
          </w:p>
        </w:tc>
        <w:tc>
          <w:tcPr>
            <w:tcW w:w="1130"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19 626</w:t>
            </w:r>
          </w:p>
        </w:tc>
        <w:tc>
          <w:tcPr>
            <w:tcW w:w="850"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78 269</w:t>
            </w:r>
          </w:p>
        </w:tc>
        <w:tc>
          <w:tcPr>
            <w:tcW w:w="1077"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14</w:t>
            </w:r>
          </w:p>
        </w:tc>
        <w:tc>
          <w:tcPr>
            <w:tcW w:w="1191" w:type="dxa"/>
            <w:gridSpan w:val="2"/>
            <w:tcBorders>
              <w:top w:val="nil"/>
              <w:left w:val="nil"/>
              <w:bottom w:val="nil"/>
              <w:right w:val="nil"/>
              <w:tl2br w:val="nil"/>
              <w:tr2bl w:val="nil"/>
            </w:tcBorders>
            <w:shd w:val="clear" w:color="auto" w:fill="auto"/>
            <w:tcMar>
              <w:left w:w="40" w:type="dxa"/>
              <w:right w:w="10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1474"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Tiesioginės skolinimo operacijos</w:t>
            </w:r>
          </w:p>
        </w:tc>
        <w:tc>
          <w:tcPr>
            <w:tcW w:w="1495"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 xml:space="preserve">Paskolos ir išankstiniai mokėjimai </w:t>
            </w:r>
          </w:p>
        </w:tc>
        <w:tc>
          <w:tcPr>
            <w:tcW w:w="1324"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Tikroji vertė, kurios pokyčiai pripažįstami pelnu arba nuostoliais</w:t>
            </w:r>
          </w:p>
        </w:tc>
        <w:tc>
          <w:tcPr>
            <w:tcW w:w="1138"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37 136</w:t>
            </w:r>
          </w:p>
        </w:tc>
        <w:tc>
          <w:tcPr>
            <w:tcW w:w="1130"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−15 156</w:t>
            </w:r>
          </w:p>
        </w:tc>
        <w:tc>
          <w:tcPr>
            <w:tcW w:w="850"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21 980</w:t>
            </w:r>
          </w:p>
        </w:tc>
        <w:tc>
          <w:tcPr>
            <w:tcW w:w="1077"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75 700</w:t>
            </w:r>
          </w:p>
        </w:tc>
        <w:tc>
          <w:tcPr>
            <w:tcW w:w="1191" w:type="dxa"/>
            <w:gridSpan w:val="2"/>
            <w:tcBorders>
              <w:top w:val="nil"/>
              <w:left w:val="nil"/>
              <w:bottom w:val="nil"/>
              <w:right w:val="nil"/>
              <w:tl2br w:val="nil"/>
              <w:tr2bl w:val="nil"/>
            </w:tcBorders>
            <w:shd w:val="clear" w:color="auto" w:fill="auto"/>
            <w:tcMar>
              <w:left w:w="40" w:type="dxa"/>
              <w:right w:w="10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1474" w:type="dxa"/>
            <w:tcBorders>
              <w:top w:val="nil"/>
              <w:left w:val="nil"/>
              <w:bottom w:val="nil"/>
              <w:right w:val="nil"/>
              <w:tl2br w:val="nil"/>
              <w:tr2bl w:val="nil"/>
            </w:tcBorders>
            <w:shd w:val="clear" w:color="FFFFFF" w:fill="C0C0C0"/>
            <w:tcMar>
              <w:left w:w="40" w:type="dxa"/>
              <w:right w:w="40" w:type="dxa"/>
            </w:tcMar>
            <w:vAlign w:val="center"/>
          </w:tcPr>
          <w:p>
            <w:pPr>
              <w:pStyle w:val="Normal151"/>
              <w:rPr>
                <w:rFonts w:ascii="Arial" w:eastAsia="Arial" w:hAnsi="Arial" w:cs="Arial"/>
                <w:b/>
                <w:noProof/>
                <w:color w:val="000000"/>
                <w:sz w:val="16"/>
              </w:rPr>
            </w:pPr>
            <w:r>
              <w:rPr>
                <w:rFonts w:ascii="Arial" w:hAnsi="Arial"/>
                <w:b/>
                <w:noProof/>
                <w:color w:val="000000"/>
                <w:sz w:val="16"/>
              </w:rPr>
              <w:t>Iš viso</w:t>
            </w:r>
          </w:p>
        </w:tc>
        <w:tc>
          <w:tcPr>
            <w:tcW w:w="1495" w:type="dxa"/>
            <w:tcBorders>
              <w:top w:val="nil"/>
              <w:left w:val="nil"/>
              <w:bottom w:val="nil"/>
              <w:right w:val="nil"/>
              <w:tl2br w:val="nil"/>
              <w:tr2bl w:val="nil"/>
            </w:tcBorders>
            <w:shd w:val="clear" w:color="FFFFFF" w:fill="C0C0C0"/>
            <w:tcMar>
              <w:left w:w="0" w:type="dxa"/>
              <w:right w:w="0" w:type="dxa"/>
            </w:tcMar>
            <w:vAlign w:val="center"/>
          </w:tcPr>
          <w:p>
            <w:pPr>
              <w:pStyle w:val="Normal151"/>
              <w:rPr>
                <w:rFonts w:ascii="Arial" w:eastAsia="Arial" w:hAnsi="Arial" w:cs="Arial"/>
                <w:b/>
                <w:noProof/>
                <w:color w:val="000000"/>
                <w:sz w:val="16"/>
              </w:rPr>
            </w:pPr>
          </w:p>
        </w:tc>
        <w:tc>
          <w:tcPr>
            <w:tcW w:w="1324" w:type="dxa"/>
            <w:tcBorders>
              <w:top w:val="nil"/>
              <w:left w:val="nil"/>
              <w:bottom w:val="nil"/>
              <w:right w:val="nil"/>
              <w:tl2br w:val="nil"/>
              <w:tr2bl w:val="nil"/>
            </w:tcBorders>
            <w:shd w:val="clear" w:color="FFFFFF" w:fill="C0C0C0"/>
            <w:tcMar>
              <w:left w:w="0" w:type="dxa"/>
              <w:right w:w="0" w:type="dxa"/>
            </w:tcMar>
            <w:vAlign w:val="center"/>
          </w:tcPr>
          <w:p>
            <w:pPr>
              <w:pStyle w:val="Normal151"/>
              <w:jc w:val="right"/>
              <w:rPr>
                <w:rFonts w:ascii="Arial" w:eastAsia="Arial" w:hAnsi="Arial" w:cs="Arial"/>
                <w:b/>
                <w:noProof/>
                <w:color w:val="000000"/>
                <w:sz w:val="16"/>
              </w:rPr>
            </w:pPr>
          </w:p>
        </w:tc>
        <w:tc>
          <w:tcPr>
            <w:tcW w:w="1138"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151 543</w:t>
            </w:r>
          </w:p>
        </w:tc>
        <w:tc>
          <w:tcPr>
            <w:tcW w:w="1130"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941</w:t>
            </w:r>
          </w:p>
        </w:tc>
        <w:tc>
          <w:tcPr>
            <w:tcW w:w="850"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152 484</w:t>
            </w:r>
          </w:p>
        </w:tc>
        <w:tc>
          <w:tcPr>
            <w:tcW w:w="1077"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232 285</w:t>
            </w:r>
          </w:p>
        </w:tc>
        <w:tc>
          <w:tcPr>
            <w:tcW w:w="1191"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−1 301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51" w:type="dxa"/>
          <w:trHeight w:hRule="exact" w:val="289"/>
        </w:trPr>
        <w:tc>
          <w:tcPr>
            <w:tcW w:w="5305" w:type="dxa"/>
            <w:gridSpan w:val="4"/>
            <w:tcBorders>
              <w:top w:val="nil"/>
              <w:left w:val="nil"/>
              <w:bottom w:val="nil"/>
              <w:right w:val="nil"/>
              <w:tl2br w:val="nil"/>
              <w:tr2bl w:val="nil"/>
            </w:tcBorders>
            <w:shd w:val="clear" w:color="auto" w:fill="auto"/>
            <w:noWrap/>
            <w:tcMar>
              <w:left w:w="40" w:type="dxa"/>
              <w:right w:w="40" w:type="dxa"/>
            </w:tcMar>
          </w:tcPr>
          <w:p>
            <w:pPr>
              <w:pStyle w:val="Normal151"/>
              <w:spacing w:before="40"/>
              <w:rPr>
                <w:rFonts w:ascii="Arial" w:eastAsia="Arial" w:hAnsi="Arial" w:cs="Arial"/>
                <w:noProof/>
                <w:color w:val="000000"/>
                <w:sz w:val="16"/>
              </w:rPr>
            </w:pPr>
            <w:r>
              <w:rPr>
                <w:rFonts w:ascii="Arial" w:hAnsi="Arial"/>
                <w:noProof/>
                <w:color w:val="000000"/>
                <w:sz w:val="16"/>
              </w:rPr>
              <w:t xml:space="preserve">* Išsamiau žr. 2.4.3 pastabos skirsnį „Vėlesnis vertinimas“. </w:t>
            </w: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955"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753"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79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51" w:type="dxa"/>
          <w:trHeight w:hRule="exact" w:val="289"/>
        </w:trPr>
        <w:tc>
          <w:tcPr>
            <w:tcW w:w="1474"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149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1324"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1012"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1019" w:type="dxa"/>
            <w:gridSpan w:val="2"/>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955"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753"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79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2"/>
        </w:trPr>
        <w:tc>
          <w:tcPr>
            <w:tcW w:w="1474"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rPr>
                <w:rFonts w:ascii="Arial" w:eastAsia="Arial" w:hAnsi="Arial" w:cs="Arial"/>
                <w:b/>
                <w:noProof/>
                <w:color w:val="000000"/>
                <w:sz w:val="16"/>
              </w:rPr>
            </w:pPr>
            <w:r>
              <w:rPr>
                <w:rFonts w:ascii="Arial" w:hAnsi="Arial"/>
                <w:b/>
                <w:noProof/>
                <w:color w:val="000000"/>
                <w:sz w:val="16"/>
              </w:rPr>
              <w:t>Poveikio finansavimo priemonių paketo investicijų rūšis</w:t>
            </w:r>
          </w:p>
        </w:tc>
        <w:tc>
          <w:tcPr>
            <w:tcW w:w="14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rPr>
                <w:rFonts w:ascii="Arial" w:eastAsia="Arial" w:hAnsi="Arial" w:cs="Arial"/>
                <w:b/>
                <w:noProof/>
                <w:color w:val="000000"/>
                <w:sz w:val="16"/>
              </w:rPr>
            </w:pPr>
            <w:r>
              <w:rPr>
                <w:rFonts w:ascii="Arial" w:hAnsi="Arial"/>
                <w:b/>
                <w:noProof/>
                <w:color w:val="000000"/>
                <w:sz w:val="16"/>
              </w:rPr>
              <w:t>Antraštinė dalis</w:t>
            </w:r>
          </w:p>
        </w:tc>
        <w:tc>
          <w:tcPr>
            <w:tcW w:w="1324"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rPr>
                <w:rFonts w:ascii="Arial" w:eastAsia="Arial" w:hAnsi="Arial" w:cs="Arial"/>
                <w:b/>
                <w:noProof/>
                <w:color w:val="000000"/>
                <w:sz w:val="16"/>
              </w:rPr>
            </w:pPr>
            <w:r>
              <w:rPr>
                <w:rFonts w:ascii="Arial" w:hAnsi="Arial"/>
                <w:b/>
                <w:noProof/>
                <w:color w:val="000000"/>
                <w:sz w:val="16"/>
              </w:rPr>
              <w:t>Vertinimas</w:t>
            </w:r>
          </w:p>
        </w:tc>
        <w:tc>
          <w:tcPr>
            <w:tcW w:w="1138"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Balansinė vertė 2018 m. gruodžio 31 d.</w:t>
            </w:r>
          </w:p>
        </w:tc>
        <w:tc>
          <w:tcPr>
            <w:tcW w:w="1130"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Neišmokėta suma 2018 m. gruodžio 31 d.</w:t>
            </w:r>
          </w:p>
        </w:tc>
        <w:tc>
          <w:tcPr>
            <w:tcW w:w="850"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b/>
                <w:noProof/>
                <w:color w:val="000000"/>
                <w:sz w:val="16"/>
              </w:rPr>
            </w:pPr>
          </w:p>
        </w:tc>
        <w:tc>
          <w:tcPr>
            <w:tcW w:w="1077"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b/>
                <w:noProof/>
                <w:color w:val="000000"/>
                <w:sz w:val="16"/>
              </w:rPr>
            </w:pPr>
          </w:p>
        </w:tc>
        <w:tc>
          <w:tcPr>
            <w:tcW w:w="1191"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3"/>
        </w:trPr>
        <w:tc>
          <w:tcPr>
            <w:tcW w:w="1474"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Socialinio poveikio kapitalo fondas</w:t>
            </w:r>
          </w:p>
        </w:tc>
        <w:tc>
          <w:tcPr>
            <w:tcW w:w="149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Akcijos ir kiti kintamo pelningumo vertybiniai popieriai</w:t>
            </w:r>
          </w:p>
        </w:tc>
        <w:tc>
          <w:tcPr>
            <w:tcW w:w="1324"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Tikroji vertė, kurios pokyčiai pripažįstami pelnu arba nuostoliais</w:t>
            </w:r>
          </w:p>
        </w:tc>
        <w:tc>
          <w:tcPr>
            <w:tcW w:w="1138"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19 134</w:t>
            </w:r>
          </w:p>
        </w:tc>
        <w:tc>
          <w:tcPr>
            <w:tcW w:w="1130"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53 672</w:t>
            </w:r>
          </w:p>
        </w:tc>
        <w:tc>
          <w:tcPr>
            <w:tcW w:w="850"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77"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191"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3"/>
        </w:trPr>
        <w:tc>
          <w:tcPr>
            <w:tcW w:w="1474"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Paskolos finansų tarpininkams</w:t>
            </w:r>
          </w:p>
        </w:tc>
        <w:tc>
          <w:tcPr>
            <w:tcW w:w="1495"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 xml:space="preserve">Paskolos ir išankstiniai mokėjimai </w:t>
            </w:r>
          </w:p>
        </w:tc>
        <w:tc>
          <w:tcPr>
            <w:tcW w:w="1324"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Amortizuota savikaina</w:t>
            </w:r>
          </w:p>
        </w:tc>
        <w:tc>
          <w:tcPr>
            <w:tcW w:w="1138"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29 566</w:t>
            </w:r>
          </w:p>
        </w:tc>
        <w:tc>
          <w:tcPr>
            <w:tcW w:w="1130"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24 700</w:t>
            </w:r>
          </w:p>
        </w:tc>
        <w:tc>
          <w:tcPr>
            <w:tcW w:w="850"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77"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191"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
        </w:trPr>
        <w:tc>
          <w:tcPr>
            <w:tcW w:w="1474"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Rizikos pasidalijimą lengvinančios priemonės</w:t>
            </w:r>
          </w:p>
        </w:tc>
        <w:tc>
          <w:tcPr>
            <w:tcW w:w="1495"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Išduotos garantijos</w:t>
            </w:r>
          </w:p>
        </w:tc>
        <w:tc>
          <w:tcPr>
            <w:tcW w:w="1324"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Metodas „kuri didesnė“*</w:t>
            </w:r>
          </w:p>
        </w:tc>
        <w:tc>
          <w:tcPr>
            <w:tcW w:w="1138"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−786</w:t>
            </w:r>
          </w:p>
        </w:tc>
        <w:tc>
          <w:tcPr>
            <w:tcW w:w="1130"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43 668</w:t>
            </w:r>
          </w:p>
        </w:tc>
        <w:tc>
          <w:tcPr>
            <w:tcW w:w="850"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77"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191"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3"/>
        </w:trPr>
        <w:tc>
          <w:tcPr>
            <w:tcW w:w="1474"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Tiesioginis dalyvavimas valdant kapitalą</w:t>
            </w:r>
          </w:p>
        </w:tc>
        <w:tc>
          <w:tcPr>
            <w:tcW w:w="1495"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Akcijos ir kiti kintamo pelningumo vertybiniai popieriai</w:t>
            </w:r>
          </w:p>
        </w:tc>
        <w:tc>
          <w:tcPr>
            <w:tcW w:w="1324"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Tikroji vertė, kurios pokyčiai pripažįstami pelnu arba nuostoliais</w:t>
            </w:r>
          </w:p>
        </w:tc>
        <w:tc>
          <w:tcPr>
            <w:tcW w:w="1138"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53 183</w:t>
            </w:r>
          </w:p>
        </w:tc>
        <w:tc>
          <w:tcPr>
            <w:tcW w:w="1130"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1 014</w:t>
            </w:r>
          </w:p>
        </w:tc>
        <w:tc>
          <w:tcPr>
            <w:tcW w:w="850"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77"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191"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1474"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Tiesioginės skolinimo operacijos</w:t>
            </w:r>
          </w:p>
        </w:tc>
        <w:tc>
          <w:tcPr>
            <w:tcW w:w="1495"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 xml:space="preserve">Paskolos ir išankstiniai mokėjimai </w:t>
            </w:r>
          </w:p>
        </w:tc>
        <w:tc>
          <w:tcPr>
            <w:tcW w:w="1324"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Amortizuota savikaina</w:t>
            </w:r>
          </w:p>
        </w:tc>
        <w:tc>
          <w:tcPr>
            <w:tcW w:w="1138"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6 711</w:t>
            </w:r>
          </w:p>
        </w:tc>
        <w:tc>
          <w:tcPr>
            <w:tcW w:w="1130"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114 629</w:t>
            </w:r>
          </w:p>
        </w:tc>
        <w:tc>
          <w:tcPr>
            <w:tcW w:w="850"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77"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191"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1474" w:type="dxa"/>
            <w:tcBorders>
              <w:top w:val="nil"/>
              <w:left w:val="nil"/>
              <w:bottom w:val="nil"/>
              <w:right w:val="nil"/>
              <w:tl2br w:val="nil"/>
              <w:tr2bl w:val="nil"/>
            </w:tcBorders>
            <w:shd w:val="clear" w:color="FFFFFF" w:fill="C0C0C0"/>
            <w:tcMar>
              <w:left w:w="40" w:type="dxa"/>
              <w:right w:w="40" w:type="dxa"/>
            </w:tcMar>
            <w:vAlign w:val="center"/>
          </w:tcPr>
          <w:p>
            <w:pPr>
              <w:pStyle w:val="Normal151"/>
              <w:rPr>
                <w:rFonts w:ascii="Arial" w:eastAsia="Arial" w:hAnsi="Arial" w:cs="Arial"/>
                <w:b/>
                <w:noProof/>
                <w:color w:val="000000"/>
                <w:sz w:val="16"/>
              </w:rPr>
            </w:pPr>
            <w:r>
              <w:rPr>
                <w:rFonts w:ascii="Arial" w:hAnsi="Arial"/>
                <w:b/>
                <w:noProof/>
                <w:color w:val="000000"/>
                <w:sz w:val="16"/>
              </w:rPr>
              <w:t>Iš viso</w:t>
            </w:r>
          </w:p>
        </w:tc>
        <w:tc>
          <w:tcPr>
            <w:tcW w:w="1495" w:type="dxa"/>
            <w:tcBorders>
              <w:top w:val="nil"/>
              <w:left w:val="nil"/>
              <w:bottom w:val="nil"/>
              <w:right w:val="nil"/>
              <w:tl2br w:val="nil"/>
              <w:tr2bl w:val="nil"/>
            </w:tcBorders>
            <w:shd w:val="clear" w:color="FFFFFF" w:fill="C0C0C0"/>
            <w:tcMar>
              <w:left w:w="0" w:type="dxa"/>
              <w:right w:w="0" w:type="dxa"/>
            </w:tcMar>
            <w:vAlign w:val="center"/>
          </w:tcPr>
          <w:p>
            <w:pPr>
              <w:pStyle w:val="Normal151"/>
              <w:rPr>
                <w:rFonts w:ascii="Arial" w:eastAsia="Arial" w:hAnsi="Arial" w:cs="Arial"/>
                <w:b/>
                <w:noProof/>
                <w:color w:val="000000"/>
                <w:sz w:val="16"/>
              </w:rPr>
            </w:pPr>
          </w:p>
        </w:tc>
        <w:tc>
          <w:tcPr>
            <w:tcW w:w="1324" w:type="dxa"/>
            <w:tcBorders>
              <w:top w:val="nil"/>
              <w:left w:val="nil"/>
              <w:bottom w:val="nil"/>
              <w:right w:val="nil"/>
              <w:tl2br w:val="nil"/>
              <w:tr2bl w:val="nil"/>
            </w:tcBorders>
            <w:shd w:val="clear" w:color="FFFFFF" w:fill="C0C0C0"/>
            <w:tcMar>
              <w:left w:w="0" w:type="dxa"/>
              <w:right w:w="0" w:type="dxa"/>
            </w:tcMar>
            <w:vAlign w:val="center"/>
          </w:tcPr>
          <w:p>
            <w:pPr>
              <w:pStyle w:val="Normal151"/>
              <w:jc w:val="right"/>
              <w:rPr>
                <w:rFonts w:ascii="Arial" w:eastAsia="Arial" w:hAnsi="Arial" w:cs="Arial"/>
                <w:b/>
                <w:noProof/>
                <w:color w:val="000000"/>
                <w:sz w:val="16"/>
              </w:rPr>
            </w:pPr>
          </w:p>
        </w:tc>
        <w:tc>
          <w:tcPr>
            <w:tcW w:w="1138"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107 808</w:t>
            </w:r>
          </w:p>
        </w:tc>
        <w:tc>
          <w:tcPr>
            <w:tcW w:w="1130"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237 683</w:t>
            </w:r>
          </w:p>
        </w:tc>
        <w:tc>
          <w:tcPr>
            <w:tcW w:w="850"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jc w:val="right"/>
              <w:rPr>
                <w:rFonts w:ascii="Arial" w:eastAsia="Arial" w:hAnsi="Arial" w:cs="Arial"/>
                <w:b/>
                <w:noProof/>
                <w:color w:val="000000"/>
                <w:sz w:val="16"/>
              </w:rPr>
            </w:pPr>
          </w:p>
        </w:tc>
        <w:tc>
          <w:tcPr>
            <w:tcW w:w="1077"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jc w:val="right"/>
              <w:rPr>
                <w:rFonts w:ascii="Arial" w:eastAsia="Arial" w:hAnsi="Arial" w:cs="Arial"/>
                <w:b/>
                <w:noProof/>
                <w:color w:val="000000"/>
                <w:sz w:val="16"/>
              </w:rPr>
            </w:pPr>
          </w:p>
        </w:tc>
        <w:tc>
          <w:tcPr>
            <w:tcW w:w="1191"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51" w:type="dxa"/>
          <w:trHeight w:hRule="exact" w:val="289"/>
        </w:trPr>
        <w:tc>
          <w:tcPr>
            <w:tcW w:w="5305" w:type="dxa"/>
            <w:gridSpan w:val="4"/>
            <w:tcBorders>
              <w:top w:val="nil"/>
              <w:left w:val="nil"/>
              <w:bottom w:val="nil"/>
              <w:right w:val="nil"/>
              <w:tl2br w:val="nil"/>
              <w:tr2bl w:val="nil"/>
            </w:tcBorders>
            <w:shd w:val="clear" w:color="auto" w:fill="auto"/>
            <w:noWrap/>
            <w:tcMar>
              <w:left w:w="0" w:type="dxa"/>
              <w:right w:w="0" w:type="dxa"/>
            </w:tcMar>
          </w:tcPr>
          <w:p>
            <w:pPr>
              <w:pStyle w:val="Normal151"/>
              <w:spacing w:before="40"/>
              <w:rPr>
                <w:rFonts w:ascii="Calibri" w:eastAsia="Calibri" w:hAnsi="Calibri" w:cs="Calibri"/>
                <w:noProof/>
                <w:color w:val="000000"/>
                <w:sz w:val="22"/>
              </w:rPr>
            </w:pPr>
            <w:r>
              <w:rPr>
                <w:rFonts w:ascii="Arial" w:hAnsi="Arial"/>
                <w:noProof/>
                <w:color w:val="000000"/>
                <w:sz w:val="16"/>
              </w:rPr>
              <w:t>* Išsamiau žr. 2.4.3 pastabos skirsnį „Vėlesnis vertinimas“.</w:t>
            </w: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955"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753"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79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9679" w:type="dxa"/>
            <w:gridSpan w:val="13"/>
            <w:vMerge w:val="restart"/>
            <w:tcBorders>
              <w:top w:val="nil"/>
              <w:left w:val="nil"/>
              <w:bottom w:val="nil"/>
              <w:right w:val="nil"/>
              <w:tl2br w:val="nil"/>
              <w:tr2bl w:val="nil"/>
            </w:tcBorders>
            <w:shd w:val="clear" w:color="auto" w:fill="auto"/>
            <w:tcMar>
              <w:left w:w="40" w:type="dxa"/>
              <w:right w:w="40" w:type="dxa"/>
            </w:tcMar>
            <w:vAlign w:val="center"/>
          </w:tcPr>
          <w:p>
            <w:pPr>
              <w:pStyle w:val="Normal151"/>
              <w:jc w:val="both"/>
              <w:rPr>
                <w:rFonts w:ascii="Arial" w:eastAsia="Arial" w:hAnsi="Arial" w:cs="Arial"/>
                <w:noProof/>
                <w:color w:val="000000"/>
                <w:sz w:val="16"/>
              </w:rPr>
            </w:pPr>
            <w:r>
              <w:rPr>
                <w:rFonts w:ascii="Arial" w:hAnsi="Arial"/>
                <w:noProof/>
                <w:color w:val="000000"/>
                <w:sz w:val="16"/>
              </w:rPr>
              <w:t>Nuo 2019 m. sausio mėn. 1 d. vadovybė nusprendė IFE tiesioginėms skolinimo operacijoms (išskyrus paskolas finansų tarpininkams) taikyti bendrojo įgaliojimo rizikos principus, kaip numatyta EIB kredito ir nuosavo kapitalo rizikos gairėse, ir stebėti bei pranešti apie riziką, susijusią su IFE tiesioginėmis skolinimo operacijomis, remiantis jų tikrąja verte.</w:t>
            </w:r>
          </w:p>
          <w:p>
            <w:pPr>
              <w:pStyle w:val="Normal151"/>
              <w:spacing w:before="60" w:after="60"/>
              <w:jc w:val="both"/>
              <w:rPr>
                <w:rFonts w:ascii="Arial" w:eastAsia="Arial" w:hAnsi="Arial" w:cs="Arial"/>
                <w:noProof/>
                <w:color w:val="000000"/>
                <w:sz w:val="16"/>
              </w:rPr>
            </w:pPr>
          </w:p>
          <w:p>
            <w:pPr>
              <w:pStyle w:val="Normal151"/>
              <w:jc w:val="both"/>
              <w:rPr>
                <w:rFonts w:ascii="Arial" w:eastAsia="Arial" w:hAnsi="Arial" w:cs="Arial"/>
                <w:noProof/>
                <w:color w:val="000000"/>
                <w:sz w:val="16"/>
              </w:rPr>
            </w:pPr>
            <w:r>
              <w:rPr>
                <w:rFonts w:ascii="Arial" w:hAnsi="Arial"/>
                <w:noProof/>
                <w:color w:val="000000"/>
                <w:sz w:val="16"/>
              </w:rPr>
              <w:t xml:space="preserve">Pagal naująjį metodą bankas atlieka kokybinį rizikos vertinimą, kuriuo siekiama įvertinti tokių operacijų investicinio pagrindo pagrįstumą ir tikėtiną verslo gyvybingumą. Šiame kontekste IFE tiesioginės skolinimo operacijos perklasifikuojamos iš amortizuota savikaina vertinamų paskolų į tikrąja verte vertinamas paskolas. </w:t>
            </w:r>
          </w:p>
          <w:p>
            <w:pPr>
              <w:pStyle w:val="Normal151"/>
              <w:spacing w:before="60" w:after="60"/>
              <w:jc w:val="both"/>
              <w:rPr>
                <w:rFonts w:ascii="Arial" w:eastAsia="Arial" w:hAnsi="Arial" w:cs="Arial"/>
                <w:noProof/>
                <w:color w:val="000000"/>
                <w:sz w:val="16"/>
              </w:rPr>
            </w:pPr>
          </w:p>
          <w:p>
            <w:pPr>
              <w:pStyle w:val="Normal151"/>
              <w:jc w:val="both"/>
              <w:rPr>
                <w:rFonts w:ascii="Arial" w:eastAsia="Arial" w:hAnsi="Arial" w:cs="Arial"/>
                <w:noProof/>
                <w:color w:val="000000"/>
                <w:sz w:val="16"/>
              </w:rPr>
            </w:pPr>
            <w:r>
              <w:rPr>
                <w:rFonts w:ascii="Arial" w:hAnsi="Arial"/>
                <w:noProof/>
                <w:color w:val="000000"/>
                <w:sz w:val="16"/>
              </w:rPr>
              <w:t>Pakeitus verslo modelį, ateityje reikia nuo perklasifikavimo dienos pakeisti portfelį. Todėl ankstesniems metams šis pakeitimas poveikio neturi. 4,4 mln. EUR poveikis einamųjų metų pelno (nuostolių) ir kitų bendrųjų pajamų ataskaitai pripažįstamas dalyje „Atidėjinių kreditavimo įsipareigojimams pokytis“.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9679" w:type="dxa"/>
            <w:gridSpan w:val="13"/>
            <w:vMerge/>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4"/>
        </w:trPr>
        <w:tc>
          <w:tcPr>
            <w:tcW w:w="9679" w:type="dxa"/>
            <w:gridSpan w:val="13"/>
            <w:vMerge/>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9679" w:type="dxa"/>
            <w:gridSpan w:val="13"/>
            <w:vMerge/>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9679" w:type="dxa"/>
            <w:gridSpan w:val="13"/>
            <w:vMerge/>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r>
    </w:tbl>
    <w:p>
      <w:pPr>
        <w:rPr>
          <w:noProof/>
        </w:rPr>
        <w:sectPr>
          <w:headerReference w:type="even" r:id="rId419"/>
          <w:headerReference w:type="default" r:id="rId420"/>
          <w:footerReference w:type="even" r:id="rId421"/>
          <w:footerReference w:type="default" r:id="rId422"/>
          <w:headerReference w:type="first" r:id="rId423"/>
          <w:footerReference w:type="first" r:id="rId424"/>
          <w:pgSz w:w="11907" w:h="16840" w:code="9"/>
          <w:pgMar w:top="1134" w:right="1134" w:bottom="1134" w:left="1134" w:header="709" w:footer="709" w:gutter="0"/>
          <w:pgBorders>
            <w:top w:val="nil"/>
            <w:left w:val="nil"/>
            <w:bottom w:val="nil"/>
            <w:right w:val="nil"/>
          </w:pgBorders>
          <w:cols w:space="720"/>
          <w:docGrid w:linePitch="360"/>
        </w:sectPr>
      </w:pPr>
    </w:p>
    <w:p>
      <w:pPr>
        <w:pStyle w:val="Notes"/>
        <w:pBdr>
          <w:top w:val="nil"/>
          <w:left w:val="nil"/>
          <w:bottom w:val="nil"/>
          <w:right w:val="nil"/>
          <w:between w:val="nil"/>
          <w:bar w:val="nil"/>
        </w:pBdr>
        <w:rPr>
          <w:noProof/>
          <w:bdr w:val="nil"/>
        </w:rPr>
      </w:pPr>
      <w:r>
        <w:rPr>
          <w:noProof/>
          <w:bdr w:val="nil"/>
        </w:rPr>
        <w:t>25.</w:t>
      </w:r>
      <w:r>
        <w:rPr>
          <w:noProof/>
          <w:bdr w:val="nil"/>
        </w:rPr>
        <w:tab/>
        <w:t>Vėlesni įvykiai</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sectPr>
          <w:headerReference w:type="even" r:id="rId425"/>
          <w:headerReference w:type="default" r:id="rId426"/>
          <w:footerReference w:type="even" r:id="rId427"/>
          <w:footerReference w:type="default" r:id="rId428"/>
          <w:headerReference w:type="first" r:id="rId429"/>
          <w:footerReference w:type="first" r:id="rId430"/>
          <w:type w:val="continuous"/>
          <w:pgSz w:w="11907" w:h="16840" w:code="9"/>
          <w:pgMar w:top="765" w:right="1134" w:bottom="765" w:left="1134" w:header="709" w:footer="709" w:gutter="0"/>
          <w:pgBorders>
            <w:top w:val="nil"/>
            <w:left w:val="nil"/>
            <w:bottom w:val="nil"/>
            <w:right w:val="nil"/>
          </w:pgBorders>
          <w:cols w:space="720"/>
          <w:docGrid w:linePitch="360"/>
        </w:sectPr>
      </w:pPr>
      <w:r>
        <w:rPr>
          <w:rFonts w:ascii="Arial" w:hAnsi="Arial"/>
          <w:noProof/>
          <w:sz w:val="16"/>
          <w:szCs w:val="16"/>
          <w:bdr w:val="nil"/>
        </w:rPr>
        <w:t>Po balanso sudarymo dienos neįvyko jokių esminių įvykių, apie kuriuos reikėtų paskelbti arba dėl kurių reikėtų patikslinti 2019 m. gruodžio 31 d. finansines ataskaitas</w:t>
      </w:r>
      <w:bookmarkEnd w:id="154"/>
    </w:p>
    <w:p>
      <w:pPr>
        <w:pStyle w:val="HEADER1PartBUDG"/>
        <w:rPr>
          <w:noProof/>
        </w:rPr>
      </w:pPr>
      <w:bookmarkStart w:id="161" w:name="_DMBM_18937"/>
      <w:r>
        <w:rPr>
          <w:noProof/>
        </w:rPr>
        <w:t>ŽODYNĖLIS</w:t>
      </w:r>
    </w:p>
    <w:p>
      <w:pPr>
        <w:pStyle w:val="StyleTextstand-aloneCustomColorRGB1"/>
      </w:pPr>
      <w:r>
        <w:t>ABAC</w:t>
      </w:r>
    </w:p>
    <w:p>
      <w:pPr>
        <w:pStyle w:val="DGTextstand-alone"/>
        <w:spacing w:before="120" w:after="120"/>
        <w:rPr>
          <w:rFonts w:eastAsia="Times New Roman"/>
        </w:rPr>
      </w:pPr>
      <w:r>
        <w:t>Taip pavadinta Komisijos apskaitos sistema, kuri nuo 2005 m. papildyta kaupiamosios apskaitos taisyklėmis. Be grynaisiais pinigais pagrįstų biudžeto sąskaitų, Komisija rengia kaupimo principu pagrįstas sąskaitas, kuriose pajamos pripažįstamos tuomet, kai jos yra uždirbamos, o ne tada, kai jos gaunamos. Išlaidos pripažįstamos tada, kai jos patiriamos, o ne tada, kai jos apmokamos. Tai prieštarauja pinigų principu grindžiamai biudžeto apskaitai, pagal kurią sandoriai ir kiti įvykiai pripažįstami tik tada, kai gaunami arba sumokami pinigai.</w:t>
      </w:r>
    </w:p>
    <w:p>
      <w:pPr>
        <w:pStyle w:val="StyleTextstand-aloneCustomColorRGB1"/>
      </w:pPr>
      <w:r>
        <w:t>Administraciniai asignavimai</w:t>
      </w:r>
    </w:p>
    <w:p>
      <w:pPr>
        <w:pStyle w:val="StyleTextstand-aloneCustomColorRGB1"/>
        <w:rPr>
          <w:color w:val="auto"/>
          <w:szCs w:val="18"/>
        </w:rPr>
      </w:pPr>
      <w:r>
        <w:rPr>
          <w:color w:val="auto"/>
          <w:szCs w:val="18"/>
        </w:rPr>
        <w:t>Administraciniai asignavimai apima institucijų ir subjektų einamąsias išlaidas (darbuotojų, pastatų, biuro įrangos).</w:t>
      </w:r>
    </w:p>
    <w:p>
      <w:pPr>
        <w:pStyle w:val="StyleTextstand-aloneCustomColorRGB1"/>
      </w:pPr>
      <w:r>
        <w:t>Agentūros</w:t>
      </w:r>
    </w:p>
    <w:p>
      <w:pPr>
        <w:pStyle w:val="DGTextstand-alone"/>
        <w:spacing w:before="120"/>
        <w:rPr>
          <w:rFonts w:eastAsia="Times New Roman"/>
        </w:rPr>
      </w:pPr>
      <w:r>
        <w:t>ES įstaigos, turinčios atskirą teisinį subjektiškumą ir kurioms, laikantis griežtų sąlygų, gali būti suteikti biudžeto vykdymo įgaliojimai. Jos turi gauti atskirą biudžeto įvykdymo patvirtinimą iš biudžeto įvykdymą tvirtinančios institucijos.</w:t>
      </w:r>
    </w:p>
    <w:p>
      <w:pPr>
        <w:pStyle w:val="StyleTextstand-aloneCustomColorRGB1"/>
      </w:pPr>
      <w:r>
        <w:t>Apskaita</w:t>
      </w:r>
    </w:p>
    <w:p>
      <w:pPr>
        <w:pStyle w:val="DGTextstand-alone"/>
        <w:spacing w:before="120"/>
      </w:pPr>
      <w:r>
        <w:t>Finansinių operacijų įrašymo į sąskaitas ir pranešimo apie jas veiksmas, apimantis operacijos sukūrimą, jos pripažinimą, tvarkymą ir apibendrinimą finansinėse ataskaitose.</w:t>
      </w:r>
    </w:p>
    <w:p>
      <w:pPr>
        <w:pStyle w:val="StyleTextstand-aloneCustomColorRGB1"/>
      </w:pPr>
      <w:r>
        <w:t>Apskaitos pareigūnas</w:t>
      </w:r>
    </w:p>
    <w:p>
      <w:pPr>
        <w:pStyle w:val="StyleTextstand-aloneCustomColorRGB1"/>
        <w:rPr>
          <w:rFonts w:eastAsia="Calibri" w:cstheme="minorBidi"/>
          <w:color w:val="auto"/>
          <w:szCs w:val="18"/>
        </w:rPr>
      </w:pPr>
      <w:r>
        <w:rPr>
          <w:color w:val="auto"/>
          <w:szCs w:val="18"/>
        </w:rPr>
        <w:t>Apskaitos pareigūno vaidmuo, įgaliojimai ir atsakomybė nustatyti Finansiniame reglamente:</w:t>
      </w:r>
    </w:p>
    <w:p>
      <w:pPr>
        <w:pStyle w:val="StyleTextstand-aloneCustomColorRGB1"/>
        <w:numPr>
          <w:ilvl w:val="0"/>
          <w:numId w:val="113"/>
        </w:numPr>
        <w:ind w:left="357" w:hanging="357"/>
        <w:rPr>
          <w:rFonts w:eastAsia="Calibri" w:cstheme="minorBidi"/>
          <w:color w:val="auto"/>
          <w:szCs w:val="18"/>
        </w:rPr>
      </w:pPr>
      <w:r>
        <w:rPr>
          <w:color w:val="auto"/>
          <w:szCs w:val="18"/>
        </w:rPr>
        <w:t>tinkamas mokėjimų vykdymas,</w:t>
      </w:r>
    </w:p>
    <w:p>
      <w:pPr>
        <w:pStyle w:val="StyleTextstand-aloneCustomColorRGB1"/>
        <w:numPr>
          <w:ilvl w:val="0"/>
          <w:numId w:val="113"/>
        </w:numPr>
        <w:ind w:left="357" w:hanging="357"/>
        <w:rPr>
          <w:rFonts w:eastAsia="Calibri" w:cstheme="minorBidi"/>
          <w:color w:val="auto"/>
          <w:szCs w:val="18"/>
        </w:rPr>
      </w:pPr>
      <w:r>
        <w:rPr>
          <w:color w:val="auto"/>
          <w:szCs w:val="18"/>
        </w:rPr>
        <w:t>pajamų surinkimas,</w:t>
      </w:r>
    </w:p>
    <w:p>
      <w:pPr>
        <w:pStyle w:val="StyleTextstand-aloneCustomColorRGB1"/>
        <w:numPr>
          <w:ilvl w:val="0"/>
          <w:numId w:val="113"/>
        </w:numPr>
        <w:ind w:left="357" w:hanging="357"/>
        <w:rPr>
          <w:rFonts w:eastAsia="Calibri" w:cstheme="minorBidi"/>
          <w:color w:val="auto"/>
          <w:szCs w:val="18"/>
        </w:rPr>
      </w:pPr>
      <w:r>
        <w:rPr>
          <w:color w:val="auto"/>
          <w:szCs w:val="18"/>
        </w:rPr>
        <w:t>sumų susigrąžinimas ir įskaitymas,</w:t>
      </w:r>
    </w:p>
    <w:p>
      <w:pPr>
        <w:pStyle w:val="StyleTextstand-aloneCustomColorRGB1"/>
        <w:numPr>
          <w:ilvl w:val="0"/>
          <w:numId w:val="113"/>
        </w:numPr>
        <w:ind w:left="357" w:hanging="357"/>
        <w:rPr>
          <w:rFonts w:eastAsia="Calibri" w:cstheme="minorBidi"/>
          <w:color w:val="auto"/>
          <w:szCs w:val="18"/>
        </w:rPr>
      </w:pPr>
      <w:r>
        <w:rPr>
          <w:color w:val="auto"/>
          <w:szCs w:val="18"/>
        </w:rPr>
        <w:t>apskaitos tvarkymas, rengimas ir teikimas,</w:t>
      </w:r>
    </w:p>
    <w:p>
      <w:pPr>
        <w:pStyle w:val="StyleTextstand-aloneCustomColorRGB1"/>
        <w:numPr>
          <w:ilvl w:val="0"/>
          <w:numId w:val="113"/>
        </w:numPr>
        <w:ind w:left="357" w:hanging="357"/>
        <w:rPr>
          <w:rFonts w:eastAsia="Calibri" w:cstheme="minorBidi"/>
          <w:color w:val="auto"/>
          <w:szCs w:val="18"/>
        </w:rPr>
      </w:pPr>
      <w:r>
        <w:rPr>
          <w:color w:val="auto"/>
          <w:szCs w:val="18"/>
        </w:rPr>
        <w:t>apskaitos taisyklių ir metodų bei sąskaitų plano parengimas,</w:t>
      </w:r>
    </w:p>
    <w:p>
      <w:pPr>
        <w:pStyle w:val="StyleTextstand-aloneCustomColorRGB1"/>
        <w:numPr>
          <w:ilvl w:val="0"/>
          <w:numId w:val="113"/>
        </w:numPr>
        <w:ind w:left="357" w:hanging="357"/>
        <w:rPr>
          <w:rFonts w:eastAsia="Calibri" w:cstheme="minorBidi"/>
          <w:color w:val="auto"/>
          <w:szCs w:val="18"/>
        </w:rPr>
      </w:pPr>
      <w:r>
        <w:rPr>
          <w:color w:val="auto"/>
          <w:szCs w:val="18"/>
        </w:rPr>
        <w:t>apskaitos sistemų nustatymas bei tvirtinimas ir atitinkamais atvejais sistemų, kurias įgaliojimus suteikiantis pareigūnas yra nustatęs apskaitos informacijos teikimui ir pagrindimui (vietos sistemų), tvirtinimas,</w:t>
      </w:r>
    </w:p>
    <w:p>
      <w:pPr>
        <w:pStyle w:val="StyleTextstand-aloneCustomColorRGB1"/>
        <w:numPr>
          <w:ilvl w:val="0"/>
          <w:numId w:val="113"/>
        </w:numPr>
        <w:ind w:left="357" w:hanging="357"/>
        <w:rPr>
          <w:rFonts w:eastAsia="Calibri" w:cstheme="minorBidi"/>
          <w:color w:val="auto"/>
          <w:szCs w:val="18"/>
        </w:rPr>
      </w:pPr>
      <w:r>
        <w:rPr>
          <w:color w:val="auto"/>
          <w:szCs w:val="18"/>
        </w:rPr>
        <w:t>iždo valdymas,</w:t>
      </w:r>
    </w:p>
    <w:p>
      <w:pPr>
        <w:pStyle w:val="StyleTextstand-aloneCustomColorRGB1"/>
        <w:numPr>
          <w:ilvl w:val="0"/>
          <w:numId w:val="113"/>
        </w:numPr>
        <w:ind w:left="357" w:hanging="357"/>
        <w:rPr>
          <w:rFonts w:eastAsia="Calibri" w:cstheme="minorBidi"/>
          <w:color w:val="auto"/>
          <w:szCs w:val="18"/>
        </w:rPr>
      </w:pPr>
      <w:r>
        <w:rPr>
          <w:color w:val="auto"/>
          <w:szCs w:val="18"/>
        </w:rPr>
        <w:t>avansinių lėšų administratorių paskyrimas,</w:t>
      </w:r>
    </w:p>
    <w:p>
      <w:pPr>
        <w:pStyle w:val="StyleTextstand-aloneCustomColorRGB1"/>
        <w:numPr>
          <w:ilvl w:val="0"/>
          <w:numId w:val="113"/>
        </w:numPr>
        <w:ind w:left="357" w:hanging="357"/>
        <w:rPr>
          <w:rFonts w:eastAsia="Calibri" w:cstheme="minorBidi"/>
          <w:color w:val="auto"/>
          <w:szCs w:val="18"/>
        </w:rPr>
      </w:pPr>
      <w:r>
        <w:rPr>
          <w:color w:val="auto"/>
          <w:szCs w:val="18"/>
        </w:rPr>
        <w:t>banko sąskaitų atidarymas ir uždarymas institucijos vardu.</w:t>
      </w:r>
    </w:p>
    <w:p>
      <w:pPr>
        <w:pStyle w:val="StyleTextstand-aloneCustomColorRGB1"/>
      </w:pPr>
      <w:r>
        <w:t>Asignavimai</w:t>
      </w:r>
    </w:p>
    <w:p>
      <w:pPr>
        <w:pStyle w:val="DGTextstand-alone"/>
        <w:spacing w:before="120"/>
        <w:rPr>
          <w:rFonts w:eastAsia="Times New Roman"/>
        </w:rPr>
      </w:pPr>
      <w:r>
        <w:t>Biudžeto finansavimas.</w:t>
      </w:r>
    </w:p>
    <w:p>
      <w:pPr>
        <w:pStyle w:val="DGTextstand-alone"/>
        <w:spacing w:before="120"/>
        <w:rPr>
          <w:rFonts w:eastAsia="Times New Roman"/>
        </w:rPr>
      </w:pPr>
      <w:r>
        <w:t>Biudžete prognozuojami tiek įsipareigojimai (teisiniai įsipareigojimai teikti finansavimą, jei tenkinamos tam tikros sąlygos), tiek mokėjimai (mokėjimai gavėjams tiek pinigais, tiek banko pavedimu). Asignavimai įsipareigojimams ir mokėjimams dažnai skiriasi (diferencijuotieji asignavimai), nes lėšas daugiametėms programoms ir projektams paprastai įsipareigojama skirti tais metais, kai priimamas sprendimas, bet jos išmokamos per tuos metus, per kuriuos programos ir projektai įgyvendinami. Nediferencijuotieji asignavimai taikomi administracinėms išlaidoms ir įsipareigojimų asignavimams, kurie lygūs mokėjimų asignavimams.</w:t>
      </w:r>
    </w:p>
    <w:p>
      <w:pPr>
        <w:pStyle w:val="StyleTextstand-aloneCustomColorRGB1"/>
      </w:pPr>
      <w:r>
        <w:t>Asignavimų panaikinimas</w:t>
      </w:r>
    </w:p>
    <w:p>
      <w:pPr>
        <w:pStyle w:val="DGTextstand-alone"/>
        <w:spacing w:before="120"/>
        <w:rPr>
          <w:rFonts w:eastAsia="Times New Roman"/>
        </w:rPr>
      </w:pPr>
      <w:r>
        <w:t>Nepanaudoti asignavimai, kurių nebegalima naudoti.</w:t>
      </w:r>
    </w:p>
    <w:p>
      <w:pPr>
        <w:pStyle w:val="StyleTextstand-aloneCustomColorRGB1"/>
      </w:pPr>
      <w:r>
        <w:t>Asignavimų perkėlimas į kitus metus</w:t>
      </w:r>
    </w:p>
    <w:p>
      <w:pPr>
        <w:pStyle w:val="DGTextstand-alone"/>
        <w:spacing w:before="120"/>
        <w:rPr>
          <w:rFonts w:eastAsia="Times New Roman"/>
        </w:rPr>
      </w:pPr>
      <w:r>
        <w:t>Metinio periodiškumo principo taikymo išimtis, pagal kurią asignavimai, kurie negalėjo būti panaudoti konkrečiais biudžetiniais metais, griežtomis sąlygomis išimties tvarka gali būti perkelti, kad juos būtų galima panaudoti kitais metais.</w:t>
      </w:r>
    </w:p>
    <w:p>
      <w:pPr>
        <w:pStyle w:val="StyleTextstand-aloneCustomColorRGB1"/>
      </w:pPr>
      <w:r>
        <w:t>Bendrosios įmonės (BĮ)</w:t>
      </w:r>
    </w:p>
    <w:p>
      <w:pPr>
        <w:pStyle w:val="StyleTextstand-aloneCustomColorRGB1"/>
        <w:rPr>
          <w:color w:val="auto"/>
          <w:szCs w:val="18"/>
        </w:rPr>
      </w:pPr>
      <w:r>
        <w:rPr>
          <w:color w:val="auto"/>
          <w:szCs w:val="18"/>
        </w:rPr>
        <w:t>ES teisės subjektas, įsteigtas pagal Sutartį dėl Europos Sąjungos veikimo. Šis terminas gali būti vartojamas bet kokiai bendradarbiavimo struktūrai, reikalingai „Sąjungos mokslinių tyrimų, technologijų plėtros ir demonstravimo programoms veiksmingai vykdyti“, apibūdinti.</w:t>
      </w:r>
    </w:p>
    <w:p>
      <w:pPr>
        <w:pStyle w:val="StyleTextstand-aloneCustomColorRGB1"/>
      </w:pPr>
      <w:r>
        <w:t>Biudžetas</w:t>
      </w:r>
    </w:p>
    <w:p>
      <w:pPr>
        <w:pStyle w:val="DGTextstand-alone"/>
        <w:spacing w:before="120"/>
        <w:rPr>
          <w:rFonts w:eastAsia="Times New Roman"/>
        </w:rPr>
      </w:pPr>
      <w:r>
        <w:t>Pagal biudžeto principus parengtas metinis finansinis planas, kuriame pateikiamos prognozės ir tvirtinamas kiekvienų finansinių metų būsimų sąnaudų, pajamų ir išlaidų įvertis. Biudžete pateikiamas išsamus jų aprašymas ir pagrindimas (pastarasis įtraukiamas kaip biudžeto pastaba).</w:t>
      </w:r>
    </w:p>
    <w:p>
      <w:pPr>
        <w:pStyle w:val="StyleTextstand-aloneCustomColorRGB1"/>
      </w:pPr>
      <w:r>
        <w:t>Biudžetinis įsipareigojimas</w:t>
      </w:r>
    </w:p>
    <w:p>
      <w:pPr>
        <w:pStyle w:val="DGTextstand-alone"/>
        <w:spacing w:before="120"/>
        <w:rPr>
          <w:rFonts w:eastAsia="Times New Roman"/>
        </w:rPr>
      </w:pPr>
      <w:r>
        <w:t>Biudžetinis įsipareigojimas yra asignavimų rezervavimas vėlesnėms išlaidoms padengti.</w:t>
      </w:r>
    </w:p>
    <w:p>
      <w:pPr>
        <w:pStyle w:val="StyleTextstand-aloneCustomColorRGB1"/>
      </w:pPr>
      <w:r>
        <w:t>Biudžeto punktas / Biudžeto eilutė / Biudžeto pozicija</w:t>
      </w:r>
    </w:p>
    <w:p>
      <w:pPr>
        <w:pStyle w:val="DGTextstand-alone"/>
        <w:spacing w:before="120"/>
        <w:rPr>
          <w:rFonts w:eastAsia="Times New Roman"/>
        </w:rPr>
      </w:pPr>
      <w:r>
        <w:t>Kalbant apie biudžeto struktūrą, pajamos ir išlaidos biudžete parodytos pagal privalomą nomenklatūrą, kuri atspindi kiekvieno punkto pobūdį ir tikslą, nustatytus biudžeto valdymo institucijos. Atskiros antraštės (antraštinė dalis, skyrius, straipsnis arba punktas) sudaro formalų nomenklatūros aprašą.</w:t>
      </w:r>
    </w:p>
    <w:p>
      <w:pPr>
        <w:pStyle w:val="StyleTextstand-aloneCustomColorRGB1"/>
      </w:pPr>
      <w:r>
        <w:t>Biudžeto rezultatas</w:t>
      </w:r>
    </w:p>
    <w:p>
      <w:pPr>
        <w:pStyle w:val="StyleTextstand-aloneCustomColorRGB1"/>
        <w:rPr>
          <w:color w:val="auto"/>
          <w:szCs w:val="18"/>
        </w:rPr>
      </w:pPr>
      <w:r>
        <w:rPr>
          <w:color w:val="auto"/>
          <w:szCs w:val="18"/>
        </w:rPr>
        <w:t xml:space="preserve">Gautų pajamų ir išmokėtų sumų, įskaitant patikslinimus dėl perkėlimų, panaikinimų ir valiutos kurso skirtumų, skirtumas. </w:t>
      </w:r>
    </w:p>
    <w:p>
      <w:pPr>
        <w:pStyle w:val="StyleTextstand-aloneCustomColorRGB1"/>
        <w:rPr>
          <w:color w:val="auto"/>
          <w:szCs w:val="18"/>
        </w:rPr>
      </w:pPr>
      <w:r>
        <w:rPr>
          <w:color w:val="auto"/>
          <w:szCs w:val="18"/>
        </w:rPr>
        <w:t>Agentūrų atveju gauta suma turės būti grąžinta finansavimo institucijai, kaip numatyta agentūroms taikomame finansiniame reglamente.</w:t>
      </w:r>
    </w:p>
    <w:p>
      <w:pPr>
        <w:pStyle w:val="StyleTextstand-aloneCustomColorRGB1"/>
      </w:pPr>
      <w:r>
        <w:t>Biudžeto valdymo institucija</w:t>
      </w:r>
    </w:p>
    <w:p>
      <w:pPr>
        <w:pStyle w:val="StyleTextstand-aloneCustomColorRGB1"/>
        <w:rPr>
          <w:color w:val="auto"/>
          <w:szCs w:val="18"/>
        </w:rPr>
      </w:pPr>
      <w:r>
        <w:rPr>
          <w:color w:val="auto"/>
          <w:szCs w:val="18"/>
        </w:rPr>
        <w:t>Institucijos, turinčios įgaliojimus priimti sprendimus biudžeto klausimais: sprendimus dėl ES institucijų priima Europos Parlamentas ir Ministrų Taryba.</w:t>
      </w:r>
    </w:p>
    <w:p>
      <w:pPr>
        <w:pStyle w:val="StyleTextstand-aloneCustomColorRGB1"/>
      </w:pPr>
      <w:r>
        <w:rPr>
          <w:color w:val="auto"/>
          <w:szCs w:val="18"/>
        </w:rPr>
        <w:t>Agentūrų ir bendrųjų įmonių biudžeto valdymo institucija yra jų valdyba.</w:t>
      </w:r>
    </w:p>
    <w:p>
      <w:pPr>
        <w:pStyle w:val="StyleTextstand-aloneCustomColorRGB1"/>
      </w:pPr>
      <w:r>
        <w:t>Biudžeto vykdymas</w:t>
      </w:r>
    </w:p>
    <w:p>
      <w:pPr>
        <w:pStyle w:val="DGTextstand-alone"/>
        <w:spacing w:before="120"/>
        <w:rPr>
          <w:rFonts w:eastAsia="Times New Roman"/>
        </w:rPr>
      </w:pPr>
      <w:r>
        <w:t>Biudžeto panaudojimas vykdant išlaidų ir pajamų operacijas.</w:t>
      </w:r>
    </w:p>
    <w:p>
      <w:pPr>
        <w:pStyle w:val="StyleTextstand-aloneCustomColorRGB1"/>
      </w:pPr>
      <w:r>
        <w:t>Biudžeto vykdymo rezultatas</w:t>
      </w:r>
    </w:p>
    <w:p>
      <w:pPr>
        <w:pStyle w:val="StyleTextstand-aloneCustomColorRGB1"/>
        <w:rPr>
          <w:color w:val="auto"/>
          <w:szCs w:val="18"/>
        </w:rPr>
      </w:pPr>
      <w:r>
        <w:rPr>
          <w:color w:val="auto"/>
          <w:szCs w:val="18"/>
        </w:rPr>
        <w:t xml:space="preserve">Plg. Biudžeto rezultatas </w:t>
      </w:r>
    </w:p>
    <w:p>
      <w:pPr>
        <w:pStyle w:val="StyleTextstand-aloneCustomColorRGB1"/>
      </w:pPr>
      <w:r>
        <w:t>Diferencijuotieji asignavimai</w:t>
      </w:r>
    </w:p>
    <w:p>
      <w:pPr>
        <w:pStyle w:val="StyleTextstand-aloneCustomColorRGB1"/>
        <w:rPr>
          <w:i/>
          <w:color w:val="auto"/>
          <w:szCs w:val="18"/>
        </w:rPr>
      </w:pPr>
      <w:r>
        <w:rPr>
          <w:color w:val="auto"/>
          <w:szCs w:val="18"/>
        </w:rPr>
        <w:t xml:space="preserve">Diferencijuoti asignavimai naudojami daugiametėms operacijoms finansuoti; einamaisiais finansiniais metais jie apima visas teisinių įsipareigojimų, prisiimtų dėl veiksmų, kurių įgyvendinimas trunka daugiau kaip vienus finansinius metus, išlaidas. Finansinio reglamento 7 straipsnis: </w:t>
      </w:r>
      <w:r>
        <w:rPr>
          <w:i/>
          <w:color w:val="auto"/>
          <w:szCs w:val="18"/>
        </w:rPr>
        <w:t>Diferencijuoti asignavimai skirti daugiametėms operacijoms finansuoti. Juos sudaro įsipareigojimų asignavimai ir mokėjimų asignavimai.</w:t>
      </w:r>
    </w:p>
    <w:p>
      <w:pPr>
        <w:pStyle w:val="StyleTextstand-aloneCustomColorRGB1"/>
      </w:pPr>
      <w:r>
        <w:t>Dotacijos</w:t>
      </w:r>
    </w:p>
    <w:p>
      <w:pPr>
        <w:pStyle w:val="DGTextstand-alone"/>
        <w:spacing w:before="120"/>
        <w:rPr>
          <w:rFonts w:eastAsia="Times New Roman"/>
        </w:rPr>
      </w:pPr>
      <w:r>
        <w:t>Finansiniai įnašai, kuriais iš biudžeto tiesiogiai ir neatlygintinai remiama veikla, kuria siekiama padėti siekti kurios nors ES politikos tikslo, arba įstaigos, siekiančios kokio nors bendro Europos intereso arba turinčios tikslą, kurio siekia ir kuri nors ES politika, veikla.</w:t>
      </w:r>
    </w:p>
    <w:p>
      <w:pPr>
        <w:pStyle w:val="StyleTextstand-aloneCustomColorRGB1"/>
      </w:pPr>
      <w:r>
        <w:t>Ekonominis rezultatas</w:t>
      </w:r>
    </w:p>
    <w:p>
      <w:pPr>
        <w:pStyle w:val="DGTextstand-alone"/>
        <w:spacing w:before="120"/>
        <w:rPr>
          <w:rFonts w:eastAsia="Times New Roman"/>
        </w:rPr>
      </w:pPr>
      <w:r>
        <w:t>Išlaidų ir pajamų poveikis balansui, pagrįstas kaupiamosios apskaitos taisyklėmis.</w:t>
      </w:r>
    </w:p>
    <w:p>
      <w:pPr>
        <w:pStyle w:val="StyleTextstand-aloneCustomColorRGB1"/>
      </w:pPr>
      <w:r>
        <w:t>Finansinis reglamentas (FR)</w:t>
      </w:r>
    </w:p>
    <w:p>
      <w:pPr>
        <w:pStyle w:val="StyleTextstand-aloneCustomColorRGB1"/>
        <w:rPr>
          <w:color w:val="auto"/>
          <w:szCs w:val="18"/>
        </w:rPr>
      </w:pPr>
      <w:r>
        <w:rPr>
          <w:color w:val="auto"/>
          <w:szCs w:val="18"/>
        </w:rPr>
        <w:t>Šiame reglamente, priimtame pagal įprastą teisėkūros procedūrą, pasikonsultavus su Europos Audito Rūmais, nustatytos Europos Sąjungos bendrojo biudžeto sudarymo ir vykdymo taisyklės.</w:t>
      </w:r>
    </w:p>
    <w:p>
      <w:pPr>
        <w:pStyle w:val="StyleTextstand-aloneCustomColorRGB1"/>
        <w:rPr>
          <w:color w:val="auto"/>
          <w:szCs w:val="18"/>
        </w:rPr>
      </w:pPr>
      <w:r>
        <w:rPr>
          <w:color w:val="auto"/>
          <w:szCs w:val="18"/>
        </w:rPr>
        <w:t>Žr. 2018 m. liepos 18 d. Europos Parlamento ir Tarybos reglamentą (ES, Euratomas) Nr. 2018/1046 dėl Sąjungos bendrajam biudžetui taikomų finansinių taisyklių.</w:t>
      </w:r>
    </w:p>
    <w:p>
      <w:pPr>
        <w:pStyle w:val="StyleTextstand-aloneCustomColorRGB1"/>
      </w:pPr>
      <w:r>
        <w:t>Finansavimo šaltinis</w:t>
      </w:r>
    </w:p>
    <w:p>
      <w:pPr>
        <w:pStyle w:val="StyleTextstand-aloneCustomColorRGB1"/>
        <w:rPr>
          <w:color w:val="auto"/>
          <w:szCs w:val="18"/>
        </w:rPr>
      </w:pPr>
      <w:r>
        <w:rPr>
          <w:color w:val="auto"/>
          <w:szCs w:val="18"/>
        </w:rPr>
        <w:t xml:space="preserve">Asignavimų rūšis </w:t>
      </w:r>
    </w:p>
    <w:p>
      <w:pPr>
        <w:pStyle w:val="StyleTextstand-aloneCustomColorRGB1"/>
      </w:pPr>
      <w:r>
        <w:t>Išlaidos</w:t>
      </w:r>
    </w:p>
    <w:p>
      <w:pPr>
        <w:pStyle w:val="DGTextstand-alone"/>
        <w:spacing w:before="120"/>
        <w:rPr>
          <w:rFonts w:eastAsia="Times New Roman"/>
        </w:rPr>
      </w:pPr>
      <w:r>
        <w:t>Terminas, vartojamas biudžeto išlaidoms iš visų rūšių finansavimo šaltinių apibūdinti.</w:t>
      </w:r>
    </w:p>
    <w:p>
      <w:pPr>
        <w:pStyle w:val="Textstand-alone"/>
        <w:spacing w:after="0"/>
        <w:rPr>
          <w:b/>
        </w:rPr>
      </w:pPr>
      <w:r>
        <w:rPr>
          <w:color w:val="016794"/>
        </w:rPr>
        <w:t>Išorės ir vidaus asignuotosios pajamos</w:t>
      </w:r>
    </w:p>
    <w:p>
      <w:pPr>
        <w:pStyle w:val="StyleTextstand-aloneCustomColorRGB1"/>
        <w:rPr>
          <w:color w:val="auto"/>
          <w:szCs w:val="18"/>
        </w:rPr>
      </w:pPr>
      <w:r>
        <w:rPr>
          <w:color w:val="auto"/>
          <w:szCs w:val="18"/>
        </w:rPr>
        <w:t>Gautos pajamos, skirtos konkretiems išlaidų punktams finansuoti.</w:t>
      </w:r>
    </w:p>
    <w:p>
      <w:pPr>
        <w:pStyle w:val="StyleTextstand-aloneCustomColorRGB1"/>
        <w:rPr>
          <w:i/>
          <w:color w:val="auto"/>
          <w:szCs w:val="18"/>
        </w:rPr>
      </w:pPr>
      <w:r>
        <w:rPr>
          <w:color w:val="auto"/>
          <w:szCs w:val="18"/>
        </w:rPr>
        <w:t xml:space="preserve">Pagrindiniai išorės asignuotųjų pajamų šaltiniai – </w:t>
      </w:r>
      <w:r>
        <w:rPr>
          <w:i/>
          <w:color w:val="auto"/>
          <w:szCs w:val="18"/>
        </w:rPr>
        <w:t>trečiųjų šalių finansiniai įnašai Sąjungos finansuojamoms programoms.</w:t>
      </w:r>
    </w:p>
    <w:p>
      <w:pPr>
        <w:pStyle w:val="StyleTextstand-aloneCustomColorRGB1"/>
        <w:rPr>
          <w:i/>
          <w:color w:val="auto"/>
          <w:szCs w:val="18"/>
        </w:rPr>
      </w:pPr>
      <w:r>
        <w:rPr>
          <w:i/>
          <w:color w:val="auto"/>
          <w:szCs w:val="18"/>
        </w:rPr>
        <w:t>Pagrindiniai vidaus asignuotųjų įplaukų šaltiniai yra iš trečiųjų šalių už jų prašymu patiektas prekes, suteiktas paslaugas arba atliktus darbus gautos pajamos, pajamos, gautos iš sugrąžintų nepagrįstai išmokėtų sumų, ir pajamos iš leidinių ir filmų, įskaitant esančius elektroninėse laikmenose, pardavimo.</w:t>
      </w:r>
    </w:p>
    <w:p>
      <w:pPr>
        <w:pStyle w:val="StyleTextstand-aloneCustomColorRGB1"/>
        <w:rPr>
          <w:color w:val="auto"/>
          <w:szCs w:val="18"/>
        </w:rPr>
      </w:pPr>
      <w:r>
        <w:rPr>
          <w:color w:val="auto"/>
          <w:szCs w:val="18"/>
        </w:rPr>
        <w:t>Išsamus asignuotąsias pajamas sudarančių straipsnių sąrašas pateikiamas Finansinio reglamento 21 straipsnyje.</w:t>
      </w:r>
    </w:p>
    <w:p>
      <w:pPr>
        <w:pStyle w:val="StyleTextstand-aloneCustomColorRGB1"/>
      </w:pPr>
      <w:r>
        <w:t>Įgaliotasis leidimus suteikiantis pareigūnas</w:t>
      </w:r>
    </w:p>
    <w:p>
      <w:pPr>
        <w:pStyle w:val="DGTextstand-alone"/>
        <w:spacing w:before="120"/>
        <w:rPr>
          <w:rFonts w:eastAsia="Times New Roman"/>
        </w:rPr>
      </w:pPr>
      <w:r>
        <w:t>Kiekvienoje įstaigoje įgaliotasis leidimus suteikiantis pareigūnas yra atsakingas už pajamų ir išlaidų tvirtinimą, vadovaujantis gero finansų valdymo principais, ir už tai, kad būtų laikomasi teisėtumo bei taisyklingumo reikalavimų.</w:t>
      </w:r>
    </w:p>
    <w:p>
      <w:pPr>
        <w:pStyle w:val="DGTextstand-alone"/>
        <w:spacing w:before="120"/>
        <w:rPr>
          <w:rFonts w:eastAsia="Times New Roman"/>
        </w:rPr>
      </w:pPr>
      <w:r>
        <w:t>Įgaliotasis leidimus suteikiantis pareigūnas yra atsakingas už visų finansinių sprendimų dėl veiksmų, už kuriuos jis yra atsakingas, priėmimą. Visų pirma, remdamasis savo atlikta rizikos analize, jis turi priimti sprendimus dėl biudžeto vykdymo.</w:t>
      </w:r>
    </w:p>
    <w:p>
      <w:pPr>
        <w:pStyle w:val="StyleTextstand-aloneCustomColorRGB1"/>
      </w:pPr>
      <w:r>
        <w:t>Įgyvendinimas</w:t>
      </w:r>
    </w:p>
    <w:p>
      <w:pPr>
        <w:pStyle w:val="StyleTextstand-aloneCustomColorRGB1"/>
        <w:rPr>
          <w:color w:val="auto"/>
          <w:szCs w:val="18"/>
        </w:rPr>
      </w:pPr>
      <w:r>
        <w:rPr>
          <w:color w:val="auto"/>
          <w:szCs w:val="18"/>
        </w:rPr>
        <w:t xml:space="preserve">Plg. Biudžeto vykdymas </w:t>
      </w:r>
    </w:p>
    <w:p>
      <w:pPr>
        <w:pStyle w:val="StyleTextstand-aloneCustomColorRGB1"/>
      </w:pPr>
      <w:r>
        <w:t>Įsipareigojimų asignavimai</w:t>
      </w:r>
    </w:p>
    <w:p>
      <w:pPr>
        <w:pStyle w:val="DGTextstand-alone"/>
        <w:spacing w:before="120"/>
        <w:rPr>
          <w:rFonts w:eastAsia="Times New Roman"/>
          <w:i/>
        </w:rPr>
      </w:pPr>
      <w:r>
        <w:t xml:space="preserve">Įsipareigojimų asignavimai apima bendras teisinių įsipareigojimų (sutarčių, susitarimų ar sprendimų dėl dotacijų), kurie galėtų būti pasirašyti einamaisiais finansiniais metais, sąnaudas. Finansinio reglamento 7 straipsnis: </w:t>
      </w:r>
      <w:r>
        <w:rPr>
          <w:i/>
        </w:rPr>
        <w:t>Įsipareigojimų asignavimai apima visas einamųjų finansinių metų teisinių įsipareigojimų (sutarčių, dotacijos susitarimų ar sprendimų dėl dotacijų), prisiimtų dėl daugiau kaip vienerius metus trunkančios veiklos, išlaidas.</w:t>
      </w:r>
    </w:p>
    <w:p>
      <w:pPr>
        <w:pStyle w:val="StyleTextstand-aloneCustomColorRGB1"/>
      </w:pPr>
      <w:r>
        <w:t>Įsipareigojimų panaikinimas</w:t>
      </w:r>
    </w:p>
    <w:p>
      <w:pPr>
        <w:pStyle w:val="DGTextstand-alone"/>
        <w:spacing w:before="120"/>
        <w:rPr>
          <w:rFonts w:eastAsia="Times New Roman"/>
        </w:rPr>
      </w:pPr>
      <w:r>
        <w:t>Asignavimų rezervavimo panaikinimas.</w:t>
      </w:r>
    </w:p>
    <w:p>
      <w:pPr>
        <w:pStyle w:val="StyleTextstand-aloneCustomColorRGB1"/>
      </w:pPr>
      <w:r>
        <w:t>Koregavimas</w:t>
      </w:r>
    </w:p>
    <w:p>
      <w:pPr>
        <w:pStyle w:val="DGTextstand-alone"/>
        <w:spacing w:before="120"/>
        <w:rPr>
          <w:rFonts w:eastAsia="Times New Roman"/>
        </w:rPr>
      </w:pPr>
      <w:r>
        <w:t>Biudžeto taisymas arba lėšų perkėlimas iš vieno biudžeto punkto į kitą.</w:t>
      </w:r>
    </w:p>
    <w:p>
      <w:pPr>
        <w:pStyle w:val="StyleTextstand-aloneCustomColorRGB1"/>
      </w:pPr>
      <w:r>
        <w:t>Lėšų susigrąžinimas</w:t>
      </w:r>
    </w:p>
    <w:p>
      <w:pPr>
        <w:pStyle w:val="Text9pItalicLeft025"/>
        <w:spacing w:before="120"/>
        <w:ind w:left="0"/>
        <w:jc w:val="both"/>
        <w:rPr>
          <w:rFonts w:eastAsia="Times New Roman" w:cs="Times New Roman"/>
          <w:i w:val="0"/>
        </w:rPr>
      </w:pPr>
      <w:r>
        <w:rPr>
          <w:i w:val="0"/>
        </w:rPr>
        <w:t>Vykdomasis raštas sumoms susigrąžinti yra procedūra, pagal kurią deleguotasis leidimus suteikiantis pareigūnas užregistruoja Komisijos teisę į išmoką, siekiant atgauti priklausančią sumą. Ši teisė yra Komisijos teisė reikalauti sumos, kurią turi sumokėti skolininkas, paprastai gavėjas.</w:t>
      </w:r>
    </w:p>
    <w:p>
      <w:pPr>
        <w:pStyle w:val="StyleTextstand-aloneCustomColorRGB1"/>
      </w:pPr>
      <w:r>
        <w:t>Metinis periodiškumas</w:t>
      </w:r>
    </w:p>
    <w:p>
      <w:pPr>
        <w:pStyle w:val="DGTextstand-alone"/>
        <w:spacing w:before="120"/>
        <w:rPr>
          <w:rFonts w:eastAsia="Times New Roman"/>
        </w:rPr>
      </w:pPr>
      <w:r>
        <w:t>Biudžeto principas, pagal kurį išlaidos ir pajamos programuojamos ir tvirtinamos vieniems metams, kurie prasideda sausio 1 d. ir baigiasi gruodžio 31 d.</w:t>
      </w:r>
    </w:p>
    <w:p>
      <w:pPr>
        <w:pStyle w:val="StyleTextstand-aloneCustomColorRGB1"/>
      </w:pPr>
      <w:r>
        <w:t>Mokėjimas</w:t>
      </w:r>
    </w:p>
    <w:p>
      <w:pPr>
        <w:pStyle w:val="StyleTextstand-aloneCustomColorRGB1"/>
        <w:rPr>
          <w:color w:val="auto"/>
          <w:szCs w:val="18"/>
        </w:rPr>
      </w:pPr>
      <w:r>
        <w:rPr>
          <w:color w:val="auto"/>
          <w:szCs w:val="18"/>
        </w:rPr>
        <w:t>Mokėjimas yra išmoka, skirta teisiniams įsipareigojimams vykdyti.</w:t>
      </w:r>
    </w:p>
    <w:p>
      <w:pPr>
        <w:pStyle w:val="StyleTextstand-aloneCustomColorRGB1"/>
      </w:pPr>
      <w:r>
        <w:t>Mokėjimų asignavimai</w:t>
      </w:r>
    </w:p>
    <w:p>
      <w:pPr>
        <w:pStyle w:val="StyleTextstand-aloneCustomColorRGB1"/>
        <w:rPr>
          <w:color w:val="auto"/>
          <w:szCs w:val="18"/>
        </w:rPr>
      </w:pPr>
      <w:r>
        <w:rPr>
          <w:color w:val="auto"/>
          <w:szCs w:val="18"/>
        </w:rPr>
        <w:t>Mokėjimų asignavimai apima einamaisiais metais mokėtinas išlaidas, susijusias su einamaisiais ir (arba) ankstesniais metais prisiimtais teisiniais įsipareigojimais (Finansinio reglamento 7 straipsnis).</w:t>
      </w:r>
    </w:p>
    <w:p>
      <w:pPr>
        <w:pStyle w:val="StyleTextstand-aloneCustomColorRGB1"/>
      </w:pPr>
      <w:r>
        <w:t>Nebegaliojantys asignavimai</w:t>
      </w:r>
    </w:p>
    <w:p>
      <w:pPr>
        <w:pStyle w:val="StyleTextstand-aloneCustomColorRGB1"/>
        <w:rPr>
          <w:color w:val="auto"/>
          <w:szCs w:val="18"/>
        </w:rPr>
      </w:pPr>
      <w:r>
        <w:rPr>
          <w:color w:val="auto"/>
          <w:szCs w:val="18"/>
        </w:rPr>
        <w:t xml:space="preserve">Nepanaudoti asignavimai, kurie finansinių metų pabaigoje turi būti panaikinami. </w:t>
      </w:r>
      <w:r>
        <w:rPr>
          <w:i/>
          <w:color w:val="auto"/>
          <w:szCs w:val="18"/>
        </w:rPr>
        <w:t>Nebegaliojimas</w:t>
      </w:r>
      <w:r>
        <w:rPr>
          <w:color w:val="auto"/>
          <w:szCs w:val="18"/>
        </w:rPr>
        <w:t xml:space="preserve"> reiškia viso leidimo (asignavimo) patirti išlaidas ir (arba) prisiimti įsipareigojimus arba jo dalies panaikinimas.</w:t>
      </w:r>
    </w:p>
    <w:p>
      <w:pPr>
        <w:pStyle w:val="StyleTextstand-aloneCustomColorRGB1"/>
        <w:rPr>
          <w:color w:val="auto"/>
          <w:szCs w:val="18"/>
        </w:rPr>
      </w:pPr>
      <w:r>
        <w:rPr>
          <w:color w:val="auto"/>
          <w:szCs w:val="18"/>
        </w:rPr>
        <w:t>Tik bendrųjų įmonių nepanaudoti asignavimai gali būti įrašyti į kitų ne daugiau kaip trejų finansinių metų pajamų ir išlaidų sąmatą (vadinamoji „N + 3“ taisyklė), kaip nurodyta jų finansinėse taisyklėse. Todėl nebegaliojantys BĮ asignavimai galėtų būti vėl panaudoti iki „N + 3“ finansinių metų.</w:t>
      </w:r>
    </w:p>
    <w:p>
      <w:pPr>
        <w:pStyle w:val="StyleTextstand-aloneCustomColorRGB1"/>
      </w:pPr>
      <w:r>
        <w:t>Nediferencijuotieji asignavimai</w:t>
      </w:r>
    </w:p>
    <w:p>
      <w:pPr>
        <w:pStyle w:val="DGTextstand-alone"/>
        <w:spacing w:before="120"/>
        <w:rPr>
          <w:rFonts w:eastAsia="Times New Roman"/>
        </w:rPr>
      </w:pPr>
      <w:r>
        <w:t>Nediferencijuotieji asignavimai skiriami metinio pobūdžio operacijoms. (Finansinio reglamento 9 straipsnis). ES biudžete nediferencijuotieji asignavimai taikomi administracinėms išlaidoms, paramai žemės ūkio rinkai ir tiesioginėms išmokoms.</w:t>
      </w:r>
    </w:p>
    <w:p>
      <w:pPr>
        <w:pStyle w:val="StyleTextstand-aloneCustomColorRGB1"/>
      </w:pPr>
      <w:r>
        <w:t>Neįvykdyti įsipareigojimai</w:t>
      </w:r>
    </w:p>
    <w:p>
      <w:pPr>
        <w:pStyle w:val="DGTextstand-alone"/>
        <w:spacing w:before="120"/>
        <w:rPr>
          <w:rFonts w:eastAsia="Times New Roman"/>
        </w:rPr>
      </w:pPr>
      <w:r>
        <w:t xml:space="preserve">Neįvykdyti įsipareigojimai (arba RAL, pranc. </w:t>
      </w:r>
      <w:r>
        <w:rPr>
          <w:i/>
          <w:iCs/>
        </w:rPr>
        <w:t>reste à liquider</w:t>
      </w:r>
      <w:r>
        <w:t>) apibrėžiami kaip įsipareigota skirti, bet dar nesumokėta asignavimų suma arba teisinių įsipareigojimų, kurie ne visiškai apmokėti, suma. Jie tiesiogiai susiję su daugiamečių programų egzistavimu ir įsipareigojimų ir mokėjimų asignavimų atsiskyrimu.</w:t>
      </w:r>
    </w:p>
    <w:p>
      <w:pPr>
        <w:pStyle w:val="StyleTextstand-aloneCustomColorRGB1"/>
      </w:pPr>
      <w:r>
        <w:t>Pajamos</w:t>
      </w:r>
    </w:p>
    <w:p>
      <w:pPr>
        <w:pStyle w:val="DGTextstand-alone"/>
        <w:spacing w:before="120"/>
        <w:rPr>
          <w:rFonts w:eastAsia="Times New Roman"/>
        </w:rPr>
      </w:pPr>
      <w:r>
        <w:t>Terminas, kuriuo apibūdinamos pajamos iš visų biudžeto finansavimo šaltinių.</w:t>
      </w:r>
    </w:p>
    <w:p>
      <w:pPr>
        <w:pStyle w:val="StyleTextstand-aloneCustomColorRGB1"/>
      </w:pPr>
      <w:r>
        <w:t>Paskirtos pajamos</w:t>
      </w:r>
    </w:p>
    <w:p>
      <w:pPr>
        <w:pStyle w:val="StyleTextstand-aloneCustomColorRGB1"/>
        <w:rPr>
          <w:color w:val="auto"/>
          <w:szCs w:val="18"/>
        </w:rPr>
      </w:pPr>
      <w:r>
        <w:rPr>
          <w:color w:val="auto"/>
          <w:szCs w:val="18"/>
        </w:rPr>
        <w:t>Pajamos, paskirtos konkrečiam tikslui, tokios kaip fondų pajamos, subsidijos, dovanos ir testamentu paliktas turtas, įskaitant kiekvienai konkrečiai institucijai paskirtas pajamas.</w:t>
      </w:r>
    </w:p>
    <w:p>
      <w:pPr>
        <w:pStyle w:val="StyleTextstand-aloneCustomColorRGB1"/>
        <w:rPr>
          <w:color w:val="auto"/>
          <w:szCs w:val="18"/>
        </w:rPr>
      </w:pPr>
      <w:r>
        <w:rPr>
          <w:color w:val="auto"/>
          <w:szCs w:val="18"/>
        </w:rPr>
        <w:t xml:space="preserve">Plg. asignuotosios pajamos </w:t>
      </w:r>
    </w:p>
    <w:p>
      <w:pPr>
        <w:pStyle w:val="StyleTextstand-aloneCustomColorRGB1"/>
      </w:pPr>
      <w:r>
        <w:t>Patvirtintas biudžetas</w:t>
      </w:r>
    </w:p>
    <w:p>
      <w:pPr>
        <w:pStyle w:val="StyleTextstand-aloneCustomColorRGB1"/>
        <w:rPr>
          <w:color w:val="auto"/>
          <w:szCs w:val="18"/>
        </w:rPr>
      </w:pPr>
      <w:r>
        <w:rPr>
          <w:color w:val="auto"/>
          <w:szCs w:val="18"/>
        </w:rPr>
        <w:t>Biudžeto projektas tampa patvirtintu biudžetu, kai jį patvirtina biudžeto valdymo institucija.</w:t>
      </w:r>
    </w:p>
    <w:p>
      <w:pPr>
        <w:pStyle w:val="StyleTextstand-aloneCustomColorRGB1"/>
        <w:rPr>
          <w:color w:val="auto"/>
          <w:szCs w:val="18"/>
        </w:rPr>
      </w:pPr>
      <w:r>
        <w:rPr>
          <w:color w:val="auto"/>
          <w:szCs w:val="18"/>
        </w:rPr>
        <w:t xml:space="preserve">Plg. Biudžetas </w:t>
      </w:r>
    </w:p>
    <w:p>
      <w:pPr>
        <w:pStyle w:val="StyleTextstand-aloneCustomColorRGB1"/>
      </w:pPr>
      <w:r>
        <w:t>Perkėlimas</w:t>
      </w:r>
    </w:p>
    <w:p>
      <w:pPr>
        <w:pStyle w:val="DGTextstand-alone"/>
        <w:spacing w:before="120"/>
        <w:rPr>
          <w:rFonts w:eastAsia="Times New Roman"/>
        </w:rPr>
      </w:pPr>
      <w:r>
        <w:t>Perkėlimai reiškia asignavimų perkėlimą iš vienos biudžeto eilutės į kitą per finansinius metus, todėl jie yra laikomi biudžeto konkretumo principo išimtimi. Tačiau jie yra aiškiai leidžiami pagal Sutartį dėl Europos Sąjungos veikimo Finansiniame reglamente nustatytomis sąlygomis. Finansiniame reglamente išskiriamos atskiros perkėlimų rūšys, priklausomai nuo to, ar perkeliama iš vienos biudžeto antraštinės dalies, skyriaus, straipsnio arba išlaidų kategorijos į kitą ar perkeliama juose, ir jiems atlikti reikalingi skirtingo lygio leidimai.</w:t>
      </w:r>
    </w:p>
    <w:p>
      <w:pPr>
        <w:pStyle w:val="StyleTextstand-aloneCustomColorRGB1"/>
      </w:pPr>
      <w:r>
        <w:t>Perviršis</w:t>
      </w:r>
    </w:p>
    <w:p>
      <w:pPr>
        <w:pStyle w:val="DGTextstand-alone"/>
        <w:spacing w:before="120"/>
        <w:rPr>
          <w:rFonts w:eastAsia="Times New Roman"/>
        </w:rPr>
      </w:pPr>
      <w:r>
        <w:t>Teigiamas pajamų ir išlaidų skirtumas (plg. biudžeto vykdymo rezultatas), kuris turi būti grąžintas finansavimo institucijai, kaip numatyta Finansiniame reglamente.</w:t>
      </w:r>
    </w:p>
    <w:p>
      <w:pPr>
        <w:pStyle w:val="StyleTextstand-aloneCustomColorRGB1"/>
      </w:pPr>
      <w:r>
        <w:t>RAL</w:t>
      </w:r>
    </w:p>
    <w:p>
      <w:pPr>
        <w:pStyle w:val="StyleTextstand-aloneCustomColorRGB1"/>
        <w:rPr>
          <w:color w:val="auto"/>
          <w:szCs w:val="18"/>
        </w:rPr>
      </w:pPr>
      <w:r>
        <w:rPr>
          <w:color w:val="auto"/>
          <w:szCs w:val="18"/>
        </w:rPr>
        <w:t xml:space="preserve">Neįvykdytų įsipareigojimų suma. Plg. Neįvykdyti įsipareigojimai </w:t>
      </w:r>
    </w:p>
    <w:p>
      <w:pPr>
        <w:pStyle w:val="StyleTextstand-aloneCustomColorRGB1"/>
      </w:pPr>
      <w:r>
        <w:t>Rezultatas</w:t>
      </w:r>
    </w:p>
    <w:p>
      <w:pPr>
        <w:pStyle w:val="StyleTextstand-aloneCustomColorRGB1"/>
        <w:rPr>
          <w:rFonts w:eastAsia="Calibri" w:cstheme="minorBidi"/>
          <w:color w:val="auto"/>
          <w:szCs w:val="18"/>
        </w:rPr>
      </w:pPr>
      <w:r>
        <w:rPr>
          <w:color w:val="auto"/>
          <w:szCs w:val="18"/>
        </w:rPr>
        <w:t xml:space="preserve">Plg. Biudžeto rezultatas </w:t>
      </w:r>
    </w:p>
    <w:p>
      <w:pPr>
        <w:pStyle w:val="StyleTextstand-aloneCustomColorRGB1"/>
      </w:pPr>
      <w:r>
        <w:t>Taikymo taisyklės</w:t>
      </w:r>
    </w:p>
    <w:p>
      <w:pPr>
        <w:pStyle w:val="DGTextstand-alone"/>
        <w:spacing w:before="120"/>
        <w:rPr>
          <w:rFonts w:eastAsia="Times New Roman"/>
        </w:rPr>
      </w:pPr>
      <w:r>
        <w:t>Išsamios Finansinio reglamento įgyvendinimo taisyklės. Jos išdėstytos Komisijos reglamente, priimtame pasikonsultavus su visomis institucijomis, ir negali pakeisti finansinio reglamento, nuo kurio jos priklauso.</w:t>
      </w:r>
    </w:p>
    <w:p>
      <w:pPr>
        <w:pStyle w:val="StyleTextstand-aloneCustomColorRGB1"/>
      </w:pPr>
      <w:r>
        <w:t>Taisomasis biudžetas</w:t>
      </w:r>
    </w:p>
    <w:p>
      <w:pPr>
        <w:pStyle w:val="DGTextstand-alone"/>
        <w:spacing w:before="120"/>
      </w:pPr>
      <w:r>
        <w:t>Sprendimas, priimtas per biudžetinius metus iš dalies pakeisti (padidinti, sumažinti, perkelti) tų metų patvirtinto biudžeto aspektus.</w:t>
      </w:r>
    </w:p>
    <w:p>
      <w:pPr>
        <w:pStyle w:val="StyleTextstand-aloneCustomColorRGB1"/>
      </w:pPr>
      <w:r>
        <w:t>Teisės į gautinas sumas</w:t>
      </w:r>
    </w:p>
    <w:p>
      <w:pPr>
        <w:pStyle w:val="DGTextstand-alone"/>
        <w:spacing w:before="120"/>
        <w:rPr>
          <w:rFonts w:eastAsia="Times New Roman"/>
        </w:rPr>
      </w:pPr>
      <w:r>
        <w:t>Teisės į gautinas sumas yra vykdomieji raštai sumoms susigrąžinti, kuriuos Europos Sąjunga turi parengti, kad surinktų pajamas.</w:t>
      </w:r>
    </w:p>
    <w:p>
      <w:pPr>
        <w:pStyle w:val="StyleTextstand-aloneCustomColorRGB1"/>
      </w:pPr>
      <w:r>
        <w:t>Teisinis įsipareigojimas</w:t>
      </w:r>
    </w:p>
    <w:p>
      <w:pPr>
        <w:pStyle w:val="DGTextstand-alone"/>
        <w:spacing w:before="120"/>
      </w:pPr>
      <w:r>
        <w:t>Teisiniu įsipareigojimu nustatoma teisinė prievolė trečiosioms šalims.</w:t>
      </w:r>
    </w:p>
    <w:p>
      <w:pPr>
        <w:pStyle w:val="StyleTextstand-aloneCustomColorRGB1"/>
      </w:pPr>
      <w:r>
        <w:t>Teisinis pagrindas (pagrindinis teisės aktas)</w:t>
      </w:r>
    </w:p>
    <w:p>
      <w:pPr>
        <w:pStyle w:val="StyleTextstand-aloneCustomColorRGB1"/>
        <w:rPr>
          <w:color w:val="auto"/>
          <w:szCs w:val="18"/>
        </w:rPr>
      </w:pPr>
      <w:r>
        <w:rPr>
          <w:color w:val="auto"/>
          <w:szCs w:val="18"/>
        </w:rPr>
        <w:t>Teisinis pagrindas arba pagrindas paprastai yra teisės aktas, grindžiamas Sutarties dėl Europos Sąjungos veikimo straipsniu, kuriuo Bendrijai suteikiama kompetencija konkrečioje politikos srityje ir nustatomos tos kompetencijos, įskaitant biudžeto vykdymą, įgyvendinimo sąlygos. Tam tikrais Sutarties straipsniais Komisijai suteikiamas įgaliojimas imtis tam tikrų veiksmų, dėl kurių gali būti patiriamos išlaidos be papildomo teisės akto.</w:t>
      </w:r>
    </w:p>
    <w:p>
      <w:pPr>
        <w:pStyle w:val="StyleTextstand-aloneCustomColorRGB1"/>
      </w:pPr>
      <w:r>
        <w:t>Valiutos kurso skirtumas</w:t>
      </w:r>
    </w:p>
    <w:p>
      <w:pPr>
        <w:pStyle w:val="DGTextstand-alone"/>
        <w:spacing w:before="120"/>
        <w:rPr>
          <w:rFonts w:eastAsia="Times New Roman"/>
        </w:rPr>
      </w:pPr>
      <w:r>
        <w:t>Skirtumas, susidarantis dėl valiutos keitimo kursų, taikomų sandoriams su euro zonai nepriklausančiomis šalimis, arba dėl turto ir įsipareigojimų perkainojimo užsienio valiuta ataskaitinio laikotarpio pabaigoje.</w:t>
      </w:r>
    </w:p>
    <w:p>
      <w:pPr>
        <w:pStyle w:val="StyleTextstand-aloneCustomColorRGB1"/>
      </w:pPr>
      <w:r>
        <w:t>Veiklos asignavimai</w:t>
      </w:r>
    </w:p>
    <w:p>
      <w:pPr>
        <w:pStyle w:val="DGTextstand-alone"/>
        <w:spacing w:before="120"/>
      </w:pPr>
      <w:r>
        <w:t>Iš veiklos asignavimų finansuojamos įvairios politikos sritys, daugiausia dotacijų arba viešųjų pirkimų forma.</w:t>
      </w:r>
    </w:p>
    <w:bookmarkEnd w:id="1"/>
    <w:bookmarkEnd w:id="161"/>
    <w:p>
      <w:pPr>
        <w:pStyle w:val="StyleTextstand-aloneCustomColorRGB1"/>
      </w:pPr>
    </w:p>
    <w:sectPr>
      <w:headerReference w:type="even" r:id="rId431"/>
      <w:headerReference w:type="default" r:id="rId432"/>
      <w:footerReference w:type="even" r:id="rId433"/>
      <w:footerReference w:type="default" r:id="rId434"/>
      <w:headerReference w:type="first" r:id="rId435"/>
      <w:footerReference w:type="first" r:id="rId436"/>
      <w:pgSz w:w="11906" w:h="16838"/>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utura Lt BT">
    <w:altName w:val="Segoe UI"/>
    <w:charset w:val="00"/>
    <w:family w:val="swiss"/>
    <w:pitch w:val="variable"/>
    <w:sig w:usb0="00000087" w:usb1="00000000" w:usb2="00000000" w:usb3="00000000" w:csb0="0000001B" w:csb1="00000000"/>
  </w:font>
  <w:font w:name="OpenSymbo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N)">
    <w:panose1 w:val="00000000000000000000"/>
    <w:charset w:val="00"/>
    <w:family w:val="swiss"/>
    <w:notTrueType/>
    <w:pitch w:val="variable"/>
    <w:sig w:usb0="00000003" w:usb1="00000000" w:usb2="00000000" w:usb3="00000000" w:csb0="00000001" w:csb1="00000000"/>
  </w:font>
  <w:font w:name="EUAlbertina">
    <w:altName w:val="EU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673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4BC4821" id="Rectangle 3" o:spid="_x0000_s1026" style="position:absolute;margin-left:224.35pt;margin-top:.35pt;width:31.75pt;height:6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V0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DDtYV0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46</w:t>
    </w:r>
    <w:r>
      <w:rPr>
        <w:rFonts w:ascii="Verdana" w:hAnsi="Verdana"/>
        <w:b/>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980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85A1A4E" id="Rectangle 3" o:spid="_x0000_s1026" style="position:absolute;margin-left:224.35pt;margin-top:.35pt;width:31.75pt;height:6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zNUg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AVe5zN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48</w:t>
    </w:r>
    <w:r>
      <w:rPr>
        <w:rFonts w:ascii="Verdana" w:hAnsi="Verdana"/>
        <w:b/>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6300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23541103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198BE53" id="Rectangle 3" o:spid="_x0000_s1026" style="position:absolute;margin-left:224.35pt;margin-top:.35pt;width:31.75pt;height:62.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&#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XK/B5VkCAAC5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49</w:t>
    </w:r>
    <w:r>
      <w:rPr>
        <w:rFonts w:ascii="Verdana" w:hAnsi="Verdana"/>
        <w:b/>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7222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3320340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2B55C4" id="Rectangle 3" o:spid="_x0000_s1026" style="position:absolute;margin-left:224.35pt;margin-top:.35pt;width:31.75pt;height:62.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&#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kMKHcF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w:t>
    </w:r>
    <w:r>
      <w:rPr>
        <w:rFonts w:ascii="Verdana" w:hAnsi="Verdana"/>
        <w:b/>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595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5E55AA8" id="Rectangle 3" o:spid="_x0000_s1026" style="position:absolute;margin-left:224.35pt;margin-top:.35pt;width:31.75pt;height:6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53</w:t>
    </w:r>
    <w:r>
      <w:rPr>
        <w:rFonts w:ascii="Verdana" w:hAnsi="Verdana"/>
        <w:b/>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209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102B86" id="Rectangle 3" o:spid="_x0000_s1026" style="position:absolute;margin-left:224.35pt;margin-top:.35pt;width:31.75pt;height:6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p/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Q8o&#10;UazGGb0ga0ztpCD3np/G2AmmbcwaOs+i6Zs9FlD7b2yDHAOnpwun4ugIx8skvu/3U0o4hobjdJCm&#10;HjO6/tiAdd+Erok3Mgr4eGCSHVbWtannFP+W1bLKl5WUwYHddiGBHJgfb28wHCcd+rs0qUiDDaZ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bJHKf1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54</w:t>
    </w:r>
    <w:r>
      <w:rPr>
        <w:rFonts w:ascii="Verdana" w:hAnsi="Verdana"/>
        <w:b/>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824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6BF5DB" id="Rectangle 3" o:spid="_x0000_s1026" style="position:absolute;margin-left:224.35pt;margin-top:.35pt;width:31.75pt;height:6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nL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cGdZy1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55</w:t>
    </w:r>
    <w:r>
      <w:rPr>
        <w:rFonts w:ascii="Verdana" w:hAnsi="Verdana"/>
        <w:b/>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131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03BA74" id="Rectangle 3" o:spid="_x0000_s1026" style="position:absolute;margin-left:224.35pt;margin-top:.35pt;width:31.75pt;height:6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jW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gQqI1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56</w:t>
    </w:r>
    <w:r>
      <w:rPr>
        <w:rFonts w:ascii="Verdana" w:hAnsi="Verdana"/>
        <w:b/>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4835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FAF6797" id="Rectangle 3" o:spid="_x0000_s1026" style="position:absolute;margin-left:224.35pt;margin-top:.35pt;width:31.75pt;height:62.6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nfwbY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57</w:t>
    </w:r>
    <w:r>
      <w:rPr>
        <w:rFonts w:ascii="Verdana" w:hAnsi="Verdana"/>
        <w:b/>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745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3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19807D" id="Rectangle 3" o:spid="_x0000_s1026" style="position:absolute;margin-left:224.35pt;margin-top:.35pt;width:31.75pt;height:6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AfZvVm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61</w:t>
    </w:r>
    <w:r>
      <w:rPr>
        <w:rFonts w:ascii="Verdana" w:hAnsi="Verdana"/>
        <w:b/>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052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3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417CDD" id="Rectangle 3" o:spid="_x0000_s1026" style="position:absolute;margin-left:224.35pt;margin-top:.35pt;width:31.75pt;height:6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bS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ADkGbS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62</w:t>
    </w:r>
    <w:r>
      <w:rPr>
        <w:rFonts w:ascii="Verdana" w:hAnsi="Verdana"/>
        <w:b/>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667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4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D5B832A" id="Rectangle 3" o:spid="_x0000_s1026" style="position:absolute;margin-left:224.35pt;margin-top:.35pt;width:31.75pt;height:62.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&#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02fPF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63</w:t>
    </w:r>
    <w:r>
      <w:rPr>
        <w:rFonts w:ascii="Verdana" w:hAnsi="Verdana"/>
        <w:b/>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281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4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23C6045" id="Rectangle 3" o:spid="_x0000_s1026" style="position:absolute;margin-left:224.35pt;margin-top:.35pt;width:31.75pt;height:62.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yIWQ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&#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47sMiF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64</w:t>
    </w:r>
    <w:r>
      <w:rPr>
        <w:rFonts w:ascii="Verdana" w:hAnsi="Verdana"/>
        <w:b/>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896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4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C76491" id="Rectangle 3" o:spid="_x0000_s1026" style="position:absolute;margin-left:224.35pt;margin-top:.35pt;width:31.75pt;height:62.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&#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mlFaOl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66</w:t>
    </w:r>
    <w:r>
      <w:rPr>
        <w:rFonts w:ascii="Verdana" w:hAnsi="Verdana"/>
        <w:b/>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8451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3934197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4D21A58" id="Rectangle 3" o:spid="_x0000_s1026" style="position:absolute;margin-left:224.35pt;margin-top:.35pt;width:31.75pt;height:6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w:t>
    </w:r>
    <w:r>
      <w:rPr>
        <w:rFonts w:ascii="Verdana" w:hAnsi="Verdana"/>
        <w:b/>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9203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4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ED4B19E" id="Rectangle 3" o:spid="_x0000_s1026" style="position:absolute;margin-left:224.35pt;margin-top:.35pt;width:31.75pt;height:62.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snWQ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&#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azyLJ1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67</w:t>
    </w:r>
    <w:r>
      <w:rPr>
        <w:rFonts w:ascii="Verdana" w:hAnsi="Verdana"/>
        <w:b/>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9510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4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F4A296" id="Rectangle 3" o:spid="_x0000_s1026" style="position:absolute;margin-left:224.35pt;margin-top:.35pt;width:31.75pt;height:62.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iTWg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&#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HfKGJNaAgAAuA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68</w:t>
    </w:r>
    <w:r>
      <w:rPr>
        <w:rFonts w:ascii="Verdana" w:hAnsi="Verdana"/>
        <w:b/>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9817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5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A228C1" id="Rectangle 3" o:spid="_x0000_s1026" style="position:absolute;margin-left:224.35pt;margin-top:.35pt;width:31.75pt;height:62.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&#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9VD2l1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3600"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11373053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A51F05D" id="Rectangle 3" o:spid="_x0000_s1026" style="position:absolute;margin-left:348.1pt;margin-top:.35pt;width:31.75pt;height:6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&#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CFAEO2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70</w:t>
    </w:r>
    <w:r>
      <w:rPr>
        <w:rFonts w:ascii="Verdana" w:hAnsi="Verdana"/>
        <w:b/>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588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4575358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1495FC" id="Rectangle 3" o:spid="_x0000_s1026" style="position:absolute;margin-left:224.35pt;margin-top:.35pt;width:31.75pt;height:6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&#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I4/NrVaAgAAuQ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71</w:t>
    </w:r>
    <w:r>
      <w:rPr>
        <w:rFonts w:ascii="Verdana" w:hAnsi="Verdana"/>
        <w:b/>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0432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5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7320E9A" id="Rectangle 3" o:spid="_x0000_s1026" style="position:absolute;margin-left:224.35pt;margin-top:.35pt;width:31.75pt;height:62.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UjWQ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&#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6aZlI1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73</w:t>
    </w:r>
    <w:r>
      <w:rPr>
        <w:rFonts w:ascii="Verdana" w:hAnsi="Verdana"/>
        <w:b/>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66080"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8227583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7B8D9C" id="Rectangle 3" o:spid="_x0000_s1026" style="position:absolute;margin-left:348.1pt;margin-top:.35pt;width:31.75pt;height:62.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&#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CuBd6w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74</w:t>
    </w:r>
    <w:r>
      <w:rPr>
        <w:rFonts w:ascii="Verdana" w:hAnsi="Verdana"/>
        <w:b/>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07392"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7887981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89B914E" id="Rectangle 3" o:spid="_x0000_s1026" style="position:absolute;margin-left:348.1pt;margin-top:.35pt;width:31.75pt;height:62.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AlWQIAALg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&#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CMuqAl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75</w:t>
    </w:r>
    <w:r>
      <w:rPr>
        <w:rFonts w:ascii="Verdana" w:hAnsi="Verdana"/>
        <w:b/>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13536"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7887981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E613786" id="Rectangle 3" o:spid="_x0000_s1026" style="position:absolute;margin-left:348.1pt;margin-top:.35pt;width:31.75pt;height:62.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76</w:t>
    </w:r>
    <w:r>
      <w:rPr>
        <w:rFonts w:ascii="Verdana" w:hAnsi="Verdana"/>
        <w:b/>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16608"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78879815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B6E5948" id="Rectangle 3" o:spid="_x0000_s1026" style="position:absolute;margin-left:348.1pt;margin-top:.35pt;width:31.75pt;height:6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&#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BGgioo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77</w:t>
    </w:r>
    <w:r>
      <w:rPr>
        <w:rFonts w:ascii="Verdana" w:hAnsi="Verdana"/>
        <w:b/>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8144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B40227" id="Rectangle 3" o:spid="_x0000_s1026" style="position:absolute;margin-left:224.35pt;margin-top:.35pt;width:31.75pt;height:6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74gUgIAALA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B6k74g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w:t>
    </w:r>
    <w:r>
      <w:rPr>
        <w:rFonts w:ascii="Verdana" w:hAnsi="Verdana"/>
        <w:b/>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22752"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78879815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A02D056" id="Rectangle 3" o:spid="_x0000_s1026" style="position:absolute;margin-left:348.1pt;margin-top:.35pt;width:31.75pt;height:62.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&#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BadLmc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79</w:t>
    </w:r>
    <w:r>
      <w:rPr>
        <w:rFonts w:ascii="Verdana" w:hAnsi="Verdana"/>
        <w:b/>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0124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41263653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8658C0" id="Rectangle 3" o:spid="_x0000_s1026" style="position:absolute;margin-left:224.35pt;margin-top:.35pt;width:31.75pt;height:62.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&#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EefHlFaAgAAuQ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80</w:t>
    </w:r>
    <w:r>
      <w:rPr>
        <w:rFonts w:ascii="Verdana" w:hAnsi="Verdana"/>
        <w:b/>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10464"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71135929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95FD856" id="Rectangle 3" o:spid="_x0000_s1026" style="position:absolute;margin-left:348.1pt;margin-top:.35pt;width:31.75pt;height:62.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81</w:t>
    </w:r>
    <w:r>
      <w:rPr>
        <w:rFonts w:ascii="Verdana" w:hAnsi="Verdana"/>
        <w:b/>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19680" behindDoc="1" locked="0" layoutInCell="1" allowOverlap="1">
              <wp:simplePos x="0" y="0"/>
              <wp:positionH relativeFrom="column">
                <wp:posOffset>2919409</wp:posOffset>
              </wp:positionH>
              <wp:positionV relativeFrom="paragraph">
                <wp:posOffset>-18415</wp:posOffset>
              </wp:positionV>
              <wp:extent cx="403225" cy="795655"/>
              <wp:effectExtent l="0" t="0" r="15875" b="23495"/>
              <wp:wrapNone/>
              <wp:docPr id="39838035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13FBE10" id="Rectangle 3" o:spid="_x0000_s1026" style="position:absolute;margin-left:229.85pt;margin-top:-1.45pt;width:31.75pt;height:62.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83</w:t>
    </w:r>
    <w:r>
      <w:rPr>
        <w:rFonts w:ascii="Verdana" w:hAnsi="Verdana"/>
        <w:b/>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28896"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192113936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F962CA" id="Rectangle 3" o:spid="_x0000_s1026" style="position:absolute;margin-left:348.1pt;margin-top:.35pt;width:31.75pt;height:62.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&#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Cd1SkNWQIAALk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84</w:t>
    </w:r>
    <w:r>
      <w:rPr>
        <w:rFonts w:ascii="Verdana" w:hAnsi="Verdana"/>
        <w:b/>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75296" behindDoc="1" locked="0" layoutInCell="1" allowOverlap="1">
              <wp:simplePos x="0" y="0"/>
              <wp:positionH relativeFrom="column">
                <wp:posOffset>2651447</wp:posOffset>
              </wp:positionH>
              <wp:positionV relativeFrom="paragraph">
                <wp:posOffset>-7431</wp:posOffset>
              </wp:positionV>
              <wp:extent cx="403225" cy="795655"/>
              <wp:effectExtent l="0" t="0" r="15875" b="23495"/>
              <wp:wrapNone/>
              <wp:docPr id="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BAE0FB5" id="Rectangle 3" o:spid="_x0000_s1026" style="position:absolute;margin-left:208.8pt;margin-top:-.6pt;width:31.75pt;height:62.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2UUgIAALA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85</w:t>
    </w:r>
    <w:r>
      <w:rPr>
        <w:rFonts w:ascii="Verdana" w:hAnsi="Verdana"/>
        <w:b/>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25824" behindDoc="1" locked="0" layoutInCell="1" allowOverlap="1">
              <wp:simplePos x="0" y="0"/>
              <wp:positionH relativeFrom="column">
                <wp:posOffset>2651447</wp:posOffset>
              </wp:positionH>
              <wp:positionV relativeFrom="paragraph">
                <wp:posOffset>-7431</wp:posOffset>
              </wp:positionV>
              <wp:extent cx="403225" cy="795655"/>
              <wp:effectExtent l="0" t="0" r="15875" b="23495"/>
              <wp:wrapNone/>
              <wp:docPr id="78879815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3205F47" id="Rectangle 3" o:spid="_x0000_s1026" style="position:absolute;margin-left:208.8pt;margin-top:-.6pt;width:31.75pt;height:62.6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aWg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87</w:t>
    </w:r>
    <w:r>
      <w:rPr>
        <w:rFonts w:ascii="Verdana" w:hAnsi="Verdana"/>
        <w:b/>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31968" behindDoc="1" locked="0" layoutInCell="1" allowOverlap="1">
              <wp:simplePos x="0" y="0"/>
              <wp:positionH relativeFrom="column">
                <wp:posOffset>2651447</wp:posOffset>
              </wp:positionH>
              <wp:positionV relativeFrom="paragraph">
                <wp:posOffset>-7431</wp:posOffset>
              </wp:positionV>
              <wp:extent cx="403225" cy="795655"/>
              <wp:effectExtent l="0" t="0" r="15875" b="23495"/>
              <wp:wrapNone/>
              <wp:docPr id="78879815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C3F517" id="Rectangle 3" o:spid="_x0000_s1026" style="position:absolute;margin-left:208.8pt;margin-top:-.6pt;width:31.75pt;height:62.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89</w:t>
    </w:r>
    <w:r>
      <w:rPr>
        <w:rFonts w:ascii="Verdana" w:hAnsi="Verdana"/>
        <w:b/>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6915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6617120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0FB67A9" id="Rectangle 3" o:spid="_x0000_s1026" style="position:absolute;margin-left:224.35pt;margin-top:.35pt;width:31.75pt;height:62.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&#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LK+MbZaAgAAuQ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90</w:t>
    </w:r>
    <w:r>
      <w:rPr>
        <w:rFonts w:ascii="Verdana" w:hAnsi="Verdana"/>
        <w:b/>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1"/>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r>
      <w:rPr>
        <w:rFonts w:ascii="Arial" w:hAnsi="Arial"/>
        <w:sz w:val="16"/>
        <w:szCs w:val="16"/>
        <w:bdr w:val="nil"/>
      </w:rPr>
      <w:t>puslapis</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5142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C5B2E29" id="Rectangle 3" o:spid="_x0000_s1026" style="position:absolute;margin-left:224.35pt;margin-top:.35pt;width:31.75pt;height:62.6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4zWQ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&#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0vM+M1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127</w:t>
    </w:r>
    <w:r>
      <w:rPr>
        <w:rFonts w:ascii="Verdana" w:hAnsi="Verdana"/>
        <w:b/>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76"/>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2"/>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r>
      <w:rPr>
        <w:rFonts w:ascii="Arial" w:hAnsi="Arial"/>
        <w:sz w:val="16"/>
        <w:szCs w:val="16"/>
        <w:bdr w:val="nil"/>
      </w:rPr>
      <w:t>puslapis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LT</w:t>
    </w:r>
    <w:r>
      <w:rPr>
        <w:rFonts w:ascii="Arial" w:hAnsi="Arial" w:cs="Arial"/>
        <w:b/>
        <w:sz w:val="48"/>
      </w:rPr>
      <w:tab/>
    </w:r>
    <w:r>
      <w:rPr>
        <w:rFonts w:ascii="Arial" w:hAnsi="Arial" w:cs="Arial"/>
        <w:b/>
        <w:sz w:val="48"/>
      </w:rPr>
      <w:tab/>
    </w:r>
    <w:r>
      <w:tab/>
    </w:r>
    <w:r>
      <w:rPr>
        <w:rFonts w:ascii="Arial" w:hAnsi="Arial" w:cs="Arial"/>
        <w:b/>
        <w:sz w:val="48"/>
      </w:rPr>
      <w:t>LT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5686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73820398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44148A" id="Rectangle 3" o:spid="_x0000_s1026" style="position:absolute;margin-left:224.35pt;margin-top:.35pt;width:31.75pt;height:62.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&#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Kl55+5aAgAAuQ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w:t>
    </w:r>
    <w:r>
      <w:rPr>
        <w:rFonts w:ascii="Verdana" w:hAnsi="Verdana"/>
        <w:b/>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5449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5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977D89" id="Rectangle 3" o:spid="_x0000_s1026" style="position:absolute;margin-left:224.35pt;margin-top:.35pt;width:31.75pt;height:62.6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2HWg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&#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M4FrYdaAgAAuA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129</w:t>
    </w:r>
    <w:r>
      <w:rPr>
        <w:rFonts w:ascii="Verdana" w:hAnsi="Verdana"/>
        <w:b/>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22"/>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3"/>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r>
      <w:rPr>
        <w:rFonts w:ascii="Arial" w:hAnsi="Arial"/>
        <w:sz w:val="16"/>
        <w:szCs w:val="16"/>
        <w:bdr w:val="nil"/>
      </w:rPr>
      <w:t>puslapis</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5756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6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1D20E69" id="Rectangle 3" o:spid="_x0000_s1026" style="position:absolute;margin-left:224.35pt;margin-top:.35pt;width:31.75pt;height:62.6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&#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PgAoql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147</w:t>
    </w:r>
    <w:r>
      <w:rPr>
        <w:rFonts w:ascii="Verdana" w:hAnsi="Verdana"/>
        <w:b/>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26"/>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7"/>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r>
      <w:rPr>
        <w:rFonts w:ascii="Arial" w:hAnsi="Arial"/>
        <w:sz w:val="16"/>
        <w:szCs w:val="16"/>
        <w:bdr w:val="nil"/>
      </w:rPr>
      <w:t>puslapis</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6064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6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C8F77D" id="Rectangle 3" o:spid="_x0000_s1026" style="position:absolute;margin-left:224.35pt;margin-top:.35pt;width:31.75pt;height:62.6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rseWQ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&#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Iva7Hl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148</w:t>
    </w:r>
    <w:r>
      <w:rPr>
        <w:rFonts w:ascii="Verdana" w:hAnsi="Verdana"/>
        <w:b/>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r>
      <w:rPr>
        <w:rFonts w:ascii="Arial" w:hAnsi="Arial"/>
        <w:sz w:val="16"/>
        <w:szCs w:val="16"/>
        <w:bdr w:val="nil"/>
      </w:rPr>
      <w:t>puslapis</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rPr>
        <w:bdr w:val="nil"/>
      </w:rP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230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25280CA" id="Rectangle 3" o:spid="_x0000_s1026" style="position:absolute;margin-left:224.35pt;margin-top:.35pt;width:31.75pt;height:62.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4YWQIAALg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&#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R+p+GF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154</w:t>
    </w:r>
    <w:r>
      <w:rPr>
        <w:rFonts w:ascii="Verdana" w:hAnsi="Verdana"/>
        <w:b/>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8758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979A660" id="Rectangle 3" o:spid="_x0000_s1026" style="position:absolute;margin-left:224.35pt;margin-top:.35pt;width:31.75pt;height:62.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eZUg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CsXaeZ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w:t>
    </w:r>
    <w:r>
      <w:rPr>
        <w:rFonts w:ascii="Verdana" w:hAnsi="Verdana"/>
        <w:b/>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9065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79FEEB" id="Rectangle 3" o:spid="_x0000_s1026" style="position:absolute;margin-left:224.35pt;margin-top:.35pt;width:31.75pt;height:62.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QtUg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CwqzQt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w:t>
    </w:r>
    <w:r>
      <w:rPr>
        <w:rFonts w:ascii="Verdana" w:hAnsi="Verdana"/>
        <w:b/>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9372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095E4F" id="Rectangle 3" o:spid="_x0000_s1026" style="position:absolute;margin-left:224.35pt;margin-top:.35pt;width:31.75pt;height:62.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rUg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DVt/Er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w:t>
    </w:r>
    <w:r>
      <w:rPr>
        <w:rFonts w:ascii="Verdana" w:hAnsi="Verdana"/>
        <w:b/>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9680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00182E" id="Rectangle 3" o:spid="_x0000_s1026" style="position:absolute;margin-left:224.35pt;margin-top:.35pt;width:31.75pt;height:62.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KfUgIAALA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DJQWKf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w:t>
    </w:r>
    <w:r>
      <w:rPr>
        <w:rFonts w:ascii="Verdana" w:hAnsi="Verdana"/>
        <w:b/>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9987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F3118E" id="Rectangle 3" o:spid="_x0000_s1026" style="position:absolute;margin-left:224.35pt;margin-top:.35pt;width:31.75pt;height:6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OCUg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A4LLOC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w:t>
    </w:r>
    <w:r>
      <w:rPr>
        <w:rFonts w:ascii="Verdana" w:hAnsi="Verdana"/>
        <w:b/>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3664"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23409796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E660C85" id="Rectangle 3" o:spid="_x0000_s1026" style="position:absolute;margin-left:348.1pt;margin-top:.35pt;width:31.75pt;height:6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&#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A8+ovO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w:t>
    </w:r>
    <w:r>
      <w:rPr>
        <w:rFonts w:ascii="Verdana" w:hAnsi="Verdana"/>
        <w:b/>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9024"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125DB09" id="Rectangle 3" o:spid="_x0000_s1026" style="position:absolute;margin-left:348.1pt;margin-top:.35pt;width:31.75pt;height:6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w:t>
    </w:r>
    <w:r>
      <w:rPr>
        <w:rFonts w:ascii="Verdana" w:hAnsi="Verdana"/>
        <w:b/>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4384"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1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AF2A03" id="Rectangle 3" o:spid="_x0000_s1026" style="position:absolute;margin-left:348.1pt;margin-top:.35pt;width:31.75pt;height:6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w:t>
    </w:r>
    <w:r>
      <w:rPr>
        <w:rFonts w:ascii="Verdana" w:hAnsi="Verdana"/>
        <w:b/>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9744"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1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7BE9CE6" id="Rectangle 3" o:spid="_x0000_s1026" style="position:absolute;margin-left:348.1pt;margin-top:.35pt;width:31.75pt;height:6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37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w:t>
    </w:r>
    <w:r>
      <w:rPr>
        <w:rFonts w:ascii="Verdana" w:hAnsi="Verdana"/>
        <w:b/>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02944"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1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1C4974C" id="Rectangle 3" o:spid="_x0000_s1026" style="position:absolute;margin-left:348.1pt;margin-top:.35pt;width:31.75pt;height:62.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j9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w:t>
    </w:r>
    <w:r>
      <w:rPr>
        <w:rFonts w:ascii="Verdana" w:hAnsi="Verdana"/>
        <w:b/>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06016" behindDoc="1" locked="0" layoutInCell="1" allowOverlap="1">
              <wp:simplePos x="0" y="0"/>
              <wp:positionH relativeFrom="column">
                <wp:posOffset>2872798</wp:posOffset>
              </wp:positionH>
              <wp:positionV relativeFrom="paragraph">
                <wp:posOffset>-7430</wp:posOffset>
              </wp:positionV>
              <wp:extent cx="403225" cy="795655"/>
              <wp:effectExtent l="0" t="0" r="15875" b="23495"/>
              <wp:wrapNone/>
              <wp:docPr id="210505474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8C928B" id="Rectangle 3" o:spid="_x0000_s1026" style="position:absolute;margin-left:226.2pt;margin-top:-.6pt;width:31.75pt;height:6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w:t>
    </w:r>
    <w:r>
      <w:rPr>
        <w:rFonts w:ascii="Verdana" w:hAnsi="Verdana"/>
        <w:b/>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5993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39643615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4D4EB2" id="Rectangle 3" o:spid="_x0000_s1026" style="position:absolute;margin-left:224.35pt;margin-top:.35pt;width:31.75pt;height:62.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&#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BFTlFVaAgAAuQ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22</w:t>
    </w:r>
    <w:r>
      <w:rPr>
        <w:rFonts w:ascii="Verdana" w:hAnsi="Verdana"/>
        <w:b/>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0908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276EAB" id="Rectangle 3" o:spid="_x0000_s1026" style="position:absolute;margin-left:224.35pt;margin-top:.35pt;width:31.75pt;height:62.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VtJUw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COVbSV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27</w:t>
    </w:r>
    <w:r>
      <w:rPr>
        <w:rFonts w:ascii="Verdana" w:hAnsi="Verdana"/>
        <w:b/>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1216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5BC33B" id="Rectangle 3" o:spid="_x0000_s1026" style="position:absolute;margin-left:224.35pt;margin-top:.35pt;width:31.75pt;height:6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Lw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4QS&#10;xWqc0QuyxtROCnLv+WmMnWDaxqyh8yyavtljAbX/xjbIMXB6unAqjo5wvEzi+34/pYRjaDhOB2nq&#10;MaPrjw1Y903omngjo4CPBybZYWVdm3pO8W9ZLat8WUkZHNhtFxLIgfnx9gbDcdKhv0uTijQZ7ad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3itC8F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20</w:t>
    </w:r>
    <w:r>
      <w:rPr>
        <w:rFonts w:ascii="Verdana" w:hAnsi="Verdana"/>
        <w:b/>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2137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55978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E04AD3A" id="Rectangle 3" o:spid="_x0000_s1026" style="position:absolute;margin-left:224.35pt;margin-top:.35pt;width:31.75pt;height:6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g5VwIAALY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059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0764230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CE93867" id="Rectangle 3" o:spid="_x0000_s1026" style="position:absolute;margin-left:224.35pt;margin-top:.35pt;width:31.75pt;height:6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&#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fINcfV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28</w:t>
    </w:r>
    <w:r>
      <w:rPr>
        <w:rFonts w:ascii="Verdana" w:hAnsi="Verdana"/>
        <w:b/>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3606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1182775" id="Rectangle 3" o:spid="_x0000_s1026" style="position:absolute;margin-left:224.35pt;margin-top:.35pt;width:31.75pt;height:62.6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FE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wt3RRF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30</w:t>
    </w:r>
    <w:r>
      <w:rPr>
        <w:rFonts w:ascii="Verdana" w:hAnsi="Verdana"/>
        <w:b/>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3913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71ACA4" id="Rectangle 3" o:spid="_x0000_s1026" style="position:absolute;margin-left:224.35pt;margin-top:.35pt;width:31.75pt;height:62.6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RC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p8EUQ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32</w:t>
    </w:r>
    <w:r>
      <w:rPr>
        <w:rFonts w:ascii="Verdana" w:hAnsi="Verdana"/>
        <w:b/>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4220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170AF8" id="Rectangle 3" o:spid="_x0000_s1026" style="position:absolute;margin-left:224.35pt;margin-top:.35pt;width:31.75pt;height:62.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f2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uzeH9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36</w:t>
    </w:r>
    <w:r>
      <w:rPr>
        <w:rFonts w:ascii="Verdana" w:hAnsi="Verdana"/>
        <w:b/>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7836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1D632A6" id="Rectangle 3" o:spid="_x0000_s1026" style="position:absolute;margin-left:224.35pt;margin-top:.35pt;width:31.75pt;height:6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iSUQ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w:t>
    </w:r>
    <w:r>
      <w:rPr>
        <w:rFonts w:ascii="Verdana" w:hAnsi="Verdana"/>
        <w:b/>
        <w:color w:val="FFFFFF"/>
        <w:sz w:val="18"/>
        <w:szCs w:val="18"/>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1523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302B0DB" id="Rectangle 3" o:spid="_x0000_s1026" style="position:absolute;margin-left:224.35pt;margin-top:.35pt;width:31.75pt;height:6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br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SlpW61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37</w:t>
    </w:r>
    <w:r>
      <w:rPr>
        <w:rFonts w:ascii="Verdana" w:hAnsi="Verdana"/>
        <w:b/>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1830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E3C33DF" id="Rectangle 3" o:spid="_x0000_s1026" style="position:absolute;margin-left:224.35pt;margin-top:.35pt;width:31.75pt;height:6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VqzFX1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39</w:t>
    </w:r>
    <w:r>
      <w:rPr>
        <w:rFonts w:ascii="Verdana" w:hAnsi="Verdana"/>
        <w:b/>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4528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4154B5" id="Rectangle 3" o:spid="_x0000_s1026" style="position:absolute;margin-left:224.35pt;margin-top:.35pt;width:31.75pt;height:62.6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40</w:t>
    </w:r>
    <w:r>
      <w:rPr>
        <w:rFonts w:ascii="Verdana" w:hAnsi="Verdana"/>
        <w:b/>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2444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A4AF792" id="Rectangle 3" o:spid="_x0000_s1026" style="position:absolute;margin-left:224.35pt;margin-top:.35pt;width:31.75pt;height:6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PG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ul/Tx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41</w:t>
    </w:r>
    <w:r>
      <w:rPr>
        <w:rFonts w:ascii="Verdana" w:hAnsi="Verdana"/>
        <w:b/>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2880"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78879814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407D44F" id="Rectangle 3" o:spid="_x0000_s1026" style="position:absolute;margin-left:348.1pt;margin-top:.35pt;width:31.75pt;height:6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mOWg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42</w:t>
    </w:r>
    <w:r>
      <w:rPr>
        <w:rFonts w:ascii="Verdana" w:hAnsi="Verdana"/>
        <w:b/>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414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0819377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390DA7" id="Rectangle 3" o:spid="_x0000_s1026" style="position:absolute;margin-left:224.35pt;margin-top:.35pt;width:31.75pt;height:6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&#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vBE5e1kCAAC5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44</w:t>
    </w:r>
    <w:r>
      <w:rPr>
        <w:rFonts w:ascii="Verdana" w:hAnsi="Verdana"/>
        <w:b/>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2752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0B4F662" id="Rectangle 3" o:spid="_x0000_s1026" style="position:absolute;margin-left:224.35pt;margin-top:.35pt;width:31.75pt;height:6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bA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30MWwF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45</w:t>
    </w:r>
    <w:r>
      <w:rPr>
        <w:rFonts w:ascii="Verdana" w:hAnsi="Verdana"/>
        <w:b/>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Default"/>
        <w:rPr>
          <w:rFonts w:ascii="Verdana" w:eastAsia="Times New Roman" w:hAnsi="Verdana" w:cs="EUAlbertina"/>
          <w:sz w:val="16"/>
          <w:szCs w:val="16"/>
        </w:rPr>
      </w:pPr>
      <w:r>
        <w:rPr>
          <w:rStyle w:val="FootnoteReference"/>
          <w:rFonts w:ascii="Verdana" w:hAnsi="Verdana"/>
          <w:sz w:val="18"/>
          <w:szCs w:val="18"/>
        </w:rPr>
        <w:footnoteRef/>
      </w:r>
      <w:r>
        <w:rPr>
          <w:color w:val="auto"/>
          <w:sz w:val="14"/>
          <w:szCs w:val="14"/>
        </w:rPr>
        <w:t>OL L 210, 2013 8 6, p. 1.</w:t>
      </w:r>
    </w:p>
  </w:footnote>
  <w:footnote w:id="2">
    <w:p>
      <w:pPr>
        <w:pStyle w:val="Default"/>
        <w:rPr>
          <w:sz w:val="16"/>
          <w:szCs w:val="16"/>
        </w:rPr>
      </w:pPr>
      <w:r>
        <w:rPr>
          <w:rStyle w:val="FootnoteReference"/>
          <w:rFonts w:ascii="Verdana" w:hAnsi="Verdana"/>
          <w:sz w:val="18"/>
          <w:szCs w:val="18"/>
        </w:rPr>
        <w:footnoteRef/>
      </w:r>
      <w:r>
        <w:rPr>
          <w:rStyle w:val="FootnoteReference"/>
          <w:sz w:val="14"/>
          <w:szCs w:val="14"/>
          <w:vertAlign w:val="baseline"/>
        </w:rPr>
        <w:t>2018 m. lapkričio 26 d. Tarybos reglamentas (ES) 2018/1877 dėl 11-ajam Europos plėtros fondui taikomo finansinio reglamento, panaikinantis Reglamentą (ES) 2015/323.</w:t>
      </w:r>
    </w:p>
  </w:footnote>
  <w:footnote w:id="3">
    <w:p>
      <w:pPr>
        <w:pStyle w:val="Text8pNormalLeft"/>
        <w:jc w:val="both"/>
        <w:rPr>
          <w:sz w:val="14"/>
          <w:szCs w:val="14"/>
        </w:rPr>
      </w:pPr>
      <w:r>
        <w:rPr>
          <w:rStyle w:val="FootnoteReference"/>
          <w:sz w:val="18"/>
          <w:szCs w:val="18"/>
        </w:rPr>
        <w:footnoteRef/>
      </w:r>
      <w:r>
        <w:rPr>
          <w:sz w:val="14"/>
          <w:szCs w:val="14"/>
        </w:rPr>
        <w:t xml:space="preserve"> Remiantis 11-ajam Europos plėtros fondui taikomo finansinio reglamento 53 straipsnio nuostatomis, iždo lėšos nurodomos 11-ojo EPF balanse. Įvairių banko sąskaitų pobūdis nurodytas 5 skyriuje „Finansinės rizikos valdymas“.</w:t>
      </w:r>
    </w:p>
  </w:footnote>
  <w:footnote w:id="4">
    <w:p>
      <w:pPr>
        <w:pStyle w:val="FootnoteText"/>
        <w:ind w:left="142" w:hanging="142"/>
      </w:pPr>
      <w:r>
        <w:rPr>
          <w:rStyle w:val="FootnoteReference"/>
          <w:rFonts w:ascii="Verdana" w:hAnsi="Verdana"/>
          <w:sz w:val="18"/>
          <w:szCs w:val="18"/>
        </w:rPr>
        <w:footnoteRef/>
      </w:r>
      <w:r>
        <w:t xml:space="preserve"> </w:t>
      </w:r>
      <w:r>
        <w:rPr>
          <w:rFonts w:ascii="Verdana" w:hAnsi="Verdana"/>
          <w:sz w:val="16"/>
          <w:szCs w:val="16"/>
        </w:rPr>
        <w:t>2018 m. liepos 18 d. Europos Parlamento ir Tarybos reglamentas (ES, Euratomas) 2018/1046 dėl Sąjungos bendrajam biudžetui taikomų finansinių taisyklių.</w:t>
      </w:r>
    </w:p>
  </w:footnote>
  <w:footnote w:id="5">
    <w:p>
      <w:pPr>
        <w:pStyle w:val="FootnoteText"/>
        <w:ind w:left="142" w:hanging="142"/>
      </w:pPr>
      <w:r>
        <w:rPr>
          <w:rStyle w:val="FootnoteReference"/>
          <w:rFonts w:ascii="Verdana" w:hAnsi="Verdana"/>
          <w:sz w:val="18"/>
          <w:szCs w:val="18"/>
        </w:rPr>
        <w:footnoteRef/>
      </w:r>
      <w:r>
        <w:t xml:space="preserve"> </w:t>
      </w:r>
      <w:r>
        <w:rPr>
          <w:rFonts w:ascii="Verdana" w:hAnsi="Verdana"/>
          <w:sz w:val="16"/>
          <w:szCs w:val="16"/>
        </w:rPr>
        <w:t>2018 m. lapkričio 26 d. Tarybos reglamentas (ES) 2018/1877 dėl 11-ajam Europos plėtros fondui taikomo finansinio reglamento, panaikinantis Reglamentą (ES) 2015/323.</w:t>
      </w:r>
    </w:p>
  </w:footnote>
  <w:footnote w:id="6">
    <w:p>
      <w:pPr>
        <w:pStyle w:val="FootnoteText"/>
        <w:ind w:left="142" w:hanging="142"/>
        <w:rPr>
          <w:rFonts w:ascii="Verdana" w:hAnsi="Verdana"/>
          <w:sz w:val="14"/>
          <w:szCs w:val="14"/>
        </w:rPr>
      </w:pPr>
      <w:r>
        <w:rPr>
          <w:rStyle w:val="FootnoteReference"/>
          <w:rFonts w:ascii="Verdana" w:hAnsi="Verdana"/>
          <w:sz w:val="18"/>
          <w:szCs w:val="18"/>
        </w:rPr>
        <w:footnoteRef/>
      </w:r>
      <w:r>
        <w:t xml:space="preserve"> </w:t>
      </w:r>
      <w:r>
        <w:rPr>
          <w:rFonts w:ascii="Verdana" w:hAnsi="Verdana"/>
          <w:sz w:val="14"/>
          <w:szCs w:val="14"/>
        </w:rPr>
        <w:t>2018 m. liepos 18 d. Europos Parlamento ir Tarybos reglamentas (ES, Euratomas) 2018/1046 dėl Sąjungos bendrajam biudžetui taikomų finansinių taisyklių.</w:t>
      </w:r>
    </w:p>
  </w:footnote>
  <w:footnote w:id="7">
    <w:p>
      <w:pPr>
        <w:pStyle w:val="FootnoteText"/>
        <w:ind w:left="142" w:hanging="142"/>
      </w:pPr>
      <w:r>
        <w:rPr>
          <w:rStyle w:val="FootnoteReference"/>
          <w:rFonts w:ascii="Verdana" w:hAnsi="Verdana"/>
          <w:sz w:val="18"/>
          <w:szCs w:val="18"/>
        </w:rPr>
        <w:footnoteRef/>
      </w:r>
      <w:r>
        <w:rPr>
          <w:rFonts w:ascii="Verdana" w:hAnsi="Verdana"/>
          <w:sz w:val="14"/>
          <w:szCs w:val="14"/>
        </w:rPr>
        <w:t xml:space="preserve"> 2018 m. lapkričio 26 d. Tarybos reglamentas (ES) 2018/1877 dėl 11-ajam Europos plėtros fondui taikomo finansinio reglamento, panaikinantis Reglamentą (ES) 2015/323.</w:t>
      </w:r>
    </w:p>
  </w:footnote>
  <w:footnote w:id="8">
    <w:p>
      <w:pPr>
        <w:pStyle w:val="FootnoteText"/>
      </w:pPr>
      <w:r>
        <w:rPr>
          <w:rStyle w:val="FootnoteReference"/>
          <w:rFonts w:ascii="Verdana" w:hAnsi="Verdana"/>
          <w:sz w:val="18"/>
          <w:szCs w:val="18"/>
        </w:rPr>
        <w:footnoteRef/>
      </w:r>
      <w:r>
        <w:rPr>
          <w:rFonts w:ascii="Verdana" w:hAnsi="Verdana"/>
          <w:sz w:val="18"/>
          <w:szCs w:val="18"/>
        </w:rPr>
        <w:t xml:space="preserve"> </w:t>
      </w:r>
      <w:r>
        <w:rPr>
          <w:rFonts w:ascii="Verdana" w:hAnsi="Verdana"/>
          <w:sz w:val="14"/>
          <w:szCs w:val="14"/>
        </w:rPr>
        <w:t>Tarp programų bei veiklos komitetų papildomų išmokų patvirtinimo ir oficialaus įsipareigojimo ABAC sistemoje momento susidaro laiko tarpas. 2019 m. pabaigoje bendra įsipareigota suma buvo 722,7 mln. EUR.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0"/>
      <w:pBdr>
        <w:top w:val="nil"/>
        <w:left w:val="nil"/>
        <w:bottom w:val="nil"/>
        <w:right w:val="nil"/>
        <w:between w:val="nil"/>
        <w:bar w:val="nil"/>
      </w:pBdr>
      <w:jc w:val="center"/>
      <w:rPr>
        <w:rFonts w:ascii="Arial" w:hAnsi="Arial"/>
        <w:b/>
        <w:bdr w:val="nil"/>
      </w:rPr>
    </w:pPr>
    <w:r>
      <w:rPr>
        <w:rFonts w:ascii="Arial" w:hAnsi="Arial"/>
        <w:b/>
        <w:bdr w:val="nil"/>
      </w:rPr>
      <w:t>INVESTICINĖ PRIEMONĖ</w:t>
    </w:r>
  </w:p>
  <w:p>
    <w:pPr>
      <w:pStyle w:val="Header10"/>
      <w:pBdr>
        <w:top w:val="nil"/>
        <w:left w:val="nil"/>
        <w:bottom w:val="nil"/>
        <w:right w:val="nil"/>
        <w:between w:val="nil"/>
        <w:bar w:val="nil"/>
      </w:pBdr>
      <w:jc w:val="center"/>
      <w:rPr>
        <w:rFonts w:ascii="Arial" w:hAnsi="Arial"/>
        <w:b/>
        <w:bdr w:val="nil"/>
        <w:lang w:val="fr-CH"/>
      </w:rP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76"/>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10"/>
      <w:pBdr>
        <w:top w:val="nil"/>
        <w:left w:val="nil"/>
        <w:bottom w:val="nil"/>
        <w:right w:val="nil"/>
        <w:between w:val="nil"/>
        <w:bar w:val="nil"/>
      </w:pBdr>
      <w:jc w:val="center"/>
      <w:rPr>
        <w:rFonts w:ascii="Arial" w:hAnsi="Arial"/>
        <w:b/>
        <w:bdr w:val="nil"/>
      </w:rPr>
    </w:pPr>
    <w:r>
      <w:rPr>
        <w:rFonts w:ascii="Arial" w:hAnsi="Arial"/>
        <w:b/>
        <w:bdr w:val="nil"/>
      </w:rPr>
      <w:t>INVESTICINĖ PRIEMONĖ</w:t>
    </w:r>
  </w:p>
  <w:p>
    <w:pPr>
      <w:pStyle w:val="Header110"/>
      <w:pBdr>
        <w:top w:val="nil"/>
        <w:left w:val="nil"/>
        <w:bottom w:val="nil"/>
        <w:right w:val="nil"/>
        <w:between w:val="nil"/>
        <w:bar w:val="nil"/>
      </w:pBdr>
      <w:jc w:val="center"/>
      <w:rPr>
        <w:rFonts w:ascii="Arial" w:hAnsi="Arial"/>
        <w:b/>
        <w:bdr w:val="nil"/>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22"/>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20"/>
      <w:pBdr>
        <w:top w:val="nil"/>
        <w:left w:val="nil"/>
        <w:bottom w:val="nil"/>
        <w:right w:val="nil"/>
        <w:between w:val="nil"/>
        <w:bar w:val="nil"/>
      </w:pBdr>
      <w:jc w:val="center"/>
      <w:rPr>
        <w:rFonts w:ascii="Arial" w:hAnsi="Arial"/>
        <w:b/>
        <w:bdr w:val="nil"/>
      </w:rPr>
    </w:pPr>
    <w:r>
      <w:rPr>
        <w:rFonts w:ascii="Arial" w:hAnsi="Arial"/>
        <w:b/>
        <w:bdr w:val="nil"/>
      </w:rPr>
      <w:t>INVESTICINĖ PRIEMONĖ</w:t>
    </w:r>
  </w:p>
  <w:p>
    <w:pPr>
      <w:pStyle w:val="Header120"/>
      <w:pBdr>
        <w:top w:val="nil"/>
        <w:left w:val="nil"/>
        <w:bottom w:val="nil"/>
        <w:right w:val="nil"/>
        <w:between w:val="nil"/>
        <w:bar w:val="nil"/>
      </w:pBdr>
      <w:jc w:val="center"/>
      <w:rPr>
        <w:rFonts w:ascii="Arial" w:hAnsi="Arial"/>
        <w:b/>
        <w:bdr w:val="nil"/>
        <w:lang w:val="fr-CH"/>
      </w:rP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26"/>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3"/>
      <w:pBdr>
        <w:top w:val="nil"/>
        <w:left w:val="nil"/>
        <w:bottom w:val="nil"/>
        <w:right w:val="nil"/>
        <w:between w:val="nil"/>
        <w:bar w:val="nil"/>
      </w:pBdr>
      <w:suppressAutoHyphens w:val="0"/>
      <w:jc w:val="center"/>
      <w:rPr>
        <w:rFonts w:ascii="Arial" w:hAnsi="Arial"/>
        <w:b/>
        <w:sz w:val="20"/>
        <w:szCs w:val="20"/>
        <w:bdr w:val="nil"/>
      </w:rPr>
    </w:pPr>
    <w:r>
      <w:rPr>
        <w:rFonts w:ascii="Arial" w:hAnsi="Arial"/>
        <w:b/>
        <w:sz w:val="20"/>
        <w:szCs w:val="20"/>
        <w:bdr w:val="nil"/>
      </w:rPr>
      <w:t>INVESTICINĖ PRIEMONĖ</w:t>
    </w:r>
  </w:p>
  <w:p>
    <w:pPr>
      <w:pStyle w:val="Header3"/>
      <w:pBdr>
        <w:top w:val="nil"/>
        <w:left w:val="nil"/>
        <w:bottom w:val="nil"/>
        <w:right w:val="nil"/>
        <w:between w:val="nil"/>
        <w:bar w:val="nil"/>
      </w:pBdr>
      <w:suppressAutoHyphens w:val="0"/>
      <w:jc w:val="center"/>
      <w:rPr>
        <w:rFonts w:ascii="Arial" w:hAnsi="Arial"/>
        <w:b/>
        <w:sz w:val="20"/>
        <w:szCs w:val="20"/>
        <w:bdr w:val="nil"/>
        <w:lang w:val="fr-CH" w:eastAsia="en-US"/>
      </w:rP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
      <w:pBdr>
        <w:top w:val="nil"/>
        <w:left w:val="nil"/>
        <w:bottom w:val="nil"/>
        <w:right w:val="nil"/>
        <w:between w:val="nil"/>
        <w:bar w:val="nil"/>
      </w:pBdr>
      <w:jc w:val="center"/>
      <w:rPr>
        <w:rFonts w:ascii="Arial" w:hAnsi="Arial"/>
        <w:b/>
        <w:bdr w:val="nil"/>
      </w:rPr>
    </w:pPr>
    <w:r>
      <w:rPr>
        <w:rFonts w:ascii="Arial" w:hAnsi="Arial"/>
        <w:b/>
        <w:bdr w:val="nil"/>
      </w:rPr>
      <w:t>INVESTICINĖ PRIEMONĖ</w:t>
    </w:r>
  </w:p>
  <w:p>
    <w:pPr>
      <w:pStyle w:val="Header1"/>
      <w:pBdr>
        <w:top w:val="nil"/>
        <w:left w:val="nil"/>
        <w:bottom w:val="nil"/>
        <w:right w:val="nil"/>
        <w:between w:val="nil"/>
        <w:bar w:val="nil"/>
      </w:pBdr>
      <w:jc w:val="center"/>
      <w:rPr>
        <w:rFonts w:ascii="Arial" w:hAnsi="Arial"/>
        <w:b/>
        <w:bdr w:val="nil"/>
        <w:lang w:val="fr-CH"/>
      </w:rP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0"/>
      <w:pBdr>
        <w:top w:val="nil"/>
        <w:left w:val="nil"/>
        <w:bottom w:val="nil"/>
        <w:right w:val="nil"/>
        <w:between w:val="nil"/>
        <w:bar w:val="nil"/>
      </w:pBdr>
      <w:jc w:val="center"/>
      <w:rPr>
        <w:rFonts w:ascii="Arial" w:hAnsi="Arial"/>
        <w:b/>
        <w:bdr w:val="nil"/>
        <w:lang w:val="fr-CH"/>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rPr>
        <w:bdr w:val="nil"/>
      </w:rP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2019 m. Europos plėtros fondo metinės ataskaitos</w:t>
    </w:r>
  </w:p>
  <w:p>
    <w:pPr>
      <w:pStyle w:val="Header"/>
      <w:tabs>
        <w:tab w:val="clear" w:pos="4677"/>
        <w:tab w:val="clear" w:pos="9355"/>
        <w:tab w:val="center" w:pos="4819"/>
        <w:tab w:val="right" w:pos="9638"/>
      </w:tabs>
      <w:jc w:val="center"/>
      <w:rPr>
        <w:rFonts w:ascii="Verdana" w:hAnsi="Verdana"/>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77EDC18"/>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nsid w:val="00000002"/>
    <w:multiLevelType w:val="hybridMultilevel"/>
    <w:tmpl w:val="675ED66A"/>
    <w:lvl w:ilvl="0" w:tplc="10B6520A">
      <w:start w:val="1"/>
      <w:numFmt w:val="lowerLetter"/>
      <w:pStyle w:val="Textstand-alonenumberingLetters"/>
      <w:lvlText w:val="%1)"/>
      <w:lvlJc w:val="left"/>
      <w:pPr>
        <w:ind w:left="720" w:hanging="360"/>
      </w:pPr>
      <w:rPr>
        <w:rFonts w:hint="default"/>
      </w:rPr>
    </w:lvl>
    <w:lvl w:ilvl="1" w:tplc="AE3E12B0" w:tentative="1">
      <w:start w:val="1"/>
      <w:numFmt w:val="lowerLetter"/>
      <w:lvlText w:val="%2."/>
      <w:lvlJc w:val="left"/>
      <w:pPr>
        <w:ind w:left="1440" w:hanging="360"/>
      </w:pPr>
    </w:lvl>
    <w:lvl w:ilvl="2" w:tplc="5EB021AA" w:tentative="1">
      <w:start w:val="1"/>
      <w:numFmt w:val="lowerRoman"/>
      <w:lvlText w:val="%3."/>
      <w:lvlJc w:val="right"/>
      <w:pPr>
        <w:ind w:left="2160" w:hanging="180"/>
      </w:pPr>
    </w:lvl>
    <w:lvl w:ilvl="3" w:tplc="CF0456BC" w:tentative="1">
      <w:start w:val="1"/>
      <w:numFmt w:val="decimal"/>
      <w:lvlText w:val="%4."/>
      <w:lvlJc w:val="left"/>
      <w:pPr>
        <w:ind w:left="2880" w:hanging="360"/>
      </w:pPr>
    </w:lvl>
    <w:lvl w:ilvl="4" w:tplc="03900A44" w:tentative="1">
      <w:start w:val="1"/>
      <w:numFmt w:val="lowerLetter"/>
      <w:lvlText w:val="%5."/>
      <w:lvlJc w:val="left"/>
      <w:pPr>
        <w:ind w:left="3600" w:hanging="360"/>
      </w:pPr>
    </w:lvl>
    <w:lvl w:ilvl="5" w:tplc="564E7BE2" w:tentative="1">
      <w:start w:val="1"/>
      <w:numFmt w:val="lowerRoman"/>
      <w:lvlText w:val="%6."/>
      <w:lvlJc w:val="right"/>
      <w:pPr>
        <w:ind w:left="4320" w:hanging="180"/>
      </w:pPr>
    </w:lvl>
    <w:lvl w:ilvl="6" w:tplc="0EECC56A" w:tentative="1">
      <w:start w:val="1"/>
      <w:numFmt w:val="decimal"/>
      <w:lvlText w:val="%7."/>
      <w:lvlJc w:val="left"/>
      <w:pPr>
        <w:ind w:left="5040" w:hanging="360"/>
      </w:pPr>
    </w:lvl>
    <w:lvl w:ilvl="7" w:tplc="231078AC" w:tentative="1">
      <w:start w:val="1"/>
      <w:numFmt w:val="lowerLetter"/>
      <w:lvlText w:val="%8."/>
      <w:lvlJc w:val="left"/>
      <w:pPr>
        <w:ind w:left="5760" w:hanging="360"/>
      </w:pPr>
    </w:lvl>
    <w:lvl w:ilvl="8" w:tplc="DCB6D214" w:tentative="1">
      <w:start w:val="1"/>
      <w:numFmt w:val="lowerRoman"/>
      <w:lvlText w:val="%9."/>
      <w:lvlJc w:val="right"/>
      <w:pPr>
        <w:ind w:left="6480" w:hanging="180"/>
      </w:pPr>
    </w:lvl>
  </w:abstractNum>
  <w:abstractNum w:abstractNumId="2">
    <w:nsid w:val="00000003"/>
    <w:multiLevelType w:val="hybridMultilevel"/>
    <w:tmpl w:val="937694E8"/>
    <w:lvl w:ilvl="0" w:tplc="722A2AA0">
      <w:start w:val="1"/>
      <w:numFmt w:val="bullet"/>
      <w:lvlText w:val="-"/>
      <w:lvlJc w:val="left"/>
      <w:pPr>
        <w:ind w:left="1080" w:hanging="360"/>
      </w:pPr>
      <w:rPr>
        <w:rFonts w:ascii="Verdana" w:hAnsi="Verdana" w:hint="default"/>
      </w:rPr>
    </w:lvl>
    <w:lvl w:ilvl="1" w:tplc="83DE835A" w:tentative="1">
      <w:start w:val="1"/>
      <w:numFmt w:val="bullet"/>
      <w:lvlText w:val="o"/>
      <w:lvlJc w:val="left"/>
      <w:pPr>
        <w:ind w:left="1800" w:hanging="360"/>
      </w:pPr>
      <w:rPr>
        <w:rFonts w:ascii="Courier New" w:hAnsi="Courier New" w:cs="Courier New" w:hint="default"/>
      </w:rPr>
    </w:lvl>
    <w:lvl w:ilvl="2" w:tplc="AA724FEE" w:tentative="1">
      <w:start w:val="1"/>
      <w:numFmt w:val="bullet"/>
      <w:lvlText w:val=""/>
      <w:lvlJc w:val="left"/>
      <w:pPr>
        <w:ind w:left="2520" w:hanging="360"/>
      </w:pPr>
      <w:rPr>
        <w:rFonts w:ascii="Wingdings" w:hAnsi="Wingdings" w:hint="default"/>
      </w:rPr>
    </w:lvl>
    <w:lvl w:ilvl="3" w:tplc="E678078C" w:tentative="1">
      <w:start w:val="1"/>
      <w:numFmt w:val="bullet"/>
      <w:lvlText w:val=""/>
      <w:lvlJc w:val="left"/>
      <w:pPr>
        <w:ind w:left="3240" w:hanging="360"/>
      </w:pPr>
      <w:rPr>
        <w:rFonts w:ascii="Symbol" w:hAnsi="Symbol" w:hint="default"/>
      </w:rPr>
    </w:lvl>
    <w:lvl w:ilvl="4" w:tplc="F448F064" w:tentative="1">
      <w:start w:val="1"/>
      <w:numFmt w:val="bullet"/>
      <w:lvlText w:val="o"/>
      <w:lvlJc w:val="left"/>
      <w:pPr>
        <w:ind w:left="3960" w:hanging="360"/>
      </w:pPr>
      <w:rPr>
        <w:rFonts w:ascii="Courier New" w:hAnsi="Courier New" w:cs="Courier New" w:hint="default"/>
      </w:rPr>
    </w:lvl>
    <w:lvl w:ilvl="5" w:tplc="E4D66710" w:tentative="1">
      <w:start w:val="1"/>
      <w:numFmt w:val="bullet"/>
      <w:lvlText w:val=""/>
      <w:lvlJc w:val="left"/>
      <w:pPr>
        <w:ind w:left="4680" w:hanging="360"/>
      </w:pPr>
      <w:rPr>
        <w:rFonts w:ascii="Wingdings" w:hAnsi="Wingdings" w:hint="default"/>
      </w:rPr>
    </w:lvl>
    <w:lvl w:ilvl="6" w:tplc="357EB394" w:tentative="1">
      <w:start w:val="1"/>
      <w:numFmt w:val="bullet"/>
      <w:lvlText w:val=""/>
      <w:lvlJc w:val="left"/>
      <w:pPr>
        <w:ind w:left="5400" w:hanging="360"/>
      </w:pPr>
      <w:rPr>
        <w:rFonts w:ascii="Symbol" w:hAnsi="Symbol" w:hint="default"/>
      </w:rPr>
    </w:lvl>
    <w:lvl w:ilvl="7" w:tplc="C6067444" w:tentative="1">
      <w:start w:val="1"/>
      <w:numFmt w:val="bullet"/>
      <w:lvlText w:val="o"/>
      <w:lvlJc w:val="left"/>
      <w:pPr>
        <w:ind w:left="6120" w:hanging="360"/>
      </w:pPr>
      <w:rPr>
        <w:rFonts w:ascii="Courier New" w:hAnsi="Courier New" w:cs="Courier New" w:hint="default"/>
      </w:rPr>
    </w:lvl>
    <w:lvl w:ilvl="8" w:tplc="DC869A48" w:tentative="1">
      <w:start w:val="1"/>
      <w:numFmt w:val="bullet"/>
      <w:lvlText w:val=""/>
      <w:lvlJc w:val="left"/>
      <w:pPr>
        <w:ind w:left="6840" w:hanging="360"/>
      </w:pPr>
      <w:rPr>
        <w:rFonts w:ascii="Wingdings" w:hAnsi="Wingdings" w:hint="default"/>
      </w:rPr>
    </w:lvl>
  </w:abstractNum>
  <w:abstractNum w:abstractNumId="3">
    <w:nsid w:val="00000004"/>
    <w:multiLevelType w:val="hybridMultilevel"/>
    <w:tmpl w:val="7CB6E1C4"/>
    <w:lvl w:ilvl="0" w:tplc="14463B00">
      <w:start w:val="1"/>
      <w:numFmt w:val="decimal"/>
      <w:pStyle w:val="DGTextstand-alonenumbering"/>
      <w:lvlText w:val="(%1)"/>
      <w:lvlJc w:val="left"/>
      <w:pPr>
        <w:ind w:left="720" w:hanging="360"/>
      </w:pPr>
      <w:rPr>
        <w:rFonts w:hint="default"/>
      </w:rPr>
    </w:lvl>
    <w:lvl w:ilvl="1" w:tplc="E36EB078" w:tentative="1">
      <w:start w:val="1"/>
      <w:numFmt w:val="lowerLetter"/>
      <w:lvlText w:val="%2."/>
      <w:lvlJc w:val="left"/>
      <w:pPr>
        <w:ind w:left="1440" w:hanging="360"/>
      </w:pPr>
    </w:lvl>
    <w:lvl w:ilvl="2" w:tplc="9104D564" w:tentative="1">
      <w:start w:val="1"/>
      <w:numFmt w:val="lowerRoman"/>
      <w:lvlText w:val="%3."/>
      <w:lvlJc w:val="right"/>
      <w:pPr>
        <w:ind w:left="2160" w:hanging="180"/>
      </w:pPr>
    </w:lvl>
    <w:lvl w:ilvl="3" w:tplc="FF6089FA" w:tentative="1">
      <w:start w:val="1"/>
      <w:numFmt w:val="decimal"/>
      <w:lvlText w:val="%4."/>
      <w:lvlJc w:val="left"/>
      <w:pPr>
        <w:ind w:left="2880" w:hanging="360"/>
      </w:pPr>
    </w:lvl>
    <w:lvl w:ilvl="4" w:tplc="C100BC52" w:tentative="1">
      <w:start w:val="1"/>
      <w:numFmt w:val="lowerLetter"/>
      <w:lvlText w:val="%5."/>
      <w:lvlJc w:val="left"/>
      <w:pPr>
        <w:ind w:left="3600" w:hanging="360"/>
      </w:pPr>
    </w:lvl>
    <w:lvl w:ilvl="5" w:tplc="4FF00B70" w:tentative="1">
      <w:start w:val="1"/>
      <w:numFmt w:val="lowerRoman"/>
      <w:lvlText w:val="%6."/>
      <w:lvlJc w:val="right"/>
      <w:pPr>
        <w:ind w:left="4320" w:hanging="180"/>
      </w:pPr>
    </w:lvl>
    <w:lvl w:ilvl="6" w:tplc="2D4E525E" w:tentative="1">
      <w:start w:val="1"/>
      <w:numFmt w:val="decimal"/>
      <w:lvlText w:val="%7."/>
      <w:lvlJc w:val="left"/>
      <w:pPr>
        <w:ind w:left="5040" w:hanging="360"/>
      </w:pPr>
    </w:lvl>
    <w:lvl w:ilvl="7" w:tplc="710AF170" w:tentative="1">
      <w:start w:val="1"/>
      <w:numFmt w:val="lowerLetter"/>
      <w:lvlText w:val="%8."/>
      <w:lvlJc w:val="left"/>
      <w:pPr>
        <w:ind w:left="5760" w:hanging="360"/>
      </w:pPr>
    </w:lvl>
    <w:lvl w:ilvl="8" w:tplc="DA14EBD2" w:tentative="1">
      <w:start w:val="1"/>
      <w:numFmt w:val="lowerRoman"/>
      <w:lvlText w:val="%9."/>
      <w:lvlJc w:val="right"/>
      <w:pPr>
        <w:ind w:left="6480" w:hanging="180"/>
      </w:pPr>
    </w:lvl>
  </w:abstractNum>
  <w:abstractNum w:abstractNumId="4">
    <w:nsid w:val="00000005"/>
    <w:multiLevelType w:val="multilevel"/>
    <w:tmpl w:val="EA926228"/>
    <w:lvl w:ilvl="0">
      <w:start w:val="1"/>
      <w:numFmt w:val="decimal"/>
      <w:pStyle w:val="Notes"/>
      <w:lvlText w:val="%1"/>
      <w:lvlJc w:val="left"/>
      <w:pPr>
        <w:tabs>
          <w:tab w:val="num" w:pos="432"/>
        </w:tabs>
        <w:ind w:left="432" w:hanging="432"/>
      </w:pPr>
      <w:rPr>
        <w:rFonts w:hint="default"/>
        <w:lang w:val="en-GB"/>
      </w:rPr>
    </w:lvl>
    <w:lvl w:ilvl="1">
      <w:start w:val="1"/>
      <w:numFmt w:val="decimal"/>
      <w:pStyle w:val="Title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0000006"/>
    <w:multiLevelType w:val="hybridMultilevel"/>
    <w:tmpl w:val="42FC2B20"/>
    <w:lvl w:ilvl="0" w:tplc="6B2CD7AA">
      <w:start w:val="1"/>
      <w:numFmt w:val="lowerRoman"/>
      <w:pStyle w:val="TextSubtitlenumberingRCItalic"/>
      <w:lvlText w:val="(%1)"/>
      <w:lvlJc w:val="left"/>
      <w:pPr>
        <w:ind w:left="720" w:hanging="360"/>
      </w:pPr>
      <w:rPr>
        <w:rFonts w:hint="default"/>
      </w:rPr>
    </w:lvl>
    <w:lvl w:ilvl="1" w:tplc="36F4BB8E" w:tentative="1">
      <w:start w:val="1"/>
      <w:numFmt w:val="lowerLetter"/>
      <w:lvlText w:val="%2."/>
      <w:lvlJc w:val="left"/>
      <w:pPr>
        <w:ind w:left="1440" w:hanging="360"/>
      </w:pPr>
    </w:lvl>
    <w:lvl w:ilvl="2" w:tplc="E2C05E80" w:tentative="1">
      <w:start w:val="1"/>
      <w:numFmt w:val="lowerRoman"/>
      <w:lvlText w:val="%3."/>
      <w:lvlJc w:val="right"/>
      <w:pPr>
        <w:ind w:left="2160" w:hanging="180"/>
      </w:pPr>
    </w:lvl>
    <w:lvl w:ilvl="3" w:tplc="B992C136" w:tentative="1">
      <w:start w:val="1"/>
      <w:numFmt w:val="decimal"/>
      <w:lvlText w:val="%4."/>
      <w:lvlJc w:val="left"/>
      <w:pPr>
        <w:ind w:left="2880" w:hanging="360"/>
      </w:pPr>
    </w:lvl>
    <w:lvl w:ilvl="4" w:tplc="A7BC7314" w:tentative="1">
      <w:start w:val="1"/>
      <w:numFmt w:val="lowerLetter"/>
      <w:lvlText w:val="%5."/>
      <w:lvlJc w:val="left"/>
      <w:pPr>
        <w:ind w:left="3600" w:hanging="360"/>
      </w:pPr>
    </w:lvl>
    <w:lvl w:ilvl="5" w:tplc="26B8CD1A" w:tentative="1">
      <w:start w:val="1"/>
      <w:numFmt w:val="lowerRoman"/>
      <w:lvlText w:val="%6."/>
      <w:lvlJc w:val="right"/>
      <w:pPr>
        <w:ind w:left="4320" w:hanging="180"/>
      </w:pPr>
    </w:lvl>
    <w:lvl w:ilvl="6" w:tplc="1CA2D536" w:tentative="1">
      <w:start w:val="1"/>
      <w:numFmt w:val="decimal"/>
      <w:lvlText w:val="%7."/>
      <w:lvlJc w:val="left"/>
      <w:pPr>
        <w:ind w:left="5040" w:hanging="360"/>
      </w:pPr>
    </w:lvl>
    <w:lvl w:ilvl="7" w:tplc="0EFC142A" w:tentative="1">
      <w:start w:val="1"/>
      <w:numFmt w:val="lowerLetter"/>
      <w:lvlText w:val="%8."/>
      <w:lvlJc w:val="left"/>
      <w:pPr>
        <w:ind w:left="5760" w:hanging="360"/>
      </w:pPr>
    </w:lvl>
    <w:lvl w:ilvl="8" w:tplc="DC22B536" w:tentative="1">
      <w:start w:val="1"/>
      <w:numFmt w:val="lowerRoman"/>
      <w:lvlText w:val="%9."/>
      <w:lvlJc w:val="right"/>
      <w:pPr>
        <w:ind w:left="6480" w:hanging="180"/>
      </w:pPr>
    </w:lvl>
  </w:abstractNum>
  <w:abstractNum w:abstractNumId="6">
    <w:nsid w:val="00000007"/>
    <w:multiLevelType w:val="hybridMultilevel"/>
    <w:tmpl w:val="5DD0517A"/>
    <w:lvl w:ilvl="0" w:tplc="47D4115E">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AB3C9BE4" w:tentative="1">
      <w:start w:val="1"/>
      <w:numFmt w:val="lowerLetter"/>
      <w:lvlText w:val="%2."/>
      <w:lvlJc w:val="left"/>
      <w:pPr>
        <w:ind w:left="1797" w:hanging="360"/>
      </w:pPr>
    </w:lvl>
    <w:lvl w:ilvl="2" w:tplc="F71A2624" w:tentative="1">
      <w:start w:val="1"/>
      <w:numFmt w:val="lowerRoman"/>
      <w:lvlText w:val="%3."/>
      <w:lvlJc w:val="right"/>
      <w:pPr>
        <w:ind w:left="2517" w:hanging="180"/>
      </w:pPr>
    </w:lvl>
    <w:lvl w:ilvl="3" w:tplc="9982866E" w:tentative="1">
      <w:start w:val="1"/>
      <w:numFmt w:val="decimal"/>
      <w:lvlText w:val="%4."/>
      <w:lvlJc w:val="left"/>
      <w:pPr>
        <w:ind w:left="3237" w:hanging="360"/>
      </w:pPr>
    </w:lvl>
    <w:lvl w:ilvl="4" w:tplc="CC847A72" w:tentative="1">
      <w:start w:val="1"/>
      <w:numFmt w:val="lowerLetter"/>
      <w:lvlText w:val="%5."/>
      <w:lvlJc w:val="left"/>
      <w:pPr>
        <w:ind w:left="3957" w:hanging="360"/>
      </w:pPr>
    </w:lvl>
    <w:lvl w:ilvl="5" w:tplc="F7D692BE" w:tentative="1">
      <w:start w:val="1"/>
      <w:numFmt w:val="lowerRoman"/>
      <w:lvlText w:val="%6."/>
      <w:lvlJc w:val="right"/>
      <w:pPr>
        <w:ind w:left="4677" w:hanging="180"/>
      </w:pPr>
    </w:lvl>
    <w:lvl w:ilvl="6" w:tplc="FDB23260" w:tentative="1">
      <w:start w:val="1"/>
      <w:numFmt w:val="decimal"/>
      <w:lvlText w:val="%7."/>
      <w:lvlJc w:val="left"/>
      <w:pPr>
        <w:ind w:left="5397" w:hanging="360"/>
      </w:pPr>
    </w:lvl>
    <w:lvl w:ilvl="7" w:tplc="FC0606D8" w:tentative="1">
      <w:start w:val="1"/>
      <w:numFmt w:val="lowerLetter"/>
      <w:lvlText w:val="%8."/>
      <w:lvlJc w:val="left"/>
      <w:pPr>
        <w:ind w:left="6117" w:hanging="360"/>
      </w:pPr>
    </w:lvl>
    <w:lvl w:ilvl="8" w:tplc="D71CE93A" w:tentative="1">
      <w:start w:val="1"/>
      <w:numFmt w:val="lowerRoman"/>
      <w:lvlText w:val="%9."/>
      <w:lvlJc w:val="right"/>
      <w:pPr>
        <w:ind w:left="6837" w:hanging="180"/>
      </w:pPr>
    </w:lvl>
  </w:abstractNum>
  <w:abstractNum w:abstractNumId="7">
    <w:nsid w:val="00000008"/>
    <w:multiLevelType w:val="multilevel"/>
    <w:tmpl w:val="9EC0C04E"/>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0000001B"/>
    <w:multiLevelType w:val="multilevel"/>
    <w:tmpl w:val="313ADC1A"/>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2"/>
      <w:numFmt w:val="decimal"/>
      <w:pStyle w:val="Title321"/>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00000028"/>
    <w:multiLevelType w:val="singleLevel"/>
    <w:tmpl w:val="00000002"/>
    <w:name w:val="WW8Num1"/>
    <w:lvl w:ilvl="0">
      <w:start w:val="293"/>
      <w:numFmt w:val="bullet"/>
      <w:lvlText w:val="-"/>
      <w:lvlJc w:val="left"/>
      <w:pPr>
        <w:tabs>
          <w:tab w:val="num" w:pos="720"/>
        </w:tabs>
        <w:ind w:left="720" w:hanging="360"/>
      </w:pPr>
      <w:rPr>
        <w:rFonts w:ascii="Arial" w:hAnsi="Arial" w:cs="Arial"/>
      </w:rPr>
    </w:lvl>
  </w:abstractNum>
  <w:abstractNum w:abstractNumId="10">
    <w:nsid w:val="00000029"/>
    <w:multiLevelType w:val="singleLevel"/>
    <w:tmpl w:val="00000006"/>
    <w:name w:val="WW8Num8"/>
    <w:lvl w:ilvl="0">
      <w:start w:val="293"/>
      <w:numFmt w:val="bullet"/>
      <w:lvlText w:val="-"/>
      <w:lvlJc w:val="left"/>
      <w:pPr>
        <w:tabs>
          <w:tab w:val="num" w:pos="720"/>
        </w:tabs>
        <w:ind w:left="720" w:hanging="360"/>
      </w:pPr>
      <w:rPr>
        <w:rFonts w:ascii="Arial" w:hAnsi="Arial" w:cs="Arial"/>
      </w:rPr>
    </w:lvl>
  </w:abstractNum>
  <w:abstractNum w:abstractNumId="11">
    <w:nsid w:val="0000002A"/>
    <w:multiLevelType w:val="multilevel"/>
    <w:tmpl w:val="6A165B3C"/>
    <w:lvl w:ilvl="0">
      <w:start w:val="2"/>
      <w:numFmt w:val="decimal"/>
      <w:lvlText w:val="%1"/>
      <w:lvlJc w:val="left"/>
      <w:pPr>
        <w:ind w:left="360" w:hanging="360"/>
      </w:pPr>
      <w:rPr>
        <w:rFonts w:hint="default"/>
      </w:rPr>
    </w:lvl>
    <w:lvl w:ilvl="1">
      <w:start w:val="2"/>
      <w:numFmt w:val="decimal"/>
      <w:lvlText w:val="%1.1"/>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nsid w:val="0000002B"/>
    <w:multiLevelType w:val="multilevel"/>
    <w:tmpl w:val="4B488448"/>
    <w:lvl w:ilvl="0">
      <w:start w:val="1"/>
      <w:numFmt w:val="bullet"/>
      <w:lvlText w:val=""/>
      <w:lvlJc w:val="left"/>
      <w:pPr>
        <w:tabs>
          <w:tab w:val="num" w:pos="431"/>
        </w:tabs>
        <w:ind w:left="431" w:hanging="431"/>
      </w:pPr>
      <w:rPr>
        <w:rFonts w:ascii="Wingdings" w:hAnsi="Wingdings" w:hint="default"/>
      </w:rPr>
    </w:lvl>
    <w:lvl w:ilvl="1">
      <w:start w:val="1"/>
      <w:numFmt w:val="decimal"/>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13">
    <w:nsid w:val="0000002C"/>
    <w:multiLevelType w:val="hybridMultilevel"/>
    <w:tmpl w:val="6040F0EC"/>
    <w:name w:val="WW8Num82"/>
    <w:lvl w:ilvl="0" w:tplc="C8C2719A">
      <w:start w:val="293"/>
      <w:numFmt w:val="bullet"/>
      <w:lvlText w:val="-"/>
      <w:lvlJc w:val="left"/>
      <w:pPr>
        <w:tabs>
          <w:tab w:val="num" w:pos="720"/>
        </w:tabs>
        <w:ind w:left="720" w:hanging="360"/>
      </w:pPr>
      <w:rPr>
        <w:rFonts w:ascii="Arial" w:hAnsi="Arial" w:cs="Arial" w:hint="default"/>
      </w:rPr>
    </w:lvl>
    <w:lvl w:ilvl="1" w:tplc="8410E918" w:tentative="1">
      <w:start w:val="1"/>
      <w:numFmt w:val="bullet"/>
      <w:lvlText w:val="o"/>
      <w:lvlJc w:val="left"/>
      <w:pPr>
        <w:tabs>
          <w:tab w:val="num" w:pos="1440"/>
        </w:tabs>
        <w:ind w:left="1440" w:hanging="360"/>
      </w:pPr>
      <w:rPr>
        <w:rFonts w:ascii="Courier New" w:hAnsi="Courier New" w:cs="Courier New" w:hint="default"/>
      </w:rPr>
    </w:lvl>
    <w:lvl w:ilvl="2" w:tplc="BA8622A6" w:tentative="1">
      <w:start w:val="1"/>
      <w:numFmt w:val="bullet"/>
      <w:lvlText w:val=""/>
      <w:lvlJc w:val="left"/>
      <w:pPr>
        <w:tabs>
          <w:tab w:val="num" w:pos="2160"/>
        </w:tabs>
        <w:ind w:left="2160" w:hanging="360"/>
      </w:pPr>
      <w:rPr>
        <w:rFonts w:ascii="Wingdings" w:hAnsi="Wingdings" w:hint="default"/>
      </w:rPr>
    </w:lvl>
    <w:lvl w:ilvl="3" w:tplc="BFB62C24" w:tentative="1">
      <w:start w:val="1"/>
      <w:numFmt w:val="bullet"/>
      <w:lvlText w:val=""/>
      <w:lvlJc w:val="left"/>
      <w:pPr>
        <w:tabs>
          <w:tab w:val="num" w:pos="2880"/>
        </w:tabs>
        <w:ind w:left="2880" w:hanging="360"/>
      </w:pPr>
      <w:rPr>
        <w:rFonts w:ascii="Symbol" w:hAnsi="Symbol" w:hint="default"/>
      </w:rPr>
    </w:lvl>
    <w:lvl w:ilvl="4" w:tplc="CB426280" w:tentative="1">
      <w:start w:val="1"/>
      <w:numFmt w:val="bullet"/>
      <w:lvlText w:val="o"/>
      <w:lvlJc w:val="left"/>
      <w:pPr>
        <w:tabs>
          <w:tab w:val="num" w:pos="3600"/>
        </w:tabs>
        <w:ind w:left="3600" w:hanging="360"/>
      </w:pPr>
      <w:rPr>
        <w:rFonts w:ascii="Courier New" w:hAnsi="Courier New" w:cs="Courier New" w:hint="default"/>
      </w:rPr>
    </w:lvl>
    <w:lvl w:ilvl="5" w:tplc="57B89202" w:tentative="1">
      <w:start w:val="1"/>
      <w:numFmt w:val="bullet"/>
      <w:lvlText w:val=""/>
      <w:lvlJc w:val="left"/>
      <w:pPr>
        <w:tabs>
          <w:tab w:val="num" w:pos="4320"/>
        </w:tabs>
        <w:ind w:left="4320" w:hanging="360"/>
      </w:pPr>
      <w:rPr>
        <w:rFonts w:ascii="Wingdings" w:hAnsi="Wingdings" w:hint="default"/>
      </w:rPr>
    </w:lvl>
    <w:lvl w:ilvl="6" w:tplc="DB4EDF3A" w:tentative="1">
      <w:start w:val="1"/>
      <w:numFmt w:val="bullet"/>
      <w:lvlText w:val=""/>
      <w:lvlJc w:val="left"/>
      <w:pPr>
        <w:tabs>
          <w:tab w:val="num" w:pos="5040"/>
        </w:tabs>
        <w:ind w:left="5040" w:hanging="360"/>
      </w:pPr>
      <w:rPr>
        <w:rFonts w:ascii="Symbol" w:hAnsi="Symbol" w:hint="default"/>
      </w:rPr>
    </w:lvl>
    <w:lvl w:ilvl="7" w:tplc="48ECE46C" w:tentative="1">
      <w:start w:val="1"/>
      <w:numFmt w:val="bullet"/>
      <w:lvlText w:val="o"/>
      <w:lvlJc w:val="left"/>
      <w:pPr>
        <w:tabs>
          <w:tab w:val="num" w:pos="5760"/>
        </w:tabs>
        <w:ind w:left="5760" w:hanging="360"/>
      </w:pPr>
      <w:rPr>
        <w:rFonts w:ascii="Courier New" w:hAnsi="Courier New" w:cs="Courier New" w:hint="default"/>
      </w:rPr>
    </w:lvl>
    <w:lvl w:ilvl="8" w:tplc="8C1A40D4" w:tentative="1">
      <w:start w:val="1"/>
      <w:numFmt w:val="bullet"/>
      <w:lvlText w:val=""/>
      <w:lvlJc w:val="left"/>
      <w:pPr>
        <w:tabs>
          <w:tab w:val="num" w:pos="6480"/>
        </w:tabs>
        <w:ind w:left="6480" w:hanging="360"/>
      </w:pPr>
      <w:rPr>
        <w:rFonts w:ascii="Wingdings" w:hAnsi="Wingdings" w:hint="default"/>
      </w:rPr>
    </w:lvl>
  </w:abstractNum>
  <w:abstractNum w:abstractNumId="14">
    <w:nsid w:val="0000002F"/>
    <w:multiLevelType w:val="hybridMultilevel"/>
    <w:tmpl w:val="74E0135A"/>
    <w:lvl w:ilvl="0" w:tplc="DAD850AC">
      <w:numFmt w:val="bullet"/>
      <w:lvlText w:val="-"/>
      <w:lvlJc w:val="left"/>
      <w:pPr>
        <w:ind w:left="720" w:hanging="360"/>
      </w:pPr>
      <w:rPr>
        <w:rFonts w:ascii="Futura Lt BT" w:hAnsi="Futura Lt BT" w:cs="Times New Roman" w:hint="default"/>
      </w:rPr>
    </w:lvl>
    <w:lvl w:ilvl="1" w:tplc="58B8E5DC" w:tentative="1">
      <w:start w:val="1"/>
      <w:numFmt w:val="bullet"/>
      <w:lvlText w:val="o"/>
      <w:lvlJc w:val="left"/>
      <w:pPr>
        <w:ind w:left="1440" w:hanging="360"/>
      </w:pPr>
      <w:rPr>
        <w:rFonts w:ascii="Courier New" w:hAnsi="Courier New" w:cs="Courier New" w:hint="default"/>
      </w:rPr>
    </w:lvl>
    <w:lvl w:ilvl="2" w:tplc="CEE0E20A" w:tentative="1">
      <w:start w:val="1"/>
      <w:numFmt w:val="bullet"/>
      <w:lvlText w:val=""/>
      <w:lvlJc w:val="left"/>
      <w:pPr>
        <w:ind w:left="2160" w:hanging="360"/>
      </w:pPr>
      <w:rPr>
        <w:rFonts w:ascii="Wingdings" w:hAnsi="Wingdings" w:hint="default"/>
      </w:rPr>
    </w:lvl>
    <w:lvl w:ilvl="3" w:tplc="2F4E3CCC" w:tentative="1">
      <w:start w:val="1"/>
      <w:numFmt w:val="bullet"/>
      <w:lvlText w:val=""/>
      <w:lvlJc w:val="left"/>
      <w:pPr>
        <w:ind w:left="2880" w:hanging="360"/>
      </w:pPr>
      <w:rPr>
        <w:rFonts w:ascii="Symbol" w:hAnsi="Symbol" w:hint="default"/>
      </w:rPr>
    </w:lvl>
    <w:lvl w:ilvl="4" w:tplc="B0BC9A78" w:tentative="1">
      <w:start w:val="1"/>
      <w:numFmt w:val="bullet"/>
      <w:lvlText w:val="o"/>
      <w:lvlJc w:val="left"/>
      <w:pPr>
        <w:ind w:left="3600" w:hanging="360"/>
      </w:pPr>
      <w:rPr>
        <w:rFonts w:ascii="Courier New" w:hAnsi="Courier New" w:cs="Courier New" w:hint="default"/>
      </w:rPr>
    </w:lvl>
    <w:lvl w:ilvl="5" w:tplc="975AD700" w:tentative="1">
      <w:start w:val="1"/>
      <w:numFmt w:val="bullet"/>
      <w:lvlText w:val=""/>
      <w:lvlJc w:val="left"/>
      <w:pPr>
        <w:ind w:left="4320" w:hanging="360"/>
      </w:pPr>
      <w:rPr>
        <w:rFonts w:ascii="Wingdings" w:hAnsi="Wingdings" w:hint="default"/>
      </w:rPr>
    </w:lvl>
    <w:lvl w:ilvl="6" w:tplc="ADA638A8" w:tentative="1">
      <w:start w:val="1"/>
      <w:numFmt w:val="bullet"/>
      <w:lvlText w:val=""/>
      <w:lvlJc w:val="left"/>
      <w:pPr>
        <w:ind w:left="5040" w:hanging="360"/>
      </w:pPr>
      <w:rPr>
        <w:rFonts w:ascii="Symbol" w:hAnsi="Symbol" w:hint="default"/>
      </w:rPr>
    </w:lvl>
    <w:lvl w:ilvl="7" w:tplc="DDA817DA" w:tentative="1">
      <w:start w:val="1"/>
      <w:numFmt w:val="bullet"/>
      <w:lvlText w:val="o"/>
      <w:lvlJc w:val="left"/>
      <w:pPr>
        <w:ind w:left="5760" w:hanging="360"/>
      </w:pPr>
      <w:rPr>
        <w:rFonts w:ascii="Courier New" w:hAnsi="Courier New" w:cs="Courier New" w:hint="default"/>
      </w:rPr>
    </w:lvl>
    <w:lvl w:ilvl="8" w:tplc="472493E2" w:tentative="1">
      <w:start w:val="1"/>
      <w:numFmt w:val="bullet"/>
      <w:lvlText w:val=""/>
      <w:lvlJc w:val="left"/>
      <w:pPr>
        <w:ind w:left="6480" w:hanging="360"/>
      </w:pPr>
      <w:rPr>
        <w:rFonts w:ascii="Wingdings" w:hAnsi="Wingdings" w:hint="default"/>
      </w:rPr>
    </w:lvl>
  </w:abstractNum>
  <w:abstractNum w:abstractNumId="15">
    <w:nsid w:val="00000030"/>
    <w:multiLevelType w:val="hybridMultilevel"/>
    <w:tmpl w:val="66CE7E80"/>
    <w:lvl w:ilvl="0" w:tplc="1C4CF45C">
      <w:numFmt w:val="bullet"/>
      <w:lvlText w:val="-"/>
      <w:lvlJc w:val="left"/>
      <w:pPr>
        <w:ind w:left="720" w:hanging="360"/>
      </w:pPr>
      <w:rPr>
        <w:rFonts w:ascii="Futura Lt BT" w:hAnsi="Futura Lt BT" w:cs="Times New Roman" w:hint="default"/>
      </w:rPr>
    </w:lvl>
    <w:lvl w:ilvl="1" w:tplc="3716904C" w:tentative="1">
      <w:start w:val="1"/>
      <w:numFmt w:val="bullet"/>
      <w:lvlText w:val="o"/>
      <w:lvlJc w:val="left"/>
      <w:pPr>
        <w:ind w:left="1440" w:hanging="360"/>
      </w:pPr>
      <w:rPr>
        <w:rFonts w:ascii="Courier New" w:hAnsi="Courier New" w:cs="Courier New" w:hint="default"/>
      </w:rPr>
    </w:lvl>
    <w:lvl w:ilvl="2" w:tplc="1654F99C" w:tentative="1">
      <w:start w:val="1"/>
      <w:numFmt w:val="bullet"/>
      <w:lvlText w:val=""/>
      <w:lvlJc w:val="left"/>
      <w:pPr>
        <w:ind w:left="2160" w:hanging="360"/>
      </w:pPr>
      <w:rPr>
        <w:rFonts w:ascii="Wingdings" w:hAnsi="Wingdings" w:hint="default"/>
      </w:rPr>
    </w:lvl>
    <w:lvl w:ilvl="3" w:tplc="807CB4AA" w:tentative="1">
      <w:start w:val="1"/>
      <w:numFmt w:val="bullet"/>
      <w:lvlText w:val=""/>
      <w:lvlJc w:val="left"/>
      <w:pPr>
        <w:ind w:left="2880" w:hanging="360"/>
      </w:pPr>
      <w:rPr>
        <w:rFonts w:ascii="Symbol" w:hAnsi="Symbol" w:hint="default"/>
      </w:rPr>
    </w:lvl>
    <w:lvl w:ilvl="4" w:tplc="84A4F9BE" w:tentative="1">
      <w:start w:val="1"/>
      <w:numFmt w:val="bullet"/>
      <w:lvlText w:val="o"/>
      <w:lvlJc w:val="left"/>
      <w:pPr>
        <w:ind w:left="3600" w:hanging="360"/>
      </w:pPr>
      <w:rPr>
        <w:rFonts w:ascii="Courier New" w:hAnsi="Courier New" w:cs="Courier New" w:hint="default"/>
      </w:rPr>
    </w:lvl>
    <w:lvl w:ilvl="5" w:tplc="90EC5418" w:tentative="1">
      <w:start w:val="1"/>
      <w:numFmt w:val="bullet"/>
      <w:lvlText w:val=""/>
      <w:lvlJc w:val="left"/>
      <w:pPr>
        <w:ind w:left="4320" w:hanging="360"/>
      </w:pPr>
      <w:rPr>
        <w:rFonts w:ascii="Wingdings" w:hAnsi="Wingdings" w:hint="default"/>
      </w:rPr>
    </w:lvl>
    <w:lvl w:ilvl="6" w:tplc="B2D894F4" w:tentative="1">
      <w:start w:val="1"/>
      <w:numFmt w:val="bullet"/>
      <w:lvlText w:val=""/>
      <w:lvlJc w:val="left"/>
      <w:pPr>
        <w:ind w:left="5040" w:hanging="360"/>
      </w:pPr>
      <w:rPr>
        <w:rFonts w:ascii="Symbol" w:hAnsi="Symbol" w:hint="default"/>
      </w:rPr>
    </w:lvl>
    <w:lvl w:ilvl="7" w:tplc="B7B41F30" w:tentative="1">
      <w:start w:val="1"/>
      <w:numFmt w:val="bullet"/>
      <w:lvlText w:val="o"/>
      <w:lvlJc w:val="left"/>
      <w:pPr>
        <w:ind w:left="5760" w:hanging="360"/>
      </w:pPr>
      <w:rPr>
        <w:rFonts w:ascii="Courier New" w:hAnsi="Courier New" w:cs="Courier New" w:hint="default"/>
      </w:rPr>
    </w:lvl>
    <w:lvl w:ilvl="8" w:tplc="E4D08ACE" w:tentative="1">
      <w:start w:val="1"/>
      <w:numFmt w:val="bullet"/>
      <w:lvlText w:val=""/>
      <w:lvlJc w:val="left"/>
      <w:pPr>
        <w:ind w:left="6480" w:hanging="360"/>
      </w:pPr>
      <w:rPr>
        <w:rFonts w:ascii="Wingdings" w:hAnsi="Wingdings" w:hint="default"/>
      </w:rPr>
    </w:lvl>
  </w:abstractNum>
  <w:abstractNum w:abstractNumId="16">
    <w:nsid w:val="00000031"/>
    <w:multiLevelType w:val="hybridMultilevel"/>
    <w:tmpl w:val="8E40C3CA"/>
    <w:lvl w:ilvl="0" w:tplc="4D122A9A">
      <w:numFmt w:val="bullet"/>
      <w:lvlText w:val="-"/>
      <w:lvlJc w:val="left"/>
      <w:pPr>
        <w:ind w:left="720" w:hanging="360"/>
      </w:pPr>
      <w:rPr>
        <w:rFonts w:ascii="Futura Lt BT" w:hAnsi="Futura Lt BT" w:cs="Times New Roman" w:hint="default"/>
      </w:rPr>
    </w:lvl>
    <w:lvl w:ilvl="1" w:tplc="A2D65416" w:tentative="1">
      <w:start w:val="1"/>
      <w:numFmt w:val="bullet"/>
      <w:lvlText w:val="o"/>
      <w:lvlJc w:val="left"/>
      <w:pPr>
        <w:ind w:left="1440" w:hanging="360"/>
      </w:pPr>
      <w:rPr>
        <w:rFonts w:ascii="Courier New" w:hAnsi="Courier New" w:cs="Courier New" w:hint="default"/>
      </w:rPr>
    </w:lvl>
    <w:lvl w:ilvl="2" w:tplc="2CC83D4C" w:tentative="1">
      <w:start w:val="1"/>
      <w:numFmt w:val="bullet"/>
      <w:lvlText w:val=""/>
      <w:lvlJc w:val="left"/>
      <w:pPr>
        <w:ind w:left="2160" w:hanging="360"/>
      </w:pPr>
      <w:rPr>
        <w:rFonts w:ascii="Wingdings" w:hAnsi="Wingdings" w:hint="default"/>
      </w:rPr>
    </w:lvl>
    <w:lvl w:ilvl="3" w:tplc="EE34C198" w:tentative="1">
      <w:start w:val="1"/>
      <w:numFmt w:val="bullet"/>
      <w:lvlText w:val=""/>
      <w:lvlJc w:val="left"/>
      <w:pPr>
        <w:ind w:left="2880" w:hanging="360"/>
      </w:pPr>
      <w:rPr>
        <w:rFonts w:ascii="Symbol" w:hAnsi="Symbol" w:hint="default"/>
      </w:rPr>
    </w:lvl>
    <w:lvl w:ilvl="4" w:tplc="92A8CD24" w:tentative="1">
      <w:start w:val="1"/>
      <w:numFmt w:val="bullet"/>
      <w:lvlText w:val="o"/>
      <w:lvlJc w:val="left"/>
      <w:pPr>
        <w:ind w:left="3600" w:hanging="360"/>
      </w:pPr>
      <w:rPr>
        <w:rFonts w:ascii="Courier New" w:hAnsi="Courier New" w:cs="Courier New" w:hint="default"/>
      </w:rPr>
    </w:lvl>
    <w:lvl w:ilvl="5" w:tplc="5CD84188" w:tentative="1">
      <w:start w:val="1"/>
      <w:numFmt w:val="bullet"/>
      <w:lvlText w:val=""/>
      <w:lvlJc w:val="left"/>
      <w:pPr>
        <w:ind w:left="4320" w:hanging="360"/>
      </w:pPr>
      <w:rPr>
        <w:rFonts w:ascii="Wingdings" w:hAnsi="Wingdings" w:hint="default"/>
      </w:rPr>
    </w:lvl>
    <w:lvl w:ilvl="6" w:tplc="54A81634" w:tentative="1">
      <w:start w:val="1"/>
      <w:numFmt w:val="bullet"/>
      <w:lvlText w:val=""/>
      <w:lvlJc w:val="left"/>
      <w:pPr>
        <w:ind w:left="5040" w:hanging="360"/>
      </w:pPr>
      <w:rPr>
        <w:rFonts w:ascii="Symbol" w:hAnsi="Symbol" w:hint="default"/>
      </w:rPr>
    </w:lvl>
    <w:lvl w:ilvl="7" w:tplc="2BBC3028" w:tentative="1">
      <w:start w:val="1"/>
      <w:numFmt w:val="bullet"/>
      <w:lvlText w:val="o"/>
      <w:lvlJc w:val="left"/>
      <w:pPr>
        <w:ind w:left="5760" w:hanging="360"/>
      </w:pPr>
      <w:rPr>
        <w:rFonts w:ascii="Courier New" w:hAnsi="Courier New" w:cs="Courier New" w:hint="default"/>
      </w:rPr>
    </w:lvl>
    <w:lvl w:ilvl="8" w:tplc="F416A240" w:tentative="1">
      <w:start w:val="1"/>
      <w:numFmt w:val="bullet"/>
      <w:lvlText w:val=""/>
      <w:lvlJc w:val="left"/>
      <w:pPr>
        <w:ind w:left="6480" w:hanging="360"/>
      </w:pPr>
      <w:rPr>
        <w:rFonts w:ascii="Wingdings" w:hAnsi="Wingdings" w:hint="default"/>
      </w:rPr>
    </w:lvl>
  </w:abstractNum>
  <w:abstractNum w:abstractNumId="17">
    <w:nsid w:val="00000032"/>
    <w:multiLevelType w:val="hybridMultilevel"/>
    <w:tmpl w:val="35C41564"/>
    <w:lvl w:ilvl="0" w:tplc="8466E780">
      <w:start w:val="293"/>
      <w:numFmt w:val="bullet"/>
      <w:lvlText w:val="-"/>
      <w:lvlJc w:val="left"/>
      <w:pPr>
        <w:ind w:left="720" w:hanging="360"/>
      </w:pPr>
      <w:rPr>
        <w:rFonts w:ascii="Arial" w:hAnsi="Arial" w:cs="Arial" w:hint="default"/>
      </w:rPr>
    </w:lvl>
    <w:lvl w:ilvl="1" w:tplc="B236310C">
      <w:start w:val="1"/>
      <w:numFmt w:val="bullet"/>
      <w:lvlText w:val="o"/>
      <w:lvlJc w:val="left"/>
      <w:pPr>
        <w:ind w:left="1440" w:hanging="360"/>
      </w:pPr>
      <w:rPr>
        <w:rFonts w:ascii="Courier New" w:hAnsi="Courier New" w:cs="Courier New" w:hint="default"/>
      </w:rPr>
    </w:lvl>
    <w:lvl w:ilvl="2" w:tplc="0DA6EB0A">
      <w:start w:val="1"/>
      <w:numFmt w:val="bullet"/>
      <w:lvlText w:val=""/>
      <w:lvlJc w:val="left"/>
      <w:pPr>
        <w:ind w:left="2160" w:hanging="360"/>
      </w:pPr>
      <w:rPr>
        <w:rFonts w:ascii="Wingdings" w:hAnsi="Wingdings" w:hint="default"/>
      </w:rPr>
    </w:lvl>
    <w:lvl w:ilvl="3" w:tplc="704A4676">
      <w:start w:val="1"/>
      <w:numFmt w:val="bullet"/>
      <w:lvlText w:val=""/>
      <w:lvlJc w:val="left"/>
      <w:pPr>
        <w:ind w:left="2880" w:hanging="360"/>
      </w:pPr>
      <w:rPr>
        <w:rFonts w:ascii="Symbol" w:hAnsi="Symbol" w:hint="default"/>
      </w:rPr>
    </w:lvl>
    <w:lvl w:ilvl="4" w:tplc="97B0C3F6">
      <w:start w:val="1"/>
      <w:numFmt w:val="bullet"/>
      <w:lvlText w:val="o"/>
      <w:lvlJc w:val="left"/>
      <w:pPr>
        <w:ind w:left="3600" w:hanging="360"/>
      </w:pPr>
      <w:rPr>
        <w:rFonts w:ascii="Courier New" w:hAnsi="Courier New" w:cs="Courier New" w:hint="default"/>
      </w:rPr>
    </w:lvl>
    <w:lvl w:ilvl="5" w:tplc="5EE4D5E8">
      <w:start w:val="1"/>
      <w:numFmt w:val="bullet"/>
      <w:lvlText w:val=""/>
      <w:lvlJc w:val="left"/>
      <w:pPr>
        <w:ind w:left="4320" w:hanging="360"/>
      </w:pPr>
      <w:rPr>
        <w:rFonts w:ascii="Wingdings" w:hAnsi="Wingdings" w:hint="default"/>
      </w:rPr>
    </w:lvl>
    <w:lvl w:ilvl="6" w:tplc="C900B2CA">
      <w:start w:val="1"/>
      <w:numFmt w:val="bullet"/>
      <w:lvlText w:val=""/>
      <w:lvlJc w:val="left"/>
      <w:pPr>
        <w:ind w:left="5040" w:hanging="360"/>
      </w:pPr>
      <w:rPr>
        <w:rFonts w:ascii="Symbol" w:hAnsi="Symbol" w:hint="default"/>
      </w:rPr>
    </w:lvl>
    <w:lvl w:ilvl="7" w:tplc="A0A8FD64">
      <w:start w:val="1"/>
      <w:numFmt w:val="bullet"/>
      <w:lvlText w:val="o"/>
      <w:lvlJc w:val="left"/>
      <w:pPr>
        <w:ind w:left="5760" w:hanging="360"/>
      </w:pPr>
      <w:rPr>
        <w:rFonts w:ascii="Courier New" w:hAnsi="Courier New" w:cs="Courier New" w:hint="default"/>
      </w:rPr>
    </w:lvl>
    <w:lvl w:ilvl="8" w:tplc="8A509010">
      <w:start w:val="1"/>
      <w:numFmt w:val="bullet"/>
      <w:lvlText w:val=""/>
      <w:lvlJc w:val="left"/>
      <w:pPr>
        <w:ind w:left="6480" w:hanging="360"/>
      </w:pPr>
      <w:rPr>
        <w:rFonts w:ascii="Wingdings" w:hAnsi="Wingdings" w:hint="default"/>
      </w:rPr>
    </w:lvl>
  </w:abstractNum>
  <w:abstractNum w:abstractNumId="18">
    <w:nsid w:val="00000033"/>
    <w:multiLevelType w:val="multilevel"/>
    <w:tmpl w:val="CC101C62"/>
    <w:lvl w:ilvl="0">
      <w:start w:val="2"/>
      <w:numFmt w:val="decimal"/>
      <w:pStyle w:val="Notes10"/>
      <w:lvlText w:val="%1"/>
      <w:lvlJc w:val="left"/>
      <w:pPr>
        <w:tabs>
          <w:tab w:val="num" w:pos="432"/>
        </w:tabs>
        <w:ind w:left="432" w:hanging="432"/>
      </w:pPr>
      <w:rPr>
        <w:lang w:val="en-GB"/>
      </w:rPr>
    </w:lvl>
    <w:lvl w:ilvl="1">
      <w:start w:val="1"/>
      <w:numFmt w:val="decimal"/>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00000034"/>
    <w:multiLevelType w:val="hybridMultilevel"/>
    <w:tmpl w:val="5A920DF4"/>
    <w:lvl w:ilvl="0" w:tplc="57E8E770">
      <w:numFmt w:val="bullet"/>
      <w:lvlText w:val="-"/>
      <w:lvlJc w:val="left"/>
      <w:pPr>
        <w:ind w:left="720" w:hanging="360"/>
      </w:pPr>
      <w:rPr>
        <w:rFonts w:ascii="Futura Lt BT" w:hAnsi="Futura Lt BT" w:cs="Times New Roman" w:hint="default"/>
      </w:rPr>
    </w:lvl>
    <w:lvl w:ilvl="1" w:tplc="58E24494" w:tentative="1">
      <w:start w:val="1"/>
      <w:numFmt w:val="bullet"/>
      <w:lvlText w:val="o"/>
      <w:lvlJc w:val="left"/>
      <w:pPr>
        <w:ind w:left="1440" w:hanging="360"/>
      </w:pPr>
      <w:rPr>
        <w:rFonts w:ascii="Courier New" w:hAnsi="Courier New" w:cs="Courier New" w:hint="default"/>
      </w:rPr>
    </w:lvl>
    <w:lvl w:ilvl="2" w:tplc="69AAFA7C" w:tentative="1">
      <w:start w:val="1"/>
      <w:numFmt w:val="bullet"/>
      <w:lvlText w:val=""/>
      <w:lvlJc w:val="left"/>
      <w:pPr>
        <w:ind w:left="2160" w:hanging="360"/>
      </w:pPr>
      <w:rPr>
        <w:rFonts w:ascii="Wingdings" w:hAnsi="Wingdings" w:hint="default"/>
      </w:rPr>
    </w:lvl>
    <w:lvl w:ilvl="3" w:tplc="212271D6" w:tentative="1">
      <w:start w:val="1"/>
      <w:numFmt w:val="bullet"/>
      <w:lvlText w:val=""/>
      <w:lvlJc w:val="left"/>
      <w:pPr>
        <w:ind w:left="2880" w:hanging="360"/>
      </w:pPr>
      <w:rPr>
        <w:rFonts w:ascii="Symbol" w:hAnsi="Symbol" w:hint="default"/>
      </w:rPr>
    </w:lvl>
    <w:lvl w:ilvl="4" w:tplc="87703C66" w:tentative="1">
      <w:start w:val="1"/>
      <w:numFmt w:val="bullet"/>
      <w:lvlText w:val="o"/>
      <w:lvlJc w:val="left"/>
      <w:pPr>
        <w:ind w:left="3600" w:hanging="360"/>
      </w:pPr>
      <w:rPr>
        <w:rFonts w:ascii="Courier New" w:hAnsi="Courier New" w:cs="Courier New" w:hint="default"/>
      </w:rPr>
    </w:lvl>
    <w:lvl w:ilvl="5" w:tplc="75A01D60" w:tentative="1">
      <w:start w:val="1"/>
      <w:numFmt w:val="bullet"/>
      <w:lvlText w:val=""/>
      <w:lvlJc w:val="left"/>
      <w:pPr>
        <w:ind w:left="4320" w:hanging="360"/>
      </w:pPr>
      <w:rPr>
        <w:rFonts w:ascii="Wingdings" w:hAnsi="Wingdings" w:hint="default"/>
      </w:rPr>
    </w:lvl>
    <w:lvl w:ilvl="6" w:tplc="7218A0F2" w:tentative="1">
      <w:start w:val="1"/>
      <w:numFmt w:val="bullet"/>
      <w:lvlText w:val=""/>
      <w:lvlJc w:val="left"/>
      <w:pPr>
        <w:ind w:left="5040" w:hanging="360"/>
      </w:pPr>
      <w:rPr>
        <w:rFonts w:ascii="Symbol" w:hAnsi="Symbol" w:hint="default"/>
      </w:rPr>
    </w:lvl>
    <w:lvl w:ilvl="7" w:tplc="FEC69D74" w:tentative="1">
      <w:start w:val="1"/>
      <w:numFmt w:val="bullet"/>
      <w:lvlText w:val="o"/>
      <w:lvlJc w:val="left"/>
      <w:pPr>
        <w:ind w:left="5760" w:hanging="360"/>
      </w:pPr>
      <w:rPr>
        <w:rFonts w:ascii="Courier New" w:hAnsi="Courier New" w:cs="Courier New" w:hint="default"/>
      </w:rPr>
    </w:lvl>
    <w:lvl w:ilvl="8" w:tplc="D5C47A66" w:tentative="1">
      <w:start w:val="1"/>
      <w:numFmt w:val="bullet"/>
      <w:lvlText w:val=""/>
      <w:lvlJc w:val="left"/>
      <w:pPr>
        <w:ind w:left="6480" w:hanging="360"/>
      </w:pPr>
      <w:rPr>
        <w:rFonts w:ascii="Wingdings" w:hAnsi="Wingdings" w:hint="default"/>
      </w:rPr>
    </w:lvl>
  </w:abstractNum>
  <w:abstractNum w:abstractNumId="20">
    <w:nsid w:val="00000035"/>
    <w:multiLevelType w:val="hybridMultilevel"/>
    <w:tmpl w:val="87262ED8"/>
    <w:lvl w:ilvl="0" w:tplc="962451C0">
      <w:start w:val="293"/>
      <w:numFmt w:val="bullet"/>
      <w:lvlText w:val="-"/>
      <w:lvlJc w:val="left"/>
      <w:pPr>
        <w:tabs>
          <w:tab w:val="num" w:pos="720"/>
        </w:tabs>
        <w:ind w:left="720" w:hanging="360"/>
      </w:pPr>
      <w:rPr>
        <w:rFonts w:ascii="Arial" w:hAnsi="Arial" w:cs="Arial" w:hint="default"/>
        <w:b/>
      </w:rPr>
    </w:lvl>
    <w:lvl w:ilvl="1" w:tplc="89A4F3CA">
      <w:start w:val="1"/>
      <w:numFmt w:val="bullet"/>
      <w:lvlText w:val="o"/>
      <w:lvlJc w:val="left"/>
      <w:pPr>
        <w:tabs>
          <w:tab w:val="num" w:pos="1440"/>
        </w:tabs>
        <w:ind w:left="1440" w:hanging="360"/>
      </w:pPr>
      <w:rPr>
        <w:rFonts w:ascii="Courier New" w:hAnsi="Courier New" w:cs="Courier New" w:hint="default"/>
      </w:rPr>
    </w:lvl>
    <w:lvl w:ilvl="2" w:tplc="4F54B83C">
      <w:start w:val="1"/>
      <w:numFmt w:val="bullet"/>
      <w:lvlText w:val=""/>
      <w:lvlJc w:val="left"/>
      <w:pPr>
        <w:tabs>
          <w:tab w:val="num" w:pos="2160"/>
        </w:tabs>
        <w:ind w:left="2160" w:hanging="360"/>
      </w:pPr>
      <w:rPr>
        <w:rFonts w:ascii="Wingdings" w:hAnsi="Wingdings" w:hint="default"/>
      </w:rPr>
    </w:lvl>
    <w:lvl w:ilvl="3" w:tplc="7326E89A">
      <w:start w:val="1"/>
      <w:numFmt w:val="bullet"/>
      <w:lvlText w:val=""/>
      <w:lvlJc w:val="left"/>
      <w:pPr>
        <w:tabs>
          <w:tab w:val="num" w:pos="2880"/>
        </w:tabs>
        <w:ind w:left="2880" w:hanging="360"/>
      </w:pPr>
      <w:rPr>
        <w:rFonts w:ascii="Symbol" w:hAnsi="Symbol" w:hint="default"/>
      </w:rPr>
    </w:lvl>
    <w:lvl w:ilvl="4" w:tplc="D9D66B48">
      <w:start w:val="1"/>
      <w:numFmt w:val="bullet"/>
      <w:lvlText w:val="o"/>
      <w:lvlJc w:val="left"/>
      <w:pPr>
        <w:tabs>
          <w:tab w:val="num" w:pos="3600"/>
        </w:tabs>
        <w:ind w:left="3600" w:hanging="360"/>
      </w:pPr>
      <w:rPr>
        <w:rFonts w:ascii="Courier New" w:hAnsi="Courier New" w:cs="Courier New" w:hint="default"/>
      </w:rPr>
    </w:lvl>
    <w:lvl w:ilvl="5" w:tplc="1CDC6C00">
      <w:start w:val="1"/>
      <w:numFmt w:val="bullet"/>
      <w:lvlText w:val=""/>
      <w:lvlJc w:val="left"/>
      <w:pPr>
        <w:tabs>
          <w:tab w:val="num" w:pos="4320"/>
        </w:tabs>
        <w:ind w:left="4320" w:hanging="360"/>
      </w:pPr>
      <w:rPr>
        <w:rFonts w:ascii="Wingdings" w:hAnsi="Wingdings" w:hint="default"/>
      </w:rPr>
    </w:lvl>
    <w:lvl w:ilvl="6" w:tplc="D0DE5E6E">
      <w:start w:val="1"/>
      <w:numFmt w:val="bullet"/>
      <w:lvlText w:val=""/>
      <w:lvlJc w:val="left"/>
      <w:pPr>
        <w:tabs>
          <w:tab w:val="num" w:pos="5040"/>
        </w:tabs>
        <w:ind w:left="5040" w:hanging="360"/>
      </w:pPr>
      <w:rPr>
        <w:rFonts w:ascii="Symbol" w:hAnsi="Symbol" w:hint="default"/>
      </w:rPr>
    </w:lvl>
    <w:lvl w:ilvl="7" w:tplc="0A7C7DDA">
      <w:start w:val="1"/>
      <w:numFmt w:val="bullet"/>
      <w:lvlText w:val="o"/>
      <w:lvlJc w:val="left"/>
      <w:pPr>
        <w:tabs>
          <w:tab w:val="num" w:pos="5760"/>
        </w:tabs>
        <w:ind w:left="5760" w:hanging="360"/>
      </w:pPr>
      <w:rPr>
        <w:rFonts w:ascii="Courier New" w:hAnsi="Courier New" w:cs="Courier New" w:hint="default"/>
      </w:rPr>
    </w:lvl>
    <w:lvl w:ilvl="8" w:tplc="7D2ECA04">
      <w:start w:val="1"/>
      <w:numFmt w:val="bullet"/>
      <w:lvlText w:val=""/>
      <w:lvlJc w:val="left"/>
      <w:pPr>
        <w:tabs>
          <w:tab w:val="num" w:pos="6480"/>
        </w:tabs>
        <w:ind w:left="6480" w:hanging="360"/>
      </w:pPr>
      <w:rPr>
        <w:rFonts w:ascii="Wingdings" w:hAnsi="Wingdings" w:hint="default"/>
      </w:rPr>
    </w:lvl>
  </w:abstractNum>
  <w:abstractNum w:abstractNumId="21">
    <w:nsid w:val="00000036"/>
    <w:multiLevelType w:val="hybridMultilevel"/>
    <w:tmpl w:val="C7242F70"/>
    <w:lvl w:ilvl="0" w:tplc="DF263910">
      <w:numFmt w:val="bullet"/>
      <w:lvlText w:val="-"/>
      <w:lvlJc w:val="left"/>
      <w:pPr>
        <w:tabs>
          <w:tab w:val="num" w:pos="720"/>
        </w:tabs>
        <w:ind w:left="720" w:hanging="363"/>
      </w:pPr>
      <w:rPr>
        <w:rFonts w:ascii="Futura Lt BT" w:hAnsi="Futura Lt BT" w:cs="Times New Roman" w:hint="default"/>
      </w:rPr>
    </w:lvl>
    <w:lvl w:ilvl="1" w:tplc="AC1EAA20" w:tentative="1">
      <w:start w:val="1"/>
      <w:numFmt w:val="bullet"/>
      <w:lvlText w:val="o"/>
      <w:lvlJc w:val="left"/>
      <w:pPr>
        <w:tabs>
          <w:tab w:val="num" w:pos="1440"/>
        </w:tabs>
        <w:ind w:left="1440" w:hanging="360"/>
      </w:pPr>
      <w:rPr>
        <w:rFonts w:ascii="Courier New" w:hAnsi="Courier New" w:cs="Courier New" w:hint="default"/>
      </w:rPr>
    </w:lvl>
    <w:lvl w:ilvl="2" w:tplc="3FE80C68" w:tentative="1">
      <w:start w:val="1"/>
      <w:numFmt w:val="bullet"/>
      <w:lvlText w:val=""/>
      <w:lvlJc w:val="left"/>
      <w:pPr>
        <w:tabs>
          <w:tab w:val="num" w:pos="2160"/>
        </w:tabs>
        <w:ind w:left="2160" w:hanging="360"/>
      </w:pPr>
      <w:rPr>
        <w:rFonts w:ascii="Wingdings" w:hAnsi="Wingdings" w:hint="default"/>
      </w:rPr>
    </w:lvl>
    <w:lvl w:ilvl="3" w:tplc="56A214BC" w:tentative="1">
      <w:start w:val="1"/>
      <w:numFmt w:val="bullet"/>
      <w:lvlText w:val=""/>
      <w:lvlJc w:val="left"/>
      <w:pPr>
        <w:tabs>
          <w:tab w:val="num" w:pos="2880"/>
        </w:tabs>
        <w:ind w:left="2880" w:hanging="360"/>
      </w:pPr>
      <w:rPr>
        <w:rFonts w:ascii="Symbol" w:hAnsi="Symbol" w:hint="default"/>
      </w:rPr>
    </w:lvl>
    <w:lvl w:ilvl="4" w:tplc="DEF285DC" w:tentative="1">
      <w:start w:val="1"/>
      <w:numFmt w:val="bullet"/>
      <w:lvlText w:val="o"/>
      <w:lvlJc w:val="left"/>
      <w:pPr>
        <w:tabs>
          <w:tab w:val="num" w:pos="3600"/>
        </w:tabs>
        <w:ind w:left="3600" w:hanging="360"/>
      </w:pPr>
      <w:rPr>
        <w:rFonts w:ascii="Courier New" w:hAnsi="Courier New" w:cs="Courier New" w:hint="default"/>
      </w:rPr>
    </w:lvl>
    <w:lvl w:ilvl="5" w:tplc="BDC0F1B2" w:tentative="1">
      <w:start w:val="1"/>
      <w:numFmt w:val="bullet"/>
      <w:lvlText w:val=""/>
      <w:lvlJc w:val="left"/>
      <w:pPr>
        <w:tabs>
          <w:tab w:val="num" w:pos="4320"/>
        </w:tabs>
        <w:ind w:left="4320" w:hanging="360"/>
      </w:pPr>
      <w:rPr>
        <w:rFonts w:ascii="Wingdings" w:hAnsi="Wingdings" w:hint="default"/>
      </w:rPr>
    </w:lvl>
    <w:lvl w:ilvl="6" w:tplc="FF0CFBBC" w:tentative="1">
      <w:start w:val="1"/>
      <w:numFmt w:val="bullet"/>
      <w:lvlText w:val=""/>
      <w:lvlJc w:val="left"/>
      <w:pPr>
        <w:tabs>
          <w:tab w:val="num" w:pos="5040"/>
        </w:tabs>
        <w:ind w:left="5040" w:hanging="360"/>
      </w:pPr>
      <w:rPr>
        <w:rFonts w:ascii="Symbol" w:hAnsi="Symbol" w:hint="default"/>
      </w:rPr>
    </w:lvl>
    <w:lvl w:ilvl="7" w:tplc="116004BA" w:tentative="1">
      <w:start w:val="1"/>
      <w:numFmt w:val="bullet"/>
      <w:lvlText w:val="o"/>
      <w:lvlJc w:val="left"/>
      <w:pPr>
        <w:tabs>
          <w:tab w:val="num" w:pos="5760"/>
        </w:tabs>
        <w:ind w:left="5760" w:hanging="360"/>
      </w:pPr>
      <w:rPr>
        <w:rFonts w:ascii="Courier New" w:hAnsi="Courier New" w:cs="Courier New" w:hint="default"/>
      </w:rPr>
    </w:lvl>
    <w:lvl w:ilvl="8" w:tplc="AA10A602" w:tentative="1">
      <w:start w:val="1"/>
      <w:numFmt w:val="bullet"/>
      <w:lvlText w:val=""/>
      <w:lvlJc w:val="left"/>
      <w:pPr>
        <w:tabs>
          <w:tab w:val="num" w:pos="6480"/>
        </w:tabs>
        <w:ind w:left="6480" w:hanging="360"/>
      </w:pPr>
      <w:rPr>
        <w:rFonts w:ascii="Wingdings" w:hAnsi="Wingdings" w:hint="default"/>
      </w:rPr>
    </w:lvl>
  </w:abstractNum>
  <w:abstractNum w:abstractNumId="22">
    <w:nsid w:val="00000037"/>
    <w:multiLevelType w:val="multilevel"/>
    <w:tmpl w:val="0736EBDE"/>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23">
    <w:nsid w:val="00000038"/>
    <w:multiLevelType w:val="multilevel"/>
    <w:tmpl w:val="DC5083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nsid w:val="0000003A"/>
    <w:multiLevelType w:val="multilevel"/>
    <w:tmpl w:val="FE68A5C4"/>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25">
    <w:nsid w:val="0000003D"/>
    <w:multiLevelType w:val="multilevel"/>
    <w:tmpl w:val="D2BE84DE"/>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0000003E"/>
    <w:multiLevelType w:val="hybridMultilevel"/>
    <w:tmpl w:val="E23C9EFE"/>
    <w:lvl w:ilvl="0" w:tplc="54E2CA56">
      <w:numFmt w:val="bullet"/>
      <w:lvlText w:val="-"/>
      <w:lvlJc w:val="left"/>
      <w:pPr>
        <w:tabs>
          <w:tab w:val="num" w:pos="720"/>
        </w:tabs>
        <w:ind w:left="720" w:hanging="360"/>
      </w:pPr>
      <w:rPr>
        <w:rFonts w:ascii="Futura Lt BT" w:hAnsi="Futura Lt BT" w:cs="Times New Roman" w:hint="default"/>
      </w:rPr>
    </w:lvl>
    <w:lvl w:ilvl="1" w:tplc="C42079E4" w:tentative="1">
      <w:start w:val="1"/>
      <w:numFmt w:val="bullet"/>
      <w:lvlText w:val="o"/>
      <w:lvlJc w:val="left"/>
      <w:pPr>
        <w:tabs>
          <w:tab w:val="num" w:pos="1440"/>
        </w:tabs>
        <w:ind w:left="1440" w:hanging="360"/>
      </w:pPr>
      <w:rPr>
        <w:rFonts w:ascii="Courier New" w:hAnsi="Courier New" w:cs="Courier New" w:hint="default"/>
      </w:rPr>
    </w:lvl>
    <w:lvl w:ilvl="2" w:tplc="C5B419D0" w:tentative="1">
      <w:start w:val="1"/>
      <w:numFmt w:val="bullet"/>
      <w:lvlText w:val=""/>
      <w:lvlJc w:val="left"/>
      <w:pPr>
        <w:tabs>
          <w:tab w:val="num" w:pos="2160"/>
        </w:tabs>
        <w:ind w:left="2160" w:hanging="360"/>
      </w:pPr>
      <w:rPr>
        <w:rFonts w:ascii="Wingdings" w:hAnsi="Wingdings" w:hint="default"/>
      </w:rPr>
    </w:lvl>
    <w:lvl w:ilvl="3" w:tplc="8CCCEBF8" w:tentative="1">
      <w:start w:val="1"/>
      <w:numFmt w:val="bullet"/>
      <w:lvlText w:val=""/>
      <w:lvlJc w:val="left"/>
      <w:pPr>
        <w:tabs>
          <w:tab w:val="num" w:pos="2880"/>
        </w:tabs>
        <w:ind w:left="2880" w:hanging="360"/>
      </w:pPr>
      <w:rPr>
        <w:rFonts w:ascii="Symbol" w:hAnsi="Symbol" w:hint="default"/>
      </w:rPr>
    </w:lvl>
    <w:lvl w:ilvl="4" w:tplc="32902468" w:tentative="1">
      <w:start w:val="1"/>
      <w:numFmt w:val="bullet"/>
      <w:lvlText w:val="o"/>
      <w:lvlJc w:val="left"/>
      <w:pPr>
        <w:tabs>
          <w:tab w:val="num" w:pos="3600"/>
        </w:tabs>
        <w:ind w:left="3600" w:hanging="360"/>
      </w:pPr>
      <w:rPr>
        <w:rFonts w:ascii="Courier New" w:hAnsi="Courier New" w:cs="Courier New" w:hint="default"/>
      </w:rPr>
    </w:lvl>
    <w:lvl w:ilvl="5" w:tplc="1A3CF372" w:tentative="1">
      <w:start w:val="1"/>
      <w:numFmt w:val="bullet"/>
      <w:lvlText w:val=""/>
      <w:lvlJc w:val="left"/>
      <w:pPr>
        <w:tabs>
          <w:tab w:val="num" w:pos="4320"/>
        </w:tabs>
        <w:ind w:left="4320" w:hanging="360"/>
      </w:pPr>
      <w:rPr>
        <w:rFonts w:ascii="Wingdings" w:hAnsi="Wingdings" w:hint="default"/>
      </w:rPr>
    </w:lvl>
    <w:lvl w:ilvl="6" w:tplc="0838CE0C" w:tentative="1">
      <w:start w:val="1"/>
      <w:numFmt w:val="bullet"/>
      <w:lvlText w:val=""/>
      <w:lvlJc w:val="left"/>
      <w:pPr>
        <w:tabs>
          <w:tab w:val="num" w:pos="5040"/>
        </w:tabs>
        <w:ind w:left="5040" w:hanging="360"/>
      </w:pPr>
      <w:rPr>
        <w:rFonts w:ascii="Symbol" w:hAnsi="Symbol" w:hint="default"/>
      </w:rPr>
    </w:lvl>
    <w:lvl w:ilvl="7" w:tplc="20B4F83A" w:tentative="1">
      <w:start w:val="1"/>
      <w:numFmt w:val="bullet"/>
      <w:lvlText w:val="o"/>
      <w:lvlJc w:val="left"/>
      <w:pPr>
        <w:tabs>
          <w:tab w:val="num" w:pos="5760"/>
        </w:tabs>
        <w:ind w:left="5760" w:hanging="360"/>
      </w:pPr>
      <w:rPr>
        <w:rFonts w:ascii="Courier New" w:hAnsi="Courier New" w:cs="Courier New" w:hint="default"/>
      </w:rPr>
    </w:lvl>
    <w:lvl w:ilvl="8" w:tplc="4F2A923C" w:tentative="1">
      <w:start w:val="1"/>
      <w:numFmt w:val="bullet"/>
      <w:lvlText w:val=""/>
      <w:lvlJc w:val="left"/>
      <w:pPr>
        <w:tabs>
          <w:tab w:val="num" w:pos="6480"/>
        </w:tabs>
        <w:ind w:left="6480" w:hanging="360"/>
      </w:pPr>
      <w:rPr>
        <w:rFonts w:ascii="Wingdings" w:hAnsi="Wingdings" w:hint="default"/>
      </w:rPr>
    </w:lvl>
  </w:abstractNum>
  <w:abstractNum w:abstractNumId="27">
    <w:nsid w:val="00000040"/>
    <w:multiLevelType w:val="hybridMultilevel"/>
    <w:tmpl w:val="8DCE8CBC"/>
    <w:lvl w:ilvl="0" w:tplc="20CED3C6">
      <w:start w:val="1"/>
      <w:numFmt w:val="lowerRoman"/>
      <w:lvlText w:val="%1)"/>
      <w:lvlJc w:val="left"/>
      <w:pPr>
        <w:ind w:left="1080" w:hanging="720"/>
      </w:pPr>
      <w:rPr>
        <w:rFonts w:hint="default"/>
      </w:rPr>
    </w:lvl>
    <w:lvl w:ilvl="1" w:tplc="DC3A3220" w:tentative="1">
      <w:start w:val="1"/>
      <w:numFmt w:val="lowerLetter"/>
      <w:lvlText w:val="%2."/>
      <w:lvlJc w:val="left"/>
      <w:pPr>
        <w:ind w:left="1440" w:hanging="360"/>
      </w:pPr>
    </w:lvl>
    <w:lvl w:ilvl="2" w:tplc="76BA3AEE" w:tentative="1">
      <w:start w:val="1"/>
      <w:numFmt w:val="lowerRoman"/>
      <w:lvlText w:val="%3."/>
      <w:lvlJc w:val="right"/>
      <w:pPr>
        <w:ind w:left="2160" w:hanging="180"/>
      </w:pPr>
    </w:lvl>
    <w:lvl w:ilvl="3" w:tplc="28A228E0" w:tentative="1">
      <w:start w:val="1"/>
      <w:numFmt w:val="decimal"/>
      <w:lvlText w:val="%4."/>
      <w:lvlJc w:val="left"/>
      <w:pPr>
        <w:ind w:left="2880" w:hanging="360"/>
      </w:pPr>
    </w:lvl>
    <w:lvl w:ilvl="4" w:tplc="5E24FD20" w:tentative="1">
      <w:start w:val="1"/>
      <w:numFmt w:val="lowerLetter"/>
      <w:lvlText w:val="%5."/>
      <w:lvlJc w:val="left"/>
      <w:pPr>
        <w:ind w:left="3600" w:hanging="360"/>
      </w:pPr>
    </w:lvl>
    <w:lvl w:ilvl="5" w:tplc="5012508E" w:tentative="1">
      <w:start w:val="1"/>
      <w:numFmt w:val="lowerRoman"/>
      <w:lvlText w:val="%6."/>
      <w:lvlJc w:val="right"/>
      <w:pPr>
        <w:ind w:left="4320" w:hanging="180"/>
      </w:pPr>
    </w:lvl>
    <w:lvl w:ilvl="6" w:tplc="B5E6C1BA" w:tentative="1">
      <w:start w:val="1"/>
      <w:numFmt w:val="decimal"/>
      <w:lvlText w:val="%7."/>
      <w:lvlJc w:val="left"/>
      <w:pPr>
        <w:ind w:left="5040" w:hanging="360"/>
      </w:pPr>
    </w:lvl>
    <w:lvl w:ilvl="7" w:tplc="B2E0BBEE" w:tentative="1">
      <w:start w:val="1"/>
      <w:numFmt w:val="lowerLetter"/>
      <w:lvlText w:val="%8."/>
      <w:lvlJc w:val="left"/>
      <w:pPr>
        <w:ind w:left="5760" w:hanging="360"/>
      </w:pPr>
    </w:lvl>
    <w:lvl w:ilvl="8" w:tplc="544408E6" w:tentative="1">
      <w:start w:val="1"/>
      <w:numFmt w:val="lowerRoman"/>
      <w:lvlText w:val="%9."/>
      <w:lvlJc w:val="right"/>
      <w:pPr>
        <w:ind w:left="6480" w:hanging="180"/>
      </w:pPr>
    </w:lvl>
  </w:abstractNum>
  <w:abstractNum w:abstractNumId="28">
    <w:nsid w:val="00000041"/>
    <w:multiLevelType w:val="multilevel"/>
    <w:tmpl w:val="85A4563E"/>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2"/>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00000042"/>
    <w:multiLevelType w:val="multilevel"/>
    <w:tmpl w:val="C2ACEBC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3"/>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00000043"/>
    <w:multiLevelType w:val="multilevel"/>
    <w:tmpl w:val="AAF651C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4"/>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00000044"/>
    <w:multiLevelType w:val="multilevel"/>
    <w:tmpl w:val="E07C77F4"/>
    <w:lvl w:ilvl="0">
      <w:start w:val="3"/>
      <w:numFmt w:val="decimal"/>
      <w:lvlText w:val="%1"/>
      <w:lvlJc w:val="left"/>
      <w:pPr>
        <w:tabs>
          <w:tab w:val="num" w:pos="1170"/>
        </w:tabs>
        <w:ind w:left="1170" w:hanging="1170"/>
      </w:pPr>
      <w:rPr>
        <w:rFonts w:hint="default"/>
      </w:rPr>
    </w:lvl>
    <w:lvl w:ilvl="1">
      <w:start w:val="2"/>
      <w:numFmt w:val="decimal"/>
      <w:lvlText w:val="%1.%2"/>
      <w:lvlJc w:val="left"/>
      <w:pPr>
        <w:tabs>
          <w:tab w:val="num" w:pos="1170"/>
        </w:tabs>
        <w:ind w:left="1170" w:hanging="1170"/>
      </w:pPr>
      <w:rPr>
        <w:rFonts w:hint="default"/>
      </w:rPr>
    </w:lvl>
    <w:lvl w:ilvl="2">
      <w:start w:val="3"/>
      <w:numFmt w:val="decimal"/>
      <w:lvlText w:val="%1.%2.%3"/>
      <w:lvlJc w:val="left"/>
      <w:pPr>
        <w:tabs>
          <w:tab w:val="num" w:pos="1170"/>
        </w:tabs>
        <w:ind w:left="1170" w:hanging="1170"/>
      </w:pPr>
      <w:rPr>
        <w:rFonts w:hint="default"/>
      </w:rPr>
    </w:lvl>
    <w:lvl w:ilvl="3">
      <w:start w:val="4"/>
      <w:numFmt w:val="decimal"/>
      <w:lvlText w:val="%1.%2.%3.%4"/>
      <w:lvlJc w:val="left"/>
      <w:pPr>
        <w:tabs>
          <w:tab w:val="num" w:pos="1170"/>
        </w:tabs>
        <w:ind w:left="1170" w:hanging="1170"/>
      </w:pPr>
      <w:rPr>
        <w:rFonts w:hint="default"/>
      </w:rPr>
    </w:lvl>
    <w:lvl w:ilvl="4">
      <w:start w:val="2"/>
      <w:numFmt w:val="decimal"/>
      <w:lvlText w:val="%1.%2.%3.%4.%5"/>
      <w:lvlJc w:val="left"/>
      <w:pPr>
        <w:tabs>
          <w:tab w:val="num" w:pos="1170"/>
        </w:tabs>
        <w:ind w:left="1170" w:hanging="1170"/>
      </w:pPr>
      <w:rPr>
        <w:rFonts w:hint="default"/>
      </w:rPr>
    </w:lvl>
    <w:lvl w:ilvl="5">
      <w:start w:val="1"/>
      <w:numFmt w:val="decimal"/>
      <w:lvlText w:val="%1.%2.%3.%4.%5.%6"/>
      <w:lvlJc w:val="left"/>
      <w:pPr>
        <w:tabs>
          <w:tab w:val="num" w:pos="1170"/>
        </w:tabs>
        <w:ind w:left="1170" w:hanging="117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00000046"/>
    <w:multiLevelType w:val="multilevel"/>
    <w:tmpl w:val="C0E2270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6"/>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00000047"/>
    <w:multiLevelType w:val="multilevel"/>
    <w:tmpl w:val="3ED01954"/>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7"/>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00000049"/>
    <w:multiLevelType w:val="multilevel"/>
    <w:tmpl w:val="01F8C758"/>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5"/>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0000004A"/>
    <w:multiLevelType w:val="hybridMultilevel"/>
    <w:tmpl w:val="75360A3C"/>
    <w:lvl w:ilvl="0" w:tplc="E47A9C6A">
      <w:start w:val="1"/>
      <w:numFmt w:val="bullet"/>
      <w:lvlText w:val=""/>
      <w:lvlJc w:val="left"/>
      <w:pPr>
        <w:ind w:left="360" w:hanging="360"/>
      </w:pPr>
      <w:rPr>
        <w:rFonts w:ascii="Symbol" w:hAnsi="Symbol" w:hint="default"/>
      </w:rPr>
    </w:lvl>
    <w:lvl w:ilvl="1" w:tplc="150A9254" w:tentative="1">
      <w:start w:val="1"/>
      <w:numFmt w:val="bullet"/>
      <w:lvlText w:val="o"/>
      <w:lvlJc w:val="left"/>
      <w:pPr>
        <w:ind w:left="1080" w:hanging="360"/>
      </w:pPr>
      <w:rPr>
        <w:rFonts w:ascii="Courier New" w:hAnsi="Courier New" w:cs="Courier New" w:hint="default"/>
      </w:rPr>
    </w:lvl>
    <w:lvl w:ilvl="2" w:tplc="2EE0991A" w:tentative="1">
      <w:start w:val="1"/>
      <w:numFmt w:val="bullet"/>
      <w:lvlText w:val=""/>
      <w:lvlJc w:val="left"/>
      <w:pPr>
        <w:ind w:left="1800" w:hanging="360"/>
      </w:pPr>
      <w:rPr>
        <w:rFonts w:ascii="Wingdings" w:hAnsi="Wingdings" w:hint="default"/>
      </w:rPr>
    </w:lvl>
    <w:lvl w:ilvl="3" w:tplc="0A7A6146" w:tentative="1">
      <w:start w:val="1"/>
      <w:numFmt w:val="bullet"/>
      <w:lvlText w:val=""/>
      <w:lvlJc w:val="left"/>
      <w:pPr>
        <w:ind w:left="2520" w:hanging="360"/>
      </w:pPr>
      <w:rPr>
        <w:rFonts w:ascii="Symbol" w:hAnsi="Symbol" w:hint="default"/>
      </w:rPr>
    </w:lvl>
    <w:lvl w:ilvl="4" w:tplc="27E8727A" w:tentative="1">
      <w:start w:val="1"/>
      <w:numFmt w:val="bullet"/>
      <w:lvlText w:val="o"/>
      <w:lvlJc w:val="left"/>
      <w:pPr>
        <w:ind w:left="3240" w:hanging="360"/>
      </w:pPr>
      <w:rPr>
        <w:rFonts w:ascii="Courier New" w:hAnsi="Courier New" w:cs="Courier New" w:hint="default"/>
      </w:rPr>
    </w:lvl>
    <w:lvl w:ilvl="5" w:tplc="4A228A0E" w:tentative="1">
      <w:start w:val="1"/>
      <w:numFmt w:val="bullet"/>
      <w:lvlText w:val=""/>
      <w:lvlJc w:val="left"/>
      <w:pPr>
        <w:ind w:left="3960" w:hanging="360"/>
      </w:pPr>
      <w:rPr>
        <w:rFonts w:ascii="Wingdings" w:hAnsi="Wingdings" w:hint="default"/>
      </w:rPr>
    </w:lvl>
    <w:lvl w:ilvl="6" w:tplc="9D3447EE" w:tentative="1">
      <w:start w:val="1"/>
      <w:numFmt w:val="bullet"/>
      <w:lvlText w:val=""/>
      <w:lvlJc w:val="left"/>
      <w:pPr>
        <w:ind w:left="4680" w:hanging="360"/>
      </w:pPr>
      <w:rPr>
        <w:rFonts w:ascii="Symbol" w:hAnsi="Symbol" w:hint="default"/>
      </w:rPr>
    </w:lvl>
    <w:lvl w:ilvl="7" w:tplc="E22C3A0E" w:tentative="1">
      <w:start w:val="1"/>
      <w:numFmt w:val="bullet"/>
      <w:lvlText w:val="o"/>
      <w:lvlJc w:val="left"/>
      <w:pPr>
        <w:ind w:left="5400" w:hanging="360"/>
      </w:pPr>
      <w:rPr>
        <w:rFonts w:ascii="Courier New" w:hAnsi="Courier New" w:cs="Courier New" w:hint="default"/>
      </w:rPr>
    </w:lvl>
    <w:lvl w:ilvl="8" w:tplc="8C46BF92" w:tentative="1">
      <w:start w:val="1"/>
      <w:numFmt w:val="bullet"/>
      <w:lvlText w:val=""/>
      <w:lvlJc w:val="left"/>
      <w:pPr>
        <w:ind w:left="6120" w:hanging="360"/>
      </w:pPr>
      <w:rPr>
        <w:rFonts w:ascii="Wingdings" w:hAnsi="Wingdings" w:hint="default"/>
      </w:rPr>
    </w:lvl>
  </w:abstractNum>
  <w:abstractNum w:abstractNumId="36">
    <w:nsid w:val="0000004B"/>
    <w:multiLevelType w:val="hybridMultilevel"/>
    <w:tmpl w:val="DD6AEF06"/>
    <w:lvl w:ilvl="0" w:tplc="8F788D64">
      <w:start w:val="1"/>
      <w:numFmt w:val="bullet"/>
      <w:lvlText w:val=""/>
      <w:lvlJc w:val="left"/>
      <w:pPr>
        <w:ind w:left="360" w:hanging="360"/>
      </w:pPr>
      <w:rPr>
        <w:rFonts w:ascii="Symbol" w:hAnsi="Symbol" w:hint="default"/>
      </w:rPr>
    </w:lvl>
    <w:lvl w:ilvl="1" w:tplc="D9227670" w:tentative="1">
      <w:start w:val="1"/>
      <w:numFmt w:val="bullet"/>
      <w:lvlText w:val="o"/>
      <w:lvlJc w:val="left"/>
      <w:pPr>
        <w:ind w:left="1080" w:hanging="360"/>
      </w:pPr>
      <w:rPr>
        <w:rFonts w:ascii="Courier New" w:hAnsi="Courier New" w:cs="Courier New" w:hint="default"/>
      </w:rPr>
    </w:lvl>
    <w:lvl w:ilvl="2" w:tplc="254634AA" w:tentative="1">
      <w:start w:val="1"/>
      <w:numFmt w:val="bullet"/>
      <w:lvlText w:val=""/>
      <w:lvlJc w:val="left"/>
      <w:pPr>
        <w:ind w:left="1800" w:hanging="360"/>
      </w:pPr>
      <w:rPr>
        <w:rFonts w:ascii="Wingdings" w:hAnsi="Wingdings" w:hint="default"/>
      </w:rPr>
    </w:lvl>
    <w:lvl w:ilvl="3" w:tplc="CABC16B8" w:tentative="1">
      <w:start w:val="1"/>
      <w:numFmt w:val="bullet"/>
      <w:lvlText w:val=""/>
      <w:lvlJc w:val="left"/>
      <w:pPr>
        <w:ind w:left="2520" w:hanging="360"/>
      </w:pPr>
      <w:rPr>
        <w:rFonts w:ascii="Symbol" w:hAnsi="Symbol" w:hint="default"/>
      </w:rPr>
    </w:lvl>
    <w:lvl w:ilvl="4" w:tplc="E3503340" w:tentative="1">
      <w:start w:val="1"/>
      <w:numFmt w:val="bullet"/>
      <w:lvlText w:val="o"/>
      <w:lvlJc w:val="left"/>
      <w:pPr>
        <w:ind w:left="3240" w:hanging="360"/>
      </w:pPr>
      <w:rPr>
        <w:rFonts w:ascii="Courier New" w:hAnsi="Courier New" w:cs="Courier New" w:hint="default"/>
      </w:rPr>
    </w:lvl>
    <w:lvl w:ilvl="5" w:tplc="AFA4A14A" w:tentative="1">
      <w:start w:val="1"/>
      <w:numFmt w:val="bullet"/>
      <w:lvlText w:val=""/>
      <w:lvlJc w:val="left"/>
      <w:pPr>
        <w:ind w:left="3960" w:hanging="360"/>
      </w:pPr>
      <w:rPr>
        <w:rFonts w:ascii="Wingdings" w:hAnsi="Wingdings" w:hint="default"/>
      </w:rPr>
    </w:lvl>
    <w:lvl w:ilvl="6" w:tplc="2ECCB9FA" w:tentative="1">
      <w:start w:val="1"/>
      <w:numFmt w:val="bullet"/>
      <w:lvlText w:val=""/>
      <w:lvlJc w:val="left"/>
      <w:pPr>
        <w:ind w:left="4680" w:hanging="360"/>
      </w:pPr>
      <w:rPr>
        <w:rFonts w:ascii="Symbol" w:hAnsi="Symbol" w:hint="default"/>
      </w:rPr>
    </w:lvl>
    <w:lvl w:ilvl="7" w:tplc="43B84072" w:tentative="1">
      <w:start w:val="1"/>
      <w:numFmt w:val="bullet"/>
      <w:lvlText w:val="o"/>
      <w:lvlJc w:val="left"/>
      <w:pPr>
        <w:ind w:left="5400" w:hanging="360"/>
      </w:pPr>
      <w:rPr>
        <w:rFonts w:ascii="Courier New" w:hAnsi="Courier New" w:cs="Courier New" w:hint="default"/>
      </w:rPr>
    </w:lvl>
    <w:lvl w:ilvl="8" w:tplc="CE6E0232" w:tentative="1">
      <w:start w:val="1"/>
      <w:numFmt w:val="bullet"/>
      <w:lvlText w:val=""/>
      <w:lvlJc w:val="left"/>
      <w:pPr>
        <w:ind w:left="6120" w:hanging="360"/>
      </w:pPr>
      <w:rPr>
        <w:rFonts w:ascii="Wingdings" w:hAnsi="Wingdings" w:hint="default"/>
      </w:rPr>
    </w:lvl>
  </w:abstractNum>
  <w:abstractNum w:abstractNumId="37">
    <w:nsid w:val="0000004E"/>
    <w:multiLevelType w:val="multilevel"/>
    <w:tmpl w:val="8E0E4E5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8">
    <w:nsid w:val="0000004F"/>
    <w:multiLevelType w:val="multilevel"/>
    <w:tmpl w:val="FC1C745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3"/>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9">
    <w:nsid w:val="00000050"/>
    <w:multiLevelType w:val="multilevel"/>
    <w:tmpl w:val="03C0349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0">
    <w:nsid w:val="00000051"/>
    <w:multiLevelType w:val="multilevel"/>
    <w:tmpl w:val="FDE8646A"/>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00000052"/>
    <w:multiLevelType w:val="multilevel"/>
    <w:tmpl w:val="253020C6"/>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1"/>
      <w:numFmt w:val="decimal"/>
      <w:lvlText w:val="%1.%2.%3.%4.%5."/>
      <w:lvlJc w:val="left"/>
      <w:pPr>
        <w:tabs>
          <w:tab w:val="num" w:pos="1021"/>
        </w:tabs>
        <w:ind w:left="1021" w:hanging="1021"/>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00000056"/>
    <w:multiLevelType w:val="multilevel"/>
    <w:tmpl w:val="2E62EAD8"/>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3"/>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00000057"/>
    <w:multiLevelType w:val="multilevel"/>
    <w:tmpl w:val="D92028A0"/>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4"/>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00000058"/>
    <w:multiLevelType w:val="multilevel"/>
    <w:tmpl w:val="40FA0C9A"/>
    <w:name w:val="WW8Num533"/>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3"/>
      <w:numFmt w:val="decimal"/>
      <w:lvlText w:val="3.%2.%3"/>
      <w:lvlJc w:val="left"/>
      <w:pPr>
        <w:tabs>
          <w:tab w:val="num" w:pos="680"/>
        </w:tabs>
        <w:ind w:left="680"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00000059"/>
    <w:multiLevelType w:val="multilevel"/>
    <w:tmpl w:val="57FE05E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46">
    <w:nsid w:val="0000005A"/>
    <w:multiLevelType w:val="multilevel"/>
    <w:tmpl w:val="64AC76C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47">
    <w:nsid w:val="0000005B"/>
    <w:multiLevelType w:val="hybridMultilevel"/>
    <w:tmpl w:val="A61ACEF2"/>
    <w:lvl w:ilvl="0" w:tplc="9D3C6C72">
      <w:numFmt w:val="bullet"/>
      <w:lvlText w:val="-"/>
      <w:lvlJc w:val="left"/>
      <w:pPr>
        <w:tabs>
          <w:tab w:val="num" w:pos="720"/>
        </w:tabs>
        <w:ind w:left="720" w:hanging="360"/>
      </w:pPr>
      <w:rPr>
        <w:rFonts w:ascii="Futura Lt BT" w:hAnsi="Futura Lt BT" w:cs="Times New Roman" w:hint="default"/>
      </w:rPr>
    </w:lvl>
    <w:lvl w:ilvl="1" w:tplc="AA563540">
      <w:start w:val="1"/>
      <w:numFmt w:val="bullet"/>
      <w:lvlText w:val="o"/>
      <w:lvlJc w:val="left"/>
      <w:pPr>
        <w:tabs>
          <w:tab w:val="num" w:pos="1440"/>
        </w:tabs>
        <w:ind w:left="1440" w:hanging="360"/>
      </w:pPr>
      <w:rPr>
        <w:rFonts w:ascii="Courier New" w:hAnsi="Courier New" w:cs="Courier New" w:hint="default"/>
      </w:rPr>
    </w:lvl>
    <w:lvl w:ilvl="2" w:tplc="6ABAF9EA" w:tentative="1">
      <w:start w:val="1"/>
      <w:numFmt w:val="bullet"/>
      <w:lvlText w:val=""/>
      <w:lvlJc w:val="left"/>
      <w:pPr>
        <w:tabs>
          <w:tab w:val="num" w:pos="2160"/>
        </w:tabs>
        <w:ind w:left="2160" w:hanging="360"/>
      </w:pPr>
      <w:rPr>
        <w:rFonts w:ascii="Wingdings" w:hAnsi="Wingdings" w:hint="default"/>
      </w:rPr>
    </w:lvl>
    <w:lvl w:ilvl="3" w:tplc="24600360" w:tentative="1">
      <w:start w:val="1"/>
      <w:numFmt w:val="bullet"/>
      <w:lvlText w:val=""/>
      <w:lvlJc w:val="left"/>
      <w:pPr>
        <w:tabs>
          <w:tab w:val="num" w:pos="2880"/>
        </w:tabs>
        <w:ind w:left="2880" w:hanging="360"/>
      </w:pPr>
      <w:rPr>
        <w:rFonts w:ascii="Symbol" w:hAnsi="Symbol" w:hint="default"/>
      </w:rPr>
    </w:lvl>
    <w:lvl w:ilvl="4" w:tplc="CF7C5436" w:tentative="1">
      <w:start w:val="1"/>
      <w:numFmt w:val="bullet"/>
      <w:lvlText w:val="o"/>
      <w:lvlJc w:val="left"/>
      <w:pPr>
        <w:tabs>
          <w:tab w:val="num" w:pos="3600"/>
        </w:tabs>
        <w:ind w:left="3600" w:hanging="360"/>
      </w:pPr>
      <w:rPr>
        <w:rFonts w:ascii="Courier New" w:hAnsi="Courier New" w:cs="Courier New" w:hint="default"/>
      </w:rPr>
    </w:lvl>
    <w:lvl w:ilvl="5" w:tplc="ED8A5E14" w:tentative="1">
      <w:start w:val="1"/>
      <w:numFmt w:val="bullet"/>
      <w:lvlText w:val=""/>
      <w:lvlJc w:val="left"/>
      <w:pPr>
        <w:tabs>
          <w:tab w:val="num" w:pos="4320"/>
        </w:tabs>
        <w:ind w:left="4320" w:hanging="360"/>
      </w:pPr>
      <w:rPr>
        <w:rFonts w:ascii="Wingdings" w:hAnsi="Wingdings" w:hint="default"/>
      </w:rPr>
    </w:lvl>
    <w:lvl w:ilvl="6" w:tplc="B4BC0304" w:tentative="1">
      <w:start w:val="1"/>
      <w:numFmt w:val="bullet"/>
      <w:lvlText w:val=""/>
      <w:lvlJc w:val="left"/>
      <w:pPr>
        <w:tabs>
          <w:tab w:val="num" w:pos="5040"/>
        </w:tabs>
        <w:ind w:left="5040" w:hanging="360"/>
      </w:pPr>
      <w:rPr>
        <w:rFonts w:ascii="Symbol" w:hAnsi="Symbol" w:hint="default"/>
      </w:rPr>
    </w:lvl>
    <w:lvl w:ilvl="7" w:tplc="ED5C9246" w:tentative="1">
      <w:start w:val="1"/>
      <w:numFmt w:val="bullet"/>
      <w:lvlText w:val="o"/>
      <w:lvlJc w:val="left"/>
      <w:pPr>
        <w:tabs>
          <w:tab w:val="num" w:pos="5760"/>
        </w:tabs>
        <w:ind w:left="5760" w:hanging="360"/>
      </w:pPr>
      <w:rPr>
        <w:rFonts w:ascii="Courier New" w:hAnsi="Courier New" w:cs="Courier New" w:hint="default"/>
      </w:rPr>
    </w:lvl>
    <w:lvl w:ilvl="8" w:tplc="F9862164" w:tentative="1">
      <w:start w:val="1"/>
      <w:numFmt w:val="bullet"/>
      <w:lvlText w:val=""/>
      <w:lvlJc w:val="left"/>
      <w:pPr>
        <w:tabs>
          <w:tab w:val="num" w:pos="6480"/>
        </w:tabs>
        <w:ind w:left="6480" w:hanging="360"/>
      </w:pPr>
      <w:rPr>
        <w:rFonts w:ascii="Wingdings" w:hAnsi="Wingdings" w:hint="default"/>
      </w:rPr>
    </w:lvl>
  </w:abstractNum>
  <w:abstractNum w:abstractNumId="48">
    <w:nsid w:val="0000005C"/>
    <w:multiLevelType w:val="hybridMultilevel"/>
    <w:tmpl w:val="5580A1BA"/>
    <w:lvl w:ilvl="0" w:tplc="0A8E27FA">
      <w:start w:val="1"/>
      <w:numFmt w:val="decimal"/>
      <w:lvlText w:val="7.%1"/>
      <w:lvlJc w:val="left"/>
      <w:pPr>
        <w:ind w:left="720" w:hanging="360"/>
      </w:pPr>
      <w:rPr>
        <w:rFonts w:ascii="Arial" w:hAnsi="Arial" w:hint="default"/>
        <w:b/>
        <w:i w:val="0"/>
        <w:sz w:val="20"/>
      </w:rPr>
    </w:lvl>
    <w:lvl w:ilvl="1" w:tplc="11C2B178" w:tentative="1">
      <w:start w:val="1"/>
      <w:numFmt w:val="lowerLetter"/>
      <w:lvlText w:val="%2."/>
      <w:lvlJc w:val="left"/>
      <w:pPr>
        <w:ind w:left="1440" w:hanging="360"/>
      </w:pPr>
    </w:lvl>
    <w:lvl w:ilvl="2" w:tplc="D2DCFD74" w:tentative="1">
      <w:start w:val="1"/>
      <w:numFmt w:val="lowerRoman"/>
      <w:lvlText w:val="%3."/>
      <w:lvlJc w:val="right"/>
      <w:pPr>
        <w:ind w:left="2160" w:hanging="180"/>
      </w:pPr>
    </w:lvl>
    <w:lvl w:ilvl="3" w:tplc="FB1C24FE" w:tentative="1">
      <w:start w:val="1"/>
      <w:numFmt w:val="decimal"/>
      <w:lvlText w:val="%4."/>
      <w:lvlJc w:val="left"/>
      <w:pPr>
        <w:ind w:left="2880" w:hanging="360"/>
      </w:pPr>
    </w:lvl>
    <w:lvl w:ilvl="4" w:tplc="80A4A586" w:tentative="1">
      <w:start w:val="1"/>
      <w:numFmt w:val="lowerLetter"/>
      <w:lvlText w:val="%5."/>
      <w:lvlJc w:val="left"/>
      <w:pPr>
        <w:ind w:left="3600" w:hanging="360"/>
      </w:pPr>
    </w:lvl>
    <w:lvl w:ilvl="5" w:tplc="91D4F4EC" w:tentative="1">
      <w:start w:val="1"/>
      <w:numFmt w:val="lowerRoman"/>
      <w:lvlText w:val="%6."/>
      <w:lvlJc w:val="right"/>
      <w:pPr>
        <w:ind w:left="4320" w:hanging="180"/>
      </w:pPr>
    </w:lvl>
    <w:lvl w:ilvl="6" w:tplc="86481E82" w:tentative="1">
      <w:start w:val="1"/>
      <w:numFmt w:val="decimal"/>
      <w:lvlText w:val="%7."/>
      <w:lvlJc w:val="left"/>
      <w:pPr>
        <w:ind w:left="5040" w:hanging="360"/>
      </w:pPr>
    </w:lvl>
    <w:lvl w:ilvl="7" w:tplc="B3A2ED76" w:tentative="1">
      <w:start w:val="1"/>
      <w:numFmt w:val="lowerLetter"/>
      <w:lvlText w:val="%8."/>
      <w:lvlJc w:val="left"/>
      <w:pPr>
        <w:ind w:left="5760" w:hanging="360"/>
      </w:pPr>
    </w:lvl>
    <w:lvl w:ilvl="8" w:tplc="5114C314" w:tentative="1">
      <w:start w:val="1"/>
      <w:numFmt w:val="lowerRoman"/>
      <w:lvlText w:val="%9."/>
      <w:lvlJc w:val="right"/>
      <w:pPr>
        <w:ind w:left="6480" w:hanging="180"/>
      </w:pPr>
    </w:lvl>
  </w:abstractNum>
  <w:abstractNum w:abstractNumId="49">
    <w:nsid w:val="0000005D"/>
    <w:multiLevelType w:val="multilevel"/>
    <w:tmpl w:val="EA926228"/>
    <w:name w:val="WW8Num5"/>
    <w:lvl w:ilvl="0">
      <w:start w:val="1"/>
      <w:numFmt w:val="decimal"/>
      <w:pStyle w:val="Notes33"/>
      <w:lvlText w:val="%1"/>
      <w:lvlJc w:val="left"/>
      <w:pPr>
        <w:tabs>
          <w:tab w:val="num" w:pos="432"/>
        </w:tabs>
        <w:ind w:left="432" w:hanging="432"/>
      </w:pPr>
      <w:rPr>
        <w:lang w:val="en-GB"/>
      </w:rPr>
    </w:lvl>
    <w:lvl w:ilvl="1">
      <w:start w:val="1"/>
      <w:numFmt w:val="decimal"/>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0">
    <w:nsid w:val="0000005E"/>
    <w:multiLevelType w:val="hybridMultilevel"/>
    <w:tmpl w:val="F38271A4"/>
    <w:lvl w:ilvl="0" w:tplc="825EDA12">
      <w:start w:val="1"/>
      <w:numFmt w:val="bullet"/>
      <w:lvlText w:val=""/>
      <w:lvlJc w:val="left"/>
      <w:pPr>
        <w:ind w:left="720" w:hanging="360"/>
      </w:pPr>
      <w:rPr>
        <w:rFonts w:ascii="Symbol" w:hAnsi="Symbol" w:hint="default"/>
      </w:rPr>
    </w:lvl>
    <w:lvl w:ilvl="1" w:tplc="9D6A58A2">
      <w:start w:val="1"/>
      <w:numFmt w:val="bullet"/>
      <w:lvlText w:val="o"/>
      <w:lvlJc w:val="left"/>
      <w:pPr>
        <w:ind w:left="1440" w:hanging="360"/>
      </w:pPr>
      <w:rPr>
        <w:rFonts w:ascii="Courier New" w:hAnsi="Courier New" w:cs="Courier New" w:hint="default"/>
      </w:rPr>
    </w:lvl>
    <w:lvl w:ilvl="2" w:tplc="B36E077E">
      <w:start w:val="1"/>
      <w:numFmt w:val="bullet"/>
      <w:lvlText w:val=""/>
      <w:lvlJc w:val="left"/>
      <w:pPr>
        <w:ind w:left="2160" w:hanging="360"/>
      </w:pPr>
      <w:rPr>
        <w:rFonts w:ascii="Wingdings" w:hAnsi="Wingdings" w:hint="default"/>
      </w:rPr>
    </w:lvl>
    <w:lvl w:ilvl="3" w:tplc="D7BA763E">
      <w:start w:val="1"/>
      <w:numFmt w:val="bullet"/>
      <w:lvlText w:val=""/>
      <w:lvlJc w:val="left"/>
      <w:pPr>
        <w:ind w:left="2880" w:hanging="360"/>
      </w:pPr>
      <w:rPr>
        <w:rFonts w:ascii="Symbol" w:hAnsi="Symbol" w:hint="default"/>
      </w:rPr>
    </w:lvl>
    <w:lvl w:ilvl="4" w:tplc="B048530E">
      <w:start w:val="1"/>
      <w:numFmt w:val="bullet"/>
      <w:lvlText w:val="o"/>
      <w:lvlJc w:val="left"/>
      <w:pPr>
        <w:ind w:left="3600" w:hanging="360"/>
      </w:pPr>
      <w:rPr>
        <w:rFonts w:ascii="Courier New" w:hAnsi="Courier New" w:cs="Courier New" w:hint="default"/>
      </w:rPr>
    </w:lvl>
    <w:lvl w:ilvl="5" w:tplc="D8F0F81A">
      <w:start w:val="1"/>
      <w:numFmt w:val="bullet"/>
      <w:lvlText w:val=""/>
      <w:lvlJc w:val="left"/>
      <w:pPr>
        <w:ind w:left="4320" w:hanging="360"/>
      </w:pPr>
      <w:rPr>
        <w:rFonts w:ascii="Wingdings" w:hAnsi="Wingdings" w:hint="default"/>
      </w:rPr>
    </w:lvl>
    <w:lvl w:ilvl="6" w:tplc="C6C4D9A8">
      <w:start w:val="1"/>
      <w:numFmt w:val="bullet"/>
      <w:lvlText w:val=""/>
      <w:lvlJc w:val="left"/>
      <w:pPr>
        <w:ind w:left="5040" w:hanging="360"/>
      </w:pPr>
      <w:rPr>
        <w:rFonts w:ascii="Symbol" w:hAnsi="Symbol" w:hint="default"/>
      </w:rPr>
    </w:lvl>
    <w:lvl w:ilvl="7" w:tplc="AC560DFC">
      <w:start w:val="1"/>
      <w:numFmt w:val="bullet"/>
      <w:lvlText w:val="o"/>
      <w:lvlJc w:val="left"/>
      <w:pPr>
        <w:ind w:left="5760" w:hanging="360"/>
      </w:pPr>
      <w:rPr>
        <w:rFonts w:ascii="Courier New" w:hAnsi="Courier New" w:cs="Courier New" w:hint="default"/>
      </w:rPr>
    </w:lvl>
    <w:lvl w:ilvl="8" w:tplc="B8089AEA">
      <w:start w:val="1"/>
      <w:numFmt w:val="bullet"/>
      <w:lvlText w:val=""/>
      <w:lvlJc w:val="left"/>
      <w:pPr>
        <w:ind w:left="6480" w:hanging="360"/>
      </w:pPr>
      <w:rPr>
        <w:rFonts w:ascii="Wingdings" w:hAnsi="Wingdings" w:hint="default"/>
      </w:rPr>
    </w:lvl>
  </w:abstractNum>
  <w:abstractNum w:abstractNumId="51">
    <w:nsid w:val="02757792"/>
    <w:multiLevelType w:val="multilevel"/>
    <w:tmpl w:val="FAF4229A"/>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03102962"/>
    <w:multiLevelType w:val="hybridMultilevel"/>
    <w:tmpl w:val="961E7940"/>
    <w:lvl w:ilvl="0" w:tplc="1990F422">
      <w:start w:val="1"/>
      <w:numFmt w:val="bullet"/>
      <w:lvlText w:val=""/>
      <w:lvlJc w:val="left"/>
      <w:pPr>
        <w:ind w:left="720" w:hanging="360"/>
      </w:pPr>
      <w:rPr>
        <w:rFonts w:ascii="Symbol" w:hAnsi="Symbol" w:hint="default"/>
      </w:rPr>
    </w:lvl>
    <w:lvl w:ilvl="1" w:tplc="6422FFBA" w:tentative="1">
      <w:start w:val="1"/>
      <w:numFmt w:val="bullet"/>
      <w:lvlText w:val="o"/>
      <w:lvlJc w:val="left"/>
      <w:pPr>
        <w:ind w:left="1440" w:hanging="360"/>
      </w:pPr>
      <w:rPr>
        <w:rFonts w:ascii="Courier New" w:hAnsi="Courier New" w:cs="Courier New" w:hint="default"/>
      </w:rPr>
    </w:lvl>
    <w:lvl w:ilvl="2" w:tplc="39BA1B58" w:tentative="1">
      <w:start w:val="1"/>
      <w:numFmt w:val="bullet"/>
      <w:lvlText w:val=""/>
      <w:lvlJc w:val="left"/>
      <w:pPr>
        <w:ind w:left="2160" w:hanging="360"/>
      </w:pPr>
      <w:rPr>
        <w:rFonts w:ascii="Wingdings" w:hAnsi="Wingdings" w:hint="default"/>
      </w:rPr>
    </w:lvl>
    <w:lvl w:ilvl="3" w:tplc="6B4E267E" w:tentative="1">
      <w:start w:val="1"/>
      <w:numFmt w:val="bullet"/>
      <w:lvlText w:val=""/>
      <w:lvlJc w:val="left"/>
      <w:pPr>
        <w:ind w:left="2880" w:hanging="360"/>
      </w:pPr>
      <w:rPr>
        <w:rFonts w:ascii="Symbol" w:hAnsi="Symbol" w:hint="default"/>
      </w:rPr>
    </w:lvl>
    <w:lvl w:ilvl="4" w:tplc="1B32B318" w:tentative="1">
      <w:start w:val="1"/>
      <w:numFmt w:val="bullet"/>
      <w:lvlText w:val="o"/>
      <w:lvlJc w:val="left"/>
      <w:pPr>
        <w:ind w:left="3600" w:hanging="360"/>
      </w:pPr>
      <w:rPr>
        <w:rFonts w:ascii="Courier New" w:hAnsi="Courier New" w:cs="Courier New" w:hint="default"/>
      </w:rPr>
    </w:lvl>
    <w:lvl w:ilvl="5" w:tplc="486CB30A" w:tentative="1">
      <w:start w:val="1"/>
      <w:numFmt w:val="bullet"/>
      <w:lvlText w:val=""/>
      <w:lvlJc w:val="left"/>
      <w:pPr>
        <w:ind w:left="4320" w:hanging="360"/>
      </w:pPr>
      <w:rPr>
        <w:rFonts w:ascii="Wingdings" w:hAnsi="Wingdings" w:hint="default"/>
      </w:rPr>
    </w:lvl>
    <w:lvl w:ilvl="6" w:tplc="F75E71EA" w:tentative="1">
      <w:start w:val="1"/>
      <w:numFmt w:val="bullet"/>
      <w:lvlText w:val=""/>
      <w:lvlJc w:val="left"/>
      <w:pPr>
        <w:ind w:left="5040" w:hanging="360"/>
      </w:pPr>
      <w:rPr>
        <w:rFonts w:ascii="Symbol" w:hAnsi="Symbol" w:hint="default"/>
      </w:rPr>
    </w:lvl>
    <w:lvl w:ilvl="7" w:tplc="A0520A1E" w:tentative="1">
      <w:start w:val="1"/>
      <w:numFmt w:val="bullet"/>
      <w:lvlText w:val="o"/>
      <w:lvlJc w:val="left"/>
      <w:pPr>
        <w:ind w:left="5760" w:hanging="360"/>
      </w:pPr>
      <w:rPr>
        <w:rFonts w:ascii="Courier New" w:hAnsi="Courier New" w:cs="Courier New" w:hint="default"/>
      </w:rPr>
    </w:lvl>
    <w:lvl w:ilvl="8" w:tplc="61A8D136" w:tentative="1">
      <w:start w:val="1"/>
      <w:numFmt w:val="bullet"/>
      <w:lvlText w:val=""/>
      <w:lvlJc w:val="left"/>
      <w:pPr>
        <w:ind w:left="6480" w:hanging="360"/>
      </w:pPr>
      <w:rPr>
        <w:rFonts w:ascii="Wingdings" w:hAnsi="Wingdings" w:hint="default"/>
      </w:rPr>
    </w:lvl>
  </w:abstractNum>
  <w:abstractNum w:abstractNumId="53">
    <w:nsid w:val="04CA6A9E"/>
    <w:multiLevelType w:val="hybridMultilevel"/>
    <w:tmpl w:val="0A48DF3A"/>
    <w:lvl w:ilvl="0" w:tplc="F54CEF42">
      <w:start w:val="293"/>
      <w:numFmt w:val="bullet"/>
      <w:lvlText w:val="-"/>
      <w:lvlJc w:val="left"/>
      <w:pPr>
        <w:ind w:left="720" w:hanging="360"/>
      </w:pPr>
      <w:rPr>
        <w:rFonts w:ascii="Arial" w:hAnsi="Arial" w:cs="Arial" w:hint="default"/>
      </w:rPr>
    </w:lvl>
    <w:lvl w:ilvl="1" w:tplc="6DF25592" w:tentative="1">
      <w:start w:val="1"/>
      <w:numFmt w:val="bullet"/>
      <w:lvlText w:val="o"/>
      <w:lvlJc w:val="left"/>
      <w:pPr>
        <w:ind w:left="1440" w:hanging="360"/>
      </w:pPr>
      <w:rPr>
        <w:rFonts w:ascii="Courier New" w:hAnsi="Courier New" w:cs="Courier New" w:hint="default"/>
      </w:rPr>
    </w:lvl>
    <w:lvl w:ilvl="2" w:tplc="374A8FF4" w:tentative="1">
      <w:start w:val="1"/>
      <w:numFmt w:val="bullet"/>
      <w:lvlText w:val=""/>
      <w:lvlJc w:val="left"/>
      <w:pPr>
        <w:ind w:left="2160" w:hanging="360"/>
      </w:pPr>
      <w:rPr>
        <w:rFonts w:ascii="Wingdings" w:hAnsi="Wingdings" w:hint="default"/>
      </w:rPr>
    </w:lvl>
    <w:lvl w:ilvl="3" w:tplc="FEAEFE04" w:tentative="1">
      <w:start w:val="1"/>
      <w:numFmt w:val="bullet"/>
      <w:lvlText w:val=""/>
      <w:lvlJc w:val="left"/>
      <w:pPr>
        <w:ind w:left="2880" w:hanging="360"/>
      </w:pPr>
      <w:rPr>
        <w:rFonts w:ascii="Symbol" w:hAnsi="Symbol" w:hint="default"/>
      </w:rPr>
    </w:lvl>
    <w:lvl w:ilvl="4" w:tplc="A0C6588A" w:tentative="1">
      <w:start w:val="1"/>
      <w:numFmt w:val="bullet"/>
      <w:lvlText w:val="o"/>
      <w:lvlJc w:val="left"/>
      <w:pPr>
        <w:ind w:left="3600" w:hanging="360"/>
      </w:pPr>
      <w:rPr>
        <w:rFonts w:ascii="Courier New" w:hAnsi="Courier New" w:cs="Courier New" w:hint="default"/>
      </w:rPr>
    </w:lvl>
    <w:lvl w:ilvl="5" w:tplc="239EEBE2" w:tentative="1">
      <w:start w:val="1"/>
      <w:numFmt w:val="bullet"/>
      <w:lvlText w:val=""/>
      <w:lvlJc w:val="left"/>
      <w:pPr>
        <w:ind w:left="4320" w:hanging="360"/>
      </w:pPr>
      <w:rPr>
        <w:rFonts w:ascii="Wingdings" w:hAnsi="Wingdings" w:hint="default"/>
      </w:rPr>
    </w:lvl>
    <w:lvl w:ilvl="6" w:tplc="BEFC49AA" w:tentative="1">
      <w:start w:val="1"/>
      <w:numFmt w:val="bullet"/>
      <w:lvlText w:val=""/>
      <w:lvlJc w:val="left"/>
      <w:pPr>
        <w:ind w:left="5040" w:hanging="360"/>
      </w:pPr>
      <w:rPr>
        <w:rFonts w:ascii="Symbol" w:hAnsi="Symbol" w:hint="default"/>
      </w:rPr>
    </w:lvl>
    <w:lvl w:ilvl="7" w:tplc="8E7A6274" w:tentative="1">
      <w:start w:val="1"/>
      <w:numFmt w:val="bullet"/>
      <w:lvlText w:val="o"/>
      <w:lvlJc w:val="left"/>
      <w:pPr>
        <w:ind w:left="5760" w:hanging="360"/>
      </w:pPr>
      <w:rPr>
        <w:rFonts w:ascii="Courier New" w:hAnsi="Courier New" w:cs="Courier New" w:hint="default"/>
      </w:rPr>
    </w:lvl>
    <w:lvl w:ilvl="8" w:tplc="85E05144" w:tentative="1">
      <w:start w:val="1"/>
      <w:numFmt w:val="bullet"/>
      <w:lvlText w:val=""/>
      <w:lvlJc w:val="left"/>
      <w:pPr>
        <w:ind w:left="6480" w:hanging="360"/>
      </w:pPr>
      <w:rPr>
        <w:rFonts w:ascii="Wingdings" w:hAnsi="Wingdings" w:hint="default"/>
      </w:rPr>
    </w:lvl>
  </w:abstractNum>
  <w:abstractNum w:abstractNumId="54">
    <w:nsid w:val="0FE86C15"/>
    <w:multiLevelType w:val="multilevel"/>
    <w:tmpl w:val="26DC494C"/>
    <w:lvl w:ilvl="0">
      <w:start w:val="2"/>
      <w:numFmt w:val="decimal"/>
      <w:lvlText w:val="%1"/>
      <w:lvlJc w:val="left"/>
      <w:pPr>
        <w:ind w:left="360" w:hanging="360"/>
      </w:pPr>
      <w:rPr>
        <w:rFonts w:hint="default"/>
      </w:rPr>
    </w:lvl>
    <w:lvl w:ilvl="1">
      <w:start w:val="2"/>
      <w:numFmt w:val="none"/>
      <w:lvlText w:val="2.3"/>
      <w:lvlJc w:val="left"/>
      <w:pPr>
        <w:ind w:left="360" w:hanging="360"/>
      </w:pPr>
      <w:rPr>
        <w:rFonts w:hint="default"/>
        <w:b/>
      </w:rPr>
    </w:lvl>
    <w:lvl w:ilvl="2">
      <w:start w:val="1"/>
      <w:numFmt w:val="none"/>
      <w:lvlText w:val="2.4.2"/>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5">
    <w:nsid w:val="10913F8E"/>
    <w:multiLevelType w:val="multilevel"/>
    <w:tmpl w:val="89982904"/>
    <w:lvl w:ilvl="0">
      <w:start w:val="2"/>
      <w:numFmt w:val="decimal"/>
      <w:lvlText w:val="%1"/>
      <w:lvlJc w:val="left"/>
      <w:pPr>
        <w:ind w:left="360" w:hanging="360"/>
      </w:pPr>
      <w:rPr>
        <w:rFonts w:hint="default"/>
      </w:rPr>
    </w:lvl>
    <w:lvl w:ilvl="1">
      <w:start w:val="2"/>
      <w:numFmt w:val="none"/>
      <w:lvlText w:val="2.3"/>
      <w:lvlJc w:val="left"/>
      <w:pPr>
        <w:ind w:left="360" w:hanging="360"/>
      </w:pPr>
      <w:rPr>
        <w:rFonts w:hint="default"/>
        <w:b/>
      </w:rPr>
    </w:lvl>
    <w:lvl w:ilvl="2">
      <w:start w:val="1"/>
      <w:numFmt w:val="none"/>
      <w:lvlText w:val="2.4.2"/>
      <w:lvlJc w:val="left"/>
      <w:pPr>
        <w:ind w:left="360" w:hanging="360"/>
      </w:pPr>
      <w:rPr>
        <w:rFonts w:hint="default"/>
      </w:rPr>
    </w:lvl>
    <w:lvl w:ilvl="3">
      <w:start w:val="1"/>
      <w:numFmt w:val="none"/>
      <w:lvlText w:val="2.4.2.3"/>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6">
    <w:nsid w:val="141809CF"/>
    <w:multiLevelType w:val="multilevel"/>
    <w:tmpl w:val="C1624C22"/>
    <w:lvl w:ilvl="0">
      <w:start w:val="2"/>
      <w:numFmt w:val="decimal"/>
      <w:lvlText w:val="%1"/>
      <w:lvlJc w:val="left"/>
      <w:pPr>
        <w:ind w:left="360" w:hanging="360"/>
      </w:pPr>
      <w:rPr>
        <w:rFonts w:hint="default"/>
      </w:rPr>
    </w:lvl>
    <w:lvl w:ilvl="1">
      <w:start w:val="2"/>
      <w:numFmt w:val="none"/>
      <w:lvlText w:val="2.3"/>
      <w:lvlJc w:val="left"/>
      <w:pPr>
        <w:ind w:left="360" w:hanging="360"/>
      </w:pPr>
      <w:rPr>
        <w:rFonts w:hint="default"/>
        <w:b/>
      </w:rPr>
    </w:lvl>
    <w:lvl w:ilvl="2">
      <w:start w:val="1"/>
      <w:numFmt w:val="none"/>
      <w:lvlText w:val="2.4.2"/>
      <w:lvlJc w:val="left"/>
      <w:pPr>
        <w:ind w:left="360" w:hanging="360"/>
      </w:pPr>
      <w:rPr>
        <w:rFonts w:hint="default"/>
      </w:rPr>
    </w:lvl>
    <w:lvl w:ilvl="3">
      <w:start w:val="1"/>
      <w:numFmt w:val="none"/>
      <w:lvlText w:val="2.4.2.1"/>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7">
    <w:nsid w:val="199F1DAA"/>
    <w:multiLevelType w:val="hybridMultilevel"/>
    <w:tmpl w:val="1248AB5A"/>
    <w:lvl w:ilvl="0" w:tplc="2F401366">
      <w:start w:val="1"/>
      <w:numFmt w:val="decimal"/>
      <w:pStyle w:val="Textstand-alonenumberingJustified"/>
      <w:lvlText w:val="(%1)"/>
      <w:lvlJc w:val="left"/>
      <w:pPr>
        <w:ind w:left="720" w:hanging="360"/>
      </w:pPr>
      <w:rPr>
        <w:rFonts w:ascii="Verdana" w:hAnsi="Verdana" w:hint="default"/>
        <w:b w:val="0"/>
        <w:i w:val="0"/>
        <w:sz w:val="18"/>
      </w:rPr>
    </w:lvl>
    <w:lvl w:ilvl="1" w:tplc="A0E6FE98" w:tentative="1">
      <w:start w:val="1"/>
      <w:numFmt w:val="lowerLetter"/>
      <w:lvlText w:val="%2."/>
      <w:lvlJc w:val="left"/>
      <w:pPr>
        <w:ind w:left="1440" w:hanging="360"/>
      </w:pPr>
    </w:lvl>
    <w:lvl w:ilvl="2" w:tplc="AD0AF64A" w:tentative="1">
      <w:start w:val="1"/>
      <w:numFmt w:val="lowerRoman"/>
      <w:lvlText w:val="%3."/>
      <w:lvlJc w:val="right"/>
      <w:pPr>
        <w:ind w:left="2160" w:hanging="180"/>
      </w:pPr>
    </w:lvl>
    <w:lvl w:ilvl="3" w:tplc="1D44142C" w:tentative="1">
      <w:start w:val="1"/>
      <w:numFmt w:val="decimal"/>
      <w:lvlText w:val="%4."/>
      <w:lvlJc w:val="left"/>
      <w:pPr>
        <w:ind w:left="2880" w:hanging="360"/>
      </w:pPr>
    </w:lvl>
    <w:lvl w:ilvl="4" w:tplc="63763DB4" w:tentative="1">
      <w:start w:val="1"/>
      <w:numFmt w:val="lowerLetter"/>
      <w:lvlText w:val="%5."/>
      <w:lvlJc w:val="left"/>
      <w:pPr>
        <w:ind w:left="3600" w:hanging="360"/>
      </w:pPr>
    </w:lvl>
    <w:lvl w:ilvl="5" w:tplc="AABA3C48" w:tentative="1">
      <w:start w:val="1"/>
      <w:numFmt w:val="lowerRoman"/>
      <w:lvlText w:val="%6."/>
      <w:lvlJc w:val="right"/>
      <w:pPr>
        <w:ind w:left="4320" w:hanging="180"/>
      </w:pPr>
    </w:lvl>
    <w:lvl w:ilvl="6" w:tplc="1124D72E" w:tentative="1">
      <w:start w:val="1"/>
      <w:numFmt w:val="decimal"/>
      <w:lvlText w:val="%7."/>
      <w:lvlJc w:val="left"/>
      <w:pPr>
        <w:ind w:left="5040" w:hanging="360"/>
      </w:pPr>
    </w:lvl>
    <w:lvl w:ilvl="7" w:tplc="9984C970" w:tentative="1">
      <w:start w:val="1"/>
      <w:numFmt w:val="lowerLetter"/>
      <w:lvlText w:val="%8."/>
      <w:lvlJc w:val="left"/>
      <w:pPr>
        <w:ind w:left="5760" w:hanging="360"/>
      </w:pPr>
    </w:lvl>
    <w:lvl w:ilvl="8" w:tplc="591C0D10" w:tentative="1">
      <w:start w:val="1"/>
      <w:numFmt w:val="lowerRoman"/>
      <w:lvlText w:val="%9."/>
      <w:lvlJc w:val="right"/>
      <w:pPr>
        <w:ind w:left="6480" w:hanging="180"/>
      </w:pPr>
    </w:lvl>
  </w:abstractNum>
  <w:abstractNum w:abstractNumId="58">
    <w:nsid w:val="1AE3289D"/>
    <w:multiLevelType w:val="hybridMultilevel"/>
    <w:tmpl w:val="7F8C9CF8"/>
    <w:lvl w:ilvl="0" w:tplc="C9FC51FE">
      <w:start w:val="4"/>
      <w:numFmt w:val="bullet"/>
      <w:lvlText w:val="•"/>
      <w:lvlJc w:val="left"/>
      <w:pPr>
        <w:ind w:left="720" w:hanging="360"/>
      </w:pPr>
      <w:rPr>
        <w:rFonts w:ascii="Verdana" w:eastAsia="Times New Roman" w:hAnsi="Verdana" w:cs="Times New Roman" w:hint="default"/>
      </w:rPr>
    </w:lvl>
    <w:lvl w:ilvl="1" w:tplc="FF7E52F6" w:tentative="1">
      <w:start w:val="1"/>
      <w:numFmt w:val="bullet"/>
      <w:lvlText w:val="o"/>
      <w:lvlJc w:val="left"/>
      <w:pPr>
        <w:ind w:left="1440" w:hanging="360"/>
      </w:pPr>
      <w:rPr>
        <w:rFonts w:ascii="Courier New" w:hAnsi="Courier New" w:cs="Courier New" w:hint="default"/>
      </w:rPr>
    </w:lvl>
    <w:lvl w:ilvl="2" w:tplc="FF8A057E" w:tentative="1">
      <w:start w:val="1"/>
      <w:numFmt w:val="bullet"/>
      <w:lvlText w:val=""/>
      <w:lvlJc w:val="left"/>
      <w:pPr>
        <w:ind w:left="2160" w:hanging="360"/>
      </w:pPr>
      <w:rPr>
        <w:rFonts w:ascii="Wingdings" w:hAnsi="Wingdings" w:hint="default"/>
      </w:rPr>
    </w:lvl>
    <w:lvl w:ilvl="3" w:tplc="324AC5B0" w:tentative="1">
      <w:start w:val="1"/>
      <w:numFmt w:val="bullet"/>
      <w:lvlText w:val=""/>
      <w:lvlJc w:val="left"/>
      <w:pPr>
        <w:ind w:left="2880" w:hanging="360"/>
      </w:pPr>
      <w:rPr>
        <w:rFonts w:ascii="Symbol" w:hAnsi="Symbol" w:hint="default"/>
      </w:rPr>
    </w:lvl>
    <w:lvl w:ilvl="4" w:tplc="A6B852AE" w:tentative="1">
      <w:start w:val="1"/>
      <w:numFmt w:val="bullet"/>
      <w:lvlText w:val="o"/>
      <w:lvlJc w:val="left"/>
      <w:pPr>
        <w:ind w:left="3600" w:hanging="360"/>
      </w:pPr>
      <w:rPr>
        <w:rFonts w:ascii="Courier New" w:hAnsi="Courier New" w:cs="Courier New" w:hint="default"/>
      </w:rPr>
    </w:lvl>
    <w:lvl w:ilvl="5" w:tplc="49361AD8" w:tentative="1">
      <w:start w:val="1"/>
      <w:numFmt w:val="bullet"/>
      <w:lvlText w:val=""/>
      <w:lvlJc w:val="left"/>
      <w:pPr>
        <w:ind w:left="4320" w:hanging="360"/>
      </w:pPr>
      <w:rPr>
        <w:rFonts w:ascii="Wingdings" w:hAnsi="Wingdings" w:hint="default"/>
      </w:rPr>
    </w:lvl>
    <w:lvl w:ilvl="6" w:tplc="2AE86EC2" w:tentative="1">
      <w:start w:val="1"/>
      <w:numFmt w:val="bullet"/>
      <w:lvlText w:val=""/>
      <w:lvlJc w:val="left"/>
      <w:pPr>
        <w:ind w:left="5040" w:hanging="360"/>
      </w:pPr>
      <w:rPr>
        <w:rFonts w:ascii="Symbol" w:hAnsi="Symbol" w:hint="default"/>
      </w:rPr>
    </w:lvl>
    <w:lvl w:ilvl="7" w:tplc="78248792" w:tentative="1">
      <w:start w:val="1"/>
      <w:numFmt w:val="bullet"/>
      <w:lvlText w:val="o"/>
      <w:lvlJc w:val="left"/>
      <w:pPr>
        <w:ind w:left="5760" w:hanging="360"/>
      </w:pPr>
      <w:rPr>
        <w:rFonts w:ascii="Courier New" w:hAnsi="Courier New" w:cs="Courier New" w:hint="default"/>
      </w:rPr>
    </w:lvl>
    <w:lvl w:ilvl="8" w:tplc="7EA62F4A" w:tentative="1">
      <w:start w:val="1"/>
      <w:numFmt w:val="bullet"/>
      <w:lvlText w:val=""/>
      <w:lvlJc w:val="left"/>
      <w:pPr>
        <w:ind w:left="6480" w:hanging="360"/>
      </w:pPr>
      <w:rPr>
        <w:rFonts w:ascii="Wingdings" w:hAnsi="Wingdings" w:hint="default"/>
      </w:rPr>
    </w:lvl>
  </w:abstractNum>
  <w:abstractNum w:abstractNumId="59">
    <w:nsid w:val="1C6329C6"/>
    <w:multiLevelType w:val="multilevel"/>
    <w:tmpl w:val="42947850"/>
    <w:lvl w:ilvl="0">
      <w:start w:val="2"/>
      <w:numFmt w:val="decimal"/>
      <w:lvlText w:val="%1"/>
      <w:lvlJc w:val="left"/>
      <w:pPr>
        <w:ind w:left="360" w:hanging="360"/>
      </w:pPr>
      <w:rPr>
        <w:rFonts w:hint="default"/>
      </w:rPr>
    </w:lvl>
    <w:lvl w:ilvl="1">
      <w:start w:val="2"/>
      <w:numFmt w:val="none"/>
      <w:lvlText w:val="2.2"/>
      <w:lvlJc w:val="left"/>
      <w:pPr>
        <w:ind w:left="360" w:hanging="360"/>
      </w:pPr>
      <w:rPr>
        <w:rFonts w:hint="default"/>
        <w:b/>
      </w:rPr>
    </w:lvl>
    <w:lvl w:ilvl="2">
      <w:start w:val="1"/>
      <w:numFmt w:val="none"/>
      <w:lvlText w:val="2.4.1"/>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0">
    <w:nsid w:val="203C5556"/>
    <w:multiLevelType w:val="hybridMultilevel"/>
    <w:tmpl w:val="8B085520"/>
    <w:lvl w:ilvl="0" w:tplc="394C65FC">
      <w:start w:val="1"/>
      <w:numFmt w:val="bullet"/>
      <w:lvlText w:val=""/>
      <w:lvlJc w:val="left"/>
      <w:pPr>
        <w:ind w:left="720" w:hanging="360"/>
      </w:pPr>
      <w:rPr>
        <w:rFonts w:ascii="Symbol" w:hAnsi="Symbol" w:hint="default"/>
      </w:rPr>
    </w:lvl>
    <w:lvl w:ilvl="1" w:tplc="F33A7A20" w:tentative="1">
      <w:start w:val="1"/>
      <w:numFmt w:val="bullet"/>
      <w:lvlText w:val="o"/>
      <w:lvlJc w:val="left"/>
      <w:pPr>
        <w:ind w:left="1440" w:hanging="360"/>
      </w:pPr>
      <w:rPr>
        <w:rFonts w:ascii="Courier New" w:hAnsi="Courier New" w:cs="Courier New" w:hint="default"/>
      </w:rPr>
    </w:lvl>
    <w:lvl w:ilvl="2" w:tplc="8FC605D0" w:tentative="1">
      <w:start w:val="1"/>
      <w:numFmt w:val="bullet"/>
      <w:lvlText w:val=""/>
      <w:lvlJc w:val="left"/>
      <w:pPr>
        <w:ind w:left="2160" w:hanging="360"/>
      </w:pPr>
      <w:rPr>
        <w:rFonts w:ascii="Wingdings" w:hAnsi="Wingdings" w:hint="default"/>
      </w:rPr>
    </w:lvl>
    <w:lvl w:ilvl="3" w:tplc="5A3411A0" w:tentative="1">
      <w:start w:val="1"/>
      <w:numFmt w:val="bullet"/>
      <w:lvlText w:val=""/>
      <w:lvlJc w:val="left"/>
      <w:pPr>
        <w:ind w:left="2880" w:hanging="360"/>
      </w:pPr>
      <w:rPr>
        <w:rFonts w:ascii="Symbol" w:hAnsi="Symbol" w:hint="default"/>
      </w:rPr>
    </w:lvl>
    <w:lvl w:ilvl="4" w:tplc="A7C4AD34" w:tentative="1">
      <w:start w:val="1"/>
      <w:numFmt w:val="bullet"/>
      <w:lvlText w:val="o"/>
      <w:lvlJc w:val="left"/>
      <w:pPr>
        <w:ind w:left="3600" w:hanging="360"/>
      </w:pPr>
      <w:rPr>
        <w:rFonts w:ascii="Courier New" w:hAnsi="Courier New" w:cs="Courier New" w:hint="default"/>
      </w:rPr>
    </w:lvl>
    <w:lvl w:ilvl="5" w:tplc="523058AE" w:tentative="1">
      <w:start w:val="1"/>
      <w:numFmt w:val="bullet"/>
      <w:lvlText w:val=""/>
      <w:lvlJc w:val="left"/>
      <w:pPr>
        <w:ind w:left="4320" w:hanging="360"/>
      </w:pPr>
      <w:rPr>
        <w:rFonts w:ascii="Wingdings" w:hAnsi="Wingdings" w:hint="default"/>
      </w:rPr>
    </w:lvl>
    <w:lvl w:ilvl="6" w:tplc="9B0486C2" w:tentative="1">
      <w:start w:val="1"/>
      <w:numFmt w:val="bullet"/>
      <w:lvlText w:val=""/>
      <w:lvlJc w:val="left"/>
      <w:pPr>
        <w:ind w:left="5040" w:hanging="360"/>
      </w:pPr>
      <w:rPr>
        <w:rFonts w:ascii="Symbol" w:hAnsi="Symbol" w:hint="default"/>
      </w:rPr>
    </w:lvl>
    <w:lvl w:ilvl="7" w:tplc="447C94FE" w:tentative="1">
      <w:start w:val="1"/>
      <w:numFmt w:val="bullet"/>
      <w:lvlText w:val="o"/>
      <w:lvlJc w:val="left"/>
      <w:pPr>
        <w:ind w:left="5760" w:hanging="360"/>
      </w:pPr>
      <w:rPr>
        <w:rFonts w:ascii="Courier New" w:hAnsi="Courier New" w:cs="Courier New" w:hint="default"/>
      </w:rPr>
    </w:lvl>
    <w:lvl w:ilvl="8" w:tplc="4D3431BC" w:tentative="1">
      <w:start w:val="1"/>
      <w:numFmt w:val="bullet"/>
      <w:lvlText w:val=""/>
      <w:lvlJc w:val="left"/>
      <w:pPr>
        <w:ind w:left="6480" w:hanging="360"/>
      </w:pPr>
      <w:rPr>
        <w:rFonts w:ascii="Wingdings" w:hAnsi="Wingdings" w:hint="default"/>
      </w:rPr>
    </w:lvl>
  </w:abstractNum>
  <w:abstractNum w:abstractNumId="61">
    <w:nsid w:val="218A73E4"/>
    <w:multiLevelType w:val="hybridMultilevel"/>
    <w:tmpl w:val="67B2B65A"/>
    <w:lvl w:ilvl="0" w:tplc="2FAA0894">
      <w:start w:val="1"/>
      <w:numFmt w:val="lowerRoman"/>
      <w:lvlText w:val="%1."/>
      <w:lvlJc w:val="right"/>
      <w:pPr>
        <w:ind w:left="720" w:hanging="360"/>
      </w:pPr>
    </w:lvl>
    <w:lvl w:ilvl="1" w:tplc="86C4A3A0" w:tentative="1">
      <w:start w:val="1"/>
      <w:numFmt w:val="lowerLetter"/>
      <w:lvlText w:val="%2."/>
      <w:lvlJc w:val="left"/>
      <w:pPr>
        <w:ind w:left="1440" w:hanging="360"/>
      </w:pPr>
    </w:lvl>
    <w:lvl w:ilvl="2" w:tplc="DD8AAC32" w:tentative="1">
      <w:start w:val="1"/>
      <w:numFmt w:val="lowerRoman"/>
      <w:lvlText w:val="%3."/>
      <w:lvlJc w:val="right"/>
      <w:pPr>
        <w:ind w:left="2160" w:hanging="180"/>
      </w:pPr>
    </w:lvl>
    <w:lvl w:ilvl="3" w:tplc="9C54DAFC" w:tentative="1">
      <w:start w:val="1"/>
      <w:numFmt w:val="decimal"/>
      <w:lvlText w:val="%4."/>
      <w:lvlJc w:val="left"/>
      <w:pPr>
        <w:ind w:left="2880" w:hanging="360"/>
      </w:pPr>
    </w:lvl>
    <w:lvl w:ilvl="4" w:tplc="8662DBC8" w:tentative="1">
      <w:start w:val="1"/>
      <w:numFmt w:val="lowerLetter"/>
      <w:lvlText w:val="%5."/>
      <w:lvlJc w:val="left"/>
      <w:pPr>
        <w:ind w:left="3600" w:hanging="360"/>
      </w:pPr>
    </w:lvl>
    <w:lvl w:ilvl="5" w:tplc="4678C668" w:tentative="1">
      <w:start w:val="1"/>
      <w:numFmt w:val="lowerRoman"/>
      <w:lvlText w:val="%6."/>
      <w:lvlJc w:val="right"/>
      <w:pPr>
        <w:ind w:left="4320" w:hanging="180"/>
      </w:pPr>
    </w:lvl>
    <w:lvl w:ilvl="6" w:tplc="14101B8E" w:tentative="1">
      <w:start w:val="1"/>
      <w:numFmt w:val="decimal"/>
      <w:lvlText w:val="%7."/>
      <w:lvlJc w:val="left"/>
      <w:pPr>
        <w:ind w:left="5040" w:hanging="360"/>
      </w:pPr>
    </w:lvl>
    <w:lvl w:ilvl="7" w:tplc="5E80E7B8" w:tentative="1">
      <w:start w:val="1"/>
      <w:numFmt w:val="lowerLetter"/>
      <w:lvlText w:val="%8."/>
      <w:lvlJc w:val="left"/>
      <w:pPr>
        <w:ind w:left="5760" w:hanging="360"/>
      </w:pPr>
    </w:lvl>
    <w:lvl w:ilvl="8" w:tplc="0A28FFB0" w:tentative="1">
      <w:start w:val="1"/>
      <w:numFmt w:val="lowerRoman"/>
      <w:lvlText w:val="%9."/>
      <w:lvlJc w:val="right"/>
      <w:pPr>
        <w:ind w:left="6480" w:hanging="180"/>
      </w:pPr>
    </w:lvl>
  </w:abstractNum>
  <w:abstractNum w:abstractNumId="62">
    <w:nsid w:val="253B7CD8"/>
    <w:multiLevelType w:val="multilevel"/>
    <w:tmpl w:val="B1C427DE"/>
    <w:lvl w:ilvl="0">
      <w:start w:val="2"/>
      <w:numFmt w:val="decimal"/>
      <w:lvlText w:val="%1"/>
      <w:lvlJc w:val="left"/>
      <w:pPr>
        <w:ind w:left="360" w:hanging="360"/>
      </w:pPr>
      <w:rPr>
        <w:rFonts w:hint="default"/>
      </w:rPr>
    </w:lvl>
    <w:lvl w:ilvl="1">
      <w:start w:val="2"/>
      <w:numFmt w:val="none"/>
      <w:lvlText w:val="2.3"/>
      <w:lvlJc w:val="left"/>
      <w:pPr>
        <w:ind w:left="360" w:hanging="360"/>
      </w:pPr>
      <w:rPr>
        <w:rFonts w:hint="default"/>
        <w:b/>
      </w:rPr>
    </w:lvl>
    <w:lvl w:ilvl="2">
      <w:start w:val="1"/>
      <w:numFmt w:val="none"/>
      <w:lvlText w:val="2.4.2"/>
      <w:lvlJc w:val="left"/>
      <w:pPr>
        <w:ind w:left="360" w:hanging="360"/>
      </w:pPr>
      <w:rPr>
        <w:rFonts w:hint="default"/>
      </w:rPr>
    </w:lvl>
    <w:lvl w:ilvl="3">
      <w:start w:val="1"/>
      <w:numFmt w:val="none"/>
      <w:lvlText w:val="2.4.2.2"/>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3">
    <w:nsid w:val="263169F2"/>
    <w:multiLevelType w:val="multilevel"/>
    <w:tmpl w:val="888E5924"/>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64">
    <w:nsid w:val="2AA8198D"/>
    <w:multiLevelType w:val="hybridMultilevel"/>
    <w:tmpl w:val="D346C9C8"/>
    <w:lvl w:ilvl="0" w:tplc="9CF856CA">
      <w:start w:val="293"/>
      <w:numFmt w:val="bullet"/>
      <w:lvlText w:val="-"/>
      <w:lvlJc w:val="left"/>
      <w:pPr>
        <w:ind w:left="720" w:hanging="360"/>
      </w:pPr>
      <w:rPr>
        <w:rFonts w:ascii="Arial" w:hAnsi="Arial" w:cs="Arial" w:hint="default"/>
      </w:rPr>
    </w:lvl>
    <w:lvl w:ilvl="1" w:tplc="DAD0F824" w:tentative="1">
      <w:start w:val="1"/>
      <w:numFmt w:val="bullet"/>
      <w:lvlText w:val="o"/>
      <w:lvlJc w:val="left"/>
      <w:pPr>
        <w:ind w:left="1440" w:hanging="360"/>
      </w:pPr>
      <w:rPr>
        <w:rFonts w:ascii="Courier New" w:hAnsi="Courier New" w:cs="Courier New" w:hint="default"/>
      </w:rPr>
    </w:lvl>
    <w:lvl w:ilvl="2" w:tplc="09FC6F56" w:tentative="1">
      <w:start w:val="1"/>
      <w:numFmt w:val="bullet"/>
      <w:lvlText w:val=""/>
      <w:lvlJc w:val="left"/>
      <w:pPr>
        <w:ind w:left="2160" w:hanging="360"/>
      </w:pPr>
      <w:rPr>
        <w:rFonts w:ascii="Wingdings" w:hAnsi="Wingdings" w:hint="default"/>
      </w:rPr>
    </w:lvl>
    <w:lvl w:ilvl="3" w:tplc="9176FB72" w:tentative="1">
      <w:start w:val="1"/>
      <w:numFmt w:val="bullet"/>
      <w:lvlText w:val=""/>
      <w:lvlJc w:val="left"/>
      <w:pPr>
        <w:ind w:left="2880" w:hanging="360"/>
      </w:pPr>
      <w:rPr>
        <w:rFonts w:ascii="Symbol" w:hAnsi="Symbol" w:hint="default"/>
      </w:rPr>
    </w:lvl>
    <w:lvl w:ilvl="4" w:tplc="F9F4C860" w:tentative="1">
      <w:start w:val="1"/>
      <w:numFmt w:val="bullet"/>
      <w:lvlText w:val="o"/>
      <w:lvlJc w:val="left"/>
      <w:pPr>
        <w:ind w:left="3600" w:hanging="360"/>
      </w:pPr>
      <w:rPr>
        <w:rFonts w:ascii="Courier New" w:hAnsi="Courier New" w:cs="Courier New" w:hint="default"/>
      </w:rPr>
    </w:lvl>
    <w:lvl w:ilvl="5" w:tplc="AB80D612" w:tentative="1">
      <w:start w:val="1"/>
      <w:numFmt w:val="bullet"/>
      <w:lvlText w:val=""/>
      <w:lvlJc w:val="left"/>
      <w:pPr>
        <w:ind w:left="4320" w:hanging="360"/>
      </w:pPr>
      <w:rPr>
        <w:rFonts w:ascii="Wingdings" w:hAnsi="Wingdings" w:hint="default"/>
      </w:rPr>
    </w:lvl>
    <w:lvl w:ilvl="6" w:tplc="319C8A84" w:tentative="1">
      <w:start w:val="1"/>
      <w:numFmt w:val="bullet"/>
      <w:lvlText w:val=""/>
      <w:lvlJc w:val="left"/>
      <w:pPr>
        <w:ind w:left="5040" w:hanging="360"/>
      </w:pPr>
      <w:rPr>
        <w:rFonts w:ascii="Symbol" w:hAnsi="Symbol" w:hint="default"/>
      </w:rPr>
    </w:lvl>
    <w:lvl w:ilvl="7" w:tplc="921E1254" w:tentative="1">
      <w:start w:val="1"/>
      <w:numFmt w:val="bullet"/>
      <w:lvlText w:val="o"/>
      <w:lvlJc w:val="left"/>
      <w:pPr>
        <w:ind w:left="5760" w:hanging="360"/>
      </w:pPr>
      <w:rPr>
        <w:rFonts w:ascii="Courier New" w:hAnsi="Courier New" w:cs="Courier New" w:hint="default"/>
      </w:rPr>
    </w:lvl>
    <w:lvl w:ilvl="8" w:tplc="5CE2CD5C" w:tentative="1">
      <w:start w:val="1"/>
      <w:numFmt w:val="bullet"/>
      <w:lvlText w:val=""/>
      <w:lvlJc w:val="left"/>
      <w:pPr>
        <w:ind w:left="6480" w:hanging="360"/>
      </w:pPr>
      <w:rPr>
        <w:rFonts w:ascii="Wingdings" w:hAnsi="Wingdings" w:hint="default"/>
      </w:rPr>
    </w:lvl>
  </w:abstractNum>
  <w:abstractNum w:abstractNumId="65">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nsid w:val="31A556B4"/>
    <w:multiLevelType w:val="multilevel"/>
    <w:tmpl w:val="2422AB6E"/>
    <w:lvl w:ilvl="0">
      <w:start w:val="2"/>
      <w:numFmt w:val="decimal"/>
      <w:lvlText w:val="%1"/>
      <w:lvlJc w:val="left"/>
      <w:pPr>
        <w:ind w:left="360" w:hanging="360"/>
      </w:pPr>
      <w:rPr>
        <w:rFonts w:hint="default"/>
      </w:rPr>
    </w:lvl>
    <w:lvl w:ilvl="1">
      <w:start w:val="2"/>
      <w:numFmt w:val="none"/>
      <w:lvlText w:val="2.3"/>
      <w:lvlJc w:val="left"/>
      <w:pPr>
        <w:ind w:left="360" w:hanging="360"/>
      </w:pPr>
      <w:rPr>
        <w:rFonts w:hint="default"/>
        <w:b/>
      </w:rPr>
    </w:lvl>
    <w:lvl w:ilvl="2">
      <w:start w:val="1"/>
      <w:numFmt w:val="none"/>
      <w:lvlText w:val="2.4.1"/>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7">
    <w:nsid w:val="31D31BBD"/>
    <w:multiLevelType w:val="hybridMultilevel"/>
    <w:tmpl w:val="AB545582"/>
    <w:lvl w:ilvl="0" w:tplc="B19AF93C">
      <w:start w:val="1"/>
      <w:numFmt w:val="bullet"/>
      <w:pStyle w:val="Textstand-alonebulletpointJustified"/>
      <w:lvlText w:val=""/>
      <w:lvlJc w:val="left"/>
      <w:pPr>
        <w:ind w:left="1080" w:hanging="360"/>
      </w:pPr>
      <w:rPr>
        <w:rFonts w:ascii="Verdana" w:hAnsi="Verdana" w:hint="default"/>
      </w:rPr>
    </w:lvl>
    <w:lvl w:ilvl="1" w:tplc="34DC2786" w:tentative="1">
      <w:start w:val="1"/>
      <w:numFmt w:val="bullet"/>
      <w:lvlText w:val="o"/>
      <w:lvlJc w:val="left"/>
      <w:pPr>
        <w:ind w:left="1800" w:hanging="360"/>
      </w:pPr>
      <w:rPr>
        <w:rFonts w:ascii="Courier New" w:hAnsi="Courier New" w:cs="Courier New" w:hint="default"/>
      </w:rPr>
    </w:lvl>
    <w:lvl w:ilvl="2" w:tplc="831422A4" w:tentative="1">
      <w:start w:val="1"/>
      <w:numFmt w:val="bullet"/>
      <w:lvlText w:val=""/>
      <w:lvlJc w:val="left"/>
      <w:pPr>
        <w:ind w:left="2520" w:hanging="360"/>
      </w:pPr>
      <w:rPr>
        <w:rFonts w:ascii="Wingdings" w:hAnsi="Wingdings" w:hint="default"/>
      </w:rPr>
    </w:lvl>
    <w:lvl w:ilvl="3" w:tplc="4298574C" w:tentative="1">
      <w:start w:val="1"/>
      <w:numFmt w:val="bullet"/>
      <w:lvlText w:val=""/>
      <w:lvlJc w:val="left"/>
      <w:pPr>
        <w:ind w:left="3240" w:hanging="360"/>
      </w:pPr>
      <w:rPr>
        <w:rFonts w:ascii="Symbol" w:hAnsi="Symbol" w:hint="default"/>
      </w:rPr>
    </w:lvl>
    <w:lvl w:ilvl="4" w:tplc="73420F5E" w:tentative="1">
      <w:start w:val="1"/>
      <w:numFmt w:val="bullet"/>
      <w:lvlText w:val="o"/>
      <w:lvlJc w:val="left"/>
      <w:pPr>
        <w:ind w:left="3960" w:hanging="360"/>
      </w:pPr>
      <w:rPr>
        <w:rFonts w:ascii="Courier New" w:hAnsi="Courier New" w:cs="Courier New" w:hint="default"/>
      </w:rPr>
    </w:lvl>
    <w:lvl w:ilvl="5" w:tplc="C912305A" w:tentative="1">
      <w:start w:val="1"/>
      <w:numFmt w:val="bullet"/>
      <w:lvlText w:val=""/>
      <w:lvlJc w:val="left"/>
      <w:pPr>
        <w:ind w:left="4680" w:hanging="360"/>
      </w:pPr>
      <w:rPr>
        <w:rFonts w:ascii="Wingdings" w:hAnsi="Wingdings" w:hint="default"/>
      </w:rPr>
    </w:lvl>
    <w:lvl w:ilvl="6" w:tplc="7BDC3048" w:tentative="1">
      <w:start w:val="1"/>
      <w:numFmt w:val="bullet"/>
      <w:lvlText w:val=""/>
      <w:lvlJc w:val="left"/>
      <w:pPr>
        <w:ind w:left="5400" w:hanging="360"/>
      </w:pPr>
      <w:rPr>
        <w:rFonts w:ascii="Symbol" w:hAnsi="Symbol" w:hint="default"/>
      </w:rPr>
    </w:lvl>
    <w:lvl w:ilvl="7" w:tplc="AB3214DA" w:tentative="1">
      <w:start w:val="1"/>
      <w:numFmt w:val="bullet"/>
      <w:lvlText w:val="o"/>
      <w:lvlJc w:val="left"/>
      <w:pPr>
        <w:ind w:left="6120" w:hanging="360"/>
      </w:pPr>
      <w:rPr>
        <w:rFonts w:ascii="Courier New" w:hAnsi="Courier New" w:cs="Courier New" w:hint="default"/>
      </w:rPr>
    </w:lvl>
    <w:lvl w:ilvl="8" w:tplc="407066CE" w:tentative="1">
      <w:start w:val="1"/>
      <w:numFmt w:val="bullet"/>
      <w:lvlText w:val=""/>
      <w:lvlJc w:val="left"/>
      <w:pPr>
        <w:ind w:left="6840" w:hanging="360"/>
      </w:pPr>
      <w:rPr>
        <w:rFonts w:ascii="Wingdings" w:hAnsi="Wingdings" w:hint="default"/>
      </w:rPr>
    </w:lvl>
  </w:abstractNum>
  <w:abstractNum w:abstractNumId="68">
    <w:nsid w:val="332D0CD7"/>
    <w:multiLevelType w:val="hybridMultilevel"/>
    <w:tmpl w:val="B14C37E6"/>
    <w:lvl w:ilvl="0" w:tplc="970E9DCE">
      <w:start w:val="1"/>
      <w:numFmt w:val="lowerRoman"/>
      <w:lvlText w:val="(%1)"/>
      <w:lvlJc w:val="left"/>
      <w:pPr>
        <w:ind w:left="720" w:hanging="360"/>
      </w:pPr>
      <w:rPr>
        <w:rFonts w:hint="default"/>
      </w:rPr>
    </w:lvl>
    <w:lvl w:ilvl="1" w:tplc="68B8B19E" w:tentative="1">
      <w:start w:val="1"/>
      <w:numFmt w:val="lowerLetter"/>
      <w:lvlText w:val="%2."/>
      <w:lvlJc w:val="left"/>
      <w:pPr>
        <w:ind w:left="1440" w:hanging="360"/>
      </w:pPr>
    </w:lvl>
    <w:lvl w:ilvl="2" w:tplc="6C00DE6A" w:tentative="1">
      <w:start w:val="1"/>
      <w:numFmt w:val="lowerRoman"/>
      <w:lvlText w:val="%3."/>
      <w:lvlJc w:val="right"/>
      <w:pPr>
        <w:ind w:left="2160" w:hanging="180"/>
      </w:pPr>
    </w:lvl>
    <w:lvl w:ilvl="3" w:tplc="016C0834" w:tentative="1">
      <w:start w:val="1"/>
      <w:numFmt w:val="decimal"/>
      <w:lvlText w:val="%4."/>
      <w:lvlJc w:val="left"/>
      <w:pPr>
        <w:ind w:left="2880" w:hanging="360"/>
      </w:pPr>
    </w:lvl>
    <w:lvl w:ilvl="4" w:tplc="323CA21A" w:tentative="1">
      <w:start w:val="1"/>
      <w:numFmt w:val="lowerLetter"/>
      <w:lvlText w:val="%5."/>
      <w:lvlJc w:val="left"/>
      <w:pPr>
        <w:ind w:left="3600" w:hanging="360"/>
      </w:pPr>
    </w:lvl>
    <w:lvl w:ilvl="5" w:tplc="458222D2" w:tentative="1">
      <w:start w:val="1"/>
      <w:numFmt w:val="lowerRoman"/>
      <w:lvlText w:val="%6."/>
      <w:lvlJc w:val="right"/>
      <w:pPr>
        <w:ind w:left="4320" w:hanging="180"/>
      </w:pPr>
    </w:lvl>
    <w:lvl w:ilvl="6" w:tplc="1E5E56B6" w:tentative="1">
      <w:start w:val="1"/>
      <w:numFmt w:val="decimal"/>
      <w:lvlText w:val="%7."/>
      <w:lvlJc w:val="left"/>
      <w:pPr>
        <w:ind w:left="5040" w:hanging="360"/>
      </w:pPr>
    </w:lvl>
    <w:lvl w:ilvl="7" w:tplc="F8F22072" w:tentative="1">
      <w:start w:val="1"/>
      <w:numFmt w:val="lowerLetter"/>
      <w:lvlText w:val="%8."/>
      <w:lvlJc w:val="left"/>
      <w:pPr>
        <w:ind w:left="5760" w:hanging="360"/>
      </w:pPr>
    </w:lvl>
    <w:lvl w:ilvl="8" w:tplc="099E70A8" w:tentative="1">
      <w:start w:val="1"/>
      <w:numFmt w:val="lowerRoman"/>
      <w:lvlText w:val="%9."/>
      <w:lvlJc w:val="right"/>
      <w:pPr>
        <w:ind w:left="6480" w:hanging="180"/>
      </w:pPr>
    </w:lvl>
  </w:abstractNum>
  <w:abstractNum w:abstractNumId="69">
    <w:nsid w:val="340E45F3"/>
    <w:multiLevelType w:val="hybridMultilevel"/>
    <w:tmpl w:val="5FF0E8C2"/>
    <w:lvl w:ilvl="0" w:tplc="12AA75E6">
      <w:start w:val="1"/>
      <w:numFmt w:val="bullet"/>
      <w:lvlText w:val=""/>
      <w:lvlJc w:val="left"/>
      <w:pPr>
        <w:ind w:left="720" w:hanging="360"/>
      </w:pPr>
      <w:rPr>
        <w:rFonts w:ascii="Symbol" w:hAnsi="Symbol" w:hint="default"/>
      </w:rPr>
    </w:lvl>
    <w:lvl w:ilvl="1" w:tplc="8E68A002" w:tentative="1">
      <w:start w:val="1"/>
      <w:numFmt w:val="bullet"/>
      <w:lvlText w:val="o"/>
      <w:lvlJc w:val="left"/>
      <w:pPr>
        <w:ind w:left="1440" w:hanging="360"/>
      </w:pPr>
      <w:rPr>
        <w:rFonts w:ascii="Courier New" w:hAnsi="Courier New" w:cs="Courier New" w:hint="default"/>
      </w:rPr>
    </w:lvl>
    <w:lvl w:ilvl="2" w:tplc="FC529A92" w:tentative="1">
      <w:start w:val="1"/>
      <w:numFmt w:val="bullet"/>
      <w:lvlText w:val=""/>
      <w:lvlJc w:val="left"/>
      <w:pPr>
        <w:ind w:left="2160" w:hanging="360"/>
      </w:pPr>
      <w:rPr>
        <w:rFonts w:ascii="Wingdings" w:hAnsi="Wingdings" w:hint="default"/>
      </w:rPr>
    </w:lvl>
    <w:lvl w:ilvl="3" w:tplc="393AD9DC" w:tentative="1">
      <w:start w:val="1"/>
      <w:numFmt w:val="bullet"/>
      <w:lvlText w:val=""/>
      <w:lvlJc w:val="left"/>
      <w:pPr>
        <w:ind w:left="2880" w:hanging="360"/>
      </w:pPr>
      <w:rPr>
        <w:rFonts w:ascii="Symbol" w:hAnsi="Symbol" w:hint="default"/>
      </w:rPr>
    </w:lvl>
    <w:lvl w:ilvl="4" w:tplc="8746FC30" w:tentative="1">
      <w:start w:val="1"/>
      <w:numFmt w:val="bullet"/>
      <w:lvlText w:val="o"/>
      <w:lvlJc w:val="left"/>
      <w:pPr>
        <w:ind w:left="3600" w:hanging="360"/>
      </w:pPr>
      <w:rPr>
        <w:rFonts w:ascii="Courier New" w:hAnsi="Courier New" w:cs="Courier New" w:hint="default"/>
      </w:rPr>
    </w:lvl>
    <w:lvl w:ilvl="5" w:tplc="595EEF46" w:tentative="1">
      <w:start w:val="1"/>
      <w:numFmt w:val="bullet"/>
      <w:lvlText w:val=""/>
      <w:lvlJc w:val="left"/>
      <w:pPr>
        <w:ind w:left="4320" w:hanging="360"/>
      </w:pPr>
      <w:rPr>
        <w:rFonts w:ascii="Wingdings" w:hAnsi="Wingdings" w:hint="default"/>
      </w:rPr>
    </w:lvl>
    <w:lvl w:ilvl="6" w:tplc="DBA84CDC" w:tentative="1">
      <w:start w:val="1"/>
      <w:numFmt w:val="bullet"/>
      <w:lvlText w:val=""/>
      <w:lvlJc w:val="left"/>
      <w:pPr>
        <w:ind w:left="5040" w:hanging="360"/>
      </w:pPr>
      <w:rPr>
        <w:rFonts w:ascii="Symbol" w:hAnsi="Symbol" w:hint="default"/>
      </w:rPr>
    </w:lvl>
    <w:lvl w:ilvl="7" w:tplc="03C05298" w:tentative="1">
      <w:start w:val="1"/>
      <w:numFmt w:val="bullet"/>
      <w:lvlText w:val="o"/>
      <w:lvlJc w:val="left"/>
      <w:pPr>
        <w:ind w:left="5760" w:hanging="360"/>
      </w:pPr>
      <w:rPr>
        <w:rFonts w:ascii="Courier New" w:hAnsi="Courier New" w:cs="Courier New" w:hint="default"/>
      </w:rPr>
    </w:lvl>
    <w:lvl w:ilvl="8" w:tplc="04A8FA96" w:tentative="1">
      <w:start w:val="1"/>
      <w:numFmt w:val="bullet"/>
      <w:lvlText w:val=""/>
      <w:lvlJc w:val="left"/>
      <w:pPr>
        <w:ind w:left="6480" w:hanging="360"/>
      </w:pPr>
      <w:rPr>
        <w:rFonts w:ascii="Wingdings" w:hAnsi="Wingdings" w:hint="default"/>
      </w:rPr>
    </w:lvl>
  </w:abstractNum>
  <w:abstractNum w:abstractNumId="70">
    <w:nsid w:val="3A54590C"/>
    <w:multiLevelType w:val="multilevel"/>
    <w:tmpl w:val="E2E28C7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1">
    <w:nsid w:val="40315490"/>
    <w:multiLevelType w:val="singleLevel"/>
    <w:tmpl w:val="1F86C700"/>
    <w:name w:val="Tiret 1"/>
    <w:lvl w:ilvl="0">
      <w:start w:val="1"/>
      <w:numFmt w:val="bullet"/>
      <w:pStyle w:val="ListDash"/>
      <w:lvlText w:val="–"/>
      <w:lvlJc w:val="left"/>
      <w:pPr>
        <w:tabs>
          <w:tab w:val="num" w:pos="283"/>
        </w:tabs>
        <w:ind w:left="283" w:hanging="283"/>
      </w:pPr>
      <w:rPr>
        <w:rFonts w:ascii="Times New Roman" w:hAnsi="Times New Roman" w:cs="Times New Roman"/>
      </w:rPr>
    </w:lvl>
  </w:abstractNum>
  <w:abstractNum w:abstractNumId="72">
    <w:nsid w:val="46B149CD"/>
    <w:multiLevelType w:val="hybridMultilevel"/>
    <w:tmpl w:val="EF80B480"/>
    <w:lvl w:ilvl="0" w:tplc="741E04D6">
      <w:start w:val="1"/>
      <w:numFmt w:val="lowerRoman"/>
      <w:lvlText w:val="(%1)"/>
      <w:lvlJc w:val="left"/>
      <w:pPr>
        <w:tabs>
          <w:tab w:val="num" w:pos="0"/>
        </w:tabs>
        <w:ind w:left="1077"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F62ED7FE" w:tentative="1">
      <w:start w:val="1"/>
      <w:numFmt w:val="lowerLetter"/>
      <w:lvlText w:val="%2."/>
      <w:lvlJc w:val="left"/>
      <w:pPr>
        <w:ind w:left="1797" w:hanging="360"/>
      </w:pPr>
    </w:lvl>
    <w:lvl w:ilvl="2" w:tplc="DB527AF2" w:tentative="1">
      <w:start w:val="1"/>
      <w:numFmt w:val="lowerRoman"/>
      <w:lvlText w:val="%3."/>
      <w:lvlJc w:val="right"/>
      <w:pPr>
        <w:ind w:left="2517" w:hanging="180"/>
      </w:pPr>
    </w:lvl>
    <w:lvl w:ilvl="3" w:tplc="FBB028BA" w:tentative="1">
      <w:start w:val="1"/>
      <w:numFmt w:val="decimal"/>
      <w:lvlText w:val="%4."/>
      <w:lvlJc w:val="left"/>
      <w:pPr>
        <w:ind w:left="3237" w:hanging="360"/>
      </w:pPr>
    </w:lvl>
    <w:lvl w:ilvl="4" w:tplc="DEA29BEA" w:tentative="1">
      <w:start w:val="1"/>
      <w:numFmt w:val="lowerLetter"/>
      <w:lvlText w:val="%5."/>
      <w:lvlJc w:val="left"/>
      <w:pPr>
        <w:ind w:left="3957" w:hanging="360"/>
      </w:pPr>
    </w:lvl>
    <w:lvl w:ilvl="5" w:tplc="F548753E" w:tentative="1">
      <w:start w:val="1"/>
      <w:numFmt w:val="lowerRoman"/>
      <w:lvlText w:val="%6."/>
      <w:lvlJc w:val="right"/>
      <w:pPr>
        <w:ind w:left="4677" w:hanging="180"/>
      </w:pPr>
    </w:lvl>
    <w:lvl w:ilvl="6" w:tplc="6F3A921E" w:tentative="1">
      <w:start w:val="1"/>
      <w:numFmt w:val="decimal"/>
      <w:lvlText w:val="%7."/>
      <w:lvlJc w:val="left"/>
      <w:pPr>
        <w:ind w:left="5397" w:hanging="360"/>
      </w:pPr>
    </w:lvl>
    <w:lvl w:ilvl="7" w:tplc="F09074AA" w:tentative="1">
      <w:start w:val="1"/>
      <w:numFmt w:val="lowerLetter"/>
      <w:lvlText w:val="%8."/>
      <w:lvlJc w:val="left"/>
      <w:pPr>
        <w:ind w:left="6117" w:hanging="360"/>
      </w:pPr>
    </w:lvl>
    <w:lvl w:ilvl="8" w:tplc="18C83848" w:tentative="1">
      <w:start w:val="1"/>
      <w:numFmt w:val="lowerRoman"/>
      <w:lvlText w:val="%9."/>
      <w:lvlJc w:val="right"/>
      <w:pPr>
        <w:ind w:left="6837" w:hanging="180"/>
      </w:pPr>
    </w:lvl>
  </w:abstractNum>
  <w:abstractNum w:abstractNumId="73">
    <w:nsid w:val="49A45FBF"/>
    <w:multiLevelType w:val="hybridMultilevel"/>
    <w:tmpl w:val="675ED66A"/>
    <w:lvl w:ilvl="0" w:tplc="4BF8D52A">
      <w:start w:val="1"/>
      <w:numFmt w:val="lowerLetter"/>
      <w:pStyle w:val="Textstand-alonenumberingLetters0"/>
      <w:lvlText w:val="%1)"/>
      <w:lvlJc w:val="left"/>
      <w:pPr>
        <w:ind w:left="720" w:hanging="360"/>
      </w:pPr>
      <w:rPr>
        <w:rFonts w:hint="default"/>
      </w:rPr>
    </w:lvl>
    <w:lvl w:ilvl="1" w:tplc="3DA2B9D0" w:tentative="1">
      <w:start w:val="1"/>
      <w:numFmt w:val="lowerLetter"/>
      <w:lvlText w:val="%2."/>
      <w:lvlJc w:val="left"/>
      <w:pPr>
        <w:ind w:left="1440" w:hanging="360"/>
      </w:pPr>
    </w:lvl>
    <w:lvl w:ilvl="2" w:tplc="FF340FDC" w:tentative="1">
      <w:start w:val="1"/>
      <w:numFmt w:val="lowerRoman"/>
      <w:lvlText w:val="%3."/>
      <w:lvlJc w:val="right"/>
      <w:pPr>
        <w:ind w:left="2160" w:hanging="180"/>
      </w:pPr>
    </w:lvl>
    <w:lvl w:ilvl="3" w:tplc="BF2A56DA" w:tentative="1">
      <w:start w:val="1"/>
      <w:numFmt w:val="decimal"/>
      <w:lvlText w:val="%4."/>
      <w:lvlJc w:val="left"/>
      <w:pPr>
        <w:ind w:left="2880" w:hanging="360"/>
      </w:pPr>
    </w:lvl>
    <w:lvl w:ilvl="4" w:tplc="50F42FB0" w:tentative="1">
      <w:start w:val="1"/>
      <w:numFmt w:val="lowerLetter"/>
      <w:lvlText w:val="%5."/>
      <w:lvlJc w:val="left"/>
      <w:pPr>
        <w:ind w:left="3600" w:hanging="360"/>
      </w:pPr>
    </w:lvl>
    <w:lvl w:ilvl="5" w:tplc="CA76A91A" w:tentative="1">
      <w:start w:val="1"/>
      <w:numFmt w:val="lowerRoman"/>
      <w:lvlText w:val="%6."/>
      <w:lvlJc w:val="right"/>
      <w:pPr>
        <w:ind w:left="4320" w:hanging="180"/>
      </w:pPr>
    </w:lvl>
    <w:lvl w:ilvl="6" w:tplc="FB14C494" w:tentative="1">
      <w:start w:val="1"/>
      <w:numFmt w:val="decimal"/>
      <w:lvlText w:val="%7."/>
      <w:lvlJc w:val="left"/>
      <w:pPr>
        <w:ind w:left="5040" w:hanging="360"/>
      </w:pPr>
    </w:lvl>
    <w:lvl w:ilvl="7" w:tplc="195C3678" w:tentative="1">
      <w:start w:val="1"/>
      <w:numFmt w:val="lowerLetter"/>
      <w:lvlText w:val="%8."/>
      <w:lvlJc w:val="left"/>
      <w:pPr>
        <w:ind w:left="5760" w:hanging="360"/>
      </w:pPr>
    </w:lvl>
    <w:lvl w:ilvl="8" w:tplc="1AA21D2A" w:tentative="1">
      <w:start w:val="1"/>
      <w:numFmt w:val="lowerRoman"/>
      <w:lvlText w:val="%9."/>
      <w:lvlJc w:val="right"/>
      <w:pPr>
        <w:ind w:left="6480" w:hanging="180"/>
      </w:pPr>
    </w:lvl>
  </w:abstractNum>
  <w:abstractNum w:abstractNumId="74">
    <w:nsid w:val="49D95707"/>
    <w:multiLevelType w:val="multilevel"/>
    <w:tmpl w:val="BE043DB2"/>
    <w:lvl w:ilvl="0">
      <w:start w:val="2"/>
      <w:numFmt w:val="decimal"/>
      <w:lvlText w:val="%1"/>
      <w:lvlJc w:val="left"/>
      <w:pPr>
        <w:ind w:left="680" w:hanging="680"/>
      </w:pPr>
      <w:rPr>
        <w:rFonts w:hint="default"/>
        <w:b/>
      </w:rPr>
    </w:lvl>
    <w:lvl w:ilvl="1">
      <w:start w:val="4"/>
      <w:numFmt w:val="decimal"/>
      <w:lvlText w:val="%1.%2"/>
      <w:lvlJc w:val="left"/>
      <w:pPr>
        <w:ind w:left="680" w:hanging="680"/>
      </w:pPr>
      <w:rPr>
        <w:rFonts w:hint="default"/>
        <w:b/>
      </w:rPr>
    </w:lvl>
    <w:lvl w:ilvl="2">
      <w:start w:val="3"/>
      <w:numFmt w:val="decimal"/>
      <w:lvlText w:val="%1.%2.%3"/>
      <w:lvlJc w:val="left"/>
      <w:pPr>
        <w:ind w:left="680" w:hanging="680"/>
      </w:pPr>
      <w:rPr>
        <w:rFonts w:hint="default"/>
        <w:b/>
      </w:rPr>
    </w:lvl>
    <w:lvl w:ilvl="3">
      <w:start w:val="1"/>
      <w:numFmt w:val="decimal"/>
      <w:lvlText w:val="%1.%2.%3.%4"/>
      <w:lvlJc w:val="left"/>
      <w:pPr>
        <w:ind w:left="1040" w:hanging="1040"/>
      </w:pPr>
      <w:rPr>
        <w:rFonts w:hint="default"/>
        <w:b/>
      </w:rPr>
    </w:lvl>
    <w:lvl w:ilvl="4">
      <w:start w:val="1"/>
      <w:numFmt w:val="decimal"/>
      <w:lvlText w:val="%1.%2.%3.%4.%5"/>
      <w:lvlJc w:val="left"/>
      <w:pPr>
        <w:ind w:left="1040" w:hanging="1040"/>
      </w:pPr>
      <w:rPr>
        <w:rFonts w:hint="default"/>
        <w:b/>
      </w:rPr>
    </w:lvl>
    <w:lvl w:ilvl="5">
      <w:start w:val="1"/>
      <w:numFmt w:val="decimal"/>
      <w:lvlText w:val="%1.%2.%3.%4.%5.%6"/>
      <w:lvlJc w:val="left"/>
      <w:pPr>
        <w:ind w:left="1400" w:hanging="1400"/>
      </w:pPr>
      <w:rPr>
        <w:rFonts w:hint="default"/>
        <w:b/>
      </w:rPr>
    </w:lvl>
    <w:lvl w:ilvl="6">
      <w:start w:val="1"/>
      <w:numFmt w:val="decimal"/>
      <w:lvlText w:val="%1.%2.%3.%4.%5.%6.%7"/>
      <w:lvlJc w:val="left"/>
      <w:pPr>
        <w:ind w:left="1400" w:hanging="1400"/>
      </w:pPr>
      <w:rPr>
        <w:rFonts w:hint="default"/>
        <w:b/>
      </w:rPr>
    </w:lvl>
    <w:lvl w:ilvl="7">
      <w:start w:val="1"/>
      <w:numFmt w:val="decimal"/>
      <w:lvlText w:val="%1.%2.%3.%4.%5.%6.%7.%8"/>
      <w:lvlJc w:val="left"/>
      <w:pPr>
        <w:ind w:left="1400" w:hanging="1400"/>
      </w:pPr>
      <w:rPr>
        <w:rFonts w:hint="default"/>
        <w:b/>
      </w:rPr>
    </w:lvl>
    <w:lvl w:ilvl="8">
      <w:start w:val="1"/>
      <w:numFmt w:val="decimal"/>
      <w:lvlText w:val="%1.%2.%3.%4.%5.%6.%7.%8.%9"/>
      <w:lvlJc w:val="left"/>
      <w:pPr>
        <w:ind w:left="1760" w:hanging="1760"/>
      </w:pPr>
      <w:rPr>
        <w:rFonts w:hint="default"/>
        <w:b/>
      </w:rPr>
    </w:lvl>
  </w:abstractNum>
  <w:abstractNum w:abstractNumId="75">
    <w:nsid w:val="5A215A37"/>
    <w:multiLevelType w:val="multilevel"/>
    <w:tmpl w:val="9A620C98"/>
    <w:lvl w:ilvl="0">
      <w:start w:val="2"/>
      <w:numFmt w:val="decimal"/>
      <w:lvlText w:val="%1"/>
      <w:lvlJc w:val="left"/>
      <w:pPr>
        <w:ind w:left="360" w:hanging="360"/>
      </w:pPr>
      <w:rPr>
        <w:rFonts w:hint="default"/>
      </w:rPr>
    </w:lvl>
    <w:lvl w:ilvl="1">
      <w:start w:val="2"/>
      <w:numFmt w:val="none"/>
      <w:lvlText w:val="2.3"/>
      <w:lvlJc w:val="left"/>
      <w:pPr>
        <w:ind w:left="360" w:hanging="360"/>
      </w:pPr>
      <w:rPr>
        <w:rFonts w:hint="default"/>
        <w:b/>
      </w:rPr>
    </w:lvl>
    <w:lvl w:ilvl="2">
      <w:start w:val="1"/>
      <w:numFmt w:val="none"/>
      <w:lvlText w:val="2.4.2"/>
      <w:lvlJc w:val="left"/>
      <w:pPr>
        <w:ind w:left="360" w:hanging="360"/>
      </w:pPr>
      <w:rPr>
        <w:rFonts w:hint="default"/>
      </w:rPr>
    </w:lvl>
    <w:lvl w:ilvl="3">
      <w:start w:val="1"/>
      <w:numFmt w:val="none"/>
      <w:lvlText w:val="2.4.2.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6">
    <w:nsid w:val="5AE8412F"/>
    <w:multiLevelType w:val="hybridMultilevel"/>
    <w:tmpl w:val="EDC6751C"/>
    <w:lvl w:ilvl="0" w:tplc="6E58A302">
      <w:start w:val="1"/>
      <w:numFmt w:val="bullet"/>
      <w:lvlText w:val=""/>
      <w:lvlJc w:val="left"/>
      <w:pPr>
        <w:ind w:left="720" w:hanging="360"/>
      </w:pPr>
      <w:rPr>
        <w:rFonts w:ascii="Symbol" w:hAnsi="Symbol" w:hint="default"/>
      </w:rPr>
    </w:lvl>
    <w:lvl w:ilvl="1" w:tplc="0100CAAA" w:tentative="1">
      <w:start w:val="1"/>
      <w:numFmt w:val="bullet"/>
      <w:lvlText w:val="o"/>
      <w:lvlJc w:val="left"/>
      <w:pPr>
        <w:ind w:left="1440" w:hanging="360"/>
      </w:pPr>
      <w:rPr>
        <w:rFonts w:ascii="Courier New" w:hAnsi="Courier New" w:cs="Courier New" w:hint="default"/>
      </w:rPr>
    </w:lvl>
    <w:lvl w:ilvl="2" w:tplc="587AD5F8" w:tentative="1">
      <w:start w:val="1"/>
      <w:numFmt w:val="bullet"/>
      <w:lvlText w:val=""/>
      <w:lvlJc w:val="left"/>
      <w:pPr>
        <w:ind w:left="2160" w:hanging="360"/>
      </w:pPr>
      <w:rPr>
        <w:rFonts w:ascii="Wingdings" w:hAnsi="Wingdings" w:hint="default"/>
      </w:rPr>
    </w:lvl>
    <w:lvl w:ilvl="3" w:tplc="29A61F1C" w:tentative="1">
      <w:start w:val="1"/>
      <w:numFmt w:val="bullet"/>
      <w:lvlText w:val=""/>
      <w:lvlJc w:val="left"/>
      <w:pPr>
        <w:ind w:left="2880" w:hanging="360"/>
      </w:pPr>
      <w:rPr>
        <w:rFonts w:ascii="Symbol" w:hAnsi="Symbol" w:hint="default"/>
      </w:rPr>
    </w:lvl>
    <w:lvl w:ilvl="4" w:tplc="D1D21D94" w:tentative="1">
      <w:start w:val="1"/>
      <w:numFmt w:val="bullet"/>
      <w:lvlText w:val="o"/>
      <w:lvlJc w:val="left"/>
      <w:pPr>
        <w:ind w:left="3600" w:hanging="360"/>
      </w:pPr>
      <w:rPr>
        <w:rFonts w:ascii="Courier New" w:hAnsi="Courier New" w:cs="Courier New" w:hint="default"/>
      </w:rPr>
    </w:lvl>
    <w:lvl w:ilvl="5" w:tplc="39746C3C" w:tentative="1">
      <w:start w:val="1"/>
      <w:numFmt w:val="bullet"/>
      <w:lvlText w:val=""/>
      <w:lvlJc w:val="left"/>
      <w:pPr>
        <w:ind w:left="4320" w:hanging="360"/>
      </w:pPr>
      <w:rPr>
        <w:rFonts w:ascii="Wingdings" w:hAnsi="Wingdings" w:hint="default"/>
      </w:rPr>
    </w:lvl>
    <w:lvl w:ilvl="6" w:tplc="C4F0A85A" w:tentative="1">
      <w:start w:val="1"/>
      <w:numFmt w:val="bullet"/>
      <w:lvlText w:val=""/>
      <w:lvlJc w:val="left"/>
      <w:pPr>
        <w:ind w:left="5040" w:hanging="360"/>
      </w:pPr>
      <w:rPr>
        <w:rFonts w:ascii="Symbol" w:hAnsi="Symbol" w:hint="default"/>
      </w:rPr>
    </w:lvl>
    <w:lvl w:ilvl="7" w:tplc="2884ABBC" w:tentative="1">
      <w:start w:val="1"/>
      <w:numFmt w:val="bullet"/>
      <w:lvlText w:val="o"/>
      <w:lvlJc w:val="left"/>
      <w:pPr>
        <w:ind w:left="5760" w:hanging="360"/>
      </w:pPr>
      <w:rPr>
        <w:rFonts w:ascii="Courier New" w:hAnsi="Courier New" w:cs="Courier New" w:hint="default"/>
      </w:rPr>
    </w:lvl>
    <w:lvl w:ilvl="8" w:tplc="F56248C4" w:tentative="1">
      <w:start w:val="1"/>
      <w:numFmt w:val="bullet"/>
      <w:lvlText w:val=""/>
      <w:lvlJc w:val="left"/>
      <w:pPr>
        <w:ind w:left="6480" w:hanging="360"/>
      </w:pPr>
      <w:rPr>
        <w:rFonts w:ascii="Wingdings" w:hAnsi="Wingdings" w:hint="default"/>
      </w:rPr>
    </w:lvl>
  </w:abstractNum>
  <w:abstractNum w:abstractNumId="77">
    <w:nsid w:val="5EA07653"/>
    <w:multiLevelType w:val="hybridMultilevel"/>
    <w:tmpl w:val="549C48F2"/>
    <w:lvl w:ilvl="0" w:tplc="BF885B98">
      <w:start w:val="1"/>
      <w:numFmt w:val="bullet"/>
      <w:pStyle w:val="Textstand-aloneBulletpoint"/>
      <w:lvlText w:val="-"/>
      <w:lvlJc w:val="left"/>
      <w:pPr>
        <w:ind w:left="1080" w:hanging="360"/>
      </w:pPr>
      <w:rPr>
        <w:rFonts w:ascii="Verdana" w:hAnsi="Verdana" w:hint="default"/>
      </w:rPr>
    </w:lvl>
    <w:lvl w:ilvl="1" w:tplc="613A67FC" w:tentative="1">
      <w:start w:val="1"/>
      <w:numFmt w:val="bullet"/>
      <w:lvlText w:val="o"/>
      <w:lvlJc w:val="left"/>
      <w:pPr>
        <w:ind w:left="1800" w:hanging="360"/>
      </w:pPr>
      <w:rPr>
        <w:rFonts w:ascii="Courier New" w:hAnsi="Courier New" w:cs="Courier New" w:hint="default"/>
      </w:rPr>
    </w:lvl>
    <w:lvl w:ilvl="2" w:tplc="C240CD0C" w:tentative="1">
      <w:start w:val="1"/>
      <w:numFmt w:val="bullet"/>
      <w:lvlText w:val=""/>
      <w:lvlJc w:val="left"/>
      <w:pPr>
        <w:ind w:left="2520" w:hanging="360"/>
      </w:pPr>
      <w:rPr>
        <w:rFonts w:ascii="Wingdings" w:hAnsi="Wingdings" w:hint="default"/>
      </w:rPr>
    </w:lvl>
    <w:lvl w:ilvl="3" w:tplc="EB1A0238" w:tentative="1">
      <w:start w:val="1"/>
      <w:numFmt w:val="bullet"/>
      <w:lvlText w:val=""/>
      <w:lvlJc w:val="left"/>
      <w:pPr>
        <w:ind w:left="3240" w:hanging="360"/>
      </w:pPr>
      <w:rPr>
        <w:rFonts w:ascii="Symbol" w:hAnsi="Symbol" w:hint="default"/>
      </w:rPr>
    </w:lvl>
    <w:lvl w:ilvl="4" w:tplc="94B685D4" w:tentative="1">
      <w:start w:val="1"/>
      <w:numFmt w:val="bullet"/>
      <w:lvlText w:val="o"/>
      <w:lvlJc w:val="left"/>
      <w:pPr>
        <w:ind w:left="3960" w:hanging="360"/>
      </w:pPr>
      <w:rPr>
        <w:rFonts w:ascii="Courier New" w:hAnsi="Courier New" w:cs="Courier New" w:hint="default"/>
      </w:rPr>
    </w:lvl>
    <w:lvl w:ilvl="5" w:tplc="BFE8D506" w:tentative="1">
      <w:start w:val="1"/>
      <w:numFmt w:val="bullet"/>
      <w:lvlText w:val=""/>
      <w:lvlJc w:val="left"/>
      <w:pPr>
        <w:ind w:left="4680" w:hanging="360"/>
      </w:pPr>
      <w:rPr>
        <w:rFonts w:ascii="Wingdings" w:hAnsi="Wingdings" w:hint="default"/>
      </w:rPr>
    </w:lvl>
    <w:lvl w:ilvl="6" w:tplc="CF5A3C0C" w:tentative="1">
      <w:start w:val="1"/>
      <w:numFmt w:val="bullet"/>
      <w:lvlText w:val=""/>
      <w:lvlJc w:val="left"/>
      <w:pPr>
        <w:ind w:left="5400" w:hanging="360"/>
      </w:pPr>
      <w:rPr>
        <w:rFonts w:ascii="Symbol" w:hAnsi="Symbol" w:hint="default"/>
      </w:rPr>
    </w:lvl>
    <w:lvl w:ilvl="7" w:tplc="18A03194" w:tentative="1">
      <w:start w:val="1"/>
      <w:numFmt w:val="bullet"/>
      <w:lvlText w:val="o"/>
      <w:lvlJc w:val="left"/>
      <w:pPr>
        <w:ind w:left="6120" w:hanging="360"/>
      </w:pPr>
      <w:rPr>
        <w:rFonts w:ascii="Courier New" w:hAnsi="Courier New" w:cs="Courier New" w:hint="default"/>
      </w:rPr>
    </w:lvl>
    <w:lvl w:ilvl="8" w:tplc="67A80876" w:tentative="1">
      <w:start w:val="1"/>
      <w:numFmt w:val="bullet"/>
      <w:lvlText w:val=""/>
      <w:lvlJc w:val="left"/>
      <w:pPr>
        <w:ind w:left="6840" w:hanging="360"/>
      </w:pPr>
      <w:rPr>
        <w:rFonts w:ascii="Wingdings" w:hAnsi="Wingdings" w:hint="default"/>
      </w:rPr>
    </w:lvl>
  </w:abstractNum>
  <w:abstractNum w:abstractNumId="78">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79">
    <w:nsid w:val="6F351A53"/>
    <w:multiLevelType w:val="hybridMultilevel"/>
    <w:tmpl w:val="A22E4046"/>
    <w:lvl w:ilvl="0" w:tplc="54B28CE8">
      <w:start w:val="1"/>
      <w:numFmt w:val="lowerRoman"/>
      <w:pStyle w:val="Textstand-alonenumberingRCIndentJustified"/>
      <w:lvlText w:val="(%1)"/>
      <w:lvlJc w:val="left"/>
      <w:pPr>
        <w:ind w:left="720" w:hanging="360"/>
      </w:pPr>
      <w:rPr>
        <w:rFonts w:hint="default"/>
      </w:rPr>
    </w:lvl>
    <w:lvl w:ilvl="1" w:tplc="225ED3D8" w:tentative="1">
      <w:start w:val="1"/>
      <w:numFmt w:val="lowerLetter"/>
      <w:lvlText w:val="%2."/>
      <w:lvlJc w:val="left"/>
      <w:pPr>
        <w:ind w:left="1440" w:hanging="360"/>
      </w:pPr>
    </w:lvl>
    <w:lvl w:ilvl="2" w:tplc="963884FE" w:tentative="1">
      <w:start w:val="1"/>
      <w:numFmt w:val="lowerRoman"/>
      <w:lvlText w:val="%3."/>
      <w:lvlJc w:val="right"/>
      <w:pPr>
        <w:ind w:left="2160" w:hanging="180"/>
      </w:pPr>
    </w:lvl>
    <w:lvl w:ilvl="3" w:tplc="797610CE" w:tentative="1">
      <w:start w:val="1"/>
      <w:numFmt w:val="decimal"/>
      <w:lvlText w:val="%4."/>
      <w:lvlJc w:val="left"/>
      <w:pPr>
        <w:ind w:left="2880" w:hanging="360"/>
      </w:pPr>
    </w:lvl>
    <w:lvl w:ilvl="4" w:tplc="EC003A6E" w:tentative="1">
      <w:start w:val="1"/>
      <w:numFmt w:val="lowerLetter"/>
      <w:lvlText w:val="%5."/>
      <w:lvlJc w:val="left"/>
      <w:pPr>
        <w:ind w:left="3600" w:hanging="360"/>
      </w:pPr>
    </w:lvl>
    <w:lvl w:ilvl="5" w:tplc="EF180BB8" w:tentative="1">
      <w:start w:val="1"/>
      <w:numFmt w:val="lowerRoman"/>
      <w:lvlText w:val="%6."/>
      <w:lvlJc w:val="right"/>
      <w:pPr>
        <w:ind w:left="4320" w:hanging="180"/>
      </w:pPr>
    </w:lvl>
    <w:lvl w:ilvl="6" w:tplc="10B41188" w:tentative="1">
      <w:start w:val="1"/>
      <w:numFmt w:val="decimal"/>
      <w:lvlText w:val="%7."/>
      <w:lvlJc w:val="left"/>
      <w:pPr>
        <w:ind w:left="5040" w:hanging="360"/>
      </w:pPr>
    </w:lvl>
    <w:lvl w:ilvl="7" w:tplc="12324B14" w:tentative="1">
      <w:start w:val="1"/>
      <w:numFmt w:val="lowerLetter"/>
      <w:lvlText w:val="%8."/>
      <w:lvlJc w:val="left"/>
      <w:pPr>
        <w:ind w:left="5760" w:hanging="360"/>
      </w:pPr>
    </w:lvl>
    <w:lvl w:ilvl="8" w:tplc="AFFCDA76" w:tentative="1">
      <w:start w:val="1"/>
      <w:numFmt w:val="lowerRoman"/>
      <w:lvlText w:val="%9."/>
      <w:lvlJc w:val="right"/>
      <w:pPr>
        <w:ind w:left="6480" w:hanging="180"/>
      </w:pPr>
    </w:lvl>
  </w:abstractNum>
  <w:abstractNum w:abstractNumId="80">
    <w:nsid w:val="6F351A55"/>
    <w:multiLevelType w:val="hybridMultilevel"/>
    <w:tmpl w:val="EF80B480"/>
    <w:lvl w:ilvl="0" w:tplc="741E04D6">
      <w:start w:val="1"/>
      <w:numFmt w:val="lowerRoman"/>
      <w:lvlText w:val="(%1)"/>
      <w:lvlJc w:val="left"/>
      <w:pPr>
        <w:tabs>
          <w:tab w:val="num" w:pos="0"/>
        </w:tabs>
        <w:ind w:left="1077"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F62ED7FE" w:tentative="1">
      <w:start w:val="1"/>
      <w:numFmt w:val="lowerLetter"/>
      <w:lvlText w:val="%2."/>
      <w:lvlJc w:val="left"/>
      <w:pPr>
        <w:ind w:left="1797" w:hanging="360"/>
      </w:pPr>
    </w:lvl>
    <w:lvl w:ilvl="2" w:tplc="DB527AF2" w:tentative="1">
      <w:start w:val="1"/>
      <w:numFmt w:val="lowerRoman"/>
      <w:lvlText w:val="%3."/>
      <w:lvlJc w:val="right"/>
      <w:pPr>
        <w:ind w:left="2517" w:hanging="180"/>
      </w:pPr>
    </w:lvl>
    <w:lvl w:ilvl="3" w:tplc="FBB028BA" w:tentative="1">
      <w:start w:val="1"/>
      <w:numFmt w:val="decimal"/>
      <w:lvlText w:val="%4."/>
      <w:lvlJc w:val="left"/>
      <w:pPr>
        <w:ind w:left="3237" w:hanging="360"/>
      </w:pPr>
    </w:lvl>
    <w:lvl w:ilvl="4" w:tplc="DEA29BEA" w:tentative="1">
      <w:start w:val="1"/>
      <w:numFmt w:val="lowerLetter"/>
      <w:lvlText w:val="%5."/>
      <w:lvlJc w:val="left"/>
      <w:pPr>
        <w:ind w:left="3957" w:hanging="360"/>
      </w:pPr>
    </w:lvl>
    <w:lvl w:ilvl="5" w:tplc="F548753E" w:tentative="1">
      <w:start w:val="1"/>
      <w:numFmt w:val="lowerRoman"/>
      <w:lvlText w:val="%6."/>
      <w:lvlJc w:val="right"/>
      <w:pPr>
        <w:ind w:left="4677" w:hanging="180"/>
      </w:pPr>
    </w:lvl>
    <w:lvl w:ilvl="6" w:tplc="6F3A921E" w:tentative="1">
      <w:start w:val="1"/>
      <w:numFmt w:val="decimal"/>
      <w:lvlText w:val="%7."/>
      <w:lvlJc w:val="left"/>
      <w:pPr>
        <w:ind w:left="5397" w:hanging="360"/>
      </w:pPr>
    </w:lvl>
    <w:lvl w:ilvl="7" w:tplc="F09074AA" w:tentative="1">
      <w:start w:val="1"/>
      <w:numFmt w:val="lowerLetter"/>
      <w:lvlText w:val="%8."/>
      <w:lvlJc w:val="left"/>
      <w:pPr>
        <w:ind w:left="6117" w:hanging="360"/>
      </w:pPr>
    </w:lvl>
    <w:lvl w:ilvl="8" w:tplc="18C83848" w:tentative="1">
      <w:start w:val="1"/>
      <w:numFmt w:val="lowerRoman"/>
      <w:lvlText w:val="%9."/>
      <w:lvlJc w:val="right"/>
      <w:pPr>
        <w:ind w:left="6837" w:hanging="180"/>
      </w:pPr>
    </w:lvl>
  </w:abstractNum>
  <w:abstractNum w:abstractNumId="81">
    <w:nsid w:val="6F351A56"/>
    <w:multiLevelType w:val="hybridMultilevel"/>
    <w:tmpl w:val="EF80B480"/>
    <w:lvl w:ilvl="0" w:tplc="83D60CEC">
      <w:start w:val="1"/>
      <w:numFmt w:val="lowerRoman"/>
      <w:lvlText w:val="(%1)"/>
      <w:lvlJc w:val="left"/>
      <w:pPr>
        <w:tabs>
          <w:tab w:val="num" w:pos="418"/>
        </w:tabs>
        <w:ind w:left="1495"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2398C010" w:tentative="1">
      <w:start w:val="1"/>
      <w:numFmt w:val="lowerLetter"/>
      <w:lvlText w:val="%2."/>
      <w:lvlJc w:val="left"/>
      <w:pPr>
        <w:ind w:left="2215" w:hanging="360"/>
      </w:pPr>
    </w:lvl>
    <w:lvl w:ilvl="2" w:tplc="C5C0FB02" w:tentative="1">
      <w:start w:val="1"/>
      <w:numFmt w:val="lowerRoman"/>
      <w:lvlText w:val="%3."/>
      <w:lvlJc w:val="right"/>
      <w:pPr>
        <w:ind w:left="2935" w:hanging="180"/>
      </w:pPr>
    </w:lvl>
    <w:lvl w:ilvl="3" w:tplc="2AC062F4" w:tentative="1">
      <w:start w:val="1"/>
      <w:numFmt w:val="decimal"/>
      <w:lvlText w:val="%4."/>
      <w:lvlJc w:val="left"/>
      <w:pPr>
        <w:ind w:left="3655" w:hanging="360"/>
      </w:pPr>
    </w:lvl>
    <w:lvl w:ilvl="4" w:tplc="B30E9072" w:tentative="1">
      <w:start w:val="1"/>
      <w:numFmt w:val="lowerLetter"/>
      <w:lvlText w:val="%5."/>
      <w:lvlJc w:val="left"/>
      <w:pPr>
        <w:ind w:left="4375" w:hanging="360"/>
      </w:pPr>
    </w:lvl>
    <w:lvl w:ilvl="5" w:tplc="C8D2BDB0" w:tentative="1">
      <w:start w:val="1"/>
      <w:numFmt w:val="lowerRoman"/>
      <w:lvlText w:val="%6."/>
      <w:lvlJc w:val="right"/>
      <w:pPr>
        <w:ind w:left="5095" w:hanging="180"/>
      </w:pPr>
    </w:lvl>
    <w:lvl w:ilvl="6" w:tplc="A7ECA9B8" w:tentative="1">
      <w:start w:val="1"/>
      <w:numFmt w:val="decimal"/>
      <w:lvlText w:val="%7."/>
      <w:lvlJc w:val="left"/>
      <w:pPr>
        <w:ind w:left="5815" w:hanging="360"/>
      </w:pPr>
    </w:lvl>
    <w:lvl w:ilvl="7" w:tplc="A866FB78" w:tentative="1">
      <w:start w:val="1"/>
      <w:numFmt w:val="lowerLetter"/>
      <w:lvlText w:val="%8."/>
      <w:lvlJc w:val="left"/>
      <w:pPr>
        <w:ind w:left="6535" w:hanging="360"/>
      </w:pPr>
    </w:lvl>
    <w:lvl w:ilvl="8" w:tplc="C9D80360" w:tentative="1">
      <w:start w:val="1"/>
      <w:numFmt w:val="lowerRoman"/>
      <w:lvlText w:val="%9."/>
      <w:lvlJc w:val="right"/>
      <w:pPr>
        <w:ind w:left="7255" w:hanging="180"/>
      </w:pPr>
    </w:lvl>
  </w:abstractNum>
  <w:abstractNum w:abstractNumId="82">
    <w:nsid w:val="72230A24"/>
    <w:multiLevelType w:val="multilevel"/>
    <w:tmpl w:val="EA926228"/>
    <w:lvl w:ilvl="0">
      <w:start w:val="1"/>
      <w:numFmt w:val="decimal"/>
      <w:pStyle w:val="Notes0"/>
      <w:lvlText w:val="%1"/>
      <w:lvlJc w:val="left"/>
      <w:pPr>
        <w:tabs>
          <w:tab w:val="num" w:pos="432"/>
        </w:tabs>
        <w:ind w:left="432" w:hanging="432"/>
      </w:pPr>
      <w:rPr>
        <w:rFonts w:hint="default"/>
        <w:lang w:val="en-GB"/>
      </w:rPr>
    </w:lvl>
    <w:lvl w:ilvl="1">
      <w:start w:val="1"/>
      <w:numFmt w:val="decimal"/>
      <w:pStyle w:val="Title11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3">
    <w:nsid w:val="72230A27"/>
    <w:multiLevelType w:val="multilevel"/>
    <w:tmpl w:val="CC101C62"/>
    <w:lvl w:ilvl="0">
      <w:start w:val="2"/>
      <w:numFmt w:val="decimal"/>
      <w:pStyle w:val="Notes1"/>
      <w:lvlText w:val="%1"/>
      <w:lvlJc w:val="left"/>
      <w:pPr>
        <w:tabs>
          <w:tab w:val="num" w:pos="432"/>
        </w:tabs>
        <w:ind w:left="432" w:hanging="432"/>
      </w:pPr>
      <w:rPr>
        <w:rFonts w:hint="default"/>
        <w:lang w:val="en-GB"/>
      </w:rPr>
    </w:lvl>
    <w:lvl w:ilvl="1">
      <w:start w:val="1"/>
      <w:numFmt w:val="decimal"/>
      <w:pStyle w:val="Title1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nsid w:val="72230A31"/>
    <w:multiLevelType w:val="multilevel"/>
    <w:tmpl w:val="E85495D4"/>
    <w:name w:val="WW8Num53"/>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0"/>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nsid w:val="72230A38"/>
    <w:multiLevelType w:val="multilevel"/>
    <w:tmpl w:val="E8FA3B46"/>
    <w:lvl w:ilvl="0">
      <w:start w:val="3"/>
      <w:numFmt w:val="decimal"/>
      <w:pStyle w:val="Notes2"/>
      <w:lvlText w:val="%1"/>
      <w:lvlJc w:val="left"/>
      <w:pPr>
        <w:tabs>
          <w:tab w:val="num" w:pos="432"/>
        </w:tabs>
        <w:ind w:left="432" w:hanging="432"/>
      </w:pPr>
      <w:rPr>
        <w:rFonts w:hint="default"/>
        <w:lang w:val="en-GB"/>
      </w:rPr>
    </w:lvl>
    <w:lvl w:ilvl="1">
      <w:start w:val="1"/>
      <w:numFmt w:val="decimal"/>
      <w:pStyle w:val="Title11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6">
    <w:nsid w:val="72230A3A"/>
    <w:multiLevelType w:val="multilevel"/>
    <w:tmpl w:val="DE90D416"/>
    <w:lvl w:ilvl="0">
      <w:start w:val="3"/>
      <w:numFmt w:val="decimal"/>
      <w:pStyle w:val="Notes3"/>
      <w:lvlText w:val="%1"/>
      <w:lvlJc w:val="left"/>
      <w:pPr>
        <w:tabs>
          <w:tab w:val="num" w:pos="432"/>
        </w:tabs>
        <w:ind w:left="432" w:hanging="432"/>
      </w:pPr>
      <w:rPr>
        <w:rFonts w:hint="default"/>
        <w:lang w:val="en-GB"/>
      </w:rPr>
    </w:lvl>
    <w:lvl w:ilvl="1">
      <w:start w:val="2"/>
      <w:numFmt w:val="decimal"/>
      <w:pStyle w:val="Title11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nsid w:val="72230A3E"/>
    <w:multiLevelType w:val="multilevel"/>
    <w:tmpl w:val="EA926228"/>
    <w:lvl w:ilvl="0">
      <w:start w:val="1"/>
      <w:numFmt w:val="decimal"/>
      <w:pStyle w:val="Notes4"/>
      <w:lvlText w:val="%1"/>
      <w:lvlJc w:val="left"/>
      <w:pPr>
        <w:tabs>
          <w:tab w:val="num" w:pos="432"/>
        </w:tabs>
        <w:ind w:left="432" w:hanging="432"/>
      </w:pPr>
      <w:rPr>
        <w:rFonts w:hint="default"/>
        <w:lang w:val="en-GB"/>
      </w:rPr>
    </w:lvl>
    <w:lvl w:ilvl="1">
      <w:start w:val="1"/>
      <w:numFmt w:val="decimal"/>
      <w:pStyle w:val="Title11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8">
    <w:nsid w:val="72230A3F"/>
    <w:multiLevelType w:val="multilevel"/>
    <w:tmpl w:val="02F24F50"/>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3"/>
      <w:numFmt w:val="decimal"/>
      <w:pStyle w:val="Title3211"/>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nsid w:val="72230A40"/>
    <w:multiLevelType w:val="multilevel"/>
    <w:tmpl w:val="EA926228"/>
    <w:lvl w:ilvl="0">
      <w:start w:val="1"/>
      <w:numFmt w:val="decimal"/>
      <w:pStyle w:val="Notes5"/>
      <w:lvlText w:val="%1"/>
      <w:lvlJc w:val="left"/>
      <w:pPr>
        <w:tabs>
          <w:tab w:val="num" w:pos="432"/>
        </w:tabs>
        <w:ind w:left="432" w:hanging="432"/>
      </w:pPr>
      <w:rPr>
        <w:rFonts w:hint="default"/>
        <w:lang w:val="en-GB"/>
      </w:rPr>
    </w:lvl>
    <w:lvl w:ilvl="1">
      <w:start w:val="1"/>
      <w:numFmt w:val="decimal"/>
      <w:pStyle w:val="Title11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nsid w:val="72230A43"/>
    <w:multiLevelType w:val="hybridMultilevel"/>
    <w:tmpl w:val="36C6AE94"/>
    <w:lvl w:ilvl="0" w:tplc="04DCAC4E">
      <w:start w:val="1"/>
      <w:numFmt w:val="lowerRoman"/>
      <w:pStyle w:val="Listi0"/>
      <w:lvlText w:val="%1)"/>
      <w:lvlJc w:val="left"/>
      <w:pPr>
        <w:tabs>
          <w:tab w:val="num" w:pos="1080"/>
        </w:tabs>
        <w:ind w:left="1080" w:hanging="720"/>
      </w:pPr>
      <w:rPr>
        <w:rFonts w:cs="Times New Roman" w:hint="default"/>
      </w:rPr>
    </w:lvl>
    <w:lvl w:ilvl="1" w:tplc="AF6C6932">
      <w:start w:val="1"/>
      <w:numFmt w:val="lowerLetter"/>
      <w:lvlText w:val="%2."/>
      <w:lvlJc w:val="left"/>
      <w:pPr>
        <w:tabs>
          <w:tab w:val="num" w:pos="1440"/>
        </w:tabs>
        <w:ind w:left="1440" w:hanging="360"/>
      </w:pPr>
      <w:rPr>
        <w:rFonts w:cs="Times New Roman"/>
      </w:rPr>
    </w:lvl>
    <w:lvl w:ilvl="2" w:tplc="190423E0">
      <w:start w:val="1"/>
      <w:numFmt w:val="lowerRoman"/>
      <w:lvlText w:val="%3."/>
      <w:lvlJc w:val="right"/>
      <w:pPr>
        <w:tabs>
          <w:tab w:val="num" w:pos="2160"/>
        </w:tabs>
        <w:ind w:left="2160" w:hanging="180"/>
      </w:pPr>
      <w:rPr>
        <w:rFonts w:cs="Times New Roman"/>
      </w:rPr>
    </w:lvl>
    <w:lvl w:ilvl="3" w:tplc="A9F00A96">
      <w:start w:val="1"/>
      <w:numFmt w:val="decimal"/>
      <w:lvlText w:val="%4."/>
      <w:lvlJc w:val="left"/>
      <w:pPr>
        <w:tabs>
          <w:tab w:val="num" w:pos="2880"/>
        </w:tabs>
        <w:ind w:left="2880" w:hanging="360"/>
      </w:pPr>
      <w:rPr>
        <w:rFonts w:cs="Times New Roman"/>
      </w:rPr>
    </w:lvl>
    <w:lvl w:ilvl="4" w:tplc="74B6E0FE">
      <w:start w:val="1"/>
      <w:numFmt w:val="lowerLetter"/>
      <w:lvlText w:val="%5."/>
      <w:lvlJc w:val="left"/>
      <w:pPr>
        <w:tabs>
          <w:tab w:val="num" w:pos="3600"/>
        </w:tabs>
        <w:ind w:left="3600" w:hanging="360"/>
      </w:pPr>
      <w:rPr>
        <w:rFonts w:cs="Times New Roman"/>
      </w:rPr>
    </w:lvl>
    <w:lvl w:ilvl="5" w:tplc="2B68B8FA">
      <w:start w:val="1"/>
      <w:numFmt w:val="lowerRoman"/>
      <w:lvlText w:val="%6."/>
      <w:lvlJc w:val="right"/>
      <w:pPr>
        <w:tabs>
          <w:tab w:val="num" w:pos="4320"/>
        </w:tabs>
        <w:ind w:left="4320" w:hanging="180"/>
      </w:pPr>
      <w:rPr>
        <w:rFonts w:cs="Times New Roman"/>
      </w:rPr>
    </w:lvl>
    <w:lvl w:ilvl="6" w:tplc="ED1AA552">
      <w:start w:val="1"/>
      <w:numFmt w:val="decimal"/>
      <w:lvlText w:val="%7."/>
      <w:lvlJc w:val="left"/>
      <w:pPr>
        <w:tabs>
          <w:tab w:val="num" w:pos="5040"/>
        </w:tabs>
        <w:ind w:left="5040" w:hanging="360"/>
      </w:pPr>
      <w:rPr>
        <w:rFonts w:cs="Times New Roman"/>
      </w:rPr>
    </w:lvl>
    <w:lvl w:ilvl="7" w:tplc="AE84A5EE">
      <w:start w:val="1"/>
      <w:numFmt w:val="lowerLetter"/>
      <w:lvlText w:val="%8."/>
      <w:lvlJc w:val="left"/>
      <w:pPr>
        <w:tabs>
          <w:tab w:val="num" w:pos="5760"/>
        </w:tabs>
        <w:ind w:left="5760" w:hanging="360"/>
      </w:pPr>
      <w:rPr>
        <w:rFonts w:cs="Times New Roman"/>
      </w:rPr>
    </w:lvl>
    <w:lvl w:ilvl="8" w:tplc="169CE760">
      <w:start w:val="1"/>
      <w:numFmt w:val="lowerRoman"/>
      <w:lvlText w:val="%9."/>
      <w:lvlJc w:val="right"/>
      <w:pPr>
        <w:tabs>
          <w:tab w:val="num" w:pos="6480"/>
        </w:tabs>
        <w:ind w:left="6480" w:hanging="180"/>
      </w:pPr>
      <w:rPr>
        <w:rFonts w:cs="Times New Roman"/>
      </w:rPr>
    </w:lvl>
  </w:abstractNum>
  <w:abstractNum w:abstractNumId="91">
    <w:nsid w:val="72230A46"/>
    <w:multiLevelType w:val="multilevel"/>
    <w:tmpl w:val="EA926228"/>
    <w:lvl w:ilvl="0">
      <w:start w:val="1"/>
      <w:numFmt w:val="decimal"/>
      <w:pStyle w:val="Notes7"/>
      <w:lvlText w:val="%1"/>
      <w:lvlJc w:val="left"/>
      <w:pPr>
        <w:tabs>
          <w:tab w:val="num" w:pos="432"/>
        </w:tabs>
        <w:ind w:left="432" w:hanging="432"/>
      </w:pPr>
      <w:rPr>
        <w:rFonts w:hint="default"/>
        <w:lang w:val="en-GB"/>
      </w:rPr>
    </w:lvl>
    <w:lvl w:ilvl="1">
      <w:start w:val="1"/>
      <w:numFmt w:val="decimal"/>
      <w:pStyle w:val="Title11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2">
    <w:nsid w:val="72230A48"/>
    <w:multiLevelType w:val="multilevel"/>
    <w:tmpl w:val="EA926228"/>
    <w:lvl w:ilvl="0">
      <w:start w:val="1"/>
      <w:numFmt w:val="decimal"/>
      <w:pStyle w:val="Notes8"/>
      <w:lvlText w:val="%1"/>
      <w:lvlJc w:val="left"/>
      <w:pPr>
        <w:tabs>
          <w:tab w:val="num" w:pos="432"/>
        </w:tabs>
        <w:ind w:left="432" w:hanging="432"/>
      </w:pPr>
      <w:rPr>
        <w:rFonts w:hint="default"/>
        <w:lang w:val="en-GB"/>
      </w:rPr>
    </w:lvl>
    <w:lvl w:ilvl="1">
      <w:start w:val="1"/>
      <w:numFmt w:val="decimal"/>
      <w:pStyle w:val="Title118"/>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3">
    <w:nsid w:val="72230A4A"/>
    <w:multiLevelType w:val="multilevel"/>
    <w:tmpl w:val="EA926228"/>
    <w:lvl w:ilvl="0">
      <w:start w:val="1"/>
      <w:numFmt w:val="decimal"/>
      <w:pStyle w:val="Notes9"/>
      <w:lvlText w:val="%1"/>
      <w:lvlJc w:val="left"/>
      <w:pPr>
        <w:tabs>
          <w:tab w:val="num" w:pos="432"/>
        </w:tabs>
        <w:ind w:left="432" w:hanging="432"/>
      </w:pPr>
      <w:rPr>
        <w:rFonts w:hint="default"/>
        <w:lang w:val="en-GB"/>
      </w:rPr>
    </w:lvl>
    <w:lvl w:ilvl="1">
      <w:start w:val="1"/>
      <w:numFmt w:val="decimal"/>
      <w:pStyle w:val="Title119"/>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nsid w:val="72230A4C"/>
    <w:multiLevelType w:val="multilevel"/>
    <w:tmpl w:val="EA926228"/>
    <w:lvl w:ilvl="0">
      <w:start w:val="1"/>
      <w:numFmt w:val="decimal"/>
      <w:pStyle w:val="Notes100"/>
      <w:lvlText w:val="%1"/>
      <w:lvlJc w:val="left"/>
      <w:pPr>
        <w:tabs>
          <w:tab w:val="num" w:pos="432"/>
        </w:tabs>
        <w:ind w:left="432" w:hanging="432"/>
      </w:pPr>
      <w:rPr>
        <w:rFonts w:hint="default"/>
        <w:lang w:val="en-GB"/>
      </w:rPr>
    </w:lvl>
    <w:lvl w:ilvl="1">
      <w:start w:val="1"/>
      <w:numFmt w:val="decimal"/>
      <w:pStyle w:val="Title1110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nsid w:val="72230A4E"/>
    <w:multiLevelType w:val="multilevel"/>
    <w:tmpl w:val="EA926228"/>
    <w:lvl w:ilvl="0">
      <w:start w:val="1"/>
      <w:numFmt w:val="decimal"/>
      <w:pStyle w:val="Notes11"/>
      <w:lvlText w:val="%1"/>
      <w:lvlJc w:val="left"/>
      <w:pPr>
        <w:tabs>
          <w:tab w:val="num" w:pos="432"/>
        </w:tabs>
        <w:ind w:left="432" w:hanging="432"/>
      </w:pPr>
      <w:rPr>
        <w:rFonts w:hint="default"/>
        <w:lang w:val="en-GB"/>
      </w:rPr>
    </w:lvl>
    <w:lvl w:ilvl="1">
      <w:start w:val="1"/>
      <w:numFmt w:val="decimal"/>
      <w:pStyle w:val="Title11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6">
    <w:nsid w:val="72230A50"/>
    <w:multiLevelType w:val="multilevel"/>
    <w:tmpl w:val="580E6384"/>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4"/>
      <w:numFmt w:val="decimal"/>
      <w:pStyle w:val="Title3212"/>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7">
    <w:nsid w:val="72230A51"/>
    <w:multiLevelType w:val="multilevel"/>
    <w:tmpl w:val="EA926228"/>
    <w:lvl w:ilvl="0">
      <w:start w:val="1"/>
      <w:numFmt w:val="decimal"/>
      <w:pStyle w:val="Notes12"/>
      <w:lvlText w:val="%1"/>
      <w:lvlJc w:val="left"/>
      <w:pPr>
        <w:tabs>
          <w:tab w:val="num" w:pos="432"/>
        </w:tabs>
        <w:ind w:left="432" w:hanging="432"/>
      </w:pPr>
      <w:rPr>
        <w:rFonts w:hint="default"/>
        <w:lang w:val="en-GB"/>
      </w:rPr>
    </w:lvl>
    <w:lvl w:ilvl="1">
      <w:start w:val="1"/>
      <w:numFmt w:val="decimal"/>
      <w:pStyle w:val="Title111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8">
    <w:nsid w:val="72230A52"/>
    <w:multiLevelType w:val="multilevel"/>
    <w:tmpl w:val="EA926228"/>
    <w:lvl w:ilvl="0">
      <w:start w:val="1"/>
      <w:numFmt w:val="decimal"/>
      <w:pStyle w:val="Notes13"/>
      <w:lvlText w:val="%1"/>
      <w:lvlJc w:val="left"/>
      <w:pPr>
        <w:tabs>
          <w:tab w:val="num" w:pos="432"/>
        </w:tabs>
        <w:ind w:left="432" w:hanging="432"/>
      </w:pPr>
      <w:rPr>
        <w:rFonts w:hint="default"/>
        <w:lang w:val="en-GB"/>
      </w:rPr>
    </w:lvl>
    <w:lvl w:ilvl="1">
      <w:start w:val="1"/>
      <w:numFmt w:val="decimal"/>
      <w:pStyle w:val="Title111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9">
    <w:nsid w:val="72230A54"/>
    <w:multiLevelType w:val="multilevel"/>
    <w:tmpl w:val="EA926228"/>
    <w:lvl w:ilvl="0">
      <w:start w:val="1"/>
      <w:numFmt w:val="decimal"/>
      <w:pStyle w:val="Notes14"/>
      <w:lvlText w:val="%1"/>
      <w:lvlJc w:val="left"/>
      <w:pPr>
        <w:tabs>
          <w:tab w:val="num" w:pos="432"/>
        </w:tabs>
        <w:ind w:left="432" w:hanging="432"/>
      </w:pPr>
      <w:rPr>
        <w:rFonts w:hint="default"/>
        <w:lang w:val="en-GB"/>
      </w:rPr>
    </w:lvl>
    <w:lvl w:ilvl="1">
      <w:start w:val="1"/>
      <w:numFmt w:val="decimal"/>
      <w:pStyle w:val="Title111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0">
    <w:nsid w:val="72230A56"/>
    <w:multiLevelType w:val="multilevel"/>
    <w:tmpl w:val="EA926228"/>
    <w:lvl w:ilvl="0">
      <w:start w:val="1"/>
      <w:numFmt w:val="decimal"/>
      <w:pStyle w:val="Notes15"/>
      <w:lvlText w:val="%1"/>
      <w:lvlJc w:val="left"/>
      <w:pPr>
        <w:tabs>
          <w:tab w:val="num" w:pos="432"/>
        </w:tabs>
        <w:ind w:left="432" w:hanging="432"/>
      </w:pPr>
      <w:rPr>
        <w:rFonts w:hint="default"/>
        <w:lang w:val="en-GB"/>
      </w:rPr>
    </w:lvl>
    <w:lvl w:ilvl="1">
      <w:start w:val="1"/>
      <w:numFmt w:val="decimal"/>
      <w:pStyle w:val="Title111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1">
    <w:nsid w:val="72230A5A"/>
    <w:multiLevelType w:val="multilevel"/>
    <w:tmpl w:val="EA926228"/>
    <w:lvl w:ilvl="0">
      <w:start w:val="1"/>
      <w:numFmt w:val="decimal"/>
      <w:pStyle w:val="Notes160"/>
      <w:lvlText w:val="%1"/>
      <w:lvlJc w:val="left"/>
      <w:pPr>
        <w:tabs>
          <w:tab w:val="num" w:pos="432"/>
        </w:tabs>
        <w:ind w:left="432" w:hanging="432"/>
      </w:pPr>
      <w:rPr>
        <w:lang w:val="en-GB"/>
      </w:rPr>
    </w:lvl>
    <w:lvl w:ilvl="1">
      <w:start w:val="1"/>
      <w:numFmt w:val="decimal"/>
      <w:pStyle w:val="Title11160"/>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2">
    <w:nsid w:val="72230A5B"/>
    <w:multiLevelType w:val="multilevel"/>
    <w:tmpl w:val="EA926228"/>
    <w:lvl w:ilvl="0">
      <w:start w:val="1"/>
      <w:numFmt w:val="decimal"/>
      <w:pStyle w:val="Notes17"/>
      <w:lvlText w:val="%1"/>
      <w:lvlJc w:val="left"/>
      <w:pPr>
        <w:tabs>
          <w:tab w:val="num" w:pos="432"/>
        </w:tabs>
        <w:ind w:left="432" w:hanging="432"/>
      </w:pPr>
      <w:rPr>
        <w:rFonts w:hint="default"/>
        <w:lang w:val="en-GB"/>
      </w:rPr>
    </w:lvl>
    <w:lvl w:ilvl="1">
      <w:start w:val="1"/>
      <w:numFmt w:val="decimal"/>
      <w:pStyle w:val="Title111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nsid w:val="72230A5D"/>
    <w:multiLevelType w:val="multilevel"/>
    <w:tmpl w:val="EA926228"/>
    <w:lvl w:ilvl="0">
      <w:start w:val="1"/>
      <w:numFmt w:val="decimal"/>
      <w:pStyle w:val="Notes18"/>
      <w:lvlText w:val="%1"/>
      <w:lvlJc w:val="left"/>
      <w:pPr>
        <w:tabs>
          <w:tab w:val="num" w:pos="432"/>
        </w:tabs>
        <w:ind w:left="432" w:hanging="432"/>
      </w:pPr>
      <w:rPr>
        <w:rFonts w:hint="default"/>
        <w:lang w:val="en-GB"/>
      </w:rPr>
    </w:lvl>
    <w:lvl w:ilvl="1">
      <w:start w:val="1"/>
      <w:numFmt w:val="decimal"/>
      <w:pStyle w:val="Title1118"/>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4">
    <w:nsid w:val="72230A5F"/>
    <w:multiLevelType w:val="multilevel"/>
    <w:tmpl w:val="EA926228"/>
    <w:lvl w:ilvl="0">
      <w:start w:val="1"/>
      <w:numFmt w:val="decimal"/>
      <w:pStyle w:val="Notes19"/>
      <w:lvlText w:val="%1"/>
      <w:lvlJc w:val="left"/>
      <w:pPr>
        <w:tabs>
          <w:tab w:val="num" w:pos="432"/>
        </w:tabs>
        <w:ind w:left="432" w:hanging="432"/>
      </w:pPr>
      <w:rPr>
        <w:rFonts w:hint="default"/>
        <w:lang w:val="en-GB"/>
      </w:rPr>
    </w:lvl>
    <w:lvl w:ilvl="1">
      <w:start w:val="1"/>
      <w:numFmt w:val="decimal"/>
      <w:pStyle w:val="Title1119"/>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5">
    <w:nsid w:val="72230A62"/>
    <w:multiLevelType w:val="multilevel"/>
    <w:tmpl w:val="EA926228"/>
    <w:lvl w:ilvl="0">
      <w:start w:val="1"/>
      <w:numFmt w:val="decimal"/>
      <w:pStyle w:val="Notes20"/>
      <w:lvlText w:val="%1"/>
      <w:lvlJc w:val="left"/>
      <w:pPr>
        <w:tabs>
          <w:tab w:val="num" w:pos="432"/>
        </w:tabs>
        <w:ind w:left="432" w:hanging="432"/>
      </w:pPr>
      <w:rPr>
        <w:rFonts w:hint="default"/>
        <w:lang w:val="en-GB"/>
      </w:rPr>
    </w:lvl>
    <w:lvl w:ilvl="1">
      <w:start w:val="1"/>
      <w:numFmt w:val="decimal"/>
      <w:pStyle w:val="Title112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nsid w:val="72230A6A"/>
    <w:multiLevelType w:val="multilevel"/>
    <w:tmpl w:val="EA926228"/>
    <w:lvl w:ilvl="0">
      <w:start w:val="1"/>
      <w:numFmt w:val="decimal"/>
      <w:pStyle w:val="Notes22"/>
      <w:lvlText w:val="%1"/>
      <w:lvlJc w:val="left"/>
      <w:pPr>
        <w:tabs>
          <w:tab w:val="num" w:pos="432"/>
        </w:tabs>
        <w:ind w:left="432" w:hanging="432"/>
      </w:pPr>
      <w:rPr>
        <w:rFonts w:hint="default"/>
        <w:lang w:val="en-GB"/>
      </w:rPr>
    </w:lvl>
    <w:lvl w:ilvl="1">
      <w:start w:val="1"/>
      <w:numFmt w:val="decimal"/>
      <w:pStyle w:val="Title112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nsid w:val="72230A6C"/>
    <w:multiLevelType w:val="multilevel"/>
    <w:tmpl w:val="C37624AE"/>
    <w:lvl w:ilvl="0">
      <w:start w:val="4"/>
      <w:numFmt w:val="decimal"/>
      <w:pStyle w:val="Notes23"/>
      <w:lvlText w:val="%1"/>
      <w:lvlJc w:val="left"/>
      <w:pPr>
        <w:tabs>
          <w:tab w:val="num" w:pos="432"/>
        </w:tabs>
        <w:ind w:left="432" w:hanging="432"/>
      </w:pPr>
      <w:rPr>
        <w:rFonts w:hint="default"/>
        <w:lang w:val="en-GB"/>
      </w:rPr>
    </w:lvl>
    <w:lvl w:ilvl="1">
      <w:start w:val="1"/>
      <w:numFmt w:val="decimal"/>
      <w:pStyle w:val="Title112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8">
    <w:nsid w:val="72230A6D"/>
    <w:multiLevelType w:val="multilevel"/>
    <w:tmpl w:val="C37624AE"/>
    <w:lvl w:ilvl="0">
      <w:start w:val="4"/>
      <w:numFmt w:val="decimal"/>
      <w:pStyle w:val="Notes24"/>
      <w:lvlText w:val="%1"/>
      <w:lvlJc w:val="left"/>
      <w:pPr>
        <w:tabs>
          <w:tab w:val="num" w:pos="432"/>
        </w:tabs>
        <w:ind w:left="432" w:hanging="432"/>
      </w:pPr>
      <w:rPr>
        <w:rFonts w:hint="default"/>
        <w:lang w:val="en-GB"/>
      </w:rPr>
    </w:lvl>
    <w:lvl w:ilvl="1">
      <w:start w:val="1"/>
      <w:numFmt w:val="decimal"/>
      <w:pStyle w:val="Title112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9">
    <w:nsid w:val="72230A6E"/>
    <w:multiLevelType w:val="multilevel"/>
    <w:tmpl w:val="5B401FA0"/>
    <w:lvl w:ilvl="0">
      <w:start w:val="4"/>
      <w:numFmt w:val="decimal"/>
      <w:pStyle w:val="Notes25"/>
      <w:lvlText w:val="%1"/>
      <w:lvlJc w:val="left"/>
      <w:pPr>
        <w:tabs>
          <w:tab w:val="num" w:pos="432"/>
        </w:tabs>
        <w:ind w:left="432" w:hanging="432"/>
      </w:pPr>
      <w:rPr>
        <w:rFonts w:hint="default"/>
        <w:lang w:val="en-GB"/>
      </w:rPr>
    </w:lvl>
    <w:lvl w:ilvl="1">
      <w:start w:val="2"/>
      <w:numFmt w:val="decimal"/>
      <w:pStyle w:val="Title112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0">
    <w:nsid w:val="72230A70"/>
    <w:multiLevelType w:val="multilevel"/>
    <w:tmpl w:val="BCF0F7F4"/>
    <w:lvl w:ilvl="0">
      <w:start w:val="4"/>
      <w:numFmt w:val="decimal"/>
      <w:pStyle w:val="Notes26"/>
      <w:lvlText w:val="%1"/>
      <w:lvlJc w:val="left"/>
      <w:pPr>
        <w:tabs>
          <w:tab w:val="num" w:pos="432"/>
        </w:tabs>
        <w:ind w:left="432" w:hanging="432"/>
      </w:pPr>
      <w:rPr>
        <w:rFonts w:hint="default"/>
        <w:lang w:val="en-GB"/>
      </w:rPr>
    </w:lvl>
    <w:lvl w:ilvl="1">
      <w:start w:val="2"/>
      <w:numFmt w:val="decimal"/>
      <w:pStyle w:val="Title1126"/>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1">
    <w:nsid w:val="72230A71"/>
    <w:multiLevelType w:val="multilevel"/>
    <w:tmpl w:val="DE1EA1B0"/>
    <w:lvl w:ilvl="0">
      <w:start w:val="12"/>
      <w:numFmt w:val="decimal"/>
      <w:pStyle w:val="Notes27"/>
      <w:lvlText w:val="%1"/>
      <w:lvlJc w:val="left"/>
      <w:pPr>
        <w:tabs>
          <w:tab w:val="num" w:pos="432"/>
        </w:tabs>
        <w:ind w:left="432" w:hanging="432"/>
      </w:pPr>
      <w:rPr>
        <w:rFonts w:hint="default"/>
        <w:lang w:val="en-GB"/>
      </w:rPr>
    </w:lvl>
    <w:lvl w:ilvl="1">
      <w:start w:val="1"/>
      <w:numFmt w:val="decimal"/>
      <w:pStyle w:val="Title112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2">
    <w:nsid w:val="72230A73"/>
    <w:multiLevelType w:val="multilevel"/>
    <w:tmpl w:val="EA926228"/>
    <w:lvl w:ilvl="0">
      <w:start w:val="1"/>
      <w:numFmt w:val="decimal"/>
      <w:pStyle w:val="Notes28"/>
      <w:lvlText w:val="%1"/>
      <w:lvlJc w:val="left"/>
      <w:pPr>
        <w:tabs>
          <w:tab w:val="num" w:pos="432"/>
        </w:tabs>
        <w:ind w:left="432" w:hanging="432"/>
      </w:pPr>
      <w:rPr>
        <w:lang w:val="en-GB"/>
      </w:rPr>
    </w:lvl>
    <w:lvl w:ilvl="1">
      <w:start w:val="1"/>
      <w:numFmt w:val="decimal"/>
      <w:pStyle w:val="Title1128"/>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5"/>
  </w:num>
  <w:num w:numId="2">
    <w:abstractNumId w:val="1"/>
  </w:num>
  <w:num w:numId="3">
    <w:abstractNumId w:val="7"/>
  </w:num>
  <w:num w:numId="4">
    <w:abstractNumId w:val="51"/>
  </w:num>
  <w:num w:numId="5">
    <w:abstractNumId w:val="0"/>
  </w:num>
  <w:num w:numId="6">
    <w:abstractNumId w:val="57"/>
  </w:num>
  <w:num w:numId="7">
    <w:abstractNumId w:val="67"/>
  </w:num>
  <w:num w:numId="8">
    <w:abstractNumId w:val="6"/>
  </w:num>
  <w:num w:numId="9">
    <w:abstractNumId w:val="77"/>
  </w:num>
  <w:num w:numId="10">
    <w:abstractNumId w:val="63"/>
  </w:num>
  <w:num w:numId="11">
    <w:abstractNumId w:val="79"/>
  </w:num>
  <w:num w:numId="12">
    <w:abstractNumId w:val="3"/>
  </w:num>
  <w:num w:numId="13">
    <w:abstractNumId w:val="2"/>
  </w:num>
  <w:num w:numId="14">
    <w:abstractNumId w:val="80"/>
  </w:num>
  <w:num w:numId="15">
    <w:abstractNumId w:val="81"/>
  </w:num>
  <w:num w:numId="16">
    <w:abstractNumId w:val="68"/>
  </w:num>
  <w:num w:numId="17">
    <w:abstractNumId w:val="58"/>
  </w:num>
  <w:num w:numId="18">
    <w:abstractNumId w:val="76"/>
  </w:num>
  <w:num w:numId="19">
    <w:abstractNumId w:val="60"/>
  </w:num>
  <w:num w:numId="20">
    <w:abstractNumId w:val="61"/>
  </w:num>
  <w:num w:numId="21">
    <w:abstractNumId w:val="78"/>
  </w:num>
  <w:num w:numId="22">
    <w:abstractNumId w:val="52"/>
  </w:num>
  <w:num w:numId="23">
    <w:abstractNumId w:val="71"/>
  </w:num>
  <w:num w:numId="24">
    <w:abstractNumId w:val="73"/>
  </w:num>
  <w:num w:numId="25">
    <w:abstractNumId w:val="73"/>
  </w:num>
  <w:num w:numId="26">
    <w:abstractNumId w:val="82"/>
  </w:num>
  <w:num w:numId="27">
    <w:abstractNumId w:val="9"/>
  </w:num>
  <w:num w:numId="28">
    <w:abstractNumId w:val="10"/>
  </w:num>
  <w:num w:numId="29">
    <w:abstractNumId w:val="85"/>
  </w:num>
  <w:num w:numId="30">
    <w:abstractNumId w:val="83"/>
  </w:num>
  <w:num w:numId="31">
    <w:abstractNumId w:val="11"/>
  </w:num>
  <w:num w:numId="32">
    <w:abstractNumId w:val="59"/>
  </w:num>
  <w:num w:numId="33">
    <w:abstractNumId w:val="12"/>
  </w:num>
  <w:num w:numId="34">
    <w:abstractNumId w:val="13"/>
  </w:num>
  <w:num w:numId="35">
    <w:abstractNumId w:val="66"/>
  </w:num>
  <w:num w:numId="36">
    <w:abstractNumId w:val="64"/>
  </w:num>
  <w:num w:numId="37">
    <w:abstractNumId w:val="53"/>
  </w:num>
  <w:num w:numId="38">
    <w:abstractNumId w:val="70"/>
  </w:num>
  <w:num w:numId="39">
    <w:abstractNumId w:val="84"/>
  </w:num>
  <w:num w:numId="40">
    <w:abstractNumId w:val="54"/>
  </w:num>
  <w:num w:numId="41">
    <w:abstractNumId w:val="14"/>
  </w:num>
  <w:num w:numId="42">
    <w:abstractNumId w:val="15"/>
  </w:num>
  <w:num w:numId="43">
    <w:abstractNumId w:val="16"/>
  </w:num>
  <w:num w:numId="44">
    <w:abstractNumId w:val="17"/>
  </w:num>
  <w:num w:numId="45">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num>
  <w:num w:numId="47">
    <w:abstractNumId w:val="19"/>
  </w:num>
  <w:num w:numId="48">
    <w:abstractNumId w:val="56"/>
  </w:num>
  <w:num w:numId="49">
    <w:abstractNumId w:val="62"/>
  </w:num>
  <w:num w:numId="50">
    <w:abstractNumId w:val="55"/>
  </w:num>
  <w:num w:numId="51">
    <w:abstractNumId w:val="20"/>
  </w:num>
  <w:num w:numId="52">
    <w:abstractNumId w:val="75"/>
  </w:num>
  <w:num w:numId="53">
    <w:abstractNumId w:val="74"/>
  </w:num>
  <w:num w:numId="54">
    <w:abstractNumId w:val="21"/>
  </w:num>
  <w:num w:numId="55">
    <w:abstractNumId w:val="89"/>
  </w:num>
  <w:num w:numId="56">
    <w:abstractNumId w:val="22"/>
  </w:num>
  <w:num w:numId="57">
    <w:abstractNumId w:val="23"/>
  </w:num>
  <w:num w:numId="58">
    <w:abstractNumId w:val="24"/>
  </w:num>
  <w:num w:numId="59">
    <w:abstractNumId w:val="8"/>
  </w:num>
  <w:num w:numId="60">
    <w:abstractNumId w:val="91"/>
  </w:num>
  <w:num w:numId="61">
    <w:abstractNumId w:val="92"/>
  </w:num>
  <w:num w:numId="62">
    <w:abstractNumId w:val="25"/>
  </w:num>
  <w:num w:numId="63">
    <w:abstractNumId w:val="26"/>
  </w:num>
  <w:num w:numId="64">
    <w:abstractNumId w:val="90"/>
  </w:num>
  <w:num w:numId="65">
    <w:abstractNumId w:val="27"/>
  </w:num>
  <w:num w:numId="66">
    <w:abstractNumId w:val="93"/>
  </w:num>
  <w:num w:numId="67">
    <w:abstractNumId w:val="28"/>
  </w:num>
  <w:num w:numId="68">
    <w:abstractNumId w:val="94"/>
  </w:num>
  <w:num w:numId="69">
    <w:abstractNumId w:val="29"/>
  </w:num>
  <w:num w:numId="70">
    <w:abstractNumId w:val="95"/>
  </w:num>
  <w:num w:numId="71">
    <w:abstractNumId w:val="30"/>
  </w:num>
  <w:num w:numId="72">
    <w:abstractNumId w:val="97"/>
  </w:num>
  <w:num w:numId="73">
    <w:abstractNumId w:val="31"/>
  </w:num>
  <w:num w:numId="74">
    <w:abstractNumId w:val="98"/>
  </w:num>
  <w:num w:numId="75">
    <w:abstractNumId w:val="32"/>
  </w:num>
  <w:num w:numId="76">
    <w:abstractNumId w:val="99"/>
  </w:num>
  <w:num w:numId="77">
    <w:abstractNumId w:val="33"/>
  </w:num>
  <w:num w:numId="78">
    <w:abstractNumId w:val="88"/>
  </w:num>
  <w:num w:numId="79">
    <w:abstractNumId w:val="100"/>
  </w:num>
  <w:num w:numId="80">
    <w:abstractNumId w:val="102"/>
  </w:num>
  <w:num w:numId="81">
    <w:abstractNumId w:val="34"/>
  </w:num>
  <w:num w:numId="82">
    <w:abstractNumId w:val="103"/>
  </w:num>
  <w:num w:numId="83">
    <w:abstractNumId w:val="35"/>
  </w:num>
  <w:num w:numId="84">
    <w:abstractNumId w:val="104"/>
  </w:num>
  <w:num w:numId="85">
    <w:abstractNumId w:val="36"/>
  </w:num>
  <w:num w:numId="86">
    <w:abstractNumId w:val="96"/>
  </w:num>
  <w:num w:numId="87">
    <w:abstractNumId w:val="105"/>
  </w:num>
  <w:num w:numId="8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6"/>
  </w:num>
  <w:num w:numId="90">
    <w:abstractNumId w:val="37"/>
  </w:num>
  <w:num w:numId="91">
    <w:abstractNumId w:val="106"/>
  </w:num>
  <w:num w:numId="92">
    <w:abstractNumId w:val="87"/>
  </w:num>
  <w:num w:numId="93">
    <w:abstractNumId w:val="38"/>
  </w:num>
  <w:num w:numId="94">
    <w:abstractNumId w:val="107"/>
  </w:num>
  <w:num w:numId="95">
    <w:abstractNumId w:val="39"/>
  </w:num>
  <w:num w:numId="96">
    <w:abstractNumId w:val="108"/>
  </w:num>
  <w:num w:numId="97">
    <w:abstractNumId w:val="40"/>
  </w:num>
  <w:num w:numId="98">
    <w:abstractNumId w:val="109"/>
  </w:num>
  <w:num w:numId="99">
    <w:abstractNumId w:val="41"/>
  </w:num>
  <w:num w:numId="100">
    <w:abstractNumId w:val="110"/>
  </w:num>
  <w:num w:numId="101">
    <w:abstractNumId w:val="42"/>
  </w:num>
  <w:num w:numId="102">
    <w:abstractNumId w:val="43"/>
  </w:num>
  <w:num w:numId="103">
    <w:abstractNumId w:val="111"/>
  </w:num>
  <w:num w:numId="104">
    <w:abstractNumId w:val="44"/>
  </w:num>
  <w:num w:numId="10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7"/>
  </w:num>
  <w:num w:numId="109">
    <w:abstractNumId w:val="4"/>
  </w:num>
  <w:num w:numId="110">
    <w:abstractNumId w:val="48"/>
  </w:num>
  <w:num w:numId="11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0"/>
  </w:num>
  <w:num w:numId="113">
    <w:abstractNumId w:val="69"/>
  </w:num>
  <w:num w:numId="114">
    <w:abstractNumId w:val="72"/>
  </w:num>
  <w:num w:numId="115">
    <w:abstractNumId w:val="65"/>
  </w:num>
  <w:num w:numId="116">
    <w:abstractNumId w:val="65"/>
  </w:num>
  <w:num w:numId="117">
    <w:abstractNumId w:val="65"/>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revisionView w:markup="0"/>
  <w:defaultTabStop w:val="907"/>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1:14 AM&lt;/DYNAMIZEDON&gt;&lt;LASTUPDATEDBY&gt;MILOTLU&lt;/LASTUPDATEDBY&gt;&lt;LASTUPDATEDON&gt;5/31/2020 8:09:11 PM&lt;/LASTUPDATEDON&gt;&lt;UTC&gt;1&lt;/UTC&gt;&lt;/UPDATE&gt;&lt;QUERIES bbk=&quot;18949&quot; bbkdesc=&quot;2019 Annual Accounts/EDF from Master Report/DC - Aggregated Financial Statements&quot; datapro=&quot;BIP_AGGPL&quot; tdatapro=&quot;BIP_AGGPL&quot; author=&quot;&quot; modtime=&quot;5/31/2020 8:08:59 PM&quot; moduser=&quot;MILOTLU&quot; rolluptime=&quot;&quot; syuser=&quot;MILOTLU&quot; syuzeit=&quot;5/31/2020 8:08:59 PM&quot; root=&quot;/BBOOK/DATAPROVIDER[./META/PROPS/ID='BIP_AGGPL']/DATA&quot; colcount=&quot;4&quot; rowcount=&quot;19&quot; url=&quot;&quot; dynamizeds=&quot;SAP Disclosure Management - Production&quot; dynamizedstype=&quot;9&quot; refreshds=&quot;&quot; viewtype=&quot;1&quot;&gt;&lt;QUERY reftype=&quot;ABS&quot; elmntsel=&quot;TABLE&quot; bbk=&quot;18949&quot; bbkdesc=&quot;2019 Annual Accounts/EDF from Master Report/DC - Aggregated Financial Statements&quot; datapro=&quot;BIP_AGGPL&quot; infos=&quot;&quot; iscomment=&quot;0&quot;&gt;&lt;SELECT&gt;/BBOOK/DATAPROVIDER[./META/PROPS/ID='BIP_AGGPL']/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1:46 AM&lt;/DYNAMIZEDON&gt;&lt;LASTUPDATEDBY&gt;MILOTLU&lt;/LASTUPDATEDBY&gt;&lt;LASTUPDATEDON&gt;5/31/2020 8:09:11 PM&lt;/LASTUPDATEDON&gt;&lt;UTC&gt;1&lt;/UTC&gt;&lt;/UPDATE&gt;&lt;QUERIES bbk=&quot;18949&quot; bbkdesc=&quot;2019 Annual Accounts/EDF from Master Report/DC - Aggregated Financial Statements&quot; datapro=&quot;BIP_AGGCF&quot; tdatapro=&quot;BIP_AGGCF&quot; author=&quot;&quot; modtime=&quot;5/31/2020 8:08:59 PM&quot; moduser=&quot;MILOTLU&quot; rolluptime=&quot;&quot; syuser=&quot;MILOTLU&quot; syuzeit=&quot;5/31/2020 8:08:59 PM&quot; root=&quot;/BBOOK/DATAPROVIDER[./META/PROPS/ID='BIP_AGGCF']/DATA&quot; colcount=&quot;4&quot; rowcount=&quot;20&quot; url=&quot;&quot; dynamizeds=&quot;SAP Disclosure Management - Production&quot; dynamizedstype=&quot;9&quot; refreshds=&quot;&quot; viewtype=&quot;1&quot;&gt;&lt;QUERY reftype=&quot;ABS&quot; elmntsel=&quot;TABLE&quot; bbk=&quot;18949&quot; bbkdesc=&quot;2019 Annual Accounts/EDF from Master Report/DC - Aggregated Financial Statements&quot; datapro=&quot;BIP_AGGCF&quot; infos=&quot;&quot; iscomment=&quot;0&quot;&gt;&lt;SELECT&gt;/BBOOK/DATAPROVIDER[./META/PROPS/ID='BIP_AGGCF']/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4:03 AM&lt;/DYNAMIZEDON&gt;&lt;LASTUPDATEDBY&gt;MILOTLU&lt;/LASTUPDATEDBY&gt;&lt;LASTUPDATEDON&gt;5/31/2020 8:11:09 PM&lt;/LASTUPDATEDON&gt;&lt;UTC&gt;1&lt;/UTC&gt;&lt;/UPDATE&gt;&lt;QUERIES bbk=&quot;18983&quot; bbkdesc=&quot;2019 Annual Accounts/EDF from Master Report/DC - Notes to the financial statements&quot; datapro=&quot;BIP_PLEDF&quot; tdatapro=&quot;BIP_PLEDF&quot; author=&quot;&quot; modtime=&quot;5/31/2020 8:10:55 PM&quot; moduser=&quot;MILOTLU&quot; rolluptime=&quot;&quot; syuser=&quot;MILOTLU&quot; syuzeit=&quot;5/31/2020 8:10:55 PM&quot; root=&quot;/BBOOK/DATAPROVIDER[./META/PROPS/ID='BIP_PLEDF']/DATA&quot; colcount=&quot;12&quot; rowcount=&quot;21&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PLEDF&quot; infos=&quot;&quot; iscomment=&quot;0&quot;&gt;&lt;SELECT&gt;/BBOOK/DATAPROVIDER[./META/PROPS/ID='BIP_PLED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5:46 AM&lt;/DYNAMIZEDON&gt;&lt;LASTUPDATEDBY&gt;MILOTLU&lt;/LASTUPDATEDBY&gt;&lt;LASTUPDATEDON&gt;5/31/2020 8:11:09 PM&lt;/LASTUPDATEDON&gt;&lt;UTC&gt;1&lt;/UTC&gt;&lt;/UPDATE&gt;&lt;QUERIES bbk=&quot;18983&quot; bbkdesc=&quot;2019 Annual Accounts/EDF from Master Report/DC - Notes to the financial statements&quot; datapro=&quot;BIP_CNA8&quot; tdatapro=&quot;BIP_CNA8&quot; author=&quot;&quot; modtime=&quot;5/31/2020 8:10:55 PM&quot; moduser=&quot;MILOTLU&quot; rolluptime=&quot;&quot; syuser=&quot;MILOTLU&quot; syuzeit=&quot;5/31/2020 8:10:55 PM&quot; root=&quot;/BBOOK/DATAPROVIDER[./META/PROPS/ID='BIP_CNA8']/DATA&quot; colcount=&quot;8&quot; rowcount=&quot;7&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NA8&quot; infos=&quot;&quot; iscomment=&quot;0&quot;&gt;&lt;SELECT&gt;/BBOOK/DATAPROVIDER[./META/PROPS/ID='BIP_CNA8']/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0:31 AM&lt;/DYNAMIZEDON&gt;&lt;LASTUPDATEDBY&gt;MILOTLU&lt;/LASTUPDATEDBY&gt;&lt;LASTUPDATEDON&gt;5/31/2020 8:09:11 PM&lt;/LASTUPDATEDON&gt;&lt;UTC&gt;1&lt;/UTC&gt;&lt;/UPDATE&gt;&lt;QUERIES bbk=&quot;18949&quot; bbkdesc=&quot;2019 Annual Accounts/EDF from Master Report/DC - Aggregated Financial Statements&quot; datapro=&quot;BIP_AGGBS&quot; tdatapro=&quot;BIP_AGGBS&quot; author=&quot;&quot; modtime=&quot;5/31/2020 8:08:59 PM&quot; moduser=&quot;MILOTLU&quot; rolluptime=&quot;&quot; syuser=&quot;MILOTLU&quot; syuzeit=&quot;5/31/2020 8:08:59 PM&quot; root=&quot;/BBOOK/DATAPROVIDER[./META/PROPS/ID='BIP_AGGBS']/DATA&quot; colcount=&quot;4&quot; rowcount=&quot;32&quot; url=&quot;&quot; dynamizeds=&quot;SAP Disclosure Management - Production&quot; dynamizedstype=&quot;9&quot; refreshds=&quot;&quot; viewtype=&quot;1&quot;&gt;&lt;QUERY reftype=&quot;ABS&quot; elmntsel=&quot;TABLE&quot; bbk=&quot;18949&quot; bbkdesc=&quot;2019 Annual Accounts/EDF from Master Report/DC - Aggregated Financial Statements&quot; datapro=&quot;BIP_AGGBS&quot; infos=&quot;&quot; iscomment=&quot;0&quot;&gt;&lt;SELECT&gt;/BBOOK/DATAPROVIDER[./META/PROPS/ID='BIP_AGGBS']/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01:43 AM&lt;/DYNAMIZEDON&gt;&lt;LASTUPDATEDBY&gt;MILOTLU&lt;/LASTUPDATEDBY&gt;&lt;LASTUPDATEDON&gt;5/31/2020 8:11:09 PM&lt;/LASTUPDATEDON&gt;&lt;UTC&gt;1&lt;/UTC&gt;&lt;/UPDATE&gt;&lt;QUERIES bbk=&quot;18983&quot; bbkdesc=&quot;2019 Annual Accounts/EDF from Master Report/DC - Notes to the financial statements&quot; datapro=&quot;BIP_CNA10&quot; tdatapro=&quot;BIP_CNA10&quot; author=&quot;&quot; modtime=&quot;5/31/2020 8:10:55 PM&quot; moduser=&quot;MILOTLU&quot; rolluptime=&quot;&quot; syuser=&quot;MILOTLU&quot; syuzeit=&quot;5/31/2020 8:10:55 PM&quot; root=&quot;/BBOOK/DATAPROVIDER[./META/PROPS/ID='BIP_CNA10']/DATA&quot; colcount=&quot;8&quot; rowcount=&quot;11&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NA10&quot; infos=&quot;&quot; iscomment=&quot;0&quot;&gt;&lt;SELECT&gt;/BBOOK/DATAPROVIDER[./META/PROPS/ID='BIP_CNA10']/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02:11 AM&lt;/DYNAMIZEDON&gt;&lt;LASTUPDATEDBY&gt;MILOTLU&lt;/LASTUPDATEDBY&gt;&lt;LASTUPDATEDON&gt;5/31/2020 8:11:09 PM&lt;/LASTUPDATEDON&gt;&lt;UTC&gt;1&lt;/UTC&gt;&lt;/UPDATE&gt;&lt;QUERIES bbk=&quot;18983&quot; bbkdesc=&quot;2019 Annual Accounts/EDF from Master Report/DC - Notes to the financial statements&quot; datapro=&quot;BIP_CNA11&quot; tdatapro=&quot;BIP_CNA11&quot; author=&quot;&quot; modtime=&quot;5/31/2020 8:10:55 PM&quot; moduser=&quot;MILOTLU&quot; rolluptime=&quot;&quot; syuser=&quot;MILOTLU&quot; syuzeit=&quot;5/31/2020 8:10:55 PM&quot; root=&quot;/BBOOK/DATAPROVIDER[./META/PROPS/ID='BIP_CNA11']/DATA&quot; colcount=&quot;9&quot; rowcount=&quot;11&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NA11&quot; infos=&quot;&quot; iscomment=&quot;0&quot;&gt;&lt;SELECT&gt;/BBOOK/DATAPROVIDER[./META/PROPS/ID='BIP_CNA11']/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47:24 AM&lt;/DYNAMIZEDON&gt;&lt;LASTUPDATEDBY&gt;MILOTLU&lt;/LASTUPDATEDBY&gt;&lt;LASTUPDATEDON&gt;5/31/2020 8:11:09 PM&lt;/LASTUPDATEDON&gt;&lt;UTC&gt;1&lt;/UTC&gt;&lt;/UPDATE&gt;&lt;QUERIES bbk=&quot;18949&quot; bbkdesc=&quot;2019 Annual Accounts/EDF from Master Report/DC - Aggregated Financial Statements&quot; datapro=&quot;BIP_AGGNA&quot; tdatapro=&quot;BIP_AGGNA&quot; author=&quot;&quot; modtime=&quot;5/31/2020 8:08:59 PM&quot; moduser=&quot;MILOTLU&quot; rolluptime=&quot;&quot; syuser=&quot;MILOTLU&quot; syuzeit=&quot;5/31/2020 8:08:59 PM&quot; root=&quot;/BBOOK/DATAPROVIDER[./META/PROPS/ID='BIP_AGGNA']/DATA&quot; colcount=&quot;8&quot; rowcount=&quot;10&quot; url=&quot;&quot; dynamizeds=&quot;SAP Disclosure Management - Production&quot; dynamizedstype=&quot;9&quot; refreshds=&quot;&quot; viewtype=&quot;1&quot;&gt;&lt;QUERY reftype=&quot;ABS&quot; elmntsel=&quot;TABLE&quot; bbk=&quot;18949&quot; bbkdesc=&quot;2019 Annual Accounts/EDF from Master Report/DC - Aggregated Financial Statements&quot; datapro=&quot;BIP_AGGNA&quot; infos=&quot;&quot; iscomment=&quot;0&quot;&gt;&lt;SELECT&gt;/BBOOK/DATAPROVIDER[./META/PROPS/ID='BIP_AGGNA']/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2:43 AM&lt;/DYNAMIZEDON&gt;&lt;LASTUPDATEDBY&gt;MILOTLU&lt;/LASTUPDATEDBY&gt;&lt;LASTUPDATEDON&gt;5/31/2020 8:11:09 PM&lt;/LASTUPDATEDON&gt;&lt;UTC&gt;1&lt;/UTC&gt;&lt;/UPDATE&gt;&lt;QUERIES bbk=&quot;18983&quot; bbkdesc=&quot;2019 Annual Accounts/EDF from Master Report/DC - Notes to the financial statements&quot; datapro=&quot;BIP_BSEDF&quot; tdatapro=&quot;BIP_BSEDF&quot; author=&quot;&quot; modtime=&quot;5/31/2020 8:10:55 PM&quot; moduser=&quot;MILOTLU&quot; rolluptime=&quot;&quot; syuser=&quot;MILOTLU&quot; syuzeit=&quot;5/31/2020 8:10:55 PM&quot; root=&quot;/BBOOK/DATAPROVIDER[./META/PROPS/ID='BIP_BSEDF']/DATA&quot; colcount=&quot;12&quot; rowcount=&quot;3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BSEDF&quot; infos=&quot;&quot; iscomment=&quot;0&quot;&gt;&lt;SELECT&gt;/BBOOK/DATAPROVIDER[./META/PROPS/ID='BIP_BSEDF']/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6:12 AM&lt;/DYNAMIZEDON&gt;&lt;LASTUPDATEDBY&gt;MILOTLU&lt;/LASTUPDATEDBY&gt;&lt;LASTUPDATEDON&gt;5/31/2020 8:11:09 PM&lt;/LASTUPDATEDON&gt;&lt;UTC&gt;1&lt;/UTC&gt;&lt;/UPDATE&gt;&lt;QUERIES bbk=&quot;18983&quot; bbkdesc=&quot;2019 Annual Accounts/EDF from Master Report/DC - Notes to the financial statements&quot; datapro=&quot;BIP_CNA9&quot; tdatapro=&quot;BIP_CNA9&quot; author=&quot;&quot; modtime=&quot;5/31/2020 8:10:55 PM&quot; moduser=&quot;MILOTLU&quot; rolluptime=&quot;&quot; syuser=&quot;MILOTLU&quot; syuzeit=&quot;5/31/2020 8:10:55 PM&quot; root=&quot;/BBOOK/DATAPROVIDER[./META/PROPS/ID='BIP_CNA9']/DATA&quot; colcount=&quot;8&quot; rowcount=&quot;10&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NA9&quot; infos=&quot;&quot; iscomment=&quot;0&quot;&gt;&lt;SELECT&gt;/BBOOK/DATAPROVIDER[./META/PROPS/ID='BIP_CNA9']/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05/11/2019 12:11:33 PM&lt;/DYNAMIZEDON&gt;&lt;LASTUPDATEDBY&gt;ruberla&lt;/LASTUPDATEDBY&gt;&lt;LASTUPDATEDON&gt;2/7/2020 10:20:58 AM&lt;/LASTUPDATEDON&gt;&lt;UTC&gt;1&lt;/UTC&gt;&lt;/UPDATE&gt;&lt;QUERIES bbk=&quot;17185&quot; bbkdesc=&quot;2019 Annual Accounts/EU Annual Accounts/DC - Currency table and Deprec. Rates&quot; datapro=&quot;BIP_CURR&quot; tdatapro=&quot;BIP_CURR&quot; author=&quot;&quot; modtime=&quot;2/7/2020 10:09:39 AM&quot; moduser=&quot;Ruberla&quot; rolluptime=&quot;&quot; syuser=&quot;Ruberla&quot; syuzeit=&quot;2/7/2020 10:09:39 AM&quot; root=&quot;/BBOOK/DATAPROVIDER[./META/PROPS/ID='BIP_CURR']/DATA&quot; colcount=&quot;6&quot; rowcount=&quot;7&quot; url=&quot;&quot; dynamizeds=&quot;SAP Disclosure Management - Production&quot; dynamizedstype=&quot;9&quot; refreshds=&quot;&quot; viewtype=&quot;1&quot;&gt;&lt;QUERY reftype=&quot;ABS&quot; elmntsel=&quot;TABLE&quot; bbk=&quot;17185&quot; bbkdesc=&quot;2019 Annual Accounts/EU Annual Accounts/DC - Currency table and Deprec. Rates&quot; datapro=&quot;BIP_CURR&quot; infos=&quot;&quot; iscomment=&quot;0&quot;&gt;&lt;SELECT&gt;/BBOOK/DATAPROVIDER[./META/PROPS/ID='BIP_CURR']/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5/25/2020 10:22:21 AM&lt;/DYNAMIZEDON&gt;&lt;LASTUPDATEDBY&gt;kythrst&lt;/LASTUPDATEDBY&gt;&lt;LASTUPDATEDON&gt;5/25/2020 10:22:21 AM&lt;/LASTUPDATEDON&gt;&lt;UTC&gt;1&lt;/UTC&gt;&lt;/UPDATE&gt;&lt;QUERIES bbk=&quot;17185&quot; bbkdesc=&quot;2019 Annual Accounts/EU Annual Accounts/DC - Currency table and Deprec. Rates&quot; datapro=&quot;BIP_DR_CAS&quot; tdatapro=&quot;BIP_DR_CAS&quot; author=&quot;&quot; modtime=&quot;5/25/2020 10:19:58 AM&quot; moduser=&quot;kythrst&quot; rolluptime=&quot;&quot; syuser=&quot;&quot; syuzeit=&quot;&quot; root=&quot;/BBOOK/DATAPROVIDER[./META/PROPS/ID='BIP_DR_CAS']/DATA&quot; colcount=&quot;2&quot; rowcount=&quot;6&quot; url=&quot;&quot; dynamizeds=&quot;SAP Disclosure Management - Production&quot; dynamizedstype=&quot;9&quot; refreshds=&quot;&quot; viewtype=&quot;1&quot;&gt;&lt;QUERY reftype=&quot;ABS&quot; elmntsel=&quot;TABLE&quot; bbk=&quot;17185&quot; bbkdesc=&quot;2019 Annual Accounts/EU Annual Accounts/DC - Currency table and Deprec. Rates&quot; datapro=&quot;BIP_DR_CAS&quot; infos=&quot;&quot; iscomment=&quot;0&quot;&gt;&lt;SELECT&gt;/BBOOK/DATAPROVIDER[./META/PROPS/ID='BIP_DR_CAS']/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6:19 PM&lt;/DYNAMIZEDON&gt;&lt;LASTUPDATEDBY&gt;milotlu&lt;/LASTUPDATEDBY&gt;&lt;LASTUPDATEDON&gt;5/31/2020 8:31:40 PM&lt;/LASTUPDATEDON&gt;&lt;UTC&gt;1&lt;/UTC&gt;&lt;/UPDATE&gt;&lt;QUERIES bbk=&quot;18983&quot; bbkdesc=&quot;2019 Annual Accounts/EDF from Master Report/DC - Notes to the financial statements&quot; datapro=&quot;BIP_PF&quot; tdatapro=&quot;BIP_PF&quot; author=&quot;&quot; modtime=&quot;5/31/2020 8:29:57 PM&quot; moduser=&quot;MILOTLU&quot; rolluptime=&quot;&quot; syuser=&quot;MILOTLU&quot; syuzeit=&quot;5/31/2020 8:29:57 PM&quot; root=&quot;/BBOOK/DATAPROVIDER[./META/PROPS/ID='BIP_PF']/DATA&quot; colcount=&quot;8&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PF&quot; infos=&quot;&quot; iscomment=&quot;0&quot;&gt;&lt;SELECT&gt;/BBOOK/DATAPROVIDER[./META/PROPS/ID='BIP_PF']/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6:48 PM&lt;/DYNAMIZEDON&gt;&lt;LASTUPDATEDBY&gt;milotlu&lt;/LASTUPDATEDBY&gt;&lt;LASTUPDATEDON&gt;5/31/2020 8:32:05 PM&lt;/LASTUPDATEDON&gt;&lt;UTC&gt;1&lt;/UTC&gt;&lt;/UPDATE&gt;&lt;QUERIES bbk=&quot;18983&quot; bbkdesc=&quot;2019 Annual Accounts/EDF from Master Report/DC - Notes to the financial statements&quot; datapro=&quot;BIP_NCPF_BMM&quot; tdatapro=&quot;BIP_NCPF_BMM&quot; author=&quot;&quot; modtime=&quot;5/31/2020 8:29:57 PM&quot; moduser=&quot;MILOTLU&quot; rolluptime=&quot;&quot; syuser=&quot;MILOTLU&quot; syuzeit=&quot;5/31/2020 8:29:57 PM&quot; root=&quot;/BBOOK/DATAPROVIDER[./META/PROPS/ID='BIP_NCPF_BMM']/DATA&quot; colcount=&quot;3&quot; rowcount=&quot;18&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NCPF_BMM&quot; infos=&quot;&quot; iscomment=&quot;0&quot;&gt;&lt;SELECT&gt;/BBOOK/DATAPROVIDER[./META/PROPS/ID='BIP_NCPF_BMM']/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7:27 PM&lt;/DYNAMIZEDON&gt;&lt;LASTUPDATEDBY&gt;milotlu&lt;/LASTUPDATEDBY&gt;&lt;LASTUPDATEDON&gt;5/31/2020 8:31:57 PM&lt;/LASTUPDATEDON&gt;&lt;UTC&gt;1&lt;/UTC&gt;&lt;/UPDATE&gt;&lt;QUERIES bbk=&quot;18983&quot; bbkdesc=&quot;2019 Annual Accounts/EDF from Master Report/DC - Notes to the financial statements&quot; datapro=&quot;BIP_CPF&quot; tdatapro=&quot;BIP_CPF&quot; author=&quot;&quot; modtime=&quot;5/31/2020 8:29:57 PM&quot; moduser=&quot;MILOTLU&quot; rolluptime=&quot;&quot; syuser=&quot;MILOTLU&quot; syuzeit=&quot;5/31/2020 8:29:57 PM&quot; root=&quot;/BBOOK/DATAPROVIDER[./META/PROPS/ID='BIP_CPF']/DATA&quot; colcount=&quot;7&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PF&quot; infos=&quot;&quot; iscomment=&quot;0&quot;&gt;&lt;SELECT&gt;/BBOOK/DATAPROVIDER[./META/PROPS/ID='BIP_CPF']/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8:32 PM&lt;/DYNAMIZEDON&gt;&lt;LASTUPDATEDBY&gt;milotlu&lt;/LASTUPDATEDBY&gt;&lt;LASTUPDATEDON&gt;5/31/2020 8:31:52 PM&lt;/LASTUPDATEDON&gt;&lt;UTC&gt;1&lt;/UTC&gt;&lt;/UPDATE&gt;&lt;QUERIES bbk=&quot;18983&quot; bbkdesc=&quot;2019 Annual Accounts/EDF from Master Report/DC - Notes to the financial statements&quot; datapro=&quot;BIP_TFCONTR&quot; tdatapro=&quot;BIP_TFCONTR&quot; author=&quot;&quot; modtime=&quot;5/31/2020 8:29:57 PM&quot; moduser=&quot;MILOTLU&quot; rolluptime=&quot;&quot; syuser=&quot;MILOTLU&quot; syuzeit=&quot;5/31/2020 8:29:57 PM&quot; root=&quot;/BBOOK/DATAPROVIDER[./META/PROPS/ID='BIP_TFCONTR']/DATA&quot; colcount=&quot;5&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TFCONTR&quot; infos=&quot;&quot; iscomment=&quot;0&quot;&gt;&lt;SELECT&gt;/BBOOK/DATAPROVIDER[./META/PROPS/ID='BIP_TFCONTR']/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9:31 PM&lt;/DYNAMIZEDON&gt;&lt;LASTUPDATEDBY&gt;milotlu&lt;/LASTUPDATEDBY&gt;&lt;LASTUPDATEDON&gt;5/31/2020 8:32:08 PM&lt;/LASTUPDATEDON&gt;&lt;UTC&gt;1&lt;/UTC&gt;&lt;/UPDATE&gt;&lt;QUERIES bbk=&quot;18983&quot; bbkdesc=&quot;2019 Annual Accounts/EDF from Master Report/DC - Notes to the financial statements&quot; datapro=&quot;BIP_RNET&quot; tdatapro=&quot;BIP_RNET&quot; author=&quot;&quot; modtime=&quot;5/31/2020 8:29:57 PM&quot; moduser=&quot;MILOTLU&quot; rolluptime=&quot;&quot; syuser=&quot;MILOTLU&quot; syuzeit=&quot;5/31/2020 8:29:57 PM&quot; root=&quot;/BBOOK/DATAPROVIDER[./META/PROPS/ID='BIP_RNET']/DATA&quot; colcount=&quot;7&quot; rowcount=&quot;9&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RNET&quot; infos=&quot;&quot; iscomment=&quot;0&quot;&gt;&lt;SELECT&gt;/BBOOK/DATAPROVIDER[./META/PROPS/ID='BIP_RNET']/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9:04 PM&lt;/DYNAMIZEDON&gt;&lt;LASTUPDATEDBY&gt;milotlu&lt;/LASTUPDATEDBY&gt;&lt;LASTUPDATEDON&gt;5/31/2020 8:31:33 PM&lt;/LASTUPDATEDON&gt;&lt;UTC&gt;1&lt;/UTC&gt;&lt;/UPDATE&gt;&lt;QUERIES bbk=&quot;18983&quot; bbkdesc=&quot;2019 Annual Accounts/EDF from Master Report/DC - Notes to the financial statements&quot; datapro=&quot;BIP_ERNER&quot; tdatapro=&quot;BIP_ERNER&quot; author=&quot;&quot; modtime=&quot;5/31/2020 8:29:57 PM&quot; moduser=&quot;MILOTLU&quot; rolluptime=&quot;&quot; syuser=&quot;MILOTLU&quot; syuzeit=&quot;5/31/2020 8:29:57 PM&quot; root=&quot;/BBOOK/DATAPROVIDER[./META/PROPS/ID='BIP_ERNER']/DATA&quot; colcount=&quot;4&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ERNER&quot; infos=&quot;&quot; iscomment=&quot;0&quot;&gt;&lt;SELECT&gt;/BBOOK/DATAPROVIDER[./META/PROPS/ID='BIP_ERNER']/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otlu&lt;/DYNAMIZEDBY&gt;&lt;DYNAMIZEDON&gt;3/22/2020 9:56:23 PM&lt;/DYNAMIZEDON&gt;&lt;LASTUPDATEDBY&gt;milotlu&lt;/LASTUPDATEDBY&gt;&lt;LASTUPDATEDON&gt;5/31/2020 8:31:36 PM&lt;/LASTUPDATEDON&gt;&lt;UTC&gt;1&lt;/UTC&gt;&lt;/UPDATE&gt;&lt;QUERIES bbk=&quot;18983&quot; bbkdesc=&quot;2019 Annual Accounts/EDF from Master Report/DC - Notes to the financial statements&quot; datapro=&quot;BIP_FVMAFS&quot; tdatapro=&quot;BIP_FVMAFS&quot; author=&quot;&quot; modtime=&quot;5/31/2020 8:29:57 PM&quot; moduser=&quot;MILOTLU&quot; rolluptime=&quot;&quot; syuser=&quot;MILOTLU&quot; syuzeit=&quot;5/31/2020 8:29:57 PM&quot; root=&quot;/BBOOK/DATAPROVIDER[./META/PROPS/ID='BIP_FVMAFS']/DATA&quot; colcount=&quot;3&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FVMAFS&quot; infos=&quot;&quot; iscomment=&quot;0&quot;&gt;&lt;SELECT&gt;/BBOOK/DATAPROVIDER[./META/PROPS/ID='BIP_FVMAFS']/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20:13 PM&lt;/DYNAMIZEDON&gt;&lt;LASTUPDATEDBY&gt;milotlu&lt;/LASTUPDATEDBY&gt;&lt;LASTUPDATEDON&gt;5/31/2020 8:31:53 PM&lt;/LASTUPDATEDON&gt;&lt;UTC&gt;1&lt;/UTC&gt;&lt;/UPDATE&gt;&lt;QUERIES bbk=&quot;18983&quot; bbkdesc=&quot;2019 Annual Accounts/EDF from Master Report/DC - Notes to the financial statements&quot; datapro=&quot;BIP_RET&quot; tdatapro=&quot;BIP_RET&quot; author=&quot;&quot; modtime=&quot;5/31/2020 8:29:57 PM&quot; moduser=&quot;MILOTLU&quot; rolluptime=&quot;&quot; syuser=&quot;MILOTLU&quot; syuzeit=&quot;5/31/2020 8:29:57 PM&quot; root=&quot;/BBOOK/DATAPROVIDER[./META/PROPS/ID='BIP_RET']/DATA&quot; colcount=&quot;7&quot; rowcount=&quot;6&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RET&quot; infos=&quot;&quot; iscomment=&quot;0&quot;&gt;&lt;SELECT&gt;/BBOOK/DATAPROVIDER[./META/PROPS/ID='BIP_RET']/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22:50 PM&lt;/DYNAMIZEDON&gt;&lt;LASTUPDATEDBY&gt;milotlu&lt;/LASTUPDATEDBY&gt;&lt;LASTUPDATEDON&gt;5/31/2020 8:31:49 PM&lt;/LASTUPDATEDON&gt;&lt;UTC&gt;1&lt;/UTC&gt;&lt;/UPDATE&gt;&lt;QUERIES bbk=&quot;18983&quot; bbkdesc=&quot;2019 Annual Accounts/EDF from Master Report/DC - Notes to the financial statements&quot; datapro=&quot;BIP_CASH&quot; tdatapro=&quot;BIP_CASH&quot; author=&quot;&quot; modtime=&quot;5/31/2020 8:29:57 PM&quot; moduser=&quot;MILOTLU&quot; rolluptime=&quot;&quot; syuser=&quot;MILOTLU&quot; syuzeit=&quot;5/31/2020 8:29:57 PM&quot; root=&quot;/BBOOK/DATAPROVIDER[./META/PROPS/ID='BIP_CASH']/DATA&quot; colcount=&quot;7&quot; rowcount=&quot;10&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ASH&quot; infos=&quot;&quot; iscomment=&quot;0&quot;&gt;&lt;SELECT&gt;/BBOOK/DATAPROVIDER[./META/PROPS/ID='BIP_CASH']/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otlu&lt;/DYNAMIZEDBY&gt;&lt;DYNAMIZEDON&gt;3/19/2020 10:03:18 PM&lt;/DYNAMIZEDON&gt;&lt;LASTUPDATEDBY&gt;milotlu&lt;/LASTUPDATEDBY&gt;&lt;LASTUPDATEDON&gt;5/31/2020 8:32:00 PM&lt;/LASTUPDATEDON&gt;&lt;UTC&gt;1&lt;/UTC&gt;&lt;/UPDATE&gt;&lt;QUERIES bbk=&quot;18983&quot; bbkdesc=&quot;2019 Annual Accounts/EDF from Master Report/DC - Notes to the financial statements&quot; datapro=&quot;BIP_CLDFCAP&quot; tdatapro=&quot;BIP_CLDFCAP&quot; author=&quot;&quot; modtime=&quot;5/31/2020 8:29:57 PM&quot; moduser=&quot;MILOTLU&quot; rolluptime=&quot;&quot; syuser=&quot;MILOTLU&quot; syuzeit=&quot;5/31/2020 8:29:57 PM&quot; root=&quot;/BBOOK/DATAPROVIDER[./META/PROPS/ID='BIP_CLDFCAP']/DATA&quot; colcount=&quot;6&quot; rowcount=&quot;8&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LDFCAP&quot; infos=&quot;&quot; iscomment=&quot;0&quot;&gt;&lt;SELECT&gt;/BBOOK/DATAPROVIDER[./META/PROPS/ID='BIP_CLDFCAP']/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0:23 PM&lt;/DYNAMIZEDON&gt;&lt;LASTUPDATEDBY&gt;milotlu&lt;/LASTUPDATEDBY&gt;&lt;LASTUPDATEDON&gt;5/31/2020 8:32:01 PM&lt;/LASTUPDATEDON&gt;&lt;UTC&gt;1&lt;/UTC&gt;&lt;/UPDATE&gt;&lt;QUERIES bbk=&quot;18983&quot; bbkdesc=&quot;2019 Annual Accounts/EDF from Master Report/DC - Notes to the financial statements&quot; datapro=&quot;BIP_COFINPAY&quot; tdatapro=&quot;BIP_COFINPAY&quot; author=&quot;&quot; modtime=&quot;5/31/2020 8:29:57 PM&quot; moduser=&quot;MILOTLU&quot; rolluptime=&quot;&quot; syuser=&quot;MILOTLU&quot; syuzeit=&quot;5/31/2020 8:29:57 PM&quot; root=&quot;/BBOOK/DATAPROVIDER[./META/PROPS/ID='BIP_COFINPAY']/DATA&quot; colcount=&quot;7&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OFINPAY&quot; infos=&quot;&quot; iscomment=&quot;0&quot;&gt;&lt;SELECT&gt;/BBOOK/DATAPROVIDER[./META/PROPS/ID='BIP_COFINPAY']/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1:21 PM&lt;/DYNAMIZEDON&gt;&lt;LASTUPDATEDBY&gt;milotlu&lt;/LASTUPDATEDBY&gt;&lt;LASTUPDATEDON&gt;5/31/2020 8:32:03 PM&lt;/LASTUPDATEDON&gt;&lt;UTC&gt;1&lt;/UTC&gt;&lt;/UPDATE&gt;&lt;QUERIES bbk=&quot;18983&quot; bbkdesc=&quot;2019 Annual Accounts/EDF from Master Report/DC - Notes to the financial statements&quot; datapro=&quot;BIP_PAY&quot; tdatapro=&quot;BIP_PAY&quot; author=&quot;&quot; modtime=&quot;5/31/2020 8:29:57 PM&quot; moduser=&quot;MILOTLU&quot; rolluptime=&quot;&quot; syuser=&quot;MILOTLU&quot; syuzeit=&quot;5/31/2020 8:29:57 PM&quot; root=&quot;/BBOOK/DATAPROVIDER[./META/PROPS/ID='BIP_PAY']/DATA&quot; colcount=&quot;8&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PAY&quot; infos=&quot;&quot; iscomment=&quot;0&quot;&gt;&lt;SELECT&gt;/BBOOK/DATAPROVIDER[./META/PROPS/ID='BIP_PAY']/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1:55 PM&lt;/DYNAMIZEDON&gt;&lt;LASTUPDATEDBY&gt;milotlu&lt;/LASTUPDATEDBY&gt;&lt;LASTUPDATEDON&gt;5/31/2020 8:31:56 PM&lt;/LASTUPDATEDON&gt;&lt;UTC&gt;1&lt;/UTC&gt;&lt;/UPDATE&gt;&lt;QUERIES bbk=&quot;18983&quot; bbkdesc=&quot;2019 Annual Accounts/EDF from Master Report/DC - Notes to the financial statements&quot; datapro=&quot;BIP_CURPAY&quot; tdatapro=&quot;BIP_CURPAY&quot; author=&quot;&quot; modtime=&quot;5/31/2020 8:29:57 PM&quot; moduser=&quot;MILOTLU&quot; rolluptime=&quot;&quot; syuser=&quot;MILOTLU&quot; syuzeit=&quot;5/31/2020 8:29:57 PM&quot; root=&quot;/BBOOK/DATAPROVIDER[./META/PROPS/ID='BIP_CURPAY']/DATA&quot; colcount=&quot;7&quot; rowcount=&quot;8&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URPAY&quot; infos=&quot;&quot; iscomment=&quot;0&quot;&gt;&lt;SELECT&gt;/BBOOK/DATAPROVIDER[./META/PROPS/ID='BIP_CURPAY']/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3:18 PM&lt;/DYNAMIZEDON&gt;&lt;LASTUPDATEDBY&gt;milotlu&lt;/LASTUPDATEDBY&gt;&lt;LASTUPDATEDON&gt;5/31/2020 8:31:41 PM&lt;/LASTUPDATEDON&gt;&lt;UTC&gt;1&lt;/UTC&gt;&lt;/UPDATE&gt;&lt;QUERIES bbk=&quot;18983&quot; bbkdesc=&quot;2019 Annual Accounts/EDF from Master Report/DC - Notes to the financial statements&quot; datapro=&quot;BIP_SUNPAY&quot; tdatapro=&quot;BIP_SUNPAY&quot; author=&quot;&quot; modtime=&quot;5/31/2020 8:29:57 PM&quot; moduser=&quot;MILOTLU&quot; rolluptime=&quot;&quot; syuser=&quot;MILOTLU&quot; syuzeit=&quot;5/31/2020 8:29:57 PM&quot; root=&quot;/BBOOK/DATAPROVIDER[./META/PROPS/ID='BIP_SUNPAY']/DATA&quot; colcount=&quot;8&quot; rowcount=&quot;6&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SUNPAY&quot; infos=&quot;&quot; iscomment=&quot;0&quot;&gt;&lt;SELECT&gt;/BBOOK/DATAPROVIDER[./META/PROPS/ID='BIP_SUNPAY']/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5:41 PM&lt;/DYNAMIZEDON&gt;&lt;LASTUPDATEDBY&gt;milotlu&lt;/LASTUPDATEDBY&gt;&lt;LASTUPDATEDON&gt;5/31/2020 8:32:10 PM&lt;/LASTUPDATEDON&gt;&lt;UTC&gt;1&lt;/UTC&gt;&lt;/UPDATE&gt;&lt;QUERIES bbk=&quot;18983&quot; bbkdesc=&quot;2019 Annual Accounts/EDF from Master Report/DC - Notes to the financial statements&quot; datapro=&quot;BIP_CLDFCAP_MS11&quot; tdatapro=&quot;BIP_CLDFCAP_MS11&quot; author=&quot;&quot; modtime=&quot;5/31/2020 8:29:57 PM&quot; moduser=&quot;MILOTLU&quot; rolluptime=&quot;&quot; syuser=&quot;MILOTLU&quot; syuzeit=&quot;5/31/2020 8:29:57 PM&quot; root=&quot;/BBOOK/DATAPROVIDER[./META/PROPS/ID='BIP_CLDFCAP_MS11']/DATA&quot; colcount=&quot;5&quot; rowcount=&quot;31&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LDFCAP_MS11&quot; infos=&quot;&quot; iscomment=&quot;0&quot;&gt;&lt;SELECT&gt;/BBOOK/DATAPROVIDER[./META/PROPS/ID='BIP_CLDFCAP_MS11']/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7:05 PM&lt;/DYNAMIZEDON&gt;&lt;LASTUPDATEDBY&gt;milotlu&lt;/LASTUPDATEDBY&gt;&lt;LASTUPDATEDON&gt;5/31/2020 8:31:44 PM&lt;/LASTUPDATEDON&gt;&lt;UTC&gt;1&lt;/UTC&gt;&lt;/UPDATE&gt;&lt;QUERIES bbk=&quot;18983&quot; bbkdesc=&quot;2019 Annual Accounts/EDF from Master Report/DC - Notes to the financial statements&quot; datapro=&quot;BIP_REV&quot; tdatapro=&quot;BIP_REV&quot; author=&quot;&quot; modtime=&quot;5/31/2020 8:29:57 PM&quot; moduser=&quot;MILOTLU&quot; rolluptime=&quot;&quot; syuser=&quot;MILOTLU&quot; syuzeit=&quot;5/31/2020 8:29:57 PM&quot; root=&quot;/BBOOK/DATAPROVIDER[./META/PROPS/ID='BIP_REV']/DATA&quot; colcount=&quot;4&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REV&quot; infos=&quot;&quot; iscomment=&quot;0&quot;&gt;&lt;SELECT&gt;/BBOOK/DATAPROVIDER[./META/PROPS/ID='BIP_REV']/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4:47 PM&lt;/DYNAMIZEDON&gt;&lt;LASTUPDATEDBY&gt;milotlu&lt;/LASTUPDATEDBY&gt;&lt;LASTUPDATEDON&gt;5/31/2020 8:31:38 PM&lt;/LASTUPDATEDON&gt;&lt;UTC&gt;1&lt;/UTC&gt;&lt;/UPDATE&gt;&lt;QUERIES bbk=&quot;18983&quot; bbkdesc=&quot;2019 Annual Accounts/EDF from Master Report/DC - Notes to the financial statements&quot; datapro=&quot;BIP_ACCDEF&quot; tdatapro=&quot;BIP_ACCDEF&quot; author=&quot;&quot; modtime=&quot;5/31/2020 8:29:57 PM&quot; moduser=&quot;MILOTLU&quot; rolluptime=&quot;&quot; syuser=&quot;MILOTLU&quot; syuzeit=&quot;5/31/2020 8:29:57 PM&quot; root=&quot;/BBOOK/DATAPROVIDER[./META/PROPS/ID='BIP_ACCDEF']/DATA&quot; colcount=&quot;7&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ACCDEF&quot; infos=&quot;&quot; iscomment=&quot;0&quot;&gt;&lt;SELECT&gt;/BBOOK/DATAPROVIDER[./META/PROPS/ID='BIP_ACCDEF']/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8:28 PM&lt;/DYNAMIZEDON&gt;&lt;LASTUPDATEDBY&gt;milotlu&lt;/LASTUPDATEDBY&gt;&lt;LASTUPDATEDON&gt;5/31/2020 8:31:31 PM&lt;/LASTUPDATEDON&gt;&lt;UTC&gt;1&lt;/UTC&gt;&lt;/UPDATE&gt;&lt;QUERIES bbk=&quot;18983&quot; bbkdesc=&quot;2019 Annual Accounts/EDF from Master Report/DC - Notes to the financial statements&quot; datapro=&quot;BIP_NEXREV_BMM&quot; tdatapro=&quot;BIP_NEXREV_BMM&quot; author=&quot;&quot; modtime=&quot;5/31/2020 8:29:57 PM&quot; moduser=&quot;MILOTLU&quot; rolluptime=&quot;&quot; syuser=&quot;MILOTLU&quot; syuzeit=&quot;5/31/2020 8:29:57 PM&quot; root=&quot;/BBOOK/DATAPROVIDER[./META/PROPS/ID='BIP_NEXREV_BMM']/DATA&quot; colcount=&quot;3&quot; rowcount=&quot;14&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NEXREV_BMM&quot; infos=&quot;&quot; iscomment=&quot;0&quot;&gt;&lt;SELECT&gt;/BBOOK/DATAPROVIDER[./META/PROPS/ID='BIP_NEXREV_BMM']/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2:15 PM&lt;/DYNAMIZEDON&gt;&lt;LASTUPDATEDBY&gt;milotlu&lt;/LASTUPDATEDBY&gt;&lt;LASTUPDATEDON&gt;5/31/2020 8:32:04 PM&lt;/LASTUPDATEDON&gt;&lt;UTC&gt;1&lt;/UTC&gt;&lt;/UPDATE&gt;&lt;QUERIES bbk=&quot;18983&quot; bbkdesc=&quot;2019 Annual Accounts/EDF from Master Report/DC - Notes to the financial statements&quot; datapro=&quot;BIP_OCNYE&quot; tdatapro=&quot;BIP_OCNYE&quot; author=&quot;&quot; modtime=&quot;5/31/2020 8:29:57 PM&quot; moduser=&quot;MILOTLU&quot; rolluptime=&quot;&quot; syuser=&quot;MILOTLU&quot; syuzeit=&quot;5/31/2020 8:29:57 PM&quot; root=&quot;/BBOOK/DATAPROVIDER[./META/PROPS/ID='BIP_OCNYE']/DATA&quot; colcount=&quot;7&quot; rowcount=&quot;3&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OCNYE&quot; infos=&quot;&quot; iscomment=&quot;0&quot;&gt;&lt;SELECT&gt;/BBOOK/DATAPROVIDER[./META/PROPS/ID='BIP_OCNYE']/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6:08 PM&lt;/DYNAMIZEDON&gt;&lt;LASTUPDATEDBY&gt;milotlu&lt;/LASTUPDATEDBY&gt;&lt;LASTUPDATEDON&gt;5/31/2020 8:31:26 PM&lt;/LASTUPDATEDON&gt;&lt;UTC&gt;1&lt;/UTC&gt;&lt;/UPDATE&gt;&lt;QUERIES bbk=&quot;18983&quot; bbkdesc=&quot;2019 Annual Accounts/EDF from Master Report/DC - Notes to the financial statements&quot; datapro=&quot;BIP_CLDFCAP_TFT_CLS&quot; tdatapro=&quot;BIP_CLDFCAP_TFT_CLS&quot; author=&quot;&quot; modtime=&quot;5/31/2020 8:29:57 PM&quot; moduser=&quot;MILOTLU&quot; rolluptime=&quot;&quot; syuser=&quot;MILOTLU&quot; syuzeit=&quot;5/31/2020 8:29:57 PM&quot; root=&quot;/BBOOK/DATAPROVIDER[./META/PROPS/ID='BIP_CLDFCAP_TFT_CLS']/DATA&quot; colcount=&quot;7&quot; rowcount=&quot;3&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LDFCAP_TFT_CLS&quot; infos=&quot;&quot; iscomment=&quot;0&quot;&gt;&lt;SELECT&gt;/BBOOK/DATAPROVIDER[./META/PROPS/ID='BIP_CLDFCAP_TFT_CLS']/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6:38 PM&lt;/DYNAMIZEDON&gt;&lt;LASTUPDATEDBY&gt;milotlu&lt;/LASTUPDATEDBY&gt;&lt;LASTUPDATEDON&gt;5/31/2020 8:31:58 PM&lt;/LASTUPDATEDON&gt;&lt;UTC&gt;1&lt;/UTC&gt;&lt;/UPDATE&gt;&lt;QUERIES bbk=&quot;18983&quot; bbkdesc=&quot;2019 Annual Accounts/EDF from Master Report/DC - Notes to the financial statements&quot; datapro=&quot;BIP_CLDFCAP_TFT_ACT&quot; tdatapro=&quot;BIP_CLDFCAP_TFT_ACT&quot; author=&quot;&quot; modtime=&quot;5/31/2020 8:29:57 PM&quot; moduser=&quot;MILOTLU&quot; rolluptime=&quot;&quot; syuser=&quot;MILOTLU&quot; syuzeit=&quot;5/31/2020 8:29:57 PM&quot; root=&quot;/BBOOK/DATAPROVIDER[./META/PROPS/ID='BIP_CLDFCAP_TFT_ACT']/DATA&quot; colcount=&quot;6&quot; rowcount=&quot;9&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LDFCAP_TFT_ACT&quot; infos=&quot;&quot; iscomment=&quot;0&quot;&gt;&lt;SELECT&gt;/BBOOK/DATAPROVIDER[./META/PROPS/ID='BIP_CLDFCAP_TFT_ACT']/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5:12:17 PM&lt;/DYNAMIZEDON&gt;&lt;LASTUPDATEDBY&gt;MILOTLU&lt;/LASTUPDATEDBY&gt;&lt;LASTUPDATEDON&gt;5/31/2020 8:11:40 PM&lt;/LASTUPDATEDON&gt;&lt;UTC&gt;1&lt;/UTC&gt;&lt;/UPDATE&gt;&lt;QUERIES bbk=&quot;19001&quot; bbkdesc=&quot;2019 Annual Accounts/EDF from Master Report/DC - Currency risk and other Inform tables&quot; datapro=&quot;BIP_CR&quot; tdatapro=&quot;BIP_CR&quot; author=&quot;&quot; modtime=&quot;5/31/2020 8:11:26 PM&quot; moduser=&quot;MILOTLU&quot; rolluptime=&quot;&quot; syuser=&quot;MILOTLU&quot; syuzeit=&quot;5/31/2020 8:11:26 PM&quot; root=&quot;/BBOOK/DATAPROVIDER[./META/PROPS/ID='BIP_CR']/DATA&quot; colcount=&quot;15&quot; rowcount=&quot;12&quot; url=&quot;&quot; dynamizeds=&quot;SAP Disclosure Management - Production&quot; dynamizedstype=&quot;9&quot; refreshds=&quot;&quot; viewtype=&quot;1&quot;&gt;&lt;QUERY reftype=&quot;ABS&quot; elmntsel=&quot;TABLE&quot; bbk=&quot;19001&quot; bbkdesc=&quot;2019 Annual Accounts/EDF from Master Report/DC - Currency risk and other Inform tables&quot; datapro=&quot;BIP_CR&quot; infos=&quot;&quot; iscomment=&quot;0&quot;&gt;&lt;SELECT&gt;/BBOOK/DATAPROVIDER[./META/PROPS/ID='BIP_CR']/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7:40 PM&lt;/DYNAMIZEDON&gt;&lt;LASTUPDATEDBY&gt;milotlu&lt;/LASTUPDATEDBY&gt;&lt;LASTUPDATEDON&gt;5/31/2020 8:32:07 PM&lt;/LASTUPDATEDON&gt;&lt;UTC&gt;1&lt;/UTC&gt;&lt;/UPDATE&gt;&lt;QUERIES bbk=&quot;18983&quot; bbkdesc=&quot;2019 Annual Accounts/EDF from Master Report/DC - Notes to the financial statements&quot; datapro=&quot;BIP_NEXREV&quot; tdatapro=&quot;BIP_NEXREV&quot; author=&quot;&quot; modtime=&quot;5/31/2020 8:29:57 PM&quot; moduser=&quot;MILOTLU&quot; rolluptime=&quot;&quot; syuser=&quot;MILOTLU&quot; syuzeit=&quot;5/31/2020 8:29:57 PM&quot; root=&quot;/BBOOK/DATAPROVIDER[./META/PROPS/ID='BIP_NEXREV']/DATA&quot; colcount=&quot;8&quot; rowcount=&quot;6&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NEXREV&quot; infos=&quot;&quot; iscomment=&quot;0&quot;&gt;&lt;SELECT&gt;/BBOOK/DATAPROVIDER[./META/PROPS/ID='BIP_NEXREV']/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1:06 PM&lt;/DYNAMIZEDON&gt;&lt;LASTUPDATEDBY&gt;MILOTLU&lt;/LASTUPDATEDBY&gt;&lt;LASTUPDATEDON&gt;5/31/2020 8:11:41 PM&lt;/LASTUPDATEDON&gt;&lt;UTC&gt;1&lt;/UTC&gt;&lt;/UPDATE&gt;&lt;QUERIES bbk=&quot;19001&quot; bbkdesc=&quot;2019 Annual Accounts/EDF from Master Report/DC - Currency risk and other Inform tables&quot; datapro=&quot;BIP_CDTR&quot; tdatapro=&quot;BIP_CDTR&quot; author=&quot;&quot; modtime=&quot;5/31/2020 8:11:26 PM&quot; moduser=&quot;MILOTLU&quot; rolluptime=&quot;&quot; syuser=&quot;MILOTLU&quot; syuzeit=&quot;5/31/2020 8:11:26 PM&quot; root=&quot;/BBOOK/DATAPROVIDER[./META/PROPS/ID='BIP_CDTR']/DATA&quot; colcount=&quot;6&quot; rowcount=&quot;7&quot; url=&quot;&quot; dynamizeds=&quot;SAP Disclosure Management - Production&quot; dynamizedstype=&quot;9&quot; refreshds=&quot;&quot; viewtype=&quot;1&quot;&gt;&lt;QUERY reftype=&quot;ABS&quot; elmntsel=&quot;TABLE&quot; bbk=&quot;19001&quot; bbkdesc=&quot;2019 Annual Accounts/EDF from Master Report/DC - Currency risk and other Inform tables&quot; datapro=&quot;BIP_CDTR&quot; infos=&quot;&quot; iscomment=&quot;0&quot;&gt;&lt;SELECT&gt;/BBOOK/DATAPROVIDER[./META/PROPS/ID='BIP_CDTR']/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8:57 PM&lt;/DYNAMIZEDON&gt;&lt;LASTUPDATEDBY&gt;milotlu&lt;/LASTUPDATEDBY&gt;&lt;LASTUPDATEDON&gt;5/31/2020 8:31:28 PM&lt;/LASTUPDATEDON&gt;&lt;UTC&gt;1&lt;/UTC&gt;&lt;/UPDATE&gt;&lt;QUERIES bbk=&quot;18983&quot; bbkdesc=&quot;2019 Annual Accounts/EDF from Master Report/DC - Notes to the financial statements&quot; datapro=&quot;BIP_EXREV&quot; tdatapro=&quot;BIP_EXREV&quot; author=&quot;&quot; modtime=&quot;5/31/2020 8:29:57 PM&quot; moduser=&quot;MILOTLU&quot; rolluptime=&quot;&quot; syuser=&quot;MILOTLU&quot; syuzeit=&quot;5/31/2020 8:29:57 PM&quot; root=&quot;/BBOOK/DATAPROVIDER[./META/PROPS/ID='BIP_EXREV']/DATA&quot; colcount=&quot;7&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EXREV&quot; infos=&quot;&quot; iscomment=&quot;0&quot;&gt;&lt;SELECT&gt;/BBOOK/DATAPROVIDER[./META/PROPS/ID='BIP_EXREV']/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9:25 PM&lt;/DYNAMIZEDON&gt;&lt;LASTUPDATEDBY&gt;milotlu&lt;/LASTUPDATEDBY&gt;&lt;LASTUPDATEDON&gt;5/31/2020 8:31:47 PM&lt;/LASTUPDATEDON&gt;&lt;UTC&gt;1&lt;/UTC&gt;&lt;/UPDATE&gt;&lt;QUERIES bbk=&quot;18983&quot; bbkdesc=&quot;2019 Annual Accounts/EDF from Master Report/DC - Notes to the financial statements&quot; datapro=&quot;BIP_OPE_AID&quot; tdatapro=&quot;BIP_OPE_AID&quot; author=&quot;&quot; modtime=&quot;5/31/2020 8:29:57 PM&quot; moduser=&quot;MILOTLU&quot; rolluptime=&quot;&quot; syuser=&quot;MILOTLU&quot; syuzeit=&quot;5/31/2020 8:29:57 PM&quot; root=&quot;/BBOOK/DATAPROVIDER[./META/PROPS/ID='BIP_OPE_AID']/DATA&quot; colcount=&quot;7&quot; rowcount=&quot;10&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OPE_AID&quot; infos=&quot;&quot; iscomment=&quot;0&quot;&gt;&lt;SELECT&gt;/BBOOK/DATAPROVIDER[./META/PROPS/ID='BIP_OPE_AID']/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9:51 PM&lt;/DYNAMIZEDON&gt;&lt;LASTUPDATEDBY&gt;milotlu&lt;/LASTUPDATEDBY&gt;&lt;LASTUPDATEDON&gt;5/31/2020 8:31:35 PM&lt;/LASTUPDATEDON&gt;&lt;UTC&gt;1&lt;/UTC&gt;&lt;/UPDATE&gt;&lt;QUERIES bbk=&quot;18983&quot; bbkdesc=&quot;2019 Annual Accounts/EDF from Master Report/DC - Notes to the financial statements&quot; datapro=&quot;BIP_OPE_COFI&quot; tdatapro=&quot;BIP_OPE_COFI&quot; author=&quot;&quot; modtime=&quot;5/31/2020 8:29:57 PM&quot; moduser=&quot;MILOTLU&quot; rolluptime=&quot;&quot; syuser=&quot;MILOTLU&quot; syuzeit=&quot;5/31/2020 8:29:57 PM&quot; root=&quot;/BBOOK/DATAPROVIDER[./META/PROPS/ID='BIP_OPE_COFI']/DATA&quot; colcount=&quot;7&quot; rowcount=&quot;3&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OPE_COFI&quot; infos=&quot;&quot; iscomment=&quot;0&quot;&gt;&lt;SELECT&gt;/BBOOK/DATAPROVIDER[./META/PROPS/ID='BIP_OPE_COFI']/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0:20 PM&lt;/DYNAMIZEDON&gt;&lt;LASTUPDATEDBY&gt;milotlu&lt;/LASTUPDATEDBY&gt;&lt;LASTUPDATEDON&gt;5/31/2020 8:31:43 PM&lt;/LASTUPDATEDON&gt;&lt;UTC&gt;1&lt;/UTC&gt;&lt;/UPDATE&gt;&lt;QUERIES bbk=&quot;18983&quot; bbkdesc=&quot;2019 Annual Accounts/EDF from Master Report/DC - Notes to the financial statements&quot; datapro=&quot;BIP_OPE_BMM&quot; tdatapro=&quot;BIP_OPE_BMM&quot; author=&quot;&quot; modtime=&quot;5/31/2020 8:29:57 PM&quot; moduser=&quot;MILOTLU&quot; rolluptime=&quot;&quot; syuser=&quot;MILOTLU&quot; syuzeit=&quot;5/31/2020 8:29:57 PM&quot; root=&quot;/BBOOK/DATAPROVIDER[./META/PROPS/ID='BIP_OPE_BMM']/DATA&quot; colcount=&quot;3&quot; rowcount=&quot;19&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OPE_BMM&quot; infos=&quot;&quot; iscomment=&quot;0&quot;&gt;&lt;SELECT&gt;/BBOOK/DATAPROVIDER[./META/PROPS/ID='BIP_OPE_BMM']/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0:54 PM&lt;/DYNAMIZEDON&gt;&lt;LASTUPDATEDBY&gt;milotlu&lt;/LASTUPDATEDBY&gt;&lt;LASTUPDATEDON&gt;5/31/2020 8:31:29 PM&lt;/LASTUPDATEDON&gt;&lt;UTC&gt;1&lt;/UTC&gt;&lt;/UPDATE&gt;&lt;QUERIES bbk=&quot;18983&quot; bbkdesc=&quot;2019 Annual Accounts/EDF from Master Report/DC - Notes to the financial statements&quot; datapro=&quot;BIP_FINCOST&quot; tdatapro=&quot;BIP_FINCOST&quot; author=&quot;&quot; modtime=&quot;5/31/2020 8:29:57 PM&quot; moduser=&quot;MILOTLU&quot; rolluptime=&quot;&quot; syuser=&quot;MILOTLU&quot; syuzeit=&quot;5/31/2020 8:29:57 PM&quot; root=&quot;/BBOOK/DATAPROVIDER[./META/PROPS/ID='BIP_FINCOST']/DATA&quot; colcount=&quot;7&quot; rowcount=&quot;3&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FINCOST&quot; infos=&quot;&quot; iscomment=&quot;0&quot;&gt;&lt;SELECT&gt;/BBOOK/DATAPROVIDER[./META/PROPS/ID='BIP_FINCOST']/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1:21 PM&lt;/DYNAMIZEDON&gt;&lt;LASTUPDATEDBY&gt;milotlu&lt;/LASTUPDATEDBY&gt;&lt;LASTUPDATEDON&gt;5/31/2020 8:31:54 PM&lt;/LASTUPDATEDON&gt;&lt;UTC&gt;1&lt;/UTC&gt;&lt;/UPDATE&gt;&lt;QUERIES bbk=&quot;18983&quot; bbkdesc=&quot;2019 Annual Accounts/EDF from Master Report/DC - Notes to the financial statements&quot; datapro=&quot;BIP_OTHEXP&quot; tdatapro=&quot;BIP_OTHEXP&quot; author=&quot;&quot; modtime=&quot;5/31/2020 8:29:57 PM&quot; moduser=&quot;MILOTLU&quot; rolluptime=&quot;&quot; syuser=&quot;MILOTLU&quot; syuzeit=&quot;5/31/2020 8:29:57 PM&quot; root=&quot;/BBOOK/DATAPROVIDER[./META/PROPS/ID='BIP_OTHEXP']/DATA&quot; colcount=&quot;7&quot; rowcount=&quot;7&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OTHEXP&quot; infos=&quot;&quot; iscomment=&quot;0&quot;&gt;&lt;SELECT&gt;/BBOOK/DATAPROVIDER[./META/PROPS/ID='BIP_OTHEXP']/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1:48 PM&lt;/DYNAMIZEDON&gt;&lt;LASTUPDATEDBY&gt;milotlu&lt;/LASTUPDATEDBY&gt;&lt;LASTUPDATEDON&gt;5/31/2020 8:31:50 PM&lt;/LASTUPDATEDON&gt;&lt;UTC&gt;1&lt;/UTC&gt;&lt;/UPDATE&gt;&lt;QUERIES bbk=&quot;18983&quot; bbkdesc=&quot;2019 Annual Accounts/EDF from Master Report/DC - Notes to the financial statements&quot; datapro=&quot;BIP_CONTGASSTS&quot; tdatapro=&quot;BIP_CONTGASSTS&quot; author=&quot;&quot; modtime=&quot;5/31/2020 8:29:57 PM&quot; moduser=&quot;MILOTLU&quot; rolluptime=&quot;&quot; syuser=&quot;MILOTLU&quot; syuzeit=&quot;5/31/2020 8:29:57 PM&quot; root=&quot;/BBOOK/DATAPROVIDER[./META/PROPS/ID='BIP_CONTGASSTS']/DATA&quot; colcount=&quot;7&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ONTGASSTS&quot; infos=&quot;&quot; iscomment=&quot;0&quot;&gt;&lt;SELECT&gt;/BBOOK/DATAPROVIDER[./META/PROPS/ID='BIP_CONTGASSTS']/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1:49 PM&lt;/DYNAMIZEDON&gt;&lt;LASTUPDATEDBY&gt;MILOTLU&lt;/LASTUPDATEDBY&gt;&lt;LASTUPDATEDON&gt;5/31/2020 8:11:41 PM&lt;/LASTUPDATEDON&gt;&lt;UTC&gt;1&lt;/UTC&gt;&lt;/UPDATE&gt;&lt;QUERIES bbk=&quot;19001&quot; bbkdesc=&quot;2019 Annual Accounts/EDF from Master Report/DC - Currency risk and other Inform tables&quot; datapro=&quot;BIP_FARC&quot; tdatapro=&quot;BIP_FARC&quot; author=&quot;&quot; modtime=&quot;5/31/2020 8:11:26 PM&quot; moduser=&quot;MILOTLU&quot; rolluptime=&quot;&quot; syuser=&quot;MILOTLU&quot; syuzeit=&quot;5/31/2020 8:11:26 PM&quot; root=&quot;/BBOOK/DATAPROVIDER[./META/PROPS/ID='BIP_FARC']/DATA&quot; colcount=&quot;7&quot; rowcount=&quot;14&quot; url=&quot;&quot; dynamizeds=&quot;SAP Disclosure Management - Production&quot; dynamizedstype=&quot;9&quot; refreshds=&quot;&quot; viewtype=&quot;1&quot;&gt;&lt;QUERY reftype=&quot;ABS&quot; elmntsel=&quot;TABLE&quot; bbk=&quot;19001&quot; bbkdesc=&quot;2019 Annual Accounts/EDF from Master Report/DC - Currency risk and other Inform tables&quot; datapro=&quot;BIP_FARC&quot; infos=&quot;&quot; iscomment=&quot;0&quot;&gt;&lt;SELECT&gt;/BBOOK/DATAPROVIDER[./META/PROPS/ID='BIP_FARC']/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2:43 PM&lt;/DYNAMIZEDON&gt;&lt;LASTUPDATEDBY&gt;MILOTLU&lt;/LASTUPDATEDBY&gt;&lt;LASTUPDATEDON&gt;5/31/2020 8:11:41 PM&lt;/LASTUPDATEDON&gt;&lt;UTC&gt;1&lt;/UTC&gt;&lt;/UPDATE&gt;&lt;QUERIES bbk=&quot;19001&quot; bbkdesc=&quot;2019 Annual Accounts/EDF from Master Report/DC - Currency risk and other Inform tables&quot; datapro=&quot;BIP_LR&quot; tdatapro=&quot;BIP_LR&quot; author=&quot;&quot; modtime=&quot;5/31/2020 8:11:26 PM&quot; moduser=&quot;MILOTLU&quot; rolluptime=&quot;&quot; syuser=&quot;MILOTLU&quot; syuzeit=&quot;5/31/2020 8:11:26 PM&quot; root=&quot;/BBOOK/DATAPROVIDER[./META/PROPS/ID='BIP_LR']/DATA&quot; colcount=&quot;5&quot; rowcount=&quot;6&quot; url=&quot;&quot; dynamizeds=&quot;SAP Disclosure Management - Production&quot; dynamizedstype=&quot;9&quot; refreshds=&quot;&quot; viewtype=&quot;1&quot;&gt;&lt;QUERY reftype=&quot;ABS&quot; elmntsel=&quot;TABLE&quot; bbk=&quot;19001&quot; bbkdesc=&quot;2019 Annual Accounts/EDF from Master Report/DC - Currency risk and other Inform tables&quot; datapro=&quot;BIP_LR&quot; infos=&quot;&quot; iscomment=&quot;0&quot;&gt;&lt;SELECT&gt;/BBOOK/DATAPROVIDER[./META/PROPS/ID='BIP_LR']/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8:18 PM&lt;/DYNAMIZEDON&gt;&lt;LASTUPDATEDBY&gt;MILOTLU&lt;/LASTUPDATEDBY&gt;&lt;LASTUPDATEDON&gt;5/31/2020 8:11:41 PM&lt;/LASTUPDATEDON&gt;&lt;UTC&gt;1&lt;/UTC&gt;&lt;/UPDATE&gt;&lt;QUERIES bbk=&quot;19001&quot; bbkdesc=&quot;2019 Annual Accounts/EDF from Master Report/DC - Currency risk and other Inform tables&quot; datapro=&quot;BIP_ECRBDGR&quot; tdatapro=&quot;BIP_ECRBDGR&quot; author=&quot;&quot; modtime=&quot;5/31/2020 8:11:26 PM&quot; moduser=&quot;MILOTLU&quot; rolluptime=&quot;&quot; syuser=&quot;MILOTLU&quot; syuzeit=&quot;5/31/2020 8:11:26 PM&quot; root=&quot;/BBOOK/DATAPROVIDER[./META/PROPS/ID='BIP_ECRBDGR']/DATA&quot; colcount=&quot;3&quot; rowcount=&quot;18&quot; url=&quot;&quot; dynamizeds=&quot;SAP Disclosure Management - Production&quot; dynamizedstype=&quot;9&quot; refreshds=&quot;&quot; viewtype=&quot;1&quot;&gt;&lt;QUERY reftype=&quot;ABS&quot; elmntsel=&quot;TABLE&quot; bbk=&quot;19001&quot; bbkdesc=&quot;2019 Annual Accounts/EDF from Master Report/DC - Currency risk and other Inform tables&quot; datapro=&quot;BIP_ECRBDGR&quot; infos=&quot;&quot; iscomment=&quot;0&quot;&gt;&lt;SELECT&gt;/BBOOK/DATAPROVIDER[./META/PROPS/ID='BIP_ECRBDGR']/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8:47 PM&lt;/DYNAMIZEDON&gt;&lt;LASTUPDATEDBY&gt;MILOTLU&lt;/LASTUPDATEDBY&gt;&lt;LASTUPDATEDON&gt;5/31/2020 8:11:43 PM&lt;/LASTUPDATEDON&gt;&lt;UTC&gt;1&lt;/UTC&gt;&lt;/UPDATE&gt;&lt;QUERIES bbk=&quot;18319&quot; bbkdesc=&quot;2019 Annual Accounts/New BEKOU Annual accounts/DC - Financial Statements&quot; datapro=&quot;BIP_BS&quot; tdatapro=&quot;BIP_BS&quot; author=&quot;&quot; modtime=&quot;4/28/2020 12:58:44 PM&quot; moduser=&quot;MILOTLU&quot; rolluptime=&quot;&quot; syuser=&quot;MILOTLU&quot; syuzeit=&quot;4/28/2020 12:58:44 PM&quot; root=&quot;/BBOOK/DATAPROVIDER[./META/PROPS/ID='BIP_BS']/DATA&quot; colcount=&quot;4&quot; rowcount=&quot;28&quot; url=&quot;&quot; dynamizeds=&quot;SAP Disclosure Management - Production&quot; dynamizedstype=&quot;9&quot; refreshds=&quot;&quot; viewtype=&quot;1&quot;&gt;&lt;QUERY reftype=&quot;ABS&quot; elmntsel=&quot;TABLE&quot; bbk=&quot;18319&quot; bbkdesc=&quot;2019 Annual Accounts/New BEKOU Annual accounts/DC - Financial Statements&quot; datapro=&quot;BIP_BS&quot; infos=&quot;&quot; iscomment=&quot;0&quot;&gt;&lt;SELECT&gt;/BBOOK/DATAPROVIDER[./META/PROPS/ID='BIP_BS']/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9:21 PM&lt;/DYNAMIZEDON&gt;&lt;LASTUPDATEDBY&gt;MILOTLU&lt;/LASTUPDATEDBY&gt;&lt;LASTUPDATEDON&gt;5/31/2020 8:11:43 PM&lt;/LASTUPDATEDON&gt;&lt;UTC&gt;1&lt;/UTC&gt;&lt;/UPDATE&gt;&lt;QUERIES bbk=&quot;18319&quot; bbkdesc=&quot;2019 Annual Accounts/New BEKOU Annual accounts/DC - Financial Statements&quot; datapro=&quot;BIP_FP&quot; tdatapro=&quot;BIP_FP&quot; author=&quot;&quot; modtime=&quot;4/28/2020 12:58:44 PM&quot; moduser=&quot;MILOTLU&quot; rolluptime=&quot;&quot; syuser=&quot;MILOTLU&quot; syuzeit=&quot;4/28/2020 12:58:44 PM&quot; root=&quot;/BBOOK/DATAPROVIDER[./META/PROPS/ID='BIP_FP']/DATA&quot; colcount=&quot;4&quot; rowcount=&quot;16&quot; url=&quot;&quot; dynamizeds=&quot;SAP Disclosure Management - Production&quot; dynamizedstype=&quot;9&quot; refreshds=&quot;&quot; viewtype=&quot;1&quot;&gt;&lt;QUERY reftype=&quot;ABS&quot; elmntsel=&quot;TABLE&quot; bbk=&quot;18319&quot; bbkdesc=&quot;2019 Annual Accounts/New BEKOU Annual accounts/DC - Financial Statements&quot; datapro=&quot;BIP_FP&quot; infos=&quot;&quot; iscomment=&quot;0&quot;&gt;&lt;SELECT&gt;/BBOOK/DATAPROVIDER[./META/PROPS/ID='BIP_FP']/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9:56 PM&lt;/DYNAMIZEDON&gt;&lt;LASTUPDATEDBY&gt;MILOTLU&lt;/LASTUPDATEDBY&gt;&lt;LASTUPDATEDON&gt;5/31/2020 8:11:43 PM&lt;/LASTUPDATEDON&gt;&lt;UTC&gt;1&lt;/UTC&gt;&lt;/UPDATE&gt;&lt;QUERIES bbk=&quot;18319&quot; bbkdesc=&quot;2019 Annual Accounts/New BEKOU Annual accounts/DC - Financial Statements&quot; datapro=&quot;BIP_CF&quot; tdatapro=&quot;BIP_CF&quot; author=&quot;&quot; modtime=&quot;4/28/2020 12:58:44 PM&quot; moduser=&quot;MILOTLU&quot; rolluptime=&quot;&quot; syuser=&quot;MILOTLU&quot; syuzeit=&quot;4/28/2020 12:58:44 PM&quot; root=&quot;/BBOOK/DATAPROVIDER[./META/PROPS/ID='BIP_CF']/DATA&quot; colcount=&quot;3&quot; rowcount=&quot;12&quot; url=&quot;&quot; dynamizeds=&quot;SAP Disclosure Management - Production&quot; dynamizedstype=&quot;9&quot; refreshds=&quot;&quot; viewtype=&quot;1&quot;&gt;&lt;QUERY reftype=&quot;ABS&quot; elmntsel=&quot;TABLE&quot; bbk=&quot;18319&quot; bbkdesc=&quot;2019 Annual Accounts/New BEKOU Annual accounts/DC - Financial Statements&quot; datapro=&quot;BIP_CF&quot; infos=&quot;&quot; iscomment=&quot;0&quot;&gt;&lt;SELECT&gt;/BBOOK/DATAPROVIDER[./META/PROPS/ID='BIP_CF']/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3:31 PM&lt;/DYNAMIZEDON&gt;&lt;LASTUPDATEDBY&gt;MILOTLU&lt;/LASTUPDATEDBY&gt;&lt;LASTUPDATEDON&gt;5/31/2020 8:11:43 PM&lt;/LASTUPDATEDON&gt;&lt;UTC&gt;1&lt;/UTC&gt;&lt;/UPDATE&gt;&lt;QUERIES bbk=&quot;17933&quot; bbkdesc=&quot;2019 Annual Accounts/New AFRICA Annual Accounts/DC - Financial Statements&quot; datapro=&quot;BIP_BS&quot; tdatapro=&quot;BIP_BS&quot; author=&quot;&quot; modtime=&quot;4/30/2020 4:11:42 PM&quot; moduser=&quot;MILOTLU&quot; rolluptime=&quot;&quot; syuser=&quot;MILOTLU&quot; syuzeit=&quot;4/30/2020 4:11:42 PM&quot; root=&quot;/BBOOK/DATAPROVIDER[./META/PROPS/ID='BIP_BS']/DATA&quot; colcount=&quot;4&quot; rowcount=&quot;28&quot; url=&quot;&quot; dynamizeds=&quot;SAP Disclosure Management - Production&quot; dynamizedstype=&quot;9&quot; refreshds=&quot;&quot; viewtype=&quot;1&quot;&gt;&lt;QUERY reftype=&quot;ABS&quot; elmntsel=&quot;TABLE&quot; bbk=&quot;17933&quot; bbkdesc=&quot;2019 Annual Accounts/New AFRICA Annual Accounts/DC - Financial Statements&quot; datapro=&quot;BIP_BS&quot; infos=&quot;&quot; iscomment=&quot;0&quot;&gt;&lt;SELECT&gt;/BBOOK/DATAPROVIDER[./META/PROPS/ID='BIP_BS']/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4:28 PM&lt;/DYNAMIZEDON&gt;&lt;LASTUPDATEDBY&gt;MILOTLU&lt;/LASTUPDATEDBY&gt;&lt;LASTUPDATEDON&gt;5/31/2020 8:11:43 PM&lt;/LASTUPDATEDON&gt;&lt;UTC&gt;1&lt;/UTC&gt;&lt;/UPDATE&gt;&lt;QUERIES bbk=&quot;17933&quot; bbkdesc=&quot;2019 Annual Accounts/New AFRICA Annual Accounts/DC - Financial Statements&quot; datapro=&quot;BIP_FP&quot; tdatapro=&quot;BIP_FP&quot; author=&quot;&quot; modtime=&quot;4/30/2020 4:11:42 PM&quot; moduser=&quot;MILOTLU&quot; rolluptime=&quot;&quot; syuser=&quot;MILOTLU&quot; syuzeit=&quot;4/30/2020 4:11:42 PM&quot; root=&quot;/BBOOK/DATAPROVIDER[./META/PROPS/ID='BIP_FP']/DATA&quot; colcount=&quot;4&quot; rowcount=&quot;18&quot; url=&quot;&quot; dynamizeds=&quot;SAP Disclosure Management - Production&quot; dynamizedstype=&quot;9&quot; refreshds=&quot;&quot; viewtype=&quot;1&quot;&gt;&lt;QUERY reftype=&quot;ABS&quot; elmntsel=&quot;TABLE&quot; bbk=&quot;17933&quot; bbkdesc=&quot;2019 Annual Accounts/New AFRICA Annual Accounts/DC - Financial Statements&quot; datapro=&quot;BIP_FP&quot; infos=&quot;&quot; iscomment=&quot;0&quot;&gt;&lt;SELECT&gt;/BBOOK/DATAPROVIDER[./META/PROPS/ID='BIP_FP']/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6:34 PM&lt;/DYNAMIZEDON&gt;&lt;LASTUPDATEDBY&gt;MILOTLU&lt;/LASTUPDATEDBY&gt;&lt;LASTUPDATEDON&gt;5/31/2020 8:11:43 PM&lt;/LASTUPDATEDON&gt;&lt;UTC&gt;1&lt;/UTC&gt;&lt;/UPDATE&gt;&lt;QUERIES bbk=&quot;17933&quot; bbkdesc=&quot;2019 Annual Accounts/New AFRICA Annual Accounts/DC - Financial Statements&quot; datapro=&quot;BIP_CF&quot; tdatapro=&quot;BIP_CF&quot; author=&quot;&quot; modtime=&quot;4/30/2020 4:11:42 PM&quot; moduser=&quot;MILOTLU&quot; rolluptime=&quot;&quot; syuser=&quot;MILOTLU&quot; syuzeit=&quot;4/30/2020 4:11:42 PM&quot; root=&quot;/BBOOK/DATAPROVIDER[./META/PROPS/ID='BIP_CF']/DATA&quot; colcount=&quot;3&quot; rowcount=&quot;14&quot; url=&quot;&quot; dynamizeds=&quot;SAP Disclosure Management - Production&quot; dynamizedstype=&quot;9&quot; refreshds=&quot;&quot; viewtype=&quot;1&quot;&gt;&lt;QUERY reftype=&quot;ABS&quot; elmntsel=&quot;TABLE&quot; bbk=&quot;17933&quot; bbkdesc=&quot;2019 Annual Accounts/New AFRICA Annual Accounts/DC - Financial Statements&quot; datapro=&quot;BIP_CF&quot; infos=&quot;&quot; iscomment=&quot;0&quot;&gt;&lt;SELECT&gt;/BBOOK/DATAPROVIDER[./META/PROPS/ID='BIP_CF']/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3/11/2020 4:36:57 PM&lt;/DYNAMIZEDON&gt;&lt;LASTUPDATEDBY&gt;MILOTLU&lt;/LASTUPDATEDBY&gt;&lt;LASTUPDATEDON&gt;5/31/2020 8:11:43 PM&lt;/LASTUPDATEDON&gt;&lt;UTC&gt;1&lt;/UTC&gt;&lt;/UPDATE&gt;&lt;QUERIES bbk=&quot;18992&quot; bbkdesc=&quot;2019 Annual Accounts/EDF from Master Report/DC - Conso Statements EDF_TFs&quot; datapro=&quot;BIP_CONSBS&quot; tdatapro=&quot;BIP_CONSBS&quot; author=&quot;&quot; modtime=&quot;5/31/2020 8:11:24 PM&quot; moduser=&quot;MILOTLU&quot; rolluptime=&quot;&quot; syuser=&quot;MILOTLU&quot; syuzeit=&quot;5/31/2020 8:11:24 PM&quot; root=&quot;/BBOOK/DATAPROVIDER[./META/PROPS/ID='BIP_CONSBS']/DATA&quot; colcount=&quot;3&quot; rowcount=&quot;31&quot; url=&quot;&quot; dynamizeds=&quot;SAP Disclosure Management - Production&quot; dynamizedstype=&quot;9&quot; refreshds=&quot;&quot; viewtype=&quot;1&quot;&gt;&lt;QUERY reftype=&quot;ABS&quot; elmntsel=&quot;TABLE&quot; bbk=&quot;18992&quot; bbkdesc=&quot;2019 Annual Accounts/EDF from Master Report/DC - Conso Statements EDF_TFs&quot; datapro=&quot;BIP_CONSBS&quot; infos=&quot;&quot; iscomment=&quot;0&quot;&gt;&lt;SELECT&gt;/BBOOK/DATAPROVIDER[./META/PROPS/ID='BIP_CONSBS']/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otlu&lt;/DYNAMIZEDBY&gt;&lt;DYNAMIZEDON&gt;23/03/2020 15:47:14&lt;/DYNAMIZEDON&gt;&lt;LASTUPDATEDBY&gt;MILOTLU&lt;/LASTUPDATEDBY&gt;&lt;LASTUPDATEDON&gt;5/31/2020 8:11:43 PM&lt;/LASTUPDATEDON&gt;&lt;UTC&gt;1&lt;/UTC&gt;&lt;/UPDATE&gt;&lt;QUERIES bbk=&quot;18992&quot; bbkdesc=&quot;2019 Annual Accounts/EDF from Master Report/DC - Conso Statements EDF_TFs&quot; datapro=&quot;BIP_CONSPL&quot; tdatapro=&quot;BIP_CONSPL&quot; author=&quot;&quot; modtime=&quot;5/31/2020 8:11:24 PM&quot; moduser=&quot;MILOTLU&quot; rolluptime=&quot;&quot; syuser=&quot;MILOTLU&quot; syuzeit=&quot;5/31/2020 8:11:24 PM&quot; root=&quot;/BBOOK/DATAPROVIDER[./META/PROPS/ID='BIP_CONSPL']/DATA&quot; colcount=&quot;3&quot; rowcount=&quot;21&quot; url=&quot;&quot; dynamizeds=&quot;SAP Disclosure Management - Production&quot; dynamizedstype=&quot;9&quot; refreshds=&quot;&quot; viewtype=&quot;1&quot;&gt;&lt;QUERY reftype=&quot;ABS&quot; elmntsel=&quot;TABLE&quot; bbk=&quot;18992&quot; bbkdesc=&quot;2019 Annual Accounts/EDF from Master Report/DC - Conso Statements EDF_TFs&quot; datapro=&quot;BIP_CONSPL&quot; infos=&quot;&quot; iscomment=&quot;0&quot;&gt;&lt;SELECT&gt;/BBOOK/DATAPROVIDER[./META/PROPS/ID='BIP_CONSPL']/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3/16/2020 10:42:12 AM&lt;/DYNAMIZEDON&gt;&lt;LASTUPDATEDBY&gt;MILOTLU&lt;/LASTUPDATEDBY&gt;&lt;LASTUPDATEDON&gt;5/31/2020 8:11:43 PM&lt;/LASTUPDATEDON&gt;&lt;UTC&gt;1&lt;/UTC&gt;&lt;/UPDATE&gt;&lt;QUERIES bbk=&quot;18992&quot; bbkdesc=&quot;2019 Annual Accounts/EDF from Master Report/DC - Conso Statements EDF_TFs&quot; datapro=&quot;BIP_CONSCF&quot; tdatapro=&quot;BIP_CONSCF&quot; author=&quot;&quot; modtime=&quot;5/31/2020 8:11:24 PM&quot; moduser=&quot;MILOTLU&quot; rolluptime=&quot;&quot; syuser=&quot;MILOTLU&quot; syuzeit=&quot;5/31/2020 8:11:24 PM&quot; root=&quot;/BBOOK/DATAPROVIDER[./META/PROPS/ID='BIP_CONSCF']/DATA&quot; colcount=&quot;3&quot; rowcount=&quot;20&quot; url=&quot;&quot; dynamizeds=&quot;SAP Disclosure Management - Production&quot; dynamizedstype=&quot;9&quot; refreshds=&quot;&quot; viewtype=&quot;1&quot;&gt;&lt;QUERY reftype=&quot;ABS&quot; elmntsel=&quot;TABLE&quot; bbk=&quot;18992&quot; bbkdesc=&quot;2019 Annual Accounts/EDF from Master Report/DC - Conso Statements EDF_TFs&quot; datapro=&quot;BIP_CONSCF&quot; infos=&quot;&quot; iscomment=&quot;0&quot;&gt;&lt;SELECT&gt;/BBOOK/DATAPROVIDER[./META/PROPS/ID='BIP_CONSCF']/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27:45 PM&lt;/DYNAMIZEDON&gt;&lt;LASTUPDATEDBY&gt;MILOTLU&lt;/LASTUPDATEDBY&gt;&lt;LASTUPDATEDON&gt;5/31/2020 8:11:44 PM&lt;/LASTUPDATEDON&gt;&lt;UTC&gt;1&lt;/UTC&gt;&lt;/UPDATE&gt;&lt;QUERIES bbk=&quot;18992&quot; bbkdesc=&quot;2019 Annual Accounts/EDF from Master Report/DC - Conso Statements EDF_TFs&quot; datapro=&quot;BIP_CONSNA&quot; tdatapro=&quot;BIP_CONSNA&quot; author=&quot;&quot; modtime=&quot;5/31/2020 8:11:24 PM&quot; moduser=&quot;MILOTLU&quot; rolluptime=&quot;&quot; syuser=&quot;MILOTLU&quot; syuzeit=&quot;5/31/2020 8:11:24 PM&quot; root=&quot;/BBOOK/DATAPROVIDER[./META/PROPS/ID='BIP_CONSNA']/DATA&quot; colcount=&quot;8&quot; rowcount=&quot;10&quot; url=&quot;&quot; dynamizeds=&quot;SAP Disclosure Management - Production&quot; dynamizedstype=&quot;9&quot; refreshds=&quot;&quot; viewtype=&quot;1&quot;&gt;&lt;QUERY reftype=&quot;ABS&quot; elmntsel=&quot;TABLE&quot; bbk=&quot;18992&quot; bbkdesc=&quot;2019 Annual Accounts/EDF from Master Report/DC - Conso Statements EDF_TFs&quot; datapro=&quot;BIP_CONSNA&quot; infos=&quot;&quot; iscomment=&quot;0&quot;&gt;&lt;SELECT&gt;/BBOOK/DATAPROVIDER[./META/PROPS/ID='BIP_CONSNA']/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09/03/2020 4:47:44 PM&lt;/DYNAMIZEDON&gt;&lt;LASTUPDATEDBY&gt;MILOTLU&lt;/LASTUPDATEDBY&gt;&lt;LASTUPDATEDON&gt;5/31/2020 8:11:45 PM&lt;/LASTUPDATEDON&gt;&lt;UTC&gt;1&lt;/UTC&gt;&lt;/UPDATE&gt;&lt;QUERIES bbk=&quot;19004&quot; bbkdesc=&quot;2019 Annual Accounts/EDF from Master Report/DC - DEVCO uploads&quot; datapro=&quot;BIP_Table1.1&quot; tdatapro=&quot;BIP_Table1.1&quot; author=&quot;&quot; modtime=&quot;3/11/2020 1:05:33 PM&quot; moduser=&quot;kythrst&quot; rolluptime=&quot;&quot; syuser=&quot;kythrst&quot; syuzeit=&quot;3/11/2020 1:05:33 PM&quot; root=&quot;/BBOOK/DATAPROVIDER[./META/PROPS/ID='BIP_Table1.1']/DATA&quot; colcount=&quot;7&quot; rowcount=&quot;40&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1.1&quot; infos=&quot;&quot; iscomment=&quot;0&quot;&gt;&lt;SELECT&gt;/BBOOK/DATAPROVIDER[./META/PROPS/ID='BIP_Table1.1']/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11:43 PM&lt;/DYNAMIZEDON&gt;&lt;LASTUPDATEDBY&gt;MILOTLU&lt;/LASTUPDATEDBY&gt;&lt;LASTUPDATEDON&gt;5/31/2020 8:11:45 PM&lt;/LASTUPDATEDON&gt;&lt;UTC&gt;1&lt;/UTC&gt;&lt;/UPDATE&gt;&lt;QUERIES bbk=&quot;19004&quot; bbkdesc=&quot;2019 Annual Accounts/EDF from Master Report/DC - DEVCO uploads&quot; datapro=&quot;BIP_Table_1.2&quot; tdatapro=&quot;BIP_Table_1.2&quot; author=&quot;&quot; modtime=&quot;3/11/2020 1:05:33 PM&quot; moduser=&quot;kythrst&quot; rolluptime=&quot;&quot; syuser=&quot;kythrst&quot; syuzeit=&quot;3/11/2020 1:05:33 PM&quot; root=&quot;/BBOOK/DATAPROVIDER[./META/PROPS/ID='BIP_Table_1.2']/DATA&quot; colcount=&quot;7&quot; rowcount=&quot;47&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1.2&quot; infos=&quot;&quot; iscomment=&quot;0&quot;&gt;&lt;SELECT&gt;/BBOOK/DATAPROVIDER[./META/PROPS/ID='BIP_Table_1.2']/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13:09 PM&lt;/DYNAMIZEDON&gt;&lt;LASTUPDATEDBY&gt;MILOTLU&lt;/LASTUPDATEDBY&gt;&lt;LASTUPDATEDON&gt;5/31/2020 8:11:45 PM&lt;/LASTUPDATEDON&gt;&lt;UTC&gt;1&lt;/UTC&gt;&lt;/UPDATE&gt;&lt;QUERIES bbk=&quot;19004&quot; bbkdesc=&quot;2019 Annual Accounts/EDF from Master Report/DC - DEVCO uploads&quot; datapro=&quot;BIP_Table_1.3&quot; tdatapro=&quot;BIP_Table_1.3&quot; author=&quot;&quot; modtime=&quot;3/11/2020 1:05:33 PM&quot; moduser=&quot;kythrst&quot; rolluptime=&quot;&quot; syuser=&quot;kythrst&quot; syuzeit=&quot;3/11/2020 1:05:33 PM&quot; root=&quot;/BBOOK/DATAPROVIDER[./META/PROPS/ID='BIP_Table_1.3']/DATA&quot; colcount=&quot;7&quot; rowcount=&quot;47&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1.3&quot; infos=&quot;&quot; iscomment=&quot;0&quot;&gt;&lt;SELECT&gt;/BBOOK/DATAPROVIDER[./META/PROPS/ID='BIP_Table_1.3']/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14:13 PM&lt;/DYNAMIZEDON&gt;&lt;LASTUPDATEDBY&gt;MILOTLU&lt;/LASTUPDATEDBY&gt;&lt;LASTUPDATEDON&gt;5/31/2020 8:11:45 PM&lt;/LASTUPDATEDON&gt;&lt;UTC&gt;1&lt;/UTC&gt;&lt;/UPDATE&gt;&lt;QUERIES bbk=&quot;19004&quot; bbkdesc=&quot;2019 Annual Accounts/EDF from Master Report/DC - DEVCO uploads&quot; datapro=&quot;BIP_Table_1.4&quot; tdatapro=&quot;BIP_Table_1.4&quot; author=&quot;&quot; modtime=&quot;3/11/2020 1:05:33 PM&quot; moduser=&quot;kythrst&quot; rolluptime=&quot;&quot; syuser=&quot;kythrst&quot; syuzeit=&quot;3/11/2020 1:05:33 PM&quot; root=&quot;/BBOOK/DATAPROVIDER[./META/PROPS/ID='BIP_Table_1.4']/DATA&quot; colcount=&quot;7&quot; rowcount=&quot;54&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1.4&quot; infos=&quot;&quot; iscomment=&quot;0&quot;&gt;&lt;SELECT&gt;/BBOOK/DATAPROVIDER[./META/PROPS/ID='BIP_Table_1.4']/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17:54 PM&lt;/DYNAMIZEDON&gt;&lt;LASTUPDATEDBY&gt;MILOTLU&lt;/LASTUPDATEDBY&gt;&lt;LASTUPDATEDON&gt;5/31/2020 8:11:46 PM&lt;/LASTUPDATEDON&gt;&lt;UTC&gt;1&lt;/UTC&gt;&lt;/UPDATE&gt;&lt;QUERIES bbk=&quot;19004&quot; bbkdesc=&quot;2019 Annual Accounts/EDF from Master Report/DC - DEVCO uploads&quot; datapro=&quot;BIP_Table_2.1a&quot; tdatapro=&quot;BIP_Table_2.1a&quot; author=&quot;&quot; modtime=&quot;3/11/2020 1:05:33 PM&quot; moduser=&quot;kythrst&quot; rolluptime=&quot;&quot; syuser=&quot;kythrst&quot; syuzeit=&quot;3/11/2020 1:05:33 PM&quot; root=&quot;/BBOOK/DATAPROVIDER[./META/PROPS/ID='BIP_Table_2.1a']/DATA&quot; colcount=&quot;11&quot; rowcount=&quot;38&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1a&quot; infos=&quot;&quot; iscomment=&quot;0&quot;&gt;&lt;SELECT&gt;/BBOOK/DATAPROVIDER[./META/PROPS/ID='BIP_Table_2.1a']/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23:13 PM&lt;/DYNAMIZEDON&gt;&lt;LASTUPDATEDBY&gt;MILOTLU&lt;/LASTUPDATEDBY&gt;&lt;LASTUPDATEDON&gt;5/31/2020 8:11:47 PM&lt;/LASTUPDATEDON&gt;&lt;UTC&gt;1&lt;/UTC&gt;&lt;/UPDATE&gt;&lt;QUERIES bbk=&quot;19004&quot; bbkdesc=&quot;2019 Annual Accounts/EDF from Master Report/DC - DEVCO uploads&quot; datapro=&quot;BIP_Table_2.1b&quot; tdatapro=&quot;BIP_Table_2.1b&quot; author=&quot;&quot; modtime=&quot;3/11/2020 1:05:33 PM&quot; moduser=&quot;kythrst&quot; rolluptime=&quot;&quot; syuser=&quot;kythrst&quot; syuzeit=&quot;3/11/2020 1:05:33 PM&quot; root=&quot;/BBOOK/DATAPROVIDER[./META/PROPS/ID='BIP_Table_2.1b']/DATA&quot; colcount=&quot;18&quot; rowcount=&quot;21&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1b&quot; infos=&quot;&quot; iscomment=&quot;0&quot;&gt;&lt;SELECT&gt;/BBOOK/DATAPROVIDER[./META/PROPS/ID='BIP_Table_2.1b']/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1/03/2020 1:07:10 PM&lt;/DYNAMIZEDON&gt;&lt;LASTUPDATEDBY&gt;MILOTLU&lt;/LASTUPDATEDBY&gt;&lt;LASTUPDATEDON&gt;5/31/2020 8:11:48 PM&lt;/LASTUPDATEDON&gt;&lt;UTC&gt;1&lt;/UTC&gt;&lt;/UPDATE&gt;&lt;QUERIES bbk=&quot;19004&quot; bbkdesc=&quot;2019 Annual Accounts/EDF from Master Report/DC - DEVCO uploads&quot; datapro=&quot;BIP_Table_2.2&quot; tdatapro=&quot;BIP_Table_2.2&quot; author=&quot;&quot; modtime=&quot;3/11/2020 1:05:33 PM&quot; moduser=&quot;kythrst&quot; rolluptime=&quot;&quot; syuser=&quot;kythrst&quot; syuzeit=&quot;3/11/2020 1:05:33 PM&quot; root=&quot;/BBOOK/DATAPROVIDER[./META/PROPS/ID='BIP_Table_2.2']/DATA&quot; colcount=&quot;19&quot; rowcount=&quot;135&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2&quot; infos=&quot;&quot; iscomment=&quot;0&quot;&gt;&lt;SELECT&gt;/BBOOK/DATAPROVIDER[./META/PROPS/ID='BIP_Table_2.2']/DATA/ROW&lt;/SELECT&gt;&lt;FILTERS&gt;&lt;FILTER&gt;&lt;/FILTER&gt;&lt;/FILTERS&gt;&lt;/QUERY&gt;&lt;/QUERIES&gt;&lt;/OBJECT&gt;"/>
    <w:docVar w:name="BIP_META_DOC_TBL00064" w:val="&lt;OBJECT&gt;&lt;META&gt;&lt;ID&gt;&lt;/ID&gt;&lt;NAME&gt;DOC_TBL0006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37:05 PM&lt;/DYNAMIZEDON&gt;&lt;LASTUPDATEDBY&gt;MILOTLU&lt;/LASTUPDATEDBY&gt;&lt;LASTUPDATEDON&gt;5/31/2020 8:11:49 PM&lt;/LASTUPDATEDON&gt;&lt;UTC&gt;1&lt;/UTC&gt;&lt;/UPDATE&gt;&lt;QUERIES bbk=&quot;19004&quot; bbkdesc=&quot;2019 Annual Accounts/EDF from Master Report/DC - DEVCO uploads&quot; datapro=&quot;BIP_Table_2.3&quot; tdatapro=&quot;BIP_Table_2.3&quot; author=&quot;&quot; modtime=&quot;3/11/2020 1:05:33 PM&quot; moduser=&quot;kythrst&quot; rolluptime=&quot;&quot; syuser=&quot;kythrst&quot; syuzeit=&quot;3/11/2020 1:05:33 PM&quot; root=&quot;/BBOOK/DATAPROVIDER[./META/PROPS/ID='BIP_Table_2.3']/DATA&quot; colcount=&quot;14&quot; rowcount=&quot;57&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3&quot; infos=&quot;&quot; iscomment=&quot;0&quot;&gt;&lt;SELECT&gt;/BBOOK/DATAPROVIDER[./META/PROPS/ID='BIP_Table_2.3']/DATA/ROW&lt;/SELECT&gt;&lt;FILTERS&gt;&lt;FILTER&gt;&lt;/FILTER&gt;&lt;/FILTERS&gt;&lt;/QUERY&gt;&lt;/QUERIES&gt;&lt;/OBJECT&gt;"/>
    <w:docVar w:name="BIP_META_DOC_TBL00065" w:val="&lt;OBJECT&gt;&lt;META&gt;&lt;ID&gt;&lt;/ID&gt;&lt;NAME&gt;DOC_TBL0006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38:24 PM&lt;/DYNAMIZEDON&gt;&lt;LASTUPDATEDBY&gt;MILOTLU&lt;/LASTUPDATEDBY&gt;&lt;LASTUPDATEDON&gt;5/31/2020 8:11:50 PM&lt;/LASTUPDATEDON&gt;&lt;UTC&gt;1&lt;/UTC&gt;&lt;/UPDATE&gt;&lt;QUERIES bbk=&quot;19004&quot; bbkdesc=&quot;2019 Annual Accounts/EDF from Master Report/DC - DEVCO uploads&quot; datapro=&quot;BIP_Table_2.4&quot; tdatapro=&quot;BIP_Table_2.4&quot; author=&quot;&quot; modtime=&quot;3/11/2020 1:05:33 PM&quot; moduser=&quot;kythrst&quot; rolluptime=&quot;&quot; syuser=&quot;kythrst&quot; syuzeit=&quot;3/11/2020 1:05:33 PM&quot; root=&quot;/BBOOK/DATAPROVIDER[./META/PROPS/ID='BIP_Table_2.4']/DATA&quot; colcount=&quot;14&quot; rowcount=&quot;79&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4&quot; infos=&quot;&quot; iscomment=&quot;0&quot;&gt;&lt;SELECT&gt;/BBOOK/DATAPROVIDER[./META/PROPS/ID='BIP_Table_2.4']/DATA/ROW&lt;/SELECT&gt;&lt;FILTERS&gt;&lt;FILTER&gt;&lt;/FILTER&gt;&lt;/FILTERS&gt;&lt;/QUERY&gt;&lt;/QUERIES&gt;&lt;/OBJECT&gt;"/>
    <w:docVar w:name="BIP_META_DOC_TBL00066" w:val="&lt;OBJECT&gt;&lt;META&gt;&lt;ID&gt;&lt;/ID&gt;&lt;NAME&gt;DOC_TBL0006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39:22 PM&lt;/DYNAMIZEDON&gt;&lt;LASTUPDATEDBY&gt;MILOTLU&lt;/LASTUPDATEDBY&gt;&lt;LASTUPDATEDON&gt;5/31/2020 8:11:49 PM&lt;/LASTUPDATEDON&gt;&lt;UTC&gt;1&lt;/UTC&gt;&lt;/UPDATE&gt;&lt;QUERIES bbk=&quot;19004&quot; bbkdesc=&quot;2019 Annual Accounts/EDF from Master Report/DC - DEVCO uploads&quot; datapro=&quot;BIP_Table_2.5&quot; tdatapro=&quot;BIP_Table_2.5&quot; author=&quot;&quot; modtime=&quot;3/11/2020 1:05:33 PM&quot; moduser=&quot;kythrst&quot; rolluptime=&quot;&quot; syuser=&quot;kythrst&quot; syuzeit=&quot;3/11/2020 1:05:33 PM&quot; root=&quot;/BBOOK/DATAPROVIDER[./META/PROPS/ID='BIP_Table_2.5']/DATA&quot; colcount=&quot;14&quot; rowcount=&quot;90&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5&quot; infos=&quot;&quot; iscomment=&quot;0&quot;&gt;&lt;SELECT&gt;/BBOOK/DATAPROVIDER[./META/PROPS/ID='BIP_Table_2.5']/DATA/ROW&lt;/SELECT&gt;&lt;FILTERS&gt;&lt;FILTER&gt;&lt;/FILTER&gt;&lt;/FILTERS&gt;&lt;/QUERY&gt;&lt;/QUERIES&gt;&lt;/OBJECT&gt;"/>
    <w:docVar w:name="BIP_META_DOC_TBL00067" w:val="&lt;OBJECT&gt;&lt;META&gt;&lt;ID&gt;&lt;/ID&gt;&lt;NAME&gt;DOC_TBL0006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41:02 PM&lt;/DYNAMIZEDON&gt;&lt;LASTUPDATEDBY&gt;MILOTLU&lt;/LASTUPDATEDBY&gt;&lt;LASTUPDATEDON&gt;5/31/2020 8:11:49 PM&lt;/LASTUPDATEDON&gt;&lt;UTC&gt;1&lt;/UTC&gt;&lt;/UPDATE&gt;&lt;QUERIES bbk=&quot;19004&quot; bbkdesc=&quot;2019 Annual Accounts/EDF from Master Report/DC - DEVCO uploads&quot; datapro=&quot;BIP_Table_2.6&quot; tdatapro=&quot;BIP_Table_2.6&quot; author=&quot;&quot; modtime=&quot;3/11/2020 1:05:33 PM&quot; moduser=&quot;kythrst&quot; rolluptime=&quot;&quot; syuser=&quot;kythrst&quot; syuzeit=&quot;3/11/2020 1:05:33 PM&quot; root=&quot;/BBOOK/DATAPROVIDER[./META/PROPS/ID='BIP_Table_2.6']/DATA&quot; colcount=&quot;14&quot; rowcount=&quot;105&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6&quot; infos=&quot;&quot; iscomment=&quot;0&quot;&gt;&lt;SELECT&gt;/BBOOK/DATAPROVIDER[./META/PROPS/ID='BIP_Table_2.6']/DATA/ROW&lt;/SELECT&gt;&lt;FILTERS&gt;&lt;FILTER&gt;&lt;/FILTER&gt;&lt;/FILTERS&gt;&lt;/QUERY&gt;&lt;/QUERIES&gt;&lt;/OBJECT&gt;"/>
    <w:docVar w:name="BIP_VARIABLES" w:val="&lt;BBOOKS&gt;&lt;BBOOK bbname=&quot;DefaultVariables&quot;&gt;&lt;VARIABLES /&gt;&lt;/BBOOK&gt;&lt;BBOOK bbname=&quot;18949&quot; bbdesc=&quot;2019 Annual Accounts/Master Report/DC - Financial Statements&quot; dsname=&quot;SAP Disclosure Management - Production&quot;&gt;&lt;VARIABLES&gt;&lt;/VARIABLES&gt;&lt;/BBOOK&gt;&lt;BBOOK bbname=&quot;18983&quot; bbdesc=&quot;2019 Annual Accounts/EDF from Master Report/DC - Notes to the financial statements&quot; dsname=&quot;SAP Disclosure Management - Production&quot;&gt;&lt;VARIABLES /&gt;&lt;/BBOOK&gt;&lt;BBOOK bbname=&quot;11&quot; bbdesc=&quot;2013 Annual Accounts/EU Annual Accounts/Trial Balance ECCS (xlsx)&quot; dsname=&quot;SAP Disclosure Management - Production&quot;&gt;&lt;VARIABLES /&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1041&quot; bbdesc=&quot;2013 Annual Accounts/EEAS Annual Accounts/DC - Balance Sheet (xlsx)&quot; dsname=&quot;SAP Disclosure Management - Production&quot;&gt;&lt;VARIABLES /&gt;&lt;/BBOOK&gt;&lt;BBOOK bbname=&quot;5999&quot; bbdesc=&quot;2015 Annual Accounts/2015 BBI JU Annual accounts/DC - Balance Sheet (xlsx)&quot; dsname=&quot;SAP Disclosure Management - Production&quot;&gt;&lt;VARIABLES /&gt;&lt;/BBOOK&gt;&lt;BBOOK bbname=&quot;1042&quot; bbdesc=&quot;2013 Annual Accounts/EEAS Annual Accounts/DC - Statement of Financial Performance (xlsx)&quot; dsname=&quot;SAP Disclosure Management - Production&quot;&gt;&lt;VARIABLES /&gt;&lt;/BBOOK&gt;&lt;BBOOK bbname=&quot;2827&quot; bbdesc=&quot;2014 Annual Accounts/EDPS Annual accounts 2014/DC - Statement of Financial Performance del (xlsx)&quot; dsname=&quot;SAP Disclosure Management - Production&quot;&gt;&lt;VARIABLES /&gt;&lt;/BBOOK&gt;&lt;BBOOK bbname=&quot;6014&quot; bbdesc=&quot;2015 Annual Accounts/2015 BBI JU Annual accounts/DC - Statement of Financial Performance (xlsx)&quot; dsname=&quot;SAP Disclosure Management - Production&quot;&gt;&lt;VARIABLES /&gt;&lt;/BBOOK&gt;&lt;BBOOK bbname=&quot;1089&quot; bbdesc=&quot;2013 Annual Accounts/EEAS Annual Accounts/DC - Cashflow statement automated (xlsx)&quot; dsname=&quot;SAP Disclosure Management - Production&quot;&gt;&lt;VARIABLES /&gt;&lt;/BBOOK&gt;&lt;BBOOK bbname=&quot;6001&quot; bbdesc=&quot;2015 Annual Accounts/2015 BBI JU Annual accounts/DC - Cashflow statement (xlsx)&quot; dsname=&quot;SAP Disclosure Management - Production&quot;&gt;&lt;VARIABLES /&gt;&lt;/BBOOK&gt;&lt;BBOOK bbname=&quot;6000&quot; bbdesc=&quot;2015 Annual Accounts/2015 BBI JU Annual accounts/DC - Statement of changes in net assets (xlsx)&quot; dsname=&quot;SAP Disclosure Management - Production&quot;&gt;&lt;VARIABLES /&gt;&lt;/BBOOK&gt;&lt;BBOOK bbname=&quot;6041&quot; bbdesc=&quot;2015 Annual Accounts/2015 BBI JU Annual accounts/DC - Accrued charges and Deferred income (xlsx)&quot; dsname=&quot;SAP Disclosure Management - Production&quot;&gt;&lt;VARIABLES /&gt;&lt;/BBOOK&gt;&lt;BBOOK bbname=&quot;5383&quot; bbdesc=&quot;2015 Annual Accounts/EEAS Annual accounts/DC - DeprecRates (xlsx)&quot; dsname=&quot;SAP Disclosure Management - Production&quot;&gt;&lt;VARIABLES /&gt;&lt;/BBOOK&gt;&lt;BBOOK bbname=&quot;2532&quot; bbdesc=&quot;2014 Annual Accounts/EC Annual Accounts/DC - Intangible assets (xlsx)&quot; dsname=&quot;SAP Disclosure Management - Production&quot;&gt;&lt;VARIABLES /&gt;&lt;/BBOOK&gt;&lt;BBOOK bbname=&quot;3083&quot; bbdesc=&quot;2014 Annual Accounts/EEAS Annual Accounts 2014/DC - Intangible fixed assets and PPE CY (xlsx)&quot; dsname=&quot;SAP Disclosure Management - Production&quot;&gt;&lt;VARIABLES /&gt;&lt;/BBOOK&gt;&lt;BBOOK bbname=&quot;2533&quot; bbdesc=&quot;2014 Annual Accounts/EC Annual Accounts/DC - Property plant and equipment (xlsx)&quot; dsname=&quot;SAP Disclosure Management - Production&quot;&gt;&lt;VARIABLES /&gt;&lt;/BBOOK&gt;&lt;BBOOK bbname=&quot;6030&quot; bbdesc=&quot;2015 Annual Accounts/2015 BBI JU Annual accounts/DC - PPE CY (xlsx)&quot; dsname=&quot;SAP Disclosure Management - Production&quot;&gt;&lt;VARIABLES /&gt;&lt;/BBOOK&gt;&lt;BBOOK bbname=&quot;2536&quot; bbdesc=&quot;2014 Annual Accounts/EC Annual Accounts/DC - Pre-financing (xlsx)&quot; dsname=&quot;SAP Disclosure Management - Production&quot;&gt;&lt;VARIABLES /&gt;&lt;/BBOOK&gt;&lt;BBOOK bbname=&quot;2438&quot; bbdesc=&quot;2014 Annual Accounts/EC Annual Accounts/DC - Pre-financing detailed (xlsx)&quot; dsname=&quot;SAP Disclosure Management - Production&quot;&gt;&lt;VARIABLES /&gt;&lt;/BBOOK&gt;&lt;BBOOK bbname=&quot;3090&quot; bbdesc=&quot;2014 Annual Accounts/EEAS Annual Accounts 2014/DC - Pre-financing (xlsx)&quot; dsname=&quot;SAP Disclosure Management - Production&quot;&gt;&lt;VARIABLES /&gt;&lt;/BBOOK&gt;&lt;BBOOK bbname=&quot;3091&quot; bbdesc=&quot;2014 Annual Accounts/EEAS Annual Accounts 2014/DC - Pre-financing detailed (xlsx)&quot; dsname=&quot;SAP Disclosure Management - Production&quot;&gt;&lt;VARIABLES /&gt;&lt;/BBOOK&gt;&lt;BBOOK bbname=&quot;6036&quot; bbdesc=&quot;2015 Annual Accounts/2015 BBI JU Annual accounts/DC - Pre-financing (xlsx)&quot; dsname=&quot;SAP Disclosure Management - Production&quot;&gt;&lt;VARIABLES /&gt;&lt;/BBOOK&gt;&lt;BBOOK bbname=&quot;2440&quot; bbdesc=&quot;2014 Annual Accounts/EC Annual Accounts/DC - Exchange receivables and Non-exchange recoverables (xlsx)&quot; dsname=&quot;SAP Disclosure Management - Production&quot;&gt;&lt;VARIABLES /&gt;&lt;/BBOOK&gt;&lt;BBOOK bbname=&quot;2442&quot; bbdesc=&quot;2014 Annual Accounts/EC Annual Accounts/DC - Recoverables from Member States (xlsx)&quot; dsname=&quot;SAP Disclosure Management - Production&quot;&gt;&lt;VARIABLES /&gt;&lt;/BBOOK&gt;&lt;BBOOK bbname=&quot;2483&quot; bbdesc=&quot;2014 Annual Accounts/EC Annual Accounts/DC - Fines (xlsx)&quot; dsname=&quot;SAP Disclosure Management - Production&quot;&gt;&lt;VARIABLES /&gt;&lt;/BBOOK&gt;&lt;BBOOK bbname=&quot;2444&quot; bbdesc=&quot;2014 Annual Accounts/EC Annual Accounts/DC - Accrued income and Deferred charges (xlsx)&quot; dsname=&quot;SAP Disclosure Management - Production&quot;&gt;&lt;VARIABLES /&gt;&lt;/BBOOK&gt;&lt;BBOOK bbname=&quot;2545&quot; bbdesc=&quot;2014 Annual Accounts/EC Annual Accounts/DC - Accrued charges and Deferred income (xlsx)&quot; dsname=&quot;SAP Disclosure Management - Production&quot;&gt;&lt;VARIABLES /&gt;&lt;/BBOOK&gt;&lt;BBOOK bbname=&quot;3085&quot; bbdesc=&quot;2014 Annual Accounts/EEAS Annual Accounts 2014/DC - Exchange receivables and Non-exchange recoverables (xlsx)&quot; dsname=&quot;SAP Disclosure Management - Production&quot;&gt;&lt;VARIABLES /&gt;&lt;/BBOOK&gt;&lt;BBOOK bbname=&quot;3086&quot; bbdesc=&quot;2014 Annual Accounts/EEAS Annual Accounts 2014/DC - Recoverables from Member States (xlsx)&quot; dsname=&quot;SAP Disclosure Management - Production&quot;&gt;&lt;VARIABLES /&gt;&lt;/BBOOK&gt;&lt;BBOOK bbname=&quot;3087&quot; bbdesc=&quot;2014 Annual Accounts/EEAS Annual Accounts 2014/DC - Accrued income and Deferred charges (xlsx)&quot; dsname=&quot;SAP Disclosure Management - Production&quot;&gt;&lt;VARIABLES /&gt;&lt;/BBOOK&gt;&lt;BBOOK bbname=&quot;6032&quot; bbdesc=&quot;2015 Annual Accounts/2015 BBI JU Annual accounts/DC - Exchange receivables and Non-exchange recoverables (xlsx)&quot; dsname=&quot;SAP Disclosure Management - Production&quot;&gt;&lt;VARIABLES /&gt;&lt;/BBOOK&gt;&lt;BBOOK bbname=&quot;3201&quot; bbdesc=&quot;2014 Annual Accounts/FCH JU Annual accounts 2014/DC - Accrued income and Deferred charges (xlsx)&quot; dsname=&quot;SAP Disclosure Management - Production&quot;&gt;&lt;VARIABLES /&gt;&lt;/BBOOK&gt;&lt;BBOOK bbname=&quot;2540&quot; bbdesc=&quot;2014 Annual Accounts/EC Annual Accounts/DC - Provisions (xlsx)&quot; dsname=&quot;SAP Disclosure Management - Production&quot;&gt;&lt;VARIABLES /&gt;&lt;/BBOOK&gt;&lt;BBOOK bbname=&quot;3097&quot; bbdesc=&quot;2014 Annual Accounts/EEAS Annual Accounts 2014/DC - Provisions (xlsx)&quot; dsname=&quot;SAP Disclosure Management - Production&quot;&gt;&lt;VARIABLES /&gt;&lt;/BBOOK&gt;&lt;BBOOK bbname=&quot;3203&quot; bbdesc=&quot;2014 Annual Accounts/FCH JU Annual accounts 2014/DC - Provisions (xlsx)&quot; dsname=&quot;SAP Disclosure Management - Production&quot;&gt;&lt;VARIABLES /&gt;&lt;/BBOOK&gt;&lt;BBOOK bbname=&quot;2903&quot; bbdesc=&quot;2014 Annual Accounts/EEAS Annual Accounts 2014/DC - Payables (xlsx)&quot; dsname=&quot;SAP Disclosure Management - Production&quot;&gt;&lt;VARIABLES /&gt;&lt;/BBOOK&gt;&lt;BBOOK bbname=&quot;3283&quot; bbdesc=&quot;2014 Annual Accounts/CEPOL Annual accounts 2014/DC - Payables (xlsx)&quot; dsname=&quot;SAP Disclosure Management - Production&quot;&gt;&lt;VARIABLES /&gt;&lt;/BBOOK&gt;&lt;BBOOK bbname=&quot;6043&quot; bbdesc=&quot;2015 Annual Accounts/2015 BBI JU Annual accounts/DC - Payables (xlsx)&quot; dsname=&quot;SAP Disclosure Management - Production&quot;&gt;&lt;VARIABLES /&gt;&lt;/BBOOK&gt;&lt;BBOOK bbname=&quot;3112&quot; bbdesc=&quot;2014 Annual Accounts/EEAS Annual Accounts 2014/DC - Accrued charges and Deferred income (xlsx)&quot; dsname=&quot;SAP Disclosure Management - Production&quot;&gt;&lt;VARIABLES /&gt;&lt;/BBOOK&gt;&lt;BBOOK bbname=&quot;5303&quot; bbdesc=&quot;2015 Annual Accounts/2015 FCH JU Annual accounts/DC - Accrued charges and Deferred income (xlsx)&quot; dsname=&quot;SAP Disclosure Management - Production&quot;&gt;&lt;VARIABLES /&gt;&lt;/BBOOK&gt;&lt;BBOOK bbname=&quot;2546&quot; bbdesc=&quot;2014 Annual Accounts/EC Annual Accounts/DC - Reserves (xlsx)&quot; dsname=&quot;SAP Disclosure Management - Production&quot;&gt;&lt;VARIABLES /&gt;&lt;/BBOOK&gt;&lt;BBOOK bbname=&quot;2547&quot; bbdesc=&quot;2014 Annual Accounts/EC Annual Accounts/DC - Amounts to be called from member states (xlsx)&quot; dsname=&quot;SAP Disclosure Management - Production&quot;&gt;&lt;VARIABLES /&gt;&lt;/BBOOK&gt;&lt;BBOOK bbname=&quot;2561&quot; bbdesc=&quot;2014 Annual Accounts/EC Annual Accounts/DC - Fair value movements of available for sale financial assets (xlsx)&quot; dsname=&quot;SAP Disclosure Management - Production&quot;&gt;&lt;VARIABLES /&gt;&lt;/BBOOK&gt;&lt;BBOOK bbname=&quot;3207&quot; bbdesc=&quot;2014 Annual Accounts/FCH JU Annual accounts 2014/DC - Accrued charges and Deferred income (xlsx)&quot; dsname=&quot;SAP Disclosure Management - Production&quot;&gt;&lt;VARIABLES /&gt;&lt;/BBOOK&gt;&lt;BBOOK bbname=&quot;6017&quot; bbdesc=&quot;2015 Annual Accounts/2015 FCH JU Annual accounts/DC - FP7 Contributions (xlsx)&quot; dsname=&quot;SAP Disclosure Management - Production&quot;&gt;&lt;VARIABLES /&gt;&lt;/BBOOK&gt;&lt;BBOOK bbname=&quot;6050&quot; bbdesc=&quot;2015 Annual Accounts/2015 BBI JU Annual accounts/DC - H2020 Contributions (xlsx)&quot; dsname=&quot;SAP Disclosure Management - Production&quot;&gt;&lt;VARIABLES /&gt;&lt;/BBOOK&gt;&lt;BBOOK bbname=&quot;6073&quot; bbdesc=&quot;2015 Annual Accounts/2015 BBI JU Annual accounts/Upload Contributions H2020_voting rights (xlsx)&quot; dsname=&quot;SAP Disclosure Management - Production&quot;&gt;&lt;VARIABLES /&gt;&lt;/BBOOK&gt;&lt;BBOOK bbname=&quot;6072&quot; bbdesc=&quot;2015 Annual Accounts/2015 BBI JU Annual accounts/DC - H2020 Contributions (xlsx)&quot; dsname=&quot;SAP Disclosure Management - Production&quot;&gt;&lt;VARIABLES /&gt;&lt;/BBOOK&gt;&lt;BBOOK bbname=&quot;2549&quot; bbdesc=&quot;2014 Annual Accounts/EC Annual Accounts/DC - Recovery of expenses (xlsx)&quot; dsname=&quot;SAP Disclosure Management - Production&quot;&gt;&lt;VARIABLES /&gt;&lt;/BBOOK&gt;&lt;BBOOK bbname=&quot;3041&quot; bbdesc=&quot;2014 Annual Accounts/EEAS Annual Accounts 2014/DC - Recovery of expenses (xlsx)&quot; dsname=&quot;SAP Disclosure Management - Production&quot;&gt;&lt;VARIABLES /&gt;&lt;/BBOOK&gt;&lt;BBOOK bbname=&quot;3209&quot; bbdesc=&quot;2014 Annual Accounts/FCH JU Annual accounts 2014/DC - Recovery of expenses (xlsx)&quot; dsname=&quot;SAP Disclosure Management - Production&quot;&gt;&lt;VARIABLES /&gt;&lt;/BBOOK&gt;&lt;BBOOK bbname=&quot;2485&quot; bbdesc=&quot;2014 Annual Accounts/EC Annual Accounts/DC - Other non-exchange revenue (xlsx)&quot; dsname=&quot;SAP Disclosure Management - Production&quot;&gt;&lt;VARIABLES /&gt;&lt;/BBOOK&gt;&lt;BBOOK bbname=&quot;3043&quot; bbdesc=&quot;2014 Annual Accounts/EEAS Annual Accounts 2014/DC - Other non-exchange revenue (xlsx)&quot; dsname=&quot;SAP Disclosure Management - Production&quot;&gt;&lt;VARIABLES /&gt;&lt;/BBOOK&gt;&lt;BBOOK bbname=&quot;6024&quot; bbdesc=&quot;2015 Annual Accounts/2015 BBI JU Annual accounts/DC - Other non-exchange revenue (xlsx)&quot; dsname=&quot;SAP Disclosure Management - Production&quot;&gt;&lt;VARIABLES /&gt;&lt;/BBOOK&gt;&lt;BBOOK bbname=&quot;2550&quot; bbdesc=&quot;2014 Annual Accounts/EC Annual Accounts/DC - Other exchange revenue (xlsx)&quot; dsname=&quot;SAP Disclosure Management - Production&quot;&gt;&lt;VARIABLES /&gt;&lt;/BBOOK&gt;&lt;BBOOK bbname=&quot;3047&quot; bbdesc=&quot;2014 Annual Accounts/EEAS Annual Accounts 2014/DC - Other exchange revenue (xlsx)&quot; dsname=&quot;SAP Disclosure Management - Production&quot;&gt;&lt;VARIABLES /&gt;&lt;/BBOOK&gt;&lt;BBOOK bbname=&quot;3993&quot; bbdesc=&quot;2015 Annual Accounts/2015 CEPOL Annual accounts/DC - Other exchange revenue (xlsx)&quot; dsname=&quot;SAP Disclosure Management - Production&quot;&gt;&lt;VARIABLES /&gt;&lt;/BBOOK&gt;&lt;BBOOK bbname=&quot;6086&quot; bbdesc=&quot;2015 Annual Accounts/2015 BBI JU Annual accounts/DC - Other exchange revenue (xlsx)&quot; dsname=&quot;SAP Disclosure Management - Production&quot;&gt;&lt;VARIABLES /&gt;&lt;/BBOOK&gt;&lt;BBOOK bbname=&quot;5288&quot; bbdesc=&quot;2015 Annual Accounts/2015 FCH JU Annual accounts/DC - Other expenses (xlsx)&quot; dsname=&quot;SAP Disclosure Management - Production&quot;&gt;&lt;VARIABLES /&gt;&lt;/BBOOK&gt;&lt;BBOOK bbname=&quot;5289&quot; bbdesc=&quot;2015 Annual Accounts/2015 FCH JU Annual accounts/DC - Property plant and equipment related expenses (xlsx)&quot; dsname=&quot;SAP Disclosure Management - Production&quot;&gt;&lt;VARIABLES /&gt;&lt;/BBOOK&gt;&lt;BBOOK bbname=&quot;5287&quot; bbdesc=&quot;2015 Annual Accounts/2015 FCH JU Annual accounts/DC - Operating costs (xlsx)&quot; dsname=&quot;SAP Disclosure Management - Production&quot;&gt;&lt;VARIABLES /&gt;&lt;/BBOOK&gt;&lt;BBOOK bbname=&quot;6025&quot; bbdesc=&quot;2015 Annual Accounts/2015 BBI JU Annual accounts/DC - Operating costs (xlsx)&quot; dsname=&quot;SAP Disclosure Management - Production&quot;&gt;&lt;VARIABLES /&gt;&lt;/BBOOK&gt;&lt;BBOOK bbname=&quot;3213&quot; bbdesc=&quot;2014 Annual Accounts/FCH JU Annual accounts 2014/DC - Other expenses (xlsx)&quot; dsname=&quot;SAP Disclosure Management - Production&quot;&gt;&lt;VARIABLES /&gt;&lt;/BBOOK&gt;&lt;BBOOK bbname=&quot;3494&quot; bbdesc=&quot;2014 Annual Accounts/FCH JU Annual accounts 2014/DC - Property plant and equipment related expenses (xlsx)&quot; dsname=&quot;SAP Disclosure Management - Production&quot;&gt;&lt;VARIABLES /&gt;&lt;/BBOOK&gt;&lt;BBOOK bbname=&quot;6026&quot; bbdesc=&quot;2015 Annual Accounts/2015 BBI JU Annual accounts/DC - Other expenses (xlsx)&quot; dsname=&quot;SAP Disclosure Management - Production&quot;&gt;&lt;VARIABLES /&gt;&lt;/BBOOK&gt;&lt;BBOOK bbname=&quot;6027&quot; bbdesc=&quot;2015 Annual Accounts/2015 BBI JU Annual accounts/DC - Property plant and equipment related expenses (xlsx)&quot; dsname=&quot;SAP Disclosure Management - Production&quot;&gt;&lt;VARIABLES /&gt;&lt;/BBOOK&gt;&lt;BBOOK bbname=&quot;2530&quot; bbdesc=&quot;2014 Annual Accounts/EC Annual Accounts/DC - Outstanding commitments not yet expensed (xlsx)&quot; dsname=&quot;SAP Disclosure Management - Production&quot;&gt;&lt;VARIABLES /&gt;&lt;/BBOOK&gt;&lt;BBOOK bbname=&quot;2531&quot; bbdesc=&quot;2014 Annual Accounts/EC Annual Accounts/DC - Significant legal commitments (xlsx)&quot; dsname=&quot;SAP Disclosure Management - Production&quot;&gt;&lt;VARIABLES /&gt;&lt;/BBOOK&gt;&lt;BBOOK bbname=&quot;3314&quot; bbdesc=&quot;2014 Annual Accounts/FCH JU Annual accounts 2014/DC - Outstanding commitments not yet expensed (xlsx)&quot; dsname=&quot;SAP Disclosure Management - Production&quot;&gt;&lt;VARIABLES /&gt;&lt;/BBOOK&gt;&lt;BBOOK bbname=&quot;2765&quot; bbdesc=&quot;2014 Annual Accounts/EU Annual Accounts/DC - Exposure of the EC to currency risk at year end (xlsx)&quot; dsname=&quot;SAP Disclosure Management - Production&quot;&gt;&lt;VARIABLES /&gt;&lt;/BBOOK&gt;&lt;BBOOK bbname=&quot;2505&quot; bbdesc=&quot;2014 Annual Accounts/EC Annual Accounts/DC - Exposure of the EC to currency risk at year end (xlsx)&quot; dsname=&quot;SAP Disclosure Management - Production&quot;&gt;&lt;VARIABLES /&gt;&lt;/BBOOK&gt;&lt;BBOOK bbname=&quot;3319&quot; bbdesc=&quot;2014 Annual Accounts/FCH JU Annual accounts 2014/DC - Exposure of the EC to currency risk at year end (xlsx)&quot; dsname=&quot;SAP Disclosure Management - Production&quot;&gt;&lt;VARIABLES /&gt;&lt;/BBOOK&gt;&lt;BBOOK bbname=&quot;2512&quot; bbdesc=&quot;2014 Annual Accounts/EC Annual Accounts/DC - Credit risk (xlsx)&quot; dsname=&quot;SAP Disclosure Management - Production&quot;&gt;&lt;VARIABLES /&gt;&lt;/BBOOK&gt;&lt;BBOOK bbname=&quot;3323&quot; bbdesc=&quot;2014 Annual Accounts/FCH JU Annual accounts 2014/DC - Credit risk (xlsx)&quot; dsname=&quot;SAP Disclosure Management - Production&quot;&gt;&lt;VARIABLES /&gt;&lt;/BBOOK&gt;&lt;BBOOK bbname=&quot;2514&quot; bbdesc=&quot;2014 Annual Accounts/EC Annual Accounts/DC - Maturity analysis of financial liabilities (xlsx)&quot; dsname=&quot;SAP Disclosure Management - Production&quot;&gt;&lt;VARIABLES /&gt;&lt;/BBOOK&gt;&lt;BBOOK bbname=&quot;3327&quot; bbdesc=&quot;2014 Annual Accounts/FCH JU Annual accounts 2014/DC - Maturity analysis of financial liabilities (xlsx)&quot; dsname=&quot;SAP Disclosure Management - Production&quot;&gt;&lt;VARIABLES /&gt;&lt;/BBOOK&gt;&lt;BBOOK bbname=&quot;3308&quot; bbdesc=&quot;2014 Annual Accounts/CEPOL Annual accounts 2014/DC - Reconciliation of economic result with budget result (xlsx)&quot; dsname=&quot;SAP Disclosure Management - Production&quot;&gt;&lt;VARIABLES /&gt;&lt;/BBOOK&gt;&lt;BBOOK bbname=&quot;3971&quot; bbdesc=&quot;2014 Annual Accounts/CEPOL Annual accounts 2014/DC - Reports on the implementation of the budget (xlsx)&quot; dsname=&quot;SAP Disclosure Management - Production&quot;&gt;&lt;VARIABLES /&gt;&lt;/BBOOK&gt;&lt;BBOOK bbname=&quot;5993&quot; bbdesc=&quot;2015 Annual Accounts/2015 BBI JU Annual accounts/DC - Reports on the implementation of the budget (xlsx)&quot; dsname=&quot;SAP Disclosure Management - Production&quot;&gt;&lt;VARIABLES /&gt;&lt;/BBOOK&gt;&lt;BBOOK bbname=&quot;5255&quot; bbdesc=&quot;2015 Annual Accounts/2015 FCH JU Annual accounts/DC - Reports on the implementation of the budget (xlsx)&quot; dsname=&quot;SAP Disclosure Management - Production&quot;&gt;&lt;VARIABLES /&gt;&lt;/BBOOK&gt;&lt;BBOOK bbname=&quot;9076&quot; bbdesc=&quot;2016 Annual Accounts/EU Annual Accounts/DC - Accrued charges and Deferred income (xlsx)&quot; dsname=&quot;SAP Disclosure Management - Production&quot;&gt;&lt;VARIABLES /&gt;&lt;/BBOOK&gt;&lt;BBOOK bbname=&quot;17185&quot; bbdesc=&quot;2019 Annual Accounts/EU Annual Accounts/DC - Currency table and Deprec. Rates&quot; dsname=&quot;SAP Disclosure Management - Production&quot;&gt;&lt;VARIABLES /&gt;&lt;/BBOOK&gt;&lt;BBOOK bbname=&quot;9322&quot; bbdesc=&quot;2016 Annual Accounts/EEAS Annual accounts/DC - Accrued charges and Deferred income (xlsx)&quot; dsname=&quot;SAP Disclosure Management - Production&quot;&gt;&lt;VARIABLES /&gt;&lt;/BBOOK&gt;&lt;BBOOK bbname=&quot;16800&quot; bbdesc=&quot;2018 Annual Accounts/EEAS Annual accounts/DC - DeprecRates&quot; dsname=&quot;SAP Disclosure Management - Production&quot;&gt;&lt;VARIABLES /&gt;&lt;/BBOOK&gt;&lt;BBOOK bbname=&quot;19001&quot; bbdesc=&quot;2019 Annual Accounts/EDF from Master Report/DC - Currency risk and other Inform tables&quot; dsname=&quot;SAP Disclosure Management - Production&quot;&gt;&lt;VARIABLES /&gt;&lt;/BBOOK&gt;&lt;BBOOK bbname=&quot;18319&quot; bbdesc=&quot;2019 Annual Accounts/New BEKOU Annual accounts/DC - Financial Statements&quot; dsname=&quot;SAP Disclosure Management - Production&quot;&gt;&lt;VARIABLES /&gt;&lt;/BBOOK&gt;&lt;BBOOK bbname=&quot;17933&quot; bbdesc=&quot;2019 Annual Accounts/New AFRICA Annual Accounts/DC - Financial Statements&quot; dsname=&quot;SAP Disclosure Management - Production&quot;&gt;&lt;VARIABLES /&gt;&lt;/BBOOK&gt;&lt;BBOOK bbname=&quot;18992&quot; bbdesc=&quot;2019 Annual Accounts/EDF from Master Report/DC - Conso Statements EDF_TFs&quot; dsname=&quot;SAP Disclosure Management - Production&quot;&gt;&lt;VARIABLES /&gt;&lt;/BBOOK&gt;&lt;BBOOK bbname=&quot;19004&quot; bbdesc=&quot;2019 Annual Accounts/EDF from Master Report/DC - DEVCO uploads&quot; dsname=&quot;SAP Disclosure Management - Production&quot;&gt;&lt;VARIABLES /&gt;&lt;/BBOOK&gt;&lt;/BBOOKS&gt;"/>
    <w:docVar w:name="DM_WB_C17676_METADATA" w:val="&lt;ChapterMetadata&gt;&lt;ChapterId&gt;17676&lt;/ChapterId&gt;&lt;ChapterName&gt;Significant accounting policies (Master External Entities)&lt;/ChapterName&gt;&lt;ChapterNoOfPages&gt;-1&lt;/ChapterNoOfPages&gt;&lt;ChapterVersion&gt;18&lt;/ChapterVersion&gt;&lt;/ChapterMetadata&gt;"/>
    <w:docVar w:name="DM_WB_C18490_METADATA" w:val="&lt;ChapterMetadata&gt;&lt;ChapterId&gt;18490&lt;/ChapterId&gt;&lt;ChapterName&gt;Significant accounting policies EDF&lt;/ChapterName&gt;&lt;ChapterNoOfPages&gt;-1&lt;/ChapterNoOfPages&gt;&lt;ChapterVersion&gt;1&lt;/ChapterVersion&gt;&lt;/ChapterMetadata&gt;"/>
    <w:docVar w:name="DM_WB_C18937_METADATA" w:val="&lt;ChapterMetadata&gt;&lt;ChapterId&gt;18937&lt;/ChapterId&gt;&lt;ChapterName&gt;Glossary&lt;/ChapterName&gt;&lt;ChapterNoOfPages&gt;-1&lt;/ChapterNoOfPages&gt;&lt;ChapterVersion&gt;1&lt;/ChapterVersion&gt;&lt;/ChapterMetadata&gt;"/>
    <w:docVar w:name="DM_WB_C18940_METADATA" w:val="&lt;ChapterMetadata&gt;&lt;ChapterId&gt;18940&lt;/ChapterId&gt;&lt;ChapterName&gt;Cover and first page&lt;/ChapterName&gt;&lt;ChapterNoOfPages&gt;-1&lt;/ChapterNoOfPages&gt;&lt;ChapterVersion&gt;3&lt;/ChapterVersion&gt;&lt;/ChapterMetadata&gt;"/>
    <w:docVar w:name="DM_WB_C18944_METADATA" w:val="&lt;ChapterMetadata&gt;&lt;ChapterId&gt;18944&lt;/ChapterId&gt;&lt;ChapterName&gt;Aggregated financial statements&lt;/ChapterName&gt;&lt;ChapterNoOfPages&gt;-1&lt;/ChapterNoOfPages&gt;&lt;ChapterVersion&gt;66&lt;/ChapterVersion&gt;&lt;/ChapterMetadata&gt;"/>
    <w:docVar w:name="DM_WB_C18950_METADATA" w:val="&lt;ChapterMetadata&gt;&lt;ChapterId&gt;18950&lt;/ChapterId&gt;&lt;ChapterName&gt;Certification AccO_final accts&lt;/ChapterName&gt;&lt;ChapterNoOfPages&gt;-1&lt;/ChapterNoOfPages&gt;&lt;ChapterVersion&gt;4&lt;/ChapterVersion&gt;&lt;/ChapterMetadata&gt;"/>
    <w:docVar w:name="DM_WB_C18954_METADATA" w:val="&lt;ChapterMetadata&gt;&lt;ChapterId&gt;18954&lt;/ChapterId&gt;&lt;ChapterName&gt;Background information&lt;/ChapterName&gt;&lt;ChapterNoOfPages&gt;-1&lt;/ChapterNoOfPages&gt;&lt;ChapterVersion&gt;13&lt;/ChapterVersion&gt;&lt;/ChapterMetadata&gt;"/>
    <w:docVar w:name="DM_WB_C18958_METADATA" w:val="&lt;ChapterMetadata&gt;&lt;ChapterId&gt;18958&lt;/ChapterId&gt;&lt;ChapterName&gt;Table of Content&lt;/ChapterName&gt;&lt;ChapterNoOfPages&gt;-1&lt;/ChapterNoOfPages&gt;&lt;ChapterVersion&gt;3&lt;/ChapterVersion&gt;&lt;/ChapterMetadata&gt;"/>
    <w:docVar w:name="DM_WB_C18979_METADATA" w:val="&lt;ChapterMetadata&gt;&lt;ChapterId&gt;18979&lt;/ChapterId&gt;&lt;ChapterName&gt;Net Assets and Financial Statements by EDF&lt;/ChapterName&gt;&lt;ChapterNoOfPages&gt;-1&lt;/ChapterNoOfPages&gt;&lt;ChapterVersion&gt;63&lt;/ChapterVersion&gt;&lt;/ChapterMetadata&gt;"/>
    <w:docVar w:name="DM_WB_C18995_METADATA" w:val="&lt;ChapterMetadata&gt;&lt;ChapterId&gt;18995&lt;/ChapterId&gt;&lt;ChapterName&gt;Cover page Notes to the FS EDF&lt;/ChapterName&gt;&lt;ChapterNoOfPages&gt;-1&lt;/ChapterNoOfPages&gt;&lt;ChapterVersion&gt;5&lt;/ChapterVersion&gt;&lt;/ChapterMetadata&gt;"/>
    <w:docVar w:name="DM_WB_C18996_METADATA" w:val="&lt;ChapterMetadata&gt;&lt;ChapterId&gt;18996&lt;/ChapterId&gt;&lt;ChapterName&gt;Notes to the BS and SFP&lt;/ChapterName&gt;&lt;ChapterNoOfPages&gt;-1&lt;/ChapterNoOfPages&gt;&lt;ChapterVersion&gt;143&lt;/ChapterVersion&gt;&lt;/ChapterMetadata&gt;"/>
    <w:docVar w:name="DM_WB_C18997_METADATA" w:val="&lt;ChapterMetadata&gt;&lt;ChapterId&gt;18997&lt;/ChapterId&gt;&lt;ChapterName&gt;Currency risk&lt;/ChapterName&gt;&lt;ChapterNoOfPages&gt;-1&lt;/ChapterNoOfPages&gt;&lt;ChapterVersion&gt;51&lt;/ChapterVersion&gt;&lt;/ChapterMetadata&gt;"/>
    <w:docVar w:name="DM_WB_C18998_METADATA" w:val="&lt;ChapterMetadata&gt;&lt;ChapterId&gt;18998&lt;/ChapterId&gt;&lt;ChapterName&gt;Other risk and notes (vertical)&lt;/ChapterName&gt;&lt;ChapterNoOfPages&gt;-1&lt;/ChapterNoOfPages&gt;&lt;ChapterVersion&gt;78&lt;/ChapterVersion&gt;&lt;/ChapterMetadata&gt;"/>
    <w:docVar w:name="DM_WB_C18999_METADATA" w:val="&lt;ChapterMetadata&gt;&lt;ChapterId&gt;18999&lt;/ChapterId&gt;&lt;ChapterName&gt;Trust Funds Financial Statements&lt;/ChapterName&gt;&lt;ChapterNoOfPages&gt;-1&lt;/ChapterNoOfPages&gt;&lt;ChapterVersion&gt;62&lt;/ChapterVersion&gt;&lt;/ChapterMetadata&gt;"/>
    <w:docVar w:name="DM_WB_C19000_METADATA" w:val="&lt;ChapterMetadata&gt;&lt;ChapterId&gt;19000&lt;/ChapterId&gt;&lt;ChapterName&gt;Conso - Statements of ChNA -Horizontal&lt;/ChapterName&gt;&lt;ChapterNoOfPages&gt;-1&lt;/ChapterNoOfPages&gt;&lt;ChapterVersion&gt;46&lt;/ChapterVersion&gt;&lt;/ChapterMetadata&gt;"/>
    <w:docVar w:name="DM_WB_C19002_METADATA" w:val="&lt;ChapterMetadata&gt;&lt;ChapterId&gt;19002&lt;/ChapterId&gt;&lt;ChapterName&gt;EIB Report&lt;/ChapterName&gt;&lt;ChapterNoOfPages&gt;-1&lt;/ChapterNoOfPages&gt;&lt;ChapterVersion&gt;16&lt;/ChapterVersion&gt;&lt;/ChapterMetadata&gt;"/>
    <w:docVar w:name="DM_WB_C19005_METADATA" w:val="&lt;ChapterMetadata&gt;&lt;ChapterId&gt;19005&lt;/ChapterId&gt;&lt;ChapterName&gt;Introductory Note&lt;/ChapterName&gt;&lt;ChapterNoOfPages&gt;-1&lt;/ChapterNoOfPages&gt;&lt;ChapterVersion&gt;9&lt;/ChapterVersion&gt;&lt;/ChapterMetadata&gt;"/>
    <w:docVar w:name="DM_WB_C19006_METADATA" w:val="&lt;ChapterMetadata&gt;&lt;ChapterId&gt;19006&lt;/ChapterId&gt;&lt;ChapterName&gt;Tables 1.1-1.4 Horizontal&lt;/ChapterName&gt;&lt;ChapterNoOfPages&gt;-1&lt;/ChapterNoOfPages&gt;&lt;ChapterVersion&gt;43&lt;/ChapterVersion&gt;&lt;/ChapterMetadata&gt;"/>
    <w:docVar w:name="DM_WB_C19007_METADATA" w:val="&lt;ChapterMetadata&gt;&lt;ChapterId&gt;19007&lt;/ChapterId&gt;&lt;ChapterName&gt;Table 2.1 Vertical&lt;/ChapterName&gt;&lt;ChapterNoOfPages&gt;-1&lt;/ChapterNoOfPages&gt;&lt;ChapterVersion&gt;36&lt;/ChapterVersion&gt;&lt;/ChapterMetadata&gt;"/>
    <w:docVar w:name="DM_WB_C19008_METADATA" w:val="&lt;ChapterMetadata&gt;&lt;ChapterId&gt;19008&lt;/ChapterId&gt;&lt;ChapterName&gt;Table 2.1b Horizontal&lt;/ChapterName&gt;&lt;ChapterNoOfPages&gt;-1&lt;/ChapterNoOfPages&gt;&lt;ChapterVersion&gt;36&lt;/ChapterVersion&gt;&lt;/ChapterMetadata&gt;"/>
    <w:docVar w:name="DM_WB_C19009_METADATA" w:val="&lt;ChapterMetadata&gt;&lt;ChapterId&gt;19009&lt;/ChapterId&gt;&lt;ChapterName&gt;Table 2.2 Vertical&lt;/ChapterName&gt;&lt;ChapterNoOfPages&gt;-1&lt;/ChapterNoOfPages&gt;&lt;ChapterVersion&gt;38&lt;/ChapterVersion&gt;&lt;/ChapterMetadata&gt;"/>
    <w:docVar w:name="DM_WB_C19010_METADATA" w:val="&lt;ChapterMetadata&gt;&lt;ChapterId&gt;19010&lt;/ChapterId&gt;&lt;ChapterName&gt;Tables 2.3-2.6 Vertical&lt;/ChapterName&gt;&lt;ChapterNoOfPages&gt;-1&lt;/ChapterNoOfPages&gt;&lt;ChapterVersion&gt;41&lt;/ChapterVersion&gt;&lt;/ChapterMetadata&gt;"/>
    <w:docVar w:name="doc_tbl00011_1_1" w:val="Currency|@|1|2057"/>
    <w:docVar w:name="doc_tbl00013_1_1" w:val="EUR million|@|1|2057"/>
    <w:docVar w:name="DOC_TBL00038_1_1" w:val="|@|1|2057"/>
    <w:docVar w:name="doc_tbl00057_1_1" w:val="|@|1|2057"/>
    <w:docVar w:name="DocStatus" w:val="Green"/>
    <w:docVar w:name="LW_COVERPAGE_EXISTS" w:val="True"/>
    <w:docVar w:name="LW_COVERPAGE_GUID" w:val="F4483F6F-8337-4F76-AD8D-0CE8A66F4CF1"/>
    <w:docVar w:name="LW_COVERPAGE_TYPE" w:val="1"/>
    <w:docVar w:name="LW_CROSSREFERENCE" w:val="&lt;UNUSED&gt;"/>
    <w:docVar w:name="LW_DocType" w:val="TEMPLATE_EEAS_2014_FINAL ACCTS"/>
    <w:docVar w:name="LW_EMISSION" w:val="2020 06 26"/>
    <w:docVar w:name="LW_EMISSION_ISODATE" w:val="2020-06-26"/>
    <w:docVar w:name="LW_EMISSION_LOCATION" w:val="BRX"/>
    <w:docVar w:name="LW_EMISSION_PREFIX" w:val="Briuselis, "/>
    <w:docVar w:name="LW_EMISSION_SUFFIX" w:val=" "/>
    <w:docVar w:name="LW_ID_DOCTYPE_NONLW" w:val="CP-040"/>
    <w:docVar w:name="LW_INTERETEEE.CP" w:val="&lt;UNUSED&gt;"/>
    <w:docVar w:name="LW_LANGUE" w:val="LT"/>
    <w:docVar w:name="LW_LANGUESFAISANTFOI.CP" w:val="&lt;UNUSED&gt;"/>
    <w:docVar w:name="LW_LEVEL_OF_SENSITIVITY" w:val="Standard treatment"/>
    <w:docVar w:name="LW_NOM.INST" w:val="EUROPOS KOMISIJA"/>
    <w:docVar w:name="LW_NOM.INST_JOINTDOC" w:val="&lt;EMPTY&gt;"/>
    <w:docVar w:name="LW_PART_NBR" w:val="1"/>
    <w:docVar w:name="LW_PART_NBR_TOTAL" w:val="1"/>
    <w:docVar w:name="LW_REF.INST.NEW" w:val="COM"/>
    <w:docVar w:name="LW_REF.INST.NEW_ADOPTED" w:val="final"/>
    <w:docVar w:name="LW_REF.INST.NEW_TEXT" w:val="(2020) 29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2019 m. Europos pl\u279?tros fondo metin\u279?s ataskaitos_x000d__x000b_"/>
    <w:docVar w:name="LW_TYPE.DOC.CP" w:val="Komisijos komunikatas Europos Parlamentui, Tarybai ir Audito R\u363?mam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lt-LT"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en-GB"/>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b/>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lang w:eastAsia="en-US"/>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en-GB"/>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rPr>
      <w:rFonts w:ascii="Times New Roman" w:eastAsia="Times New Roman" w:hAnsi="Times New Roman" w:cs="Times New Roman"/>
      <w:sz w:val="24"/>
      <w:szCs w:val="24"/>
      <w:lang w:eastAsia="en-GB"/>
    </w:rPr>
  </w:style>
  <w:style w:type="character" w:customStyle="1" w:styleId="Heading1Char">
    <w:name w:val="Heading 1 Char"/>
    <w:link w:val="Heading1"/>
    <w:rPr>
      <w:rFonts w:ascii="Cambria" w:eastAsia="Times New Roman" w:hAnsi="Cambria" w:cs="Times New Roman"/>
      <w:b/>
      <w:bCs/>
      <w:color w:val="365F91"/>
      <w:sz w:val="28"/>
      <w:szCs w:val="28"/>
      <w:lang w:eastAsia="en-GB"/>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Normal"/>
    <w:qFormat/>
    <w:pPr>
      <w:numPr>
        <w:numId w:val="4"/>
      </w:numPr>
      <w:tabs>
        <w:tab w:val="left" w:pos="907"/>
      </w:tabs>
      <w:spacing w:after="240"/>
      <w:jc w:val="both"/>
    </w:pPr>
    <w:rPr>
      <w:rFonts w:ascii="Verdana" w:hAnsi="Verdana"/>
      <w:b/>
      <w:color w:val="016794"/>
      <w:sz w:val="32"/>
      <w:szCs w:val="32"/>
    </w:r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lang w:eastAsia="en-US"/>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ind w:left="357" w:hanging="357"/>
    </w:pPr>
    <w:rPr>
      <w:rFonts w:ascii="Verdana" w:hAnsi="Verdana"/>
      <w: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lang w:eastAsia="en-US"/>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qFormat/>
    <w:pPr>
      <w:spacing w:after="100"/>
    </w:pPr>
    <w:rPr>
      <w:rFonts w:ascii="Verdana" w:hAnsi="Verdana"/>
      <w:color w:val="365F91" w:themeColor="accent1" w:themeShade="BF"/>
      <w:sz w:val="22"/>
    </w:rPr>
  </w:style>
  <w:style w:type="paragraph" w:styleId="TOC2">
    <w:name w:val="toc 2"/>
    <w:basedOn w:val="Normal"/>
    <w:next w:val="Normal"/>
    <w:autoRedefine/>
    <w:uiPriority w:val="39"/>
    <w:unhideWhenUsed/>
    <w:qFormat/>
    <w:pPr>
      <w:spacing w:after="100"/>
      <w:ind w:left="240"/>
    </w:pPr>
    <w:rPr>
      <w:rFonts w:ascii="Verdana" w:hAnsi="Verdana"/>
      <w:color w:val="808080" w:themeColor="background1" w:themeShade="80"/>
      <w:sz w:val="20"/>
    </w:rPr>
  </w:style>
  <w:style w:type="paragraph" w:customStyle="1" w:styleId="HEADER1PartBUDG">
    <w:name w:val="HEADER 1_Part BUDG"/>
    <w:basedOn w:val="HEADER1Part1"/>
    <w:qFormat/>
  </w:style>
  <w:style w:type="paragraph" w:customStyle="1" w:styleId="HEADER2PartBUDG">
    <w:name w:val="HEADER 2_Part BUDG"/>
    <w:basedOn w:val="HEADER2Part1"/>
    <w:qFormat/>
  </w:style>
  <w:style w:type="paragraph" w:customStyle="1" w:styleId="HEADER3PartBUGD">
    <w:name w:val="HEADER 3_Part BUGD"/>
    <w:basedOn w:val="HEADER3Part1"/>
    <w:qFormat/>
  </w:style>
  <w:style w:type="paragraph" w:customStyle="1" w:styleId="HEADER4PartBUDG">
    <w:name w:val="HEADER 4_Part BUDG"/>
    <w:basedOn w:val="HEADER4Part1"/>
    <w:qFormat/>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Times New Roman" w:hAnsi="Times New Roman"/>
    </w:rPr>
  </w:style>
  <w:style w:type="character" w:styleId="FootnoteReference">
    <w:name w:val="footnote reference"/>
    <w:basedOn w:val="DefaultParagraphFont"/>
    <w:uiPriority w:val="99"/>
    <w:semiHidden/>
    <w:unhideWhenUsed/>
    <w:rPr>
      <w:vertAlign w:val="superscript"/>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Default">
    <w:name w:val="Default"/>
    <w:pPr>
      <w:autoSpaceDE w:val="0"/>
      <w:autoSpaceDN w:val="0"/>
      <w:adjustRightInd w:val="0"/>
    </w:pPr>
    <w:rPr>
      <w:rFonts w:ascii="Arial" w:eastAsia="Calibri" w:hAnsi="Arial" w:cs="Arial"/>
      <w:color w:val="000000"/>
      <w:sz w:val="24"/>
      <w:szCs w:val="24"/>
      <w:lang w:eastAsia="en-US"/>
    </w:rPr>
  </w:style>
  <w:style w:type="paragraph" w:customStyle="1" w:styleId="DMETW18949BIPAGGBS">
    <w:name w:val="DM_ETW_18949_BIP_AGGBS"/>
    <w:rPr>
      <w:rFonts w:eastAsia="Calibri"/>
    </w:rPr>
  </w:style>
  <w:style w:type="paragraph" w:customStyle="1" w:styleId="DMETW18949BIPAGGPL">
    <w:name w:val="DM_ETW_18949_BIP_AGGPL"/>
    <w:rPr>
      <w:rFonts w:eastAsia="Calibri"/>
    </w:rPr>
  </w:style>
  <w:style w:type="paragraph" w:customStyle="1" w:styleId="DMETW18949BIPAGGCF">
    <w:name w:val="DM_ETW_18949_BIP_AGGCF"/>
    <w:rPr>
      <w:rFonts w:eastAsia="Calibri"/>
    </w:rPr>
  </w:style>
  <w:style w:type="paragraph" w:customStyle="1" w:styleId="DMETW18949BIPAGGNA">
    <w:name w:val="DM_ETW_18949_BIP_AGGNA"/>
    <w:rPr>
      <w:rFonts w:eastAsia="Calibri"/>
    </w:rPr>
  </w:style>
  <w:style w:type="paragraph" w:customStyle="1" w:styleId="DMETW18983BIPBSEDF">
    <w:name w:val="DM_ETW_18983_BIP_BSEDF"/>
    <w:rPr>
      <w:rFonts w:eastAsia="Calibri"/>
    </w:rPr>
  </w:style>
  <w:style w:type="paragraph" w:customStyle="1" w:styleId="DMETW18983BIPPLEDF">
    <w:name w:val="DM_ETW_18983_BIP_PLEDF"/>
    <w:rPr>
      <w:rFonts w:eastAsia="Calibri"/>
    </w:rPr>
  </w:style>
  <w:style w:type="paragraph" w:customStyle="1" w:styleId="DMETW18983BIPCNA8">
    <w:name w:val="DM_ETW_18983_BIP_CNA8"/>
    <w:rPr>
      <w:rFonts w:eastAsia="Calibri"/>
    </w:rPr>
  </w:style>
  <w:style w:type="paragraph" w:customStyle="1" w:styleId="DMETW18983BIPCNA9">
    <w:name w:val="DM_ETW_18983_BIP_CNA9"/>
    <w:rPr>
      <w:rFonts w:eastAsia="Calibri"/>
    </w:rPr>
  </w:style>
  <w:style w:type="paragraph" w:customStyle="1" w:styleId="DMETW18983BIPCNA10">
    <w:name w:val="DM_ETW_18983_BIP_CNA10"/>
    <w:rPr>
      <w:rFonts w:eastAsia="Calibri"/>
    </w:rPr>
  </w:style>
  <w:style w:type="paragraph" w:customStyle="1" w:styleId="DMETW18983BIPCNA11">
    <w:name w:val="DM_ETW_18983_BIP_CNA11"/>
    <w:rPr>
      <w:rFonts w:eastAsia="Calibri"/>
    </w:rPr>
  </w:style>
  <w:style w:type="paragraph" w:customStyle="1" w:styleId="DMETW17185BIPCURR">
    <w:name w:val="DM_ETW_17185_BIP_CURR"/>
    <w:rPr>
      <w:rFonts w:eastAsia="Calibri"/>
    </w:rPr>
  </w:style>
  <w:style w:type="paragraph" w:customStyle="1" w:styleId="DMETW17185BIPDRCAS">
    <w:name w:val="DM_ETW_17185_BIP_DR_CAS"/>
    <w:rPr>
      <w:rFonts w:eastAsia="Calibri"/>
    </w:rPr>
  </w:style>
  <w:style w:type="paragraph" w:customStyle="1" w:styleId="DGTextstand-alone">
    <w:name w:val="DG_Text_stand-alone"/>
    <w:link w:val="DGTextstand-aloneChar"/>
    <w:pPr>
      <w:spacing w:before="240" w:after="240"/>
      <w:jc w:val="both"/>
    </w:pPr>
    <w:rPr>
      <w:rFonts w:ascii="Verdana" w:eastAsia="Calibri" w:hAnsi="Verdana"/>
      <w:noProof/>
      <w:sz w:val="18"/>
      <w:szCs w:val="18"/>
      <w:lang w:eastAsia="en-US"/>
    </w:rPr>
  </w:style>
  <w:style w:type="character" w:customStyle="1" w:styleId="DGTextstand-aloneChar">
    <w:name w:val="DG_Text_stand-alone Char"/>
    <w:link w:val="DGTextstand-alone"/>
    <w:locked/>
    <w:rPr>
      <w:rFonts w:ascii="Verdana" w:eastAsia="Calibri" w:hAnsi="Verdana"/>
      <w:noProof/>
      <w:sz w:val="18"/>
      <w:szCs w:val="18"/>
      <w:lang w:eastAsia="en-US"/>
    </w:rPr>
  </w:style>
  <w:style w:type="paragraph" w:customStyle="1" w:styleId="DMETW18983BIPPF">
    <w:name w:val="DM_ETW_18983_BIP_PF"/>
    <w:rPr>
      <w:rFonts w:eastAsia="Calibri"/>
    </w:rPr>
  </w:style>
  <w:style w:type="paragraph" w:customStyle="1" w:styleId="DMETW18983BIPNCPFBMM">
    <w:name w:val="DM_ETW_18983_BIP_NCPF_BMM"/>
    <w:rPr>
      <w:rFonts w:eastAsia="Calibri"/>
    </w:rPr>
  </w:style>
  <w:style w:type="paragraph" w:customStyle="1" w:styleId="DMETW18983BIPCPF">
    <w:name w:val="DM_ETW_18983_BIP_CPF"/>
    <w:rPr>
      <w:rFonts w:eastAsia="Calibri"/>
    </w:rPr>
  </w:style>
  <w:style w:type="paragraph" w:customStyle="1" w:styleId="DMETW18983BIPTFCONTR">
    <w:name w:val="DM_ETW_18983_BIP_TFCONTR"/>
    <w:rPr>
      <w:rFonts w:eastAsia="Calibri"/>
    </w:rPr>
  </w:style>
  <w:style w:type="paragraph" w:customStyle="1" w:styleId="DMETW18983BIPERNER">
    <w:name w:val="DM_ETW_18983_BIP_ERNER"/>
    <w:rPr>
      <w:rFonts w:eastAsia="Calibri"/>
    </w:rPr>
  </w:style>
  <w:style w:type="paragraph" w:customStyle="1" w:styleId="DMETW18983BIPRNET">
    <w:name w:val="DM_ETW_18983_BIP_RNET"/>
    <w:rPr>
      <w:rFonts w:eastAsia="Calibri"/>
    </w:rPr>
  </w:style>
  <w:style w:type="paragraph" w:customStyle="1" w:styleId="DMETW18983BIPRET">
    <w:name w:val="DM_ETW_18983_BIP_RET"/>
    <w:rPr>
      <w:rFonts w:eastAsia="Calibri"/>
    </w:rPr>
  </w:style>
  <w:style w:type="paragraph" w:customStyle="1" w:styleId="Text8pNormalLeft">
    <w:name w:val="Text_8p_Normal_Left"/>
    <w:qFormat/>
    <w:pPr>
      <w:ind w:left="34"/>
    </w:pPr>
    <w:rPr>
      <w:rFonts w:ascii="Verdana" w:eastAsia="Calibri" w:hAnsi="Verdana"/>
      <w:bCs/>
      <w:sz w:val="16"/>
      <w:lang w:eastAsia="en-US"/>
    </w:rPr>
  </w:style>
  <w:style w:type="paragraph" w:customStyle="1" w:styleId="DMETW18983BIPCASH">
    <w:name w:val="DM_ETW_18983_BIP_CASH"/>
    <w:rPr>
      <w:rFonts w:eastAsia="Calibri"/>
    </w:rPr>
  </w:style>
  <w:style w:type="paragraph" w:customStyle="1" w:styleId="DMETW18983BIPCOFINPAY">
    <w:name w:val="DM_ETW_18983_BIP_COFINPAY"/>
    <w:rPr>
      <w:rFonts w:eastAsia="Calibri"/>
    </w:rPr>
  </w:style>
  <w:style w:type="paragraph" w:customStyle="1" w:styleId="DMETW18983BIPPAY">
    <w:name w:val="DM_ETW_18983_BIP_PAY"/>
    <w:rPr>
      <w:rFonts w:eastAsia="Calibri"/>
    </w:rPr>
  </w:style>
  <w:style w:type="paragraph" w:customStyle="1" w:styleId="DMETW18983BIPCURPAY">
    <w:name w:val="DM_ETW_18983_BIP_CURPAY"/>
    <w:rPr>
      <w:rFonts w:eastAsia="Calibri"/>
    </w:rPr>
  </w:style>
  <w:style w:type="paragraph" w:customStyle="1" w:styleId="DMETW18983BIPSUNPAY">
    <w:name w:val="DM_ETW_18983_BIP_SUNPAY"/>
    <w:rPr>
      <w:rFonts w:eastAsia="Calibri"/>
    </w:rPr>
  </w:style>
  <w:style w:type="paragraph" w:customStyle="1" w:styleId="DMETW18983BIPACCDEF">
    <w:name w:val="DM_ETW_18983_BIP_ACCDEF"/>
    <w:rPr>
      <w:rFonts w:eastAsia="Calibri"/>
    </w:rPr>
  </w:style>
  <w:style w:type="paragraph" w:customStyle="1" w:styleId="DMETW18983BIPFVMAFS">
    <w:name w:val="DM_ETW_18983_BIP_FVMAFS"/>
    <w:rPr>
      <w:rFonts w:eastAsia="Calibri"/>
    </w:rPr>
  </w:style>
  <w:style w:type="paragraph" w:customStyle="1" w:styleId="DMETW18983BIPCLDFCAP">
    <w:name w:val="DM_ETW_18983_BIP_CLDFCAP"/>
    <w:rPr>
      <w:rFonts w:eastAsia="Calibri"/>
    </w:rPr>
  </w:style>
  <w:style w:type="paragraph" w:customStyle="1" w:styleId="DMETW18983BIPCLDFCAPMS11">
    <w:name w:val="DM_ETW_18983_BIP_CLDFCAP_MS11"/>
    <w:rPr>
      <w:rFonts w:eastAsia="Calibri"/>
    </w:rPr>
  </w:style>
  <w:style w:type="paragraph" w:customStyle="1" w:styleId="DMETW18983BIPCLDFCAPTFTCLS">
    <w:name w:val="DM_ETW_18983_BIP_CLDFCAP_TFT_CLS"/>
    <w:rPr>
      <w:rFonts w:eastAsia="Calibri"/>
    </w:rPr>
  </w:style>
  <w:style w:type="paragraph" w:customStyle="1" w:styleId="DMETW18983BIPCLDFCAPTFTACT">
    <w:name w:val="DM_ETW_18983_BIP_CLDFCAP_TFT_ACT"/>
    <w:rPr>
      <w:rFonts w:eastAsia="Calibri"/>
    </w:rPr>
  </w:style>
  <w:style w:type="paragraph" w:customStyle="1" w:styleId="DMETW18983BIPREV">
    <w:name w:val="DM_ETW_18983_BIP_REV"/>
    <w:rPr>
      <w:rFonts w:eastAsia="Calibri"/>
    </w:rPr>
  </w:style>
  <w:style w:type="paragraph" w:customStyle="1" w:styleId="DMETW18983BIPNEXREV">
    <w:name w:val="DM_ETW_18983_BIP_NEXREV"/>
    <w:rPr>
      <w:rFonts w:eastAsia="Calibri"/>
    </w:rPr>
  </w:style>
  <w:style w:type="paragraph" w:customStyle="1" w:styleId="DMETW18983BIPNEXREVBMM">
    <w:name w:val="DM_ETW_18983_BIP_NEXREV_BMM"/>
    <w:rPr>
      <w:rFonts w:eastAsia="Calibri"/>
    </w:rPr>
  </w:style>
  <w:style w:type="paragraph" w:customStyle="1" w:styleId="DMETW18983BIPEXREV">
    <w:name w:val="DM_ETW_18983_BIP_EXREV"/>
    <w:rPr>
      <w:rFonts w:eastAsia="Calibri"/>
    </w:rPr>
  </w:style>
  <w:style w:type="paragraph" w:customStyle="1" w:styleId="DMETW18983BIPOPEAID">
    <w:name w:val="DM_ETW_18983_BIP_OPE_AID"/>
    <w:rPr>
      <w:rFonts w:eastAsia="Calibri"/>
    </w:rPr>
  </w:style>
  <w:style w:type="paragraph" w:customStyle="1" w:styleId="DMETW18983BIPOPECOFI">
    <w:name w:val="DM_ETW_18983_BIP_OPE_COFI"/>
    <w:rPr>
      <w:rFonts w:eastAsia="Calibri"/>
    </w:rPr>
  </w:style>
  <w:style w:type="paragraph" w:customStyle="1" w:styleId="DMETW18983BIPOPEBMM">
    <w:name w:val="DM_ETW_18983_BIP_OPE_BMM"/>
    <w:rPr>
      <w:rFonts w:eastAsia="Calibri"/>
    </w:rPr>
  </w:style>
  <w:style w:type="paragraph" w:customStyle="1" w:styleId="DMETW18983BIPFINCOST">
    <w:name w:val="DM_ETW_18983_BIP_FINCOST"/>
    <w:rPr>
      <w:rFonts w:eastAsia="Calibri"/>
    </w:rPr>
  </w:style>
  <w:style w:type="paragraph" w:customStyle="1" w:styleId="DMETW18983BIPOTHEXP">
    <w:name w:val="DM_ETW_18983_BIP_OTHEXP"/>
    <w:rPr>
      <w:rFonts w:eastAsia="Calibri"/>
    </w:rPr>
  </w:style>
  <w:style w:type="paragraph" w:customStyle="1" w:styleId="DMETW18983BIPCONTGASSTS">
    <w:name w:val="DM_ETW_18983_BIP_CONTGASSTS"/>
    <w:rPr>
      <w:rFonts w:eastAsia="Calibri"/>
    </w:rPr>
  </w:style>
  <w:style w:type="paragraph" w:customStyle="1" w:styleId="DMETW18983BIPOCNYE">
    <w:name w:val="DM_ETW_18983_BIP_OCNYE"/>
    <w:rPr>
      <w:rFonts w:eastAsia="Calibri"/>
    </w:rPr>
  </w:style>
  <w:style w:type="paragraph" w:customStyle="1" w:styleId="DMETW19001BIPCR">
    <w:name w:val="DM_ETW_19001_BIP_CR"/>
    <w:rPr>
      <w:rFonts w:eastAsia="Calibri"/>
    </w:rPr>
  </w:style>
  <w:style w:type="paragraph" w:customStyle="1" w:styleId="DMETW19001BIPCDTR">
    <w:name w:val="DM_ETW_19001_BIP_CDTR"/>
    <w:rPr>
      <w:rFonts w:eastAsia="Calibri"/>
    </w:rPr>
  </w:style>
  <w:style w:type="paragraph" w:customStyle="1" w:styleId="DMETW19001BIPFARC">
    <w:name w:val="DM_ETW_19001_BIP_FARC"/>
    <w:rPr>
      <w:rFonts w:eastAsia="Calibri"/>
    </w:rPr>
  </w:style>
  <w:style w:type="paragraph" w:customStyle="1" w:styleId="DMETW19001BIPLR">
    <w:name w:val="DM_ETW_19001_BIP_LR"/>
    <w:rPr>
      <w:rFonts w:eastAsia="Calibri"/>
    </w:rPr>
  </w:style>
  <w:style w:type="paragraph" w:customStyle="1" w:styleId="DMETW19001BIPECRBDGR">
    <w:name w:val="DM_ETW_19001_BIP_ECRBDGR"/>
    <w:rPr>
      <w:rFonts w:eastAsia="Calibri"/>
    </w:rPr>
  </w:style>
  <w:style w:type="paragraph" w:customStyle="1" w:styleId="DMETW18319BIPBS">
    <w:name w:val="DM_ETW_18319_BIP_BS"/>
    <w:rPr>
      <w:rFonts w:eastAsia="Calibri"/>
    </w:rPr>
  </w:style>
  <w:style w:type="paragraph" w:customStyle="1" w:styleId="DMETW18319BIPFP">
    <w:name w:val="DM_ETW_18319_BIP_FP"/>
    <w:rPr>
      <w:rFonts w:eastAsia="Calibri"/>
    </w:rPr>
  </w:style>
  <w:style w:type="paragraph" w:customStyle="1" w:styleId="DMETW18319BIPCF">
    <w:name w:val="DM_ETW_18319_BIP_CF"/>
    <w:rPr>
      <w:rFonts w:eastAsia="Calibri"/>
    </w:rPr>
  </w:style>
  <w:style w:type="paragraph" w:customStyle="1" w:styleId="DMETW17933BIPBS">
    <w:name w:val="DM_ETW_17933_BIP_BS"/>
    <w:rPr>
      <w:rFonts w:eastAsia="Calibri"/>
    </w:rPr>
  </w:style>
  <w:style w:type="paragraph" w:customStyle="1" w:styleId="DMETW17933BIPFP">
    <w:name w:val="DM_ETW_17933_BIP_FP"/>
    <w:rPr>
      <w:rFonts w:eastAsia="Calibri"/>
    </w:rPr>
  </w:style>
  <w:style w:type="paragraph" w:customStyle="1" w:styleId="DMETW17933BIPCF">
    <w:name w:val="DM_ETW_17933_BIP_CF"/>
    <w:rPr>
      <w:rFonts w:eastAsia="Calibri"/>
    </w:rPr>
  </w:style>
  <w:style w:type="paragraph" w:customStyle="1" w:styleId="DMETW18992BIPCONSBS">
    <w:name w:val="DM_ETW_18992_BIP_CONSBS"/>
    <w:rPr>
      <w:rFonts w:eastAsia="Calibri"/>
    </w:rPr>
  </w:style>
  <w:style w:type="paragraph" w:customStyle="1" w:styleId="DMETW18992BIPCONSPL">
    <w:name w:val="DM_ETW_18992_BIP_CONSPL"/>
    <w:rPr>
      <w:rFonts w:eastAsia="Calibri"/>
    </w:rPr>
  </w:style>
  <w:style w:type="paragraph" w:customStyle="1" w:styleId="DMETW18992BIPCONSCF">
    <w:name w:val="DM_ETW_18992_BIP_CONSCF"/>
    <w:rPr>
      <w:rFonts w:eastAsia="Calibri"/>
    </w:rPr>
  </w:style>
  <w:style w:type="paragraph" w:customStyle="1" w:styleId="DMETW18992BIPCONSNA">
    <w:name w:val="DM_ETW_18992_BIP_CONSNA"/>
    <w:rPr>
      <w:rFonts w:eastAsia="Calibri"/>
    </w:rPr>
  </w:style>
  <w:style w:type="paragraph" w:customStyle="1" w:styleId="HEADERTITLE0">
    <w:name w:val="HEADER_TITLE_0"/>
    <w:basedOn w:val="HEADERTITLE"/>
    <w:qFormat/>
    <w:pPr>
      <w:jc w:val="both"/>
    </w:pPr>
  </w:style>
  <w:style w:type="paragraph" w:customStyle="1" w:styleId="ListBullet1">
    <w:name w:val="List Bullet 1"/>
    <w:basedOn w:val="Normal"/>
    <w:pPr>
      <w:numPr>
        <w:numId w:val="21"/>
      </w:numPr>
      <w:spacing w:before="120" w:after="120"/>
      <w:jc w:val="both"/>
    </w:pPr>
    <w:rPr>
      <w:lang w:eastAsia="de-DE"/>
    </w:rPr>
  </w:style>
  <w:style w:type="paragraph" w:customStyle="1" w:styleId="Text9pBoldLeft">
    <w:name w:val="Text_9p_Bold_Left"/>
    <w:qFormat/>
    <w:pPr>
      <w:pBdr>
        <w:top w:val="nil"/>
        <w:left w:val="nil"/>
        <w:bottom w:val="nil"/>
        <w:right w:val="nil"/>
        <w:between w:val="nil"/>
        <w:bar w:val="nil"/>
      </w:pBdr>
    </w:pPr>
    <w:rPr>
      <w:rFonts w:ascii="Verdana" w:eastAsia="Calibri" w:hAnsi="Verdana"/>
      <w:b/>
      <w:noProof/>
      <w:sz w:val="18"/>
      <w:szCs w:val="18"/>
      <w:bdr w:val="nil"/>
      <w:lang w:eastAsia="en-US"/>
    </w:rPr>
  </w:style>
  <w:style w:type="paragraph" w:customStyle="1" w:styleId="ListDash">
    <w:name w:val="List Dash"/>
    <w:basedOn w:val="Normal"/>
    <w:pPr>
      <w:numPr>
        <w:numId w:val="23"/>
      </w:numPr>
      <w:spacing w:before="120" w:after="120"/>
      <w:jc w:val="both"/>
    </w:pPr>
    <w:rPr>
      <w:lang w:eastAsia="de-DE"/>
    </w:rPr>
  </w:style>
  <w:style w:type="paragraph" w:customStyle="1" w:styleId="DMETW19004BIPTable11">
    <w:name w:val="DM_ETW_19004_BIP_Table1.1"/>
    <w:rPr>
      <w:rFonts w:eastAsia="Calibri"/>
    </w:rPr>
  </w:style>
  <w:style w:type="paragraph" w:customStyle="1" w:styleId="DMETW19004BIPTable12">
    <w:name w:val="DM_ETW_19004_BIP_Table_1.2"/>
    <w:rPr>
      <w:rFonts w:eastAsia="Calibri"/>
    </w:rPr>
  </w:style>
  <w:style w:type="paragraph" w:customStyle="1" w:styleId="DMETW19004BIPTable13">
    <w:name w:val="DM_ETW_19004_BIP_Table_1.3"/>
    <w:rPr>
      <w:rFonts w:eastAsia="Calibri"/>
    </w:rPr>
  </w:style>
  <w:style w:type="paragraph" w:customStyle="1" w:styleId="DMETW19004BIPTable14">
    <w:name w:val="DM_ETW_19004_BIP_Table_1.4"/>
    <w:rPr>
      <w:rFonts w:eastAsia="Calibri"/>
    </w:rPr>
  </w:style>
  <w:style w:type="paragraph" w:customStyle="1" w:styleId="DMETW19004BIPTable21a">
    <w:name w:val="DM_ETW_19004_BIP_Table_2.1a"/>
    <w:rPr>
      <w:rFonts w:eastAsia="Calibri"/>
    </w:rPr>
  </w:style>
  <w:style w:type="paragraph" w:customStyle="1" w:styleId="DMETW19004BIPTable21b">
    <w:name w:val="DM_ETW_19004_BIP_Table_2.1b"/>
    <w:rPr>
      <w:rFonts w:eastAsia="Calibri"/>
    </w:rPr>
  </w:style>
  <w:style w:type="paragraph" w:customStyle="1" w:styleId="DMETW19004BIPTable22">
    <w:name w:val="DM_ETW_19004_BIP_Table_2.2"/>
    <w:rPr>
      <w:rFonts w:eastAsia="Calibri"/>
    </w:rPr>
  </w:style>
  <w:style w:type="paragraph" w:customStyle="1" w:styleId="DMETW19004BIPTable23">
    <w:name w:val="DM_ETW_19004_BIP_Table_2.3"/>
    <w:rPr>
      <w:rFonts w:eastAsia="Calibri"/>
    </w:rPr>
  </w:style>
  <w:style w:type="paragraph" w:customStyle="1" w:styleId="DMETW19004BIPTable24">
    <w:name w:val="DM_ETW_19004_BIP_Table_2.4"/>
    <w:rPr>
      <w:rFonts w:eastAsia="Calibri"/>
    </w:rPr>
  </w:style>
  <w:style w:type="paragraph" w:customStyle="1" w:styleId="DMETW19004BIPTable25">
    <w:name w:val="DM_ETW_19004_BIP_Table_2.5"/>
    <w:rPr>
      <w:rFonts w:eastAsia="Calibri"/>
    </w:rPr>
  </w:style>
  <w:style w:type="paragraph" w:customStyle="1" w:styleId="DMETW19004BIPTable26">
    <w:name w:val="DM_ETW_19004_BIP_Table_2.6"/>
    <w:rPr>
      <w:rFonts w:eastAsia="Calibri"/>
    </w:rPr>
  </w:style>
  <w:style w:type="paragraph" w:customStyle="1" w:styleId="Normal20">
    <w:name w:val="Normal_2_0"/>
    <w:qFormat/>
    <w:rPr>
      <w:rFonts w:ascii="Times New Roman" w:hAnsi="Times New Roman"/>
    </w:rPr>
  </w:style>
  <w:style w:type="paragraph" w:customStyle="1" w:styleId="Header10">
    <w:name w:val="Header_1_0"/>
    <w:basedOn w:val="Normal20"/>
    <w:link w:val="HeaderChar10"/>
    <w:uiPriority w:val="99"/>
    <w:unhideWhenUsed/>
    <w:pPr>
      <w:tabs>
        <w:tab w:val="center" w:pos="4680"/>
        <w:tab w:val="right" w:pos="9360"/>
      </w:tabs>
    </w:pPr>
    <w:rPr>
      <w:rFonts w:ascii="Calibri" w:eastAsia="Calibri" w:hAnsi="Calibri" w:cs="Arial"/>
      <w:lang w:eastAsia="en-US"/>
    </w:rPr>
  </w:style>
  <w:style w:type="character" w:customStyle="1" w:styleId="HeaderChar10">
    <w:name w:val="Header Char_1_0"/>
    <w:basedOn w:val="DefaultParagraphFont"/>
    <w:link w:val="Header10"/>
    <w:uiPriority w:val="99"/>
    <w:rPr>
      <w:rFonts w:eastAsia="Calibri" w:cs="Arial"/>
      <w:lang w:val="lt-LT" w:eastAsia="en-US"/>
    </w:rPr>
  </w:style>
  <w:style w:type="paragraph" w:customStyle="1" w:styleId="Normal41">
    <w:name w:val="Normal_4_1"/>
    <w:qFormat/>
    <w:rPr>
      <w:rFonts w:eastAsia="Calibri" w:cs="Arial"/>
      <w:lang w:eastAsia="en-US"/>
    </w:rPr>
  </w:style>
  <w:style w:type="paragraph" w:customStyle="1" w:styleId="Normal76">
    <w:name w:val="Normal_76"/>
    <w:qFormat/>
    <w:rPr>
      <w:rFonts w:ascii="Times New Roman" w:hAnsi="Times New Roman"/>
      <w:sz w:val="24"/>
      <w:szCs w:val="24"/>
    </w:rPr>
  </w:style>
  <w:style w:type="paragraph" w:customStyle="1" w:styleId="Normal0">
    <w:name w:val="Normal_0"/>
    <w:qFormat/>
    <w:pPr>
      <w:suppressAutoHyphens/>
    </w:pPr>
    <w:rPr>
      <w:rFonts w:ascii="Times New Roman" w:hAnsi="Times New Roman"/>
      <w:sz w:val="24"/>
      <w:szCs w:val="24"/>
      <w:lang w:eastAsia="ar-SA"/>
    </w:rPr>
  </w:style>
  <w:style w:type="paragraph" w:customStyle="1" w:styleId="Textstand-alonenumberingLetters0">
    <w:name w:val="Text_stand-alone_(numbering Letters)_0"/>
    <w:basedOn w:val="Normal"/>
    <w:qFormat/>
    <w:pPr>
      <w:numPr>
        <w:numId w:val="25"/>
      </w:numPr>
      <w:spacing w:after="240"/>
    </w:pPr>
    <w:rPr>
      <w:rFonts w:ascii="Verdana" w:hAnsi="Verdana"/>
      <w:sz w:val="18"/>
      <w:szCs w:val="18"/>
    </w:rPr>
  </w:style>
  <w:style w:type="paragraph" w:customStyle="1" w:styleId="Normal8">
    <w:name w:val="Normal_8"/>
    <w:qFormat/>
    <w:pPr>
      <w:suppressAutoHyphens/>
    </w:pPr>
    <w:rPr>
      <w:rFonts w:ascii="Times New Roman" w:hAnsi="Times New Roman"/>
      <w:sz w:val="24"/>
      <w:szCs w:val="24"/>
      <w:lang w:eastAsia="ar-SA"/>
    </w:rPr>
  </w:style>
  <w:style w:type="table" w:customStyle="1" w:styleId="CDMRange1">
    <w:name w:val="CDM Range 1"/>
    <w:basedOn w:val="TableNormal"/>
    <w:next w:val="TableNormal"/>
    <w:semiHidden/>
    <w:rPr>
      <w:rFonts w:ascii="Times New Roman" w:hAnsi="Times New Roman"/>
    </w:rPr>
    <w:tblPr/>
  </w:style>
  <w:style w:type="paragraph" w:customStyle="1" w:styleId="Normal73">
    <w:name w:val="Normal_73"/>
    <w:qFormat/>
    <w:rPr>
      <w:rFonts w:ascii="Times New Roman" w:hAnsi="Times New Roman"/>
      <w:sz w:val="24"/>
      <w:szCs w:val="24"/>
    </w:rPr>
  </w:style>
  <w:style w:type="table" w:customStyle="1" w:styleId="CDMRange2">
    <w:name w:val="CDM Range 2"/>
    <w:basedOn w:val="TableNormal"/>
    <w:next w:val="TableNormal"/>
    <w:semiHidden/>
    <w:rPr>
      <w:rFonts w:ascii="Times New Roman" w:hAnsi="Times New Roman"/>
    </w:rPr>
    <w:tblPr/>
  </w:style>
  <w:style w:type="paragraph" w:customStyle="1" w:styleId="Normal74">
    <w:name w:val="Normal_74"/>
    <w:qFormat/>
    <w:rPr>
      <w:rFonts w:ascii="Times New Roman" w:hAnsi="Times New Roman"/>
      <w:sz w:val="24"/>
      <w:szCs w:val="24"/>
    </w:rPr>
  </w:style>
  <w:style w:type="table" w:customStyle="1" w:styleId="CDMRange10">
    <w:name w:val="CDM Range 1_0"/>
    <w:basedOn w:val="TableNormal"/>
    <w:next w:val="TableNormal"/>
    <w:semiHidden/>
    <w:rPr>
      <w:rFonts w:ascii="Times New Roman" w:hAnsi="Times New Roman"/>
    </w:rPr>
    <w:tblPr/>
  </w:style>
  <w:style w:type="paragraph" w:customStyle="1" w:styleId="Normal75">
    <w:name w:val="Normal_75"/>
    <w:qFormat/>
    <w:rPr>
      <w:rFonts w:ascii="Times New Roman" w:hAnsi="Times New Roman"/>
      <w:sz w:val="24"/>
      <w:szCs w:val="24"/>
    </w:rPr>
  </w:style>
  <w:style w:type="table" w:customStyle="1" w:styleId="CDMRange20">
    <w:name w:val="CDM Range 2_0"/>
    <w:basedOn w:val="TableNormal"/>
    <w:next w:val="TableNormal"/>
    <w:semiHidden/>
    <w:rPr>
      <w:rFonts w:ascii="Times New Roman" w:hAnsi="Times New Roman"/>
    </w:rPr>
    <w:tblPr/>
  </w:style>
  <w:style w:type="paragraph" w:customStyle="1" w:styleId="Header0">
    <w:name w:val="Header_0"/>
    <w:basedOn w:val="Normal0"/>
    <w:link w:val="HeaderChar0"/>
    <w:uiPriority w:val="99"/>
    <w:pPr>
      <w:tabs>
        <w:tab w:val="center" w:pos="4153"/>
        <w:tab w:val="right" w:pos="8306"/>
      </w:tabs>
    </w:pPr>
  </w:style>
  <w:style w:type="character" w:customStyle="1" w:styleId="HeaderChar0">
    <w:name w:val="Header Char_0"/>
    <w:link w:val="Header0"/>
    <w:uiPriority w:val="99"/>
    <w:rPr>
      <w:rFonts w:ascii="Times New Roman" w:hAnsi="Times New Roman"/>
      <w:sz w:val="24"/>
      <w:szCs w:val="24"/>
      <w:lang w:eastAsia="ar-SA"/>
    </w:rPr>
  </w:style>
  <w:style w:type="paragraph" w:customStyle="1" w:styleId="Notes0">
    <w:name w:val="Notes_0"/>
    <w:basedOn w:val="Header0"/>
    <w:link w:val="NotesChar0"/>
    <w:pPr>
      <w:numPr>
        <w:numId w:val="2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0">
    <w:name w:val="Title 1.1_0"/>
    <w:basedOn w:val="Notes0"/>
    <w:pPr>
      <w:numPr>
        <w:ilvl w:val="1"/>
      </w:numPr>
      <w:tabs>
        <w:tab w:val="clear" w:pos="4320"/>
        <w:tab w:val="clear" w:pos="8640"/>
        <w:tab w:val="right" w:pos="-2700"/>
        <w:tab w:val="right" w:pos="720"/>
      </w:tabs>
      <w:spacing w:before="0" w:after="0"/>
    </w:pPr>
    <w:rPr>
      <w:b w:val="0"/>
    </w:rPr>
  </w:style>
  <w:style w:type="character" w:customStyle="1" w:styleId="NotesChar0">
    <w:name w:val="Notes Char_0"/>
    <w:link w:val="Notes0"/>
    <w:rPr>
      <w:rFonts w:ascii="Arial" w:hAnsi="Arial"/>
      <w:b/>
      <w:szCs w:val="24"/>
      <w:lang w:val="lt-LT" w:eastAsia="ar-SA"/>
    </w:rPr>
  </w:style>
  <w:style w:type="paragraph" w:customStyle="1" w:styleId="Title10">
    <w:name w:val="Title 1_0"/>
    <w:basedOn w:val="Notes0"/>
    <w:pPr>
      <w:spacing w:before="0" w:after="0"/>
    </w:pPr>
  </w:style>
  <w:style w:type="paragraph" w:customStyle="1" w:styleId="Normal3">
    <w:name w:val="Normal_3"/>
    <w:qFormat/>
    <w:pPr>
      <w:suppressAutoHyphens/>
    </w:pPr>
    <w:rPr>
      <w:rFonts w:ascii="Times New Roman" w:hAnsi="Times New Roman"/>
      <w:sz w:val="24"/>
      <w:szCs w:val="24"/>
      <w:lang w:eastAsia="ar-SA"/>
    </w:rPr>
  </w:style>
  <w:style w:type="paragraph" w:customStyle="1" w:styleId="Header2">
    <w:name w:val="Header_2"/>
    <w:basedOn w:val="Normal3"/>
    <w:link w:val="HeaderChar2"/>
    <w:pPr>
      <w:tabs>
        <w:tab w:val="center" w:pos="4153"/>
        <w:tab w:val="right" w:pos="8306"/>
      </w:tabs>
    </w:pPr>
  </w:style>
  <w:style w:type="character" w:customStyle="1" w:styleId="HeaderChar2">
    <w:name w:val="Header Char_2"/>
    <w:link w:val="Header2"/>
    <w:rPr>
      <w:rFonts w:ascii="Times New Roman" w:hAnsi="Times New Roman"/>
      <w:sz w:val="24"/>
      <w:szCs w:val="24"/>
      <w:lang w:eastAsia="ar-SA"/>
    </w:rPr>
  </w:style>
  <w:style w:type="paragraph" w:customStyle="1" w:styleId="Notes2">
    <w:name w:val="Notes_2"/>
    <w:basedOn w:val="Header2"/>
    <w:link w:val="NotesChar2"/>
    <w:pPr>
      <w:numPr>
        <w:numId w:val="2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
    <w:name w:val="Title 1.1_2"/>
    <w:basedOn w:val="Notes2"/>
    <w:pPr>
      <w:numPr>
        <w:ilvl w:val="1"/>
      </w:numPr>
      <w:tabs>
        <w:tab w:val="clear" w:pos="4320"/>
        <w:tab w:val="clear" w:pos="8640"/>
        <w:tab w:val="right" w:pos="-2700"/>
        <w:tab w:val="right" w:pos="720"/>
      </w:tabs>
      <w:spacing w:before="0" w:after="0"/>
    </w:pPr>
    <w:rPr>
      <w:b w:val="0"/>
      <w:szCs w:val="20"/>
    </w:rPr>
  </w:style>
  <w:style w:type="character" w:customStyle="1" w:styleId="NotesChar2">
    <w:name w:val="Notes Char_2"/>
    <w:link w:val="Notes2"/>
    <w:rPr>
      <w:rFonts w:ascii="Arial" w:hAnsi="Arial"/>
      <w:b/>
      <w:szCs w:val="24"/>
      <w:lang w:val="lt-LT" w:eastAsia="ar-SA"/>
    </w:rPr>
  </w:style>
  <w:style w:type="paragraph" w:customStyle="1" w:styleId="Normal2">
    <w:name w:val="Normal_2"/>
    <w:qFormat/>
    <w:pPr>
      <w:suppressAutoHyphens/>
    </w:pPr>
    <w:rPr>
      <w:rFonts w:ascii="Times New Roman" w:hAnsi="Times New Roman"/>
      <w:sz w:val="24"/>
      <w:szCs w:val="24"/>
      <w:lang w:eastAsia="ar-SA"/>
    </w:rPr>
  </w:style>
  <w:style w:type="paragraph" w:customStyle="1" w:styleId="Header1">
    <w:name w:val="Header_1"/>
    <w:basedOn w:val="Normal2"/>
    <w:link w:val="HeaderChar1"/>
    <w:uiPriority w:val="99"/>
    <w:pPr>
      <w:tabs>
        <w:tab w:val="center" w:pos="4153"/>
        <w:tab w:val="right" w:pos="8306"/>
      </w:tabs>
    </w:pPr>
  </w:style>
  <w:style w:type="character" w:customStyle="1" w:styleId="HeaderChar1">
    <w:name w:val="Header Char_1"/>
    <w:link w:val="Header1"/>
    <w:uiPriority w:val="99"/>
    <w:rPr>
      <w:rFonts w:ascii="Times New Roman" w:hAnsi="Times New Roman"/>
      <w:sz w:val="24"/>
      <w:szCs w:val="24"/>
      <w:lang w:eastAsia="ar-SA"/>
    </w:rPr>
  </w:style>
  <w:style w:type="paragraph" w:customStyle="1" w:styleId="Notes1">
    <w:name w:val="Notes_1"/>
    <w:basedOn w:val="Header1"/>
    <w:link w:val="NotesChar1"/>
    <w:pPr>
      <w:numPr>
        <w:numId w:val="3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
    <w:name w:val="Title 1.1_1"/>
    <w:basedOn w:val="Notes1"/>
    <w:pPr>
      <w:numPr>
        <w:ilvl w:val="1"/>
      </w:numPr>
      <w:tabs>
        <w:tab w:val="clear" w:pos="4320"/>
        <w:tab w:val="clear" w:pos="8640"/>
        <w:tab w:val="right" w:pos="-2700"/>
        <w:tab w:val="right" w:pos="720"/>
      </w:tabs>
      <w:spacing w:before="0" w:after="0"/>
    </w:pPr>
    <w:rPr>
      <w:b w:val="0"/>
      <w:szCs w:val="20"/>
    </w:rPr>
  </w:style>
  <w:style w:type="character" w:customStyle="1" w:styleId="NotesChar1">
    <w:name w:val="Notes Char_1"/>
    <w:link w:val="Notes1"/>
    <w:locked/>
    <w:rPr>
      <w:rFonts w:ascii="Arial" w:hAnsi="Arial"/>
      <w:b/>
      <w:szCs w:val="24"/>
      <w:lang w:val="lt-LT" w:eastAsia="ar-SA"/>
    </w:rPr>
  </w:style>
  <w:style w:type="paragraph" w:customStyle="1" w:styleId="Title116">
    <w:name w:val="Title 1_1"/>
    <w:basedOn w:val="Notes1"/>
    <w:pPr>
      <w:spacing w:before="0" w:after="0"/>
    </w:pPr>
  </w:style>
  <w:style w:type="paragraph" w:customStyle="1" w:styleId="Normal77">
    <w:name w:val="Normal_77"/>
    <w:qFormat/>
    <w:rPr>
      <w:rFonts w:ascii="Times New Roman" w:hAnsi="Times New Roman"/>
      <w:sz w:val="24"/>
      <w:szCs w:val="24"/>
    </w:rPr>
  </w:style>
  <w:style w:type="paragraph" w:customStyle="1" w:styleId="NotesText0">
    <w:name w:val="Notes Text_0"/>
    <w:basedOn w:val="Normal2"/>
    <w:pPr>
      <w:spacing w:after="60" w:line="180" w:lineRule="atLeast"/>
      <w:jc w:val="both"/>
    </w:pPr>
    <w:rPr>
      <w:rFonts w:ascii="Arial" w:hAnsi="Arial" w:cs="Arial"/>
      <w:sz w:val="15"/>
      <w:szCs w:val="15"/>
    </w:rPr>
  </w:style>
  <w:style w:type="paragraph" w:customStyle="1" w:styleId="Normal90">
    <w:name w:val="Normal_9_0"/>
    <w:qFormat/>
    <w:pPr>
      <w:suppressAutoHyphens/>
    </w:pPr>
    <w:rPr>
      <w:rFonts w:ascii="Times New Roman" w:hAnsi="Times New Roman"/>
      <w:sz w:val="24"/>
      <w:szCs w:val="24"/>
      <w:lang w:eastAsia="ar-SA"/>
    </w:rPr>
  </w:style>
  <w:style w:type="paragraph" w:customStyle="1" w:styleId="Normal100">
    <w:name w:val="Normal_1_0_0"/>
    <w:qFormat/>
    <w:pPr>
      <w:spacing w:line="190" w:lineRule="atLeast"/>
      <w:jc w:val="both"/>
    </w:pPr>
    <w:rPr>
      <w:rFonts w:ascii="Arial" w:hAnsi="Arial"/>
      <w:sz w:val="15"/>
      <w:szCs w:val="24"/>
    </w:rPr>
  </w:style>
  <w:style w:type="paragraph" w:customStyle="1" w:styleId="Normal900">
    <w:name w:val="Normal_9_0_0"/>
    <w:qFormat/>
    <w:pPr>
      <w:spacing w:line="190" w:lineRule="atLeast"/>
      <w:jc w:val="both"/>
    </w:pPr>
    <w:rPr>
      <w:rFonts w:ascii="Arial" w:hAnsi="Arial"/>
      <w:sz w:val="15"/>
      <w:szCs w:val="24"/>
    </w:rPr>
  </w:style>
  <w:style w:type="paragraph" w:customStyle="1" w:styleId="Normal400">
    <w:name w:val="Normal_4_0_0"/>
    <w:qFormat/>
    <w:rPr>
      <w:rFonts w:eastAsia="Calibri" w:cs="Arial"/>
      <w:lang w:eastAsia="en-US"/>
    </w:rPr>
  </w:style>
  <w:style w:type="paragraph" w:customStyle="1" w:styleId="Normal901">
    <w:name w:val="Normal_9_0_1"/>
    <w:qFormat/>
    <w:pPr>
      <w:suppressAutoHyphens/>
    </w:pPr>
    <w:rPr>
      <w:rFonts w:ascii="Times New Roman" w:hAnsi="Times New Roman"/>
      <w:sz w:val="24"/>
      <w:szCs w:val="24"/>
      <w:lang w:eastAsia="ar-SA"/>
    </w:rPr>
  </w:style>
  <w:style w:type="paragraph" w:customStyle="1" w:styleId="Title1110">
    <w:name w:val="Title 1.1.1_0"/>
    <w:basedOn w:val="Notes1"/>
    <w:link w:val="Title111Char0"/>
    <w:pPr>
      <w:numPr>
        <w:ilvl w:val="2"/>
        <w:numId w:val="39"/>
      </w:numPr>
      <w:tabs>
        <w:tab w:val="clear" w:pos="4320"/>
        <w:tab w:val="clear" w:pos="8640"/>
        <w:tab w:val="right" w:pos="-2700"/>
      </w:tabs>
      <w:spacing w:before="0" w:after="0"/>
    </w:pPr>
    <w:rPr>
      <w:b w:val="0"/>
      <w:szCs w:val="20"/>
    </w:rPr>
  </w:style>
  <w:style w:type="character" w:customStyle="1" w:styleId="Title111Char0">
    <w:name w:val="Title 1.1.1 Char_0"/>
    <w:link w:val="Title1110"/>
    <w:rPr>
      <w:rFonts w:ascii="Arial" w:hAnsi="Arial"/>
      <w:lang w:eastAsia="ar-SA"/>
    </w:rPr>
  </w:style>
  <w:style w:type="paragraph" w:customStyle="1" w:styleId="Normal910">
    <w:name w:val="Normal_9_1_0"/>
    <w:qFormat/>
    <w:pPr>
      <w:spacing w:line="190" w:lineRule="atLeast"/>
      <w:jc w:val="both"/>
    </w:pPr>
    <w:rPr>
      <w:rFonts w:ascii="Arial" w:hAnsi="Arial"/>
      <w:sz w:val="15"/>
      <w:szCs w:val="24"/>
    </w:rPr>
  </w:style>
  <w:style w:type="paragraph" w:customStyle="1" w:styleId="Normal1000">
    <w:name w:val="Normal_10_0"/>
    <w:qFormat/>
    <w:pPr>
      <w:suppressAutoHyphens/>
    </w:pPr>
    <w:rPr>
      <w:rFonts w:ascii="Times New Roman" w:hAnsi="Times New Roman"/>
      <w:sz w:val="24"/>
      <w:szCs w:val="24"/>
      <w:lang w:eastAsia="ar-SA"/>
    </w:rPr>
  </w:style>
  <w:style w:type="paragraph" w:customStyle="1" w:styleId="Notes10">
    <w:name w:val="Notes_1_0"/>
    <w:basedOn w:val="Normal77"/>
    <w:link w:val="NotesChar10"/>
    <w:pPr>
      <w:numPr>
        <w:numId w:val="45"/>
      </w:numPr>
      <w:tabs>
        <w:tab w:val="center" w:pos="4320"/>
        <w:tab w:val="right" w:pos="8640"/>
      </w:tabs>
      <w:spacing w:before="120" w:after="120"/>
      <w:jc w:val="both"/>
    </w:pPr>
    <w:rPr>
      <w:rFonts w:ascii="Arial" w:hAnsi="Arial"/>
      <w:b/>
      <w:sz w:val="20"/>
    </w:rPr>
  </w:style>
  <w:style w:type="character" w:customStyle="1" w:styleId="NotesChar10">
    <w:name w:val="Notes Char_1_0"/>
    <w:link w:val="Notes10"/>
    <w:locked/>
    <w:rPr>
      <w:rFonts w:ascii="Arial" w:hAnsi="Arial"/>
      <w:b/>
      <w:szCs w:val="24"/>
      <w:lang w:val="lt-LT"/>
    </w:rPr>
  </w:style>
  <w:style w:type="paragraph" w:customStyle="1" w:styleId="ListParagraph0">
    <w:name w:val="List Paragraph_0"/>
    <w:basedOn w:val="Normal2"/>
    <w:uiPriority w:val="34"/>
    <w:qFormat/>
    <w:pPr>
      <w:ind w:left="720"/>
      <w:contextualSpacing/>
    </w:pPr>
  </w:style>
  <w:style w:type="paragraph" w:customStyle="1" w:styleId="Normal160">
    <w:name w:val="Normal_16_0"/>
    <w:qFormat/>
    <w:rPr>
      <w:rFonts w:ascii="Times New Roman" w:hAnsi="Times New Roman"/>
      <w:sz w:val="24"/>
      <w:szCs w:val="24"/>
    </w:rPr>
  </w:style>
  <w:style w:type="paragraph" w:customStyle="1" w:styleId="Default0">
    <w:name w:val="Default_0"/>
    <w:pPr>
      <w:autoSpaceDE w:val="0"/>
      <w:autoSpaceDN w:val="0"/>
      <w:adjustRightInd w:val="0"/>
    </w:pPr>
    <w:rPr>
      <w:rFonts w:ascii="Arial" w:eastAsia="Calibri" w:hAnsi="Arial" w:cs="Arial"/>
      <w:color w:val="000000"/>
      <w:sz w:val="24"/>
      <w:szCs w:val="24"/>
      <w:lang w:eastAsia="en-US"/>
    </w:rPr>
  </w:style>
  <w:style w:type="paragraph" w:customStyle="1" w:styleId="xx0">
    <w:name w:val="xx_0"/>
    <w:basedOn w:val="Normal2"/>
    <w:pPr>
      <w:jc w:val="both"/>
    </w:pPr>
    <w:rPr>
      <w:rFonts w:ascii="Univers (WN)" w:hAnsi="Univers (WN)"/>
      <w:sz w:val="20"/>
      <w:szCs w:val="20"/>
    </w:rPr>
  </w:style>
  <w:style w:type="paragraph" w:customStyle="1" w:styleId="Normal6">
    <w:name w:val="Normal_6"/>
    <w:qFormat/>
    <w:pPr>
      <w:suppressAutoHyphens/>
    </w:pPr>
    <w:rPr>
      <w:rFonts w:ascii="Times New Roman" w:hAnsi="Times New Roman"/>
      <w:sz w:val="24"/>
      <w:szCs w:val="24"/>
      <w:lang w:eastAsia="ar-SA"/>
    </w:rPr>
  </w:style>
  <w:style w:type="paragraph" w:customStyle="1" w:styleId="Header50">
    <w:name w:val="Header_5"/>
    <w:basedOn w:val="Normal6"/>
    <w:link w:val="HeaderChar5"/>
    <w:uiPriority w:val="99"/>
    <w:pPr>
      <w:tabs>
        <w:tab w:val="center" w:pos="4153"/>
        <w:tab w:val="right" w:pos="8306"/>
      </w:tabs>
    </w:pPr>
  </w:style>
  <w:style w:type="character" w:customStyle="1" w:styleId="HeaderChar5">
    <w:name w:val="Header Char_5"/>
    <w:link w:val="Header50"/>
    <w:uiPriority w:val="99"/>
    <w:rPr>
      <w:rFonts w:ascii="Times New Roman" w:hAnsi="Times New Roman"/>
      <w:sz w:val="24"/>
      <w:szCs w:val="24"/>
      <w:lang w:eastAsia="ar-SA"/>
    </w:rPr>
  </w:style>
  <w:style w:type="paragraph" w:customStyle="1" w:styleId="Notes5">
    <w:name w:val="Notes_5"/>
    <w:basedOn w:val="Header50"/>
    <w:link w:val="NotesChar5"/>
    <w:pPr>
      <w:numPr>
        <w:numId w:val="5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5">
    <w:name w:val="Title 1.1_5"/>
    <w:basedOn w:val="Notes5"/>
    <w:pPr>
      <w:numPr>
        <w:ilvl w:val="1"/>
      </w:numPr>
      <w:tabs>
        <w:tab w:val="clear" w:pos="4320"/>
        <w:tab w:val="clear" w:pos="8640"/>
        <w:tab w:val="right" w:pos="-2700"/>
        <w:tab w:val="right" w:pos="720"/>
      </w:tabs>
      <w:spacing w:before="0" w:after="0"/>
    </w:pPr>
    <w:rPr>
      <w:b w:val="0"/>
      <w:szCs w:val="20"/>
    </w:rPr>
  </w:style>
  <w:style w:type="character" w:customStyle="1" w:styleId="NotesChar5">
    <w:name w:val="Notes Char_5"/>
    <w:link w:val="Notes5"/>
    <w:rPr>
      <w:rFonts w:ascii="Arial" w:hAnsi="Arial"/>
      <w:b/>
      <w:szCs w:val="24"/>
      <w:lang w:val="lt-LT" w:eastAsia="ar-SA"/>
    </w:rPr>
  </w:style>
  <w:style w:type="paragraph" w:customStyle="1" w:styleId="Title12">
    <w:name w:val="Title 1_2"/>
    <w:basedOn w:val="Notes2"/>
    <w:pPr>
      <w:spacing w:before="0" w:after="0"/>
    </w:pPr>
  </w:style>
  <w:style w:type="paragraph" w:customStyle="1" w:styleId="Normal78">
    <w:name w:val="Normal_78"/>
    <w:qFormat/>
    <w:rPr>
      <w:rFonts w:ascii="Times New Roman" w:hAnsi="Times New Roman"/>
      <w:sz w:val="24"/>
      <w:szCs w:val="24"/>
    </w:rPr>
  </w:style>
  <w:style w:type="paragraph" w:customStyle="1" w:styleId="Normal79">
    <w:name w:val="Normal_79"/>
    <w:qFormat/>
    <w:rPr>
      <w:rFonts w:ascii="Times New Roman" w:hAnsi="Times New Roman"/>
      <w:sz w:val="24"/>
      <w:szCs w:val="24"/>
    </w:rPr>
  </w:style>
  <w:style w:type="paragraph" w:customStyle="1" w:styleId="Title321">
    <w:name w:val="Title 3.2.1."/>
    <w:basedOn w:val="Notes5"/>
    <w:pPr>
      <w:numPr>
        <w:ilvl w:val="2"/>
        <w:numId w:val="59"/>
      </w:numPr>
      <w:tabs>
        <w:tab w:val="clear" w:pos="4320"/>
        <w:tab w:val="clear" w:pos="8640"/>
        <w:tab w:val="right" w:pos="-2700"/>
      </w:tabs>
      <w:spacing w:before="240"/>
    </w:pPr>
    <w:rPr>
      <w:szCs w:val="20"/>
    </w:rPr>
  </w:style>
  <w:style w:type="paragraph" w:customStyle="1" w:styleId="Normal9">
    <w:name w:val="Normal_9"/>
    <w:qFormat/>
    <w:pPr>
      <w:suppressAutoHyphens/>
    </w:pPr>
    <w:rPr>
      <w:rFonts w:ascii="Times New Roman" w:hAnsi="Times New Roman"/>
      <w:sz w:val="24"/>
      <w:szCs w:val="24"/>
      <w:lang w:eastAsia="ar-SA"/>
    </w:rPr>
  </w:style>
  <w:style w:type="paragraph" w:customStyle="1" w:styleId="Header7">
    <w:name w:val="Header_7"/>
    <w:basedOn w:val="Normal9"/>
    <w:link w:val="HeaderChar7"/>
    <w:pPr>
      <w:tabs>
        <w:tab w:val="center" w:pos="4153"/>
        <w:tab w:val="right" w:pos="8306"/>
      </w:tabs>
    </w:pPr>
  </w:style>
  <w:style w:type="character" w:customStyle="1" w:styleId="HeaderChar7">
    <w:name w:val="Header Char_7"/>
    <w:link w:val="Header7"/>
    <w:rPr>
      <w:rFonts w:ascii="Times New Roman" w:hAnsi="Times New Roman"/>
      <w:sz w:val="24"/>
      <w:szCs w:val="24"/>
      <w:lang w:eastAsia="ar-SA"/>
    </w:rPr>
  </w:style>
  <w:style w:type="paragraph" w:customStyle="1" w:styleId="Notes7">
    <w:name w:val="Notes_7"/>
    <w:basedOn w:val="Header7"/>
    <w:link w:val="NotesChar7"/>
    <w:pPr>
      <w:numPr>
        <w:numId w:val="6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7">
    <w:name w:val="Title 1.1_7"/>
    <w:basedOn w:val="Notes7"/>
    <w:pPr>
      <w:numPr>
        <w:ilvl w:val="1"/>
      </w:numPr>
      <w:tabs>
        <w:tab w:val="clear" w:pos="4320"/>
        <w:tab w:val="clear" w:pos="8640"/>
        <w:tab w:val="right" w:pos="-2700"/>
        <w:tab w:val="right" w:pos="720"/>
      </w:tabs>
      <w:spacing w:before="0" w:after="0"/>
    </w:pPr>
    <w:rPr>
      <w:b w:val="0"/>
      <w:szCs w:val="20"/>
    </w:rPr>
  </w:style>
  <w:style w:type="character" w:customStyle="1" w:styleId="NotesChar7">
    <w:name w:val="Notes Char_7"/>
    <w:link w:val="Notes7"/>
    <w:rPr>
      <w:rFonts w:ascii="Arial" w:hAnsi="Arial"/>
      <w:b/>
      <w:szCs w:val="24"/>
      <w:lang w:val="lt-LT" w:eastAsia="ar-SA"/>
    </w:rPr>
  </w:style>
  <w:style w:type="paragraph" w:customStyle="1" w:styleId="Normal80">
    <w:name w:val="Normal_80"/>
    <w:qFormat/>
    <w:rPr>
      <w:rFonts w:ascii="Times New Roman" w:hAnsi="Times New Roman"/>
      <w:sz w:val="24"/>
      <w:szCs w:val="24"/>
    </w:rPr>
  </w:style>
  <w:style w:type="paragraph" w:customStyle="1" w:styleId="Normal81">
    <w:name w:val="Normal_81"/>
    <w:qFormat/>
    <w:rPr>
      <w:rFonts w:ascii="Times New Roman" w:hAnsi="Times New Roman"/>
      <w:sz w:val="24"/>
      <w:szCs w:val="24"/>
    </w:rPr>
  </w:style>
  <w:style w:type="table" w:customStyle="1" w:styleId="CDMRange11">
    <w:name w:val="CDM Range 1_1"/>
    <w:basedOn w:val="TableNormal"/>
    <w:next w:val="TableNormal"/>
    <w:semiHidden/>
    <w:rPr>
      <w:rFonts w:ascii="Times New Roman" w:hAnsi="Times New Roman"/>
    </w:rPr>
    <w:tblPr/>
  </w:style>
  <w:style w:type="paragraph" w:customStyle="1" w:styleId="Normal10">
    <w:name w:val="Normal_10"/>
    <w:qFormat/>
    <w:pPr>
      <w:suppressAutoHyphens/>
    </w:pPr>
    <w:rPr>
      <w:rFonts w:ascii="Times New Roman" w:hAnsi="Times New Roman"/>
      <w:sz w:val="24"/>
      <w:szCs w:val="24"/>
      <w:lang w:eastAsia="ar-SA"/>
    </w:rPr>
  </w:style>
  <w:style w:type="paragraph" w:customStyle="1" w:styleId="Header8">
    <w:name w:val="Header_8"/>
    <w:basedOn w:val="Normal10"/>
    <w:link w:val="HeaderChar8"/>
    <w:pPr>
      <w:tabs>
        <w:tab w:val="center" w:pos="4153"/>
        <w:tab w:val="right" w:pos="8306"/>
      </w:tabs>
    </w:pPr>
  </w:style>
  <w:style w:type="character" w:customStyle="1" w:styleId="HeaderChar8">
    <w:name w:val="Header Char_8"/>
    <w:link w:val="Header8"/>
    <w:rPr>
      <w:rFonts w:ascii="Times New Roman" w:hAnsi="Times New Roman"/>
      <w:sz w:val="24"/>
      <w:szCs w:val="24"/>
      <w:lang w:eastAsia="ar-SA"/>
    </w:rPr>
  </w:style>
  <w:style w:type="paragraph" w:customStyle="1" w:styleId="Notes8">
    <w:name w:val="Notes_8"/>
    <w:basedOn w:val="Header8"/>
    <w:link w:val="NotesChar8"/>
    <w:pPr>
      <w:numPr>
        <w:numId w:val="6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8">
    <w:name w:val="Title 1.1_8"/>
    <w:basedOn w:val="Notes8"/>
    <w:pPr>
      <w:numPr>
        <w:ilvl w:val="1"/>
      </w:numPr>
      <w:tabs>
        <w:tab w:val="clear" w:pos="4320"/>
        <w:tab w:val="clear" w:pos="8640"/>
        <w:tab w:val="right" w:pos="-2700"/>
        <w:tab w:val="right" w:pos="720"/>
      </w:tabs>
      <w:spacing w:before="0" w:after="0"/>
    </w:pPr>
    <w:rPr>
      <w:b w:val="0"/>
    </w:rPr>
  </w:style>
  <w:style w:type="character" w:customStyle="1" w:styleId="NotesChar8">
    <w:name w:val="Notes Char_8"/>
    <w:link w:val="Notes8"/>
    <w:rPr>
      <w:rFonts w:ascii="Arial" w:hAnsi="Arial"/>
      <w:b/>
      <w:szCs w:val="24"/>
      <w:lang w:val="lt-LT" w:eastAsia="ar-SA"/>
    </w:rPr>
  </w:style>
  <w:style w:type="paragraph" w:customStyle="1" w:styleId="Normal82">
    <w:name w:val="Normal_82"/>
    <w:qFormat/>
    <w:rPr>
      <w:rFonts w:ascii="Times New Roman" w:hAnsi="Times New Roman"/>
      <w:sz w:val="24"/>
      <w:szCs w:val="24"/>
    </w:rPr>
  </w:style>
  <w:style w:type="paragraph" w:customStyle="1" w:styleId="FootnoteText0">
    <w:name w:val="Footnote Text_0"/>
    <w:basedOn w:val="Normal82"/>
    <w:link w:val="FootnoteTextChar0"/>
    <w:unhideWhenUsed/>
    <w:rPr>
      <w:sz w:val="20"/>
      <w:szCs w:val="20"/>
    </w:rPr>
  </w:style>
  <w:style w:type="character" w:customStyle="1" w:styleId="FootnoteTextChar0">
    <w:name w:val="Footnote Text Char_0"/>
    <w:basedOn w:val="DefaultParagraphFont"/>
    <w:link w:val="FootnoteText0"/>
    <w:rPr>
      <w:rFonts w:ascii="Times New Roman" w:hAnsi="Times New Roman"/>
      <w:lang w:eastAsia="ar-SA"/>
    </w:rPr>
  </w:style>
  <w:style w:type="paragraph" w:customStyle="1" w:styleId="Listi0">
    <w:name w:val="List i)_0"/>
    <w:basedOn w:val="Normal6"/>
    <w:next w:val="Normal6"/>
    <w:pPr>
      <w:keepNext/>
      <w:numPr>
        <w:numId w:val="64"/>
      </w:numPr>
      <w:tabs>
        <w:tab w:val="clear" w:pos="1080"/>
        <w:tab w:val="num" w:pos="180"/>
      </w:tabs>
      <w:suppressAutoHyphens w:val="0"/>
      <w:autoSpaceDE w:val="0"/>
      <w:autoSpaceDN w:val="0"/>
      <w:adjustRightInd w:val="0"/>
      <w:spacing w:after="80" w:line="190" w:lineRule="atLeast"/>
      <w:jc w:val="both"/>
    </w:pPr>
    <w:rPr>
      <w:rFonts w:ascii="Arial" w:hAnsi="Arial"/>
      <w:noProof/>
      <w:sz w:val="15"/>
      <w:szCs w:val="20"/>
      <w:lang w:eastAsia="en-GB"/>
    </w:rPr>
  </w:style>
  <w:style w:type="paragraph" w:customStyle="1" w:styleId="Normal25">
    <w:name w:val="Normal_25"/>
    <w:qFormat/>
    <w:pPr>
      <w:suppressAutoHyphens/>
    </w:pPr>
    <w:rPr>
      <w:rFonts w:ascii="Times New Roman" w:hAnsi="Times New Roman"/>
      <w:sz w:val="24"/>
      <w:szCs w:val="24"/>
      <w:lang w:eastAsia="ar-SA"/>
    </w:rPr>
  </w:style>
  <w:style w:type="paragraph" w:customStyle="1" w:styleId="ListParagraph2">
    <w:name w:val="List Paragraph_2"/>
    <w:basedOn w:val="Normal25"/>
    <w:uiPriority w:val="34"/>
    <w:qFormat/>
    <w:pPr>
      <w:ind w:left="720"/>
      <w:contextualSpacing/>
    </w:pPr>
  </w:style>
  <w:style w:type="paragraph" w:customStyle="1" w:styleId="Normal140">
    <w:name w:val="Normal_14_0"/>
    <w:qFormat/>
    <w:pPr>
      <w:suppressAutoHyphens/>
    </w:pPr>
    <w:rPr>
      <w:rFonts w:ascii="Times New Roman" w:hAnsi="Times New Roman"/>
      <w:sz w:val="24"/>
      <w:szCs w:val="24"/>
      <w:lang w:eastAsia="ar-SA"/>
    </w:rPr>
  </w:style>
  <w:style w:type="paragraph" w:customStyle="1" w:styleId="Normal850">
    <w:name w:val="Normal_85_0"/>
    <w:qFormat/>
    <w:pPr>
      <w:spacing w:line="190" w:lineRule="atLeast"/>
      <w:jc w:val="both"/>
    </w:pPr>
    <w:rPr>
      <w:rFonts w:ascii="Arial" w:hAnsi="Arial"/>
      <w:sz w:val="15"/>
      <w:szCs w:val="24"/>
    </w:rPr>
  </w:style>
  <w:style w:type="paragraph" w:customStyle="1" w:styleId="Normal21">
    <w:name w:val="Normal_21"/>
    <w:qFormat/>
    <w:pPr>
      <w:suppressAutoHyphens/>
    </w:pPr>
    <w:rPr>
      <w:rFonts w:ascii="Times New Roman" w:hAnsi="Times New Roman"/>
      <w:sz w:val="24"/>
      <w:szCs w:val="24"/>
      <w:lang w:eastAsia="ar-SA"/>
    </w:rPr>
  </w:style>
  <w:style w:type="paragraph" w:customStyle="1" w:styleId="Notes40">
    <w:name w:val="Notes_4_0"/>
    <w:basedOn w:val="Normal21"/>
    <w:link w:val="NotesChar40"/>
    <w:pPr>
      <w:tabs>
        <w:tab w:val="num" w:pos="720"/>
        <w:tab w:val="center" w:pos="4320"/>
        <w:tab w:val="right" w:pos="8640"/>
      </w:tabs>
      <w:spacing w:before="120" w:after="120"/>
      <w:ind w:left="720" w:hanging="360"/>
      <w:jc w:val="both"/>
    </w:pPr>
    <w:rPr>
      <w:rFonts w:ascii="Arial" w:hAnsi="Arial" w:cs="Arial"/>
      <w:b/>
      <w:sz w:val="20"/>
    </w:rPr>
  </w:style>
  <w:style w:type="character" w:customStyle="1" w:styleId="NotesChar40">
    <w:name w:val="Notes Char_4_0"/>
    <w:link w:val="Notes40"/>
    <w:locked/>
    <w:rPr>
      <w:rFonts w:ascii="Arial" w:hAnsi="Arial" w:cs="Arial"/>
      <w:b/>
      <w:szCs w:val="24"/>
      <w:lang w:val="lt-LT" w:eastAsia="ar-SA"/>
    </w:rPr>
  </w:style>
  <w:style w:type="paragraph" w:customStyle="1" w:styleId="Normal11">
    <w:name w:val="Normal_11"/>
    <w:qFormat/>
    <w:pPr>
      <w:suppressAutoHyphens/>
    </w:pPr>
    <w:rPr>
      <w:rFonts w:ascii="Times New Roman" w:hAnsi="Times New Roman"/>
      <w:sz w:val="24"/>
      <w:szCs w:val="24"/>
      <w:lang w:eastAsia="ar-SA"/>
    </w:rPr>
  </w:style>
  <w:style w:type="paragraph" w:customStyle="1" w:styleId="Header9">
    <w:name w:val="Header_9"/>
    <w:basedOn w:val="Normal11"/>
    <w:link w:val="HeaderChar9"/>
    <w:pPr>
      <w:tabs>
        <w:tab w:val="center" w:pos="4153"/>
        <w:tab w:val="right" w:pos="8306"/>
      </w:tabs>
    </w:pPr>
  </w:style>
  <w:style w:type="character" w:customStyle="1" w:styleId="HeaderChar9">
    <w:name w:val="Header Char_9"/>
    <w:link w:val="Header9"/>
    <w:rPr>
      <w:rFonts w:ascii="Times New Roman" w:hAnsi="Times New Roman"/>
      <w:sz w:val="24"/>
      <w:szCs w:val="24"/>
      <w:lang w:eastAsia="ar-SA"/>
    </w:rPr>
  </w:style>
  <w:style w:type="paragraph" w:customStyle="1" w:styleId="Notes9">
    <w:name w:val="Notes_9"/>
    <w:basedOn w:val="Header9"/>
    <w:link w:val="NotesChar9"/>
    <w:pPr>
      <w:numPr>
        <w:numId w:val="6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9">
    <w:name w:val="Title 1.1_9"/>
    <w:basedOn w:val="Notes9"/>
    <w:pPr>
      <w:numPr>
        <w:ilvl w:val="1"/>
      </w:numPr>
      <w:tabs>
        <w:tab w:val="clear" w:pos="4320"/>
        <w:tab w:val="clear" w:pos="8640"/>
        <w:tab w:val="right" w:pos="-2700"/>
        <w:tab w:val="right" w:pos="720"/>
      </w:tabs>
      <w:spacing w:before="0" w:after="0"/>
    </w:pPr>
    <w:rPr>
      <w:b w:val="0"/>
      <w:szCs w:val="20"/>
    </w:rPr>
  </w:style>
  <w:style w:type="character" w:customStyle="1" w:styleId="NotesChar9">
    <w:name w:val="Notes Char_9"/>
    <w:link w:val="Notes9"/>
    <w:rPr>
      <w:rFonts w:ascii="Arial" w:hAnsi="Arial"/>
      <w:b/>
      <w:szCs w:val="24"/>
      <w:lang w:val="lt-LT" w:eastAsia="ar-SA"/>
    </w:rPr>
  </w:style>
  <w:style w:type="paragraph" w:customStyle="1" w:styleId="Normal84">
    <w:name w:val="Normal_84"/>
    <w:qFormat/>
    <w:rPr>
      <w:rFonts w:ascii="Times New Roman" w:hAnsi="Times New Roman"/>
      <w:sz w:val="24"/>
      <w:szCs w:val="24"/>
    </w:rPr>
  </w:style>
  <w:style w:type="table" w:customStyle="1" w:styleId="CDMRange21">
    <w:name w:val="CDM Range 2_1"/>
    <w:basedOn w:val="TableNormal"/>
    <w:next w:val="TableNormal"/>
    <w:semiHidden/>
    <w:rPr>
      <w:rFonts w:ascii="Times New Roman" w:hAnsi="Times New Roman"/>
    </w:rPr>
    <w:tblPr/>
  </w:style>
  <w:style w:type="paragraph" w:customStyle="1" w:styleId="Normal12">
    <w:name w:val="Normal_12"/>
    <w:qFormat/>
    <w:pPr>
      <w:suppressAutoHyphens/>
    </w:pPr>
    <w:rPr>
      <w:rFonts w:ascii="Times New Roman" w:hAnsi="Times New Roman"/>
      <w:sz w:val="24"/>
      <w:szCs w:val="24"/>
      <w:lang w:eastAsia="ar-SA"/>
    </w:rPr>
  </w:style>
  <w:style w:type="paragraph" w:customStyle="1" w:styleId="Header100">
    <w:name w:val="Header_10"/>
    <w:basedOn w:val="Normal12"/>
    <w:link w:val="HeaderChar100"/>
    <w:pPr>
      <w:tabs>
        <w:tab w:val="center" w:pos="4153"/>
        <w:tab w:val="right" w:pos="8306"/>
      </w:tabs>
    </w:pPr>
  </w:style>
  <w:style w:type="character" w:customStyle="1" w:styleId="HeaderChar100">
    <w:name w:val="Header Char_10"/>
    <w:link w:val="Header100"/>
    <w:rPr>
      <w:rFonts w:ascii="Times New Roman" w:hAnsi="Times New Roman"/>
      <w:sz w:val="24"/>
      <w:szCs w:val="24"/>
      <w:lang w:eastAsia="ar-SA"/>
    </w:rPr>
  </w:style>
  <w:style w:type="paragraph" w:customStyle="1" w:styleId="Notes100">
    <w:name w:val="Notes_10"/>
    <w:basedOn w:val="Header100"/>
    <w:link w:val="NotesChar100"/>
    <w:pPr>
      <w:numPr>
        <w:numId w:val="68"/>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00">
    <w:name w:val="Title 1.1_10"/>
    <w:basedOn w:val="Notes100"/>
    <w:pPr>
      <w:numPr>
        <w:ilvl w:val="1"/>
      </w:numPr>
      <w:tabs>
        <w:tab w:val="clear" w:pos="4320"/>
        <w:tab w:val="clear" w:pos="8640"/>
        <w:tab w:val="right" w:pos="-2700"/>
        <w:tab w:val="right" w:pos="720"/>
      </w:tabs>
      <w:spacing w:before="0" w:after="0"/>
    </w:pPr>
    <w:rPr>
      <w:b w:val="0"/>
      <w:szCs w:val="20"/>
    </w:rPr>
  </w:style>
  <w:style w:type="character" w:customStyle="1" w:styleId="NotesChar100">
    <w:name w:val="Notes Char_10"/>
    <w:link w:val="Notes100"/>
    <w:rPr>
      <w:rFonts w:ascii="Arial" w:hAnsi="Arial"/>
      <w:b/>
      <w:szCs w:val="24"/>
      <w:lang w:val="lt-LT" w:eastAsia="ar-SA"/>
    </w:rPr>
  </w:style>
  <w:style w:type="paragraph" w:customStyle="1" w:styleId="Normal87">
    <w:name w:val="Normal_87"/>
    <w:qFormat/>
    <w:rPr>
      <w:rFonts w:ascii="Times New Roman" w:hAnsi="Times New Roman"/>
      <w:sz w:val="24"/>
      <w:szCs w:val="24"/>
    </w:rPr>
  </w:style>
  <w:style w:type="table" w:customStyle="1" w:styleId="CDMRange12">
    <w:name w:val="CDM Range 1_2"/>
    <w:basedOn w:val="TableNormal"/>
    <w:next w:val="TableNormal"/>
    <w:semiHidden/>
    <w:rPr>
      <w:rFonts w:ascii="Times New Roman" w:hAnsi="Times New Roman"/>
    </w:rPr>
    <w:tblPr/>
  </w:style>
  <w:style w:type="paragraph" w:customStyle="1" w:styleId="Normal13">
    <w:name w:val="Normal_13"/>
    <w:qFormat/>
    <w:pPr>
      <w:suppressAutoHyphens/>
    </w:pPr>
    <w:rPr>
      <w:rFonts w:ascii="Times New Roman" w:hAnsi="Times New Roman"/>
      <w:sz w:val="24"/>
      <w:szCs w:val="24"/>
      <w:lang w:eastAsia="ar-SA"/>
    </w:rPr>
  </w:style>
  <w:style w:type="paragraph" w:customStyle="1" w:styleId="Header11">
    <w:name w:val="Header_11"/>
    <w:basedOn w:val="Normal13"/>
    <w:link w:val="HeaderChar11"/>
    <w:pPr>
      <w:tabs>
        <w:tab w:val="center" w:pos="4153"/>
        <w:tab w:val="right" w:pos="8306"/>
      </w:tabs>
    </w:pPr>
  </w:style>
  <w:style w:type="character" w:customStyle="1" w:styleId="HeaderChar11">
    <w:name w:val="Header Char_11"/>
    <w:link w:val="Header11"/>
    <w:rPr>
      <w:rFonts w:ascii="Times New Roman" w:hAnsi="Times New Roman"/>
      <w:sz w:val="24"/>
      <w:szCs w:val="24"/>
      <w:lang w:eastAsia="ar-SA"/>
    </w:rPr>
  </w:style>
  <w:style w:type="paragraph" w:customStyle="1" w:styleId="Notes11">
    <w:name w:val="Notes_11"/>
    <w:basedOn w:val="Header11"/>
    <w:link w:val="NotesChar11"/>
    <w:pPr>
      <w:numPr>
        <w:numId w:val="7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1">
    <w:name w:val="Title 1.1_11"/>
    <w:basedOn w:val="Notes11"/>
    <w:pPr>
      <w:numPr>
        <w:ilvl w:val="1"/>
      </w:numPr>
      <w:tabs>
        <w:tab w:val="clear" w:pos="4320"/>
        <w:tab w:val="clear" w:pos="8640"/>
        <w:tab w:val="right" w:pos="-2700"/>
        <w:tab w:val="right" w:pos="720"/>
      </w:tabs>
      <w:spacing w:before="0" w:after="0"/>
    </w:pPr>
    <w:rPr>
      <w:b w:val="0"/>
      <w:szCs w:val="20"/>
    </w:rPr>
  </w:style>
  <w:style w:type="character" w:customStyle="1" w:styleId="NotesChar11">
    <w:name w:val="Notes Char_11"/>
    <w:link w:val="Notes11"/>
    <w:rPr>
      <w:rFonts w:ascii="Arial" w:hAnsi="Arial"/>
      <w:b/>
      <w:szCs w:val="24"/>
      <w:lang w:val="lt-LT" w:eastAsia="ar-SA"/>
    </w:rPr>
  </w:style>
  <w:style w:type="paragraph" w:customStyle="1" w:styleId="Normal89">
    <w:name w:val="Normal_89"/>
    <w:qFormat/>
    <w:rPr>
      <w:rFonts w:ascii="Times New Roman" w:hAnsi="Times New Roman"/>
      <w:sz w:val="24"/>
      <w:szCs w:val="24"/>
    </w:rPr>
  </w:style>
  <w:style w:type="table" w:customStyle="1" w:styleId="CDMRange22">
    <w:name w:val="CDM Range 2_2"/>
    <w:basedOn w:val="TableNormal"/>
    <w:next w:val="TableNormal"/>
    <w:semiHidden/>
    <w:rPr>
      <w:rFonts w:ascii="Times New Roman" w:hAnsi="Times New Roman"/>
    </w:rPr>
    <w:tblPr/>
  </w:style>
  <w:style w:type="paragraph" w:customStyle="1" w:styleId="Normal14">
    <w:name w:val="Normal_14"/>
    <w:qFormat/>
    <w:pPr>
      <w:suppressAutoHyphens/>
    </w:pPr>
    <w:rPr>
      <w:rFonts w:ascii="Times New Roman" w:hAnsi="Times New Roman"/>
      <w:sz w:val="24"/>
      <w:szCs w:val="24"/>
      <w:lang w:eastAsia="ar-SA"/>
    </w:rPr>
  </w:style>
  <w:style w:type="paragraph" w:customStyle="1" w:styleId="Header12">
    <w:name w:val="Header_12"/>
    <w:basedOn w:val="Normal14"/>
    <w:link w:val="HeaderChar12"/>
    <w:pPr>
      <w:tabs>
        <w:tab w:val="center" w:pos="4153"/>
        <w:tab w:val="right" w:pos="8306"/>
      </w:tabs>
    </w:pPr>
  </w:style>
  <w:style w:type="character" w:customStyle="1" w:styleId="HeaderChar12">
    <w:name w:val="Header Char_12"/>
    <w:link w:val="Header12"/>
    <w:rPr>
      <w:rFonts w:ascii="Times New Roman" w:hAnsi="Times New Roman"/>
      <w:sz w:val="24"/>
      <w:szCs w:val="24"/>
      <w:lang w:eastAsia="ar-SA"/>
    </w:rPr>
  </w:style>
  <w:style w:type="paragraph" w:customStyle="1" w:styleId="Notes12">
    <w:name w:val="Notes_12"/>
    <w:basedOn w:val="Header12"/>
    <w:link w:val="NotesChar12"/>
    <w:pPr>
      <w:numPr>
        <w:numId w:val="7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2">
    <w:name w:val="Title 1.1_12"/>
    <w:basedOn w:val="Notes12"/>
    <w:pPr>
      <w:numPr>
        <w:ilvl w:val="1"/>
      </w:numPr>
      <w:tabs>
        <w:tab w:val="clear" w:pos="4320"/>
        <w:tab w:val="clear" w:pos="8640"/>
        <w:tab w:val="right" w:pos="720"/>
      </w:tabs>
      <w:spacing w:before="0" w:after="0"/>
    </w:pPr>
    <w:rPr>
      <w:b w:val="0"/>
    </w:rPr>
  </w:style>
  <w:style w:type="character" w:customStyle="1" w:styleId="NotesChar12">
    <w:name w:val="Notes Char_12"/>
    <w:link w:val="Notes12"/>
    <w:rPr>
      <w:rFonts w:ascii="Arial" w:hAnsi="Arial"/>
      <w:b/>
      <w:szCs w:val="24"/>
      <w:lang w:val="lt-LT" w:eastAsia="ar-SA"/>
    </w:rPr>
  </w:style>
  <w:style w:type="paragraph" w:customStyle="1" w:styleId="Normal902">
    <w:name w:val="Normal_90"/>
    <w:qFormat/>
    <w:rPr>
      <w:rFonts w:ascii="Times New Roman" w:hAnsi="Times New Roman"/>
      <w:sz w:val="24"/>
      <w:szCs w:val="24"/>
    </w:rPr>
  </w:style>
  <w:style w:type="paragraph" w:customStyle="1" w:styleId="Normal91">
    <w:name w:val="Normal_91"/>
    <w:qFormat/>
    <w:rPr>
      <w:rFonts w:ascii="Times New Roman" w:hAnsi="Times New Roman"/>
      <w:sz w:val="24"/>
      <w:szCs w:val="24"/>
    </w:rPr>
  </w:style>
  <w:style w:type="table" w:customStyle="1" w:styleId="CDMRange13">
    <w:name w:val="CDM Range 1_3"/>
    <w:basedOn w:val="TableNormal"/>
    <w:next w:val="TableNormal"/>
    <w:semiHidden/>
    <w:rPr>
      <w:rFonts w:ascii="Times New Roman" w:hAnsi="Times New Roman"/>
    </w:rPr>
    <w:tblPr/>
  </w:style>
  <w:style w:type="paragraph" w:customStyle="1" w:styleId="Normal92">
    <w:name w:val="Normal_92"/>
    <w:qFormat/>
    <w:rPr>
      <w:rFonts w:eastAsia="Calibri" w:cs="Arial"/>
      <w:lang w:eastAsia="en-US"/>
    </w:rPr>
  </w:style>
  <w:style w:type="table" w:customStyle="1" w:styleId="CDMRange23">
    <w:name w:val="CDM Range 2_3"/>
    <w:basedOn w:val="TableNormal"/>
    <w:next w:val="TableNormal"/>
    <w:semiHidden/>
    <w:rPr>
      <w:rFonts w:ascii="Times New Roman" w:hAnsi="Times New Roman"/>
    </w:rPr>
    <w:tblPr/>
  </w:style>
  <w:style w:type="paragraph" w:customStyle="1" w:styleId="Normal93">
    <w:name w:val="Normal_93"/>
    <w:qFormat/>
    <w:rPr>
      <w:rFonts w:ascii="Times New Roman" w:hAnsi="Times New Roman"/>
      <w:sz w:val="24"/>
      <w:szCs w:val="24"/>
    </w:rPr>
  </w:style>
  <w:style w:type="paragraph" w:styleId="ListParagraph">
    <w:name w:val="List Paragraph"/>
    <w:basedOn w:val="Normal"/>
    <w:uiPriority w:val="34"/>
    <w:qFormat/>
    <w:pPr>
      <w:suppressAutoHyphens/>
      <w:ind w:left="720"/>
      <w:contextualSpacing/>
    </w:pPr>
    <w:rPr>
      <w:lang w:eastAsia="ar-SA"/>
    </w:rPr>
  </w:style>
  <w:style w:type="table" w:customStyle="1" w:styleId="CDMRange14">
    <w:name w:val="CDM Range 1_4"/>
    <w:basedOn w:val="TableNormal"/>
    <w:next w:val="TableNormal"/>
    <w:semiHidden/>
    <w:rPr>
      <w:rFonts w:ascii="Times New Roman" w:hAnsi="Times New Roman"/>
    </w:rPr>
    <w:tblPr/>
  </w:style>
  <w:style w:type="paragraph" w:customStyle="1" w:styleId="Normal15">
    <w:name w:val="Normal_15"/>
    <w:qFormat/>
    <w:pPr>
      <w:suppressAutoHyphens/>
    </w:pPr>
    <w:rPr>
      <w:rFonts w:ascii="Times New Roman" w:hAnsi="Times New Roman"/>
      <w:sz w:val="24"/>
      <w:szCs w:val="24"/>
      <w:lang w:eastAsia="ar-SA"/>
    </w:rPr>
  </w:style>
  <w:style w:type="paragraph" w:customStyle="1" w:styleId="Header13">
    <w:name w:val="Header_13"/>
    <w:basedOn w:val="Normal15"/>
    <w:link w:val="HeaderChar13"/>
    <w:pPr>
      <w:tabs>
        <w:tab w:val="center" w:pos="4153"/>
        <w:tab w:val="right" w:pos="8306"/>
      </w:tabs>
    </w:pPr>
  </w:style>
  <w:style w:type="character" w:customStyle="1" w:styleId="HeaderChar13">
    <w:name w:val="Header Char_13"/>
    <w:link w:val="Header13"/>
    <w:rPr>
      <w:rFonts w:ascii="Times New Roman" w:hAnsi="Times New Roman"/>
      <w:sz w:val="24"/>
      <w:szCs w:val="24"/>
      <w:lang w:eastAsia="ar-SA"/>
    </w:rPr>
  </w:style>
  <w:style w:type="paragraph" w:customStyle="1" w:styleId="Notes13">
    <w:name w:val="Notes_13"/>
    <w:basedOn w:val="Header13"/>
    <w:link w:val="NotesChar13"/>
    <w:pPr>
      <w:numPr>
        <w:numId w:val="7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3">
    <w:name w:val="Title 1.1_13"/>
    <w:basedOn w:val="Notes13"/>
    <w:pPr>
      <w:numPr>
        <w:ilvl w:val="1"/>
      </w:numPr>
      <w:tabs>
        <w:tab w:val="clear" w:pos="4320"/>
        <w:tab w:val="clear" w:pos="8640"/>
        <w:tab w:val="right" w:pos="-2700"/>
        <w:tab w:val="right" w:pos="720"/>
      </w:tabs>
      <w:spacing w:before="0" w:after="0"/>
    </w:pPr>
    <w:rPr>
      <w:b w:val="0"/>
      <w:szCs w:val="20"/>
    </w:rPr>
  </w:style>
  <w:style w:type="character" w:customStyle="1" w:styleId="NotesChar13">
    <w:name w:val="Notes Char_13"/>
    <w:link w:val="Notes13"/>
    <w:rPr>
      <w:rFonts w:ascii="Arial" w:hAnsi="Arial"/>
      <w:b/>
      <w:szCs w:val="24"/>
      <w:lang w:val="lt-LT" w:eastAsia="ar-SA"/>
    </w:rPr>
  </w:style>
  <w:style w:type="paragraph" w:customStyle="1" w:styleId="Normal94">
    <w:name w:val="Normal_94"/>
    <w:qFormat/>
    <w:pPr>
      <w:suppressAutoHyphens/>
    </w:pPr>
    <w:rPr>
      <w:rFonts w:ascii="Times New Roman" w:hAnsi="Times New Roman"/>
      <w:sz w:val="24"/>
      <w:szCs w:val="24"/>
      <w:lang w:eastAsia="ar-SA"/>
    </w:rPr>
  </w:style>
  <w:style w:type="paragraph" w:customStyle="1" w:styleId="Normal95">
    <w:name w:val="Normal_95"/>
    <w:qFormat/>
    <w:rPr>
      <w:rFonts w:ascii="Times New Roman" w:hAnsi="Times New Roman"/>
      <w:sz w:val="24"/>
      <w:szCs w:val="24"/>
    </w:rPr>
  </w:style>
  <w:style w:type="table" w:customStyle="1" w:styleId="CDMRange24">
    <w:name w:val="CDM Range 2_4"/>
    <w:basedOn w:val="TableNormal"/>
    <w:next w:val="TableNormal"/>
    <w:semiHidden/>
    <w:rPr>
      <w:rFonts w:ascii="Times New Roman" w:hAnsi="Times New Roman"/>
    </w:rPr>
    <w:tblPr/>
  </w:style>
  <w:style w:type="paragraph" w:customStyle="1" w:styleId="Normal16">
    <w:name w:val="Normal_16"/>
    <w:qFormat/>
    <w:pPr>
      <w:suppressAutoHyphens/>
    </w:pPr>
    <w:rPr>
      <w:rFonts w:ascii="Times New Roman" w:hAnsi="Times New Roman"/>
      <w:sz w:val="24"/>
      <w:szCs w:val="24"/>
      <w:lang w:eastAsia="ar-SA"/>
    </w:rPr>
  </w:style>
  <w:style w:type="paragraph" w:customStyle="1" w:styleId="Header14">
    <w:name w:val="Header_14"/>
    <w:basedOn w:val="Normal16"/>
    <w:link w:val="HeaderChar14"/>
    <w:pPr>
      <w:tabs>
        <w:tab w:val="center" w:pos="4153"/>
        <w:tab w:val="right" w:pos="8306"/>
      </w:tabs>
    </w:pPr>
  </w:style>
  <w:style w:type="character" w:customStyle="1" w:styleId="HeaderChar14">
    <w:name w:val="Header Char_14"/>
    <w:link w:val="Header14"/>
    <w:rPr>
      <w:rFonts w:ascii="Times New Roman" w:hAnsi="Times New Roman"/>
      <w:sz w:val="24"/>
      <w:szCs w:val="24"/>
      <w:lang w:eastAsia="ar-SA"/>
    </w:rPr>
  </w:style>
  <w:style w:type="paragraph" w:customStyle="1" w:styleId="Notes14">
    <w:name w:val="Notes_14"/>
    <w:basedOn w:val="Header14"/>
    <w:link w:val="NotesChar14"/>
    <w:pPr>
      <w:numPr>
        <w:numId w:val="7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4">
    <w:name w:val="Title 1.1_14"/>
    <w:basedOn w:val="Notes14"/>
    <w:pPr>
      <w:numPr>
        <w:ilvl w:val="1"/>
      </w:numPr>
      <w:tabs>
        <w:tab w:val="clear" w:pos="4320"/>
        <w:tab w:val="clear" w:pos="8640"/>
        <w:tab w:val="right" w:pos="-2700"/>
        <w:tab w:val="right" w:pos="720"/>
      </w:tabs>
      <w:spacing w:before="0" w:after="0"/>
    </w:pPr>
    <w:rPr>
      <w:b w:val="0"/>
      <w:szCs w:val="20"/>
    </w:rPr>
  </w:style>
  <w:style w:type="character" w:customStyle="1" w:styleId="NotesChar14">
    <w:name w:val="Notes Char_14"/>
    <w:link w:val="Notes14"/>
    <w:rPr>
      <w:rFonts w:ascii="Arial" w:hAnsi="Arial"/>
      <w:b/>
      <w:szCs w:val="24"/>
      <w:lang w:val="lt-LT" w:eastAsia="ar-SA"/>
    </w:rPr>
  </w:style>
  <w:style w:type="paragraph" w:customStyle="1" w:styleId="Normal96">
    <w:name w:val="Normal_96"/>
    <w:qFormat/>
    <w:pPr>
      <w:suppressAutoHyphens/>
    </w:pPr>
    <w:rPr>
      <w:rFonts w:ascii="Times New Roman" w:hAnsi="Times New Roman"/>
      <w:sz w:val="24"/>
      <w:szCs w:val="24"/>
      <w:lang w:eastAsia="ar-SA"/>
    </w:rPr>
  </w:style>
  <w:style w:type="paragraph" w:customStyle="1" w:styleId="Normal250">
    <w:name w:val="Normal_25_0"/>
    <w:qFormat/>
    <w:pPr>
      <w:suppressAutoHyphens/>
    </w:pPr>
    <w:rPr>
      <w:rFonts w:ascii="Times New Roman" w:hAnsi="Times New Roman"/>
      <w:sz w:val="24"/>
      <w:szCs w:val="24"/>
      <w:lang w:eastAsia="ar-SA"/>
    </w:rPr>
  </w:style>
  <w:style w:type="paragraph" w:customStyle="1" w:styleId="Normal97">
    <w:name w:val="Normal_97"/>
    <w:qFormat/>
    <w:rPr>
      <w:rFonts w:ascii="Times New Roman" w:hAnsi="Times New Roman"/>
      <w:sz w:val="24"/>
      <w:szCs w:val="24"/>
    </w:rPr>
  </w:style>
  <w:style w:type="table" w:customStyle="1" w:styleId="CDMRange15">
    <w:name w:val="CDM Range 1_5"/>
    <w:basedOn w:val="TableNormal"/>
    <w:next w:val="TableNormal"/>
    <w:semiHidden/>
    <w:rPr>
      <w:rFonts w:ascii="Times New Roman" w:hAnsi="Times New Roman"/>
    </w:rPr>
    <w:tblPr/>
  </w:style>
  <w:style w:type="paragraph" w:customStyle="1" w:styleId="Normal98">
    <w:name w:val="Normal_98"/>
    <w:qFormat/>
    <w:rPr>
      <w:rFonts w:ascii="Times New Roman" w:hAnsi="Times New Roman"/>
      <w:sz w:val="24"/>
      <w:szCs w:val="24"/>
    </w:rPr>
  </w:style>
  <w:style w:type="table" w:customStyle="1" w:styleId="CDMRange25">
    <w:name w:val="CDM Range 2_5"/>
    <w:basedOn w:val="TableNormal"/>
    <w:next w:val="TableNormal"/>
    <w:semiHidden/>
    <w:rPr>
      <w:rFonts w:ascii="Times New Roman" w:hAnsi="Times New Roman"/>
    </w:rPr>
    <w:tblPr/>
  </w:style>
  <w:style w:type="paragraph" w:customStyle="1" w:styleId="Title3211">
    <w:name w:val="Title 3.2.1._1"/>
    <w:basedOn w:val="Notes5"/>
    <w:pPr>
      <w:numPr>
        <w:ilvl w:val="2"/>
        <w:numId w:val="78"/>
      </w:numPr>
      <w:tabs>
        <w:tab w:val="clear" w:pos="4320"/>
        <w:tab w:val="clear" w:pos="8640"/>
        <w:tab w:val="right" w:pos="-2700"/>
      </w:tabs>
      <w:spacing w:before="240"/>
    </w:pPr>
    <w:rPr>
      <w:szCs w:val="20"/>
    </w:rPr>
  </w:style>
  <w:style w:type="paragraph" w:customStyle="1" w:styleId="Normal99">
    <w:name w:val="Normal_99"/>
    <w:qFormat/>
    <w:pPr>
      <w:suppressAutoHyphens/>
    </w:pPr>
    <w:rPr>
      <w:rFonts w:ascii="Times New Roman" w:hAnsi="Times New Roman"/>
      <w:sz w:val="24"/>
      <w:szCs w:val="24"/>
      <w:lang w:eastAsia="ar-SA"/>
    </w:rPr>
  </w:style>
  <w:style w:type="paragraph" w:customStyle="1" w:styleId="Normal17">
    <w:name w:val="Normal_17"/>
    <w:qFormat/>
    <w:pPr>
      <w:suppressAutoHyphens/>
    </w:pPr>
    <w:rPr>
      <w:rFonts w:ascii="Times New Roman" w:hAnsi="Times New Roman"/>
      <w:sz w:val="24"/>
      <w:szCs w:val="24"/>
      <w:lang w:eastAsia="ar-SA"/>
    </w:rPr>
  </w:style>
  <w:style w:type="paragraph" w:customStyle="1" w:styleId="Header15">
    <w:name w:val="Header_15"/>
    <w:basedOn w:val="Normal17"/>
    <w:link w:val="HeaderChar15"/>
    <w:pPr>
      <w:tabs>
        <w:tab w:val="center" w:pos="4153"/>
        <w:tab w:val="right" w:pos="8306"/>
      </w:tabs>
    </w:pPr>
  </w:style>
  <w:style w:type="character" w:customStyle="1" w:styleId="HeaderChar15">
    <w:name w:val="Header Char_15"/>
    <w:link w:val="Header15"/>
    <w:rPr>
      <w:rFonts w:ascii="Times New Roman" w:hAnsi="Times New Roman"/>
      <w:sz w:val="24"/>
      <w:szCs w:val="24"/>
      <w:lang w:eastAsia="ar-SA"/>
    </w:rPr>
  </w:style>
  <w:style w:type="paragraph" w:customStyle="1" w:styleId="Notes15">
    <w:name w:val="Notes_15"/>
    <w:basedOn w:val="Header15"/>
    <w:link w:val="NotesChar15"/>
    <w:pPr>
      <w:numPr>
        <w:numId w:val="7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5">
    <w:name w:val="Title 1.1_15"/>
    <w:basedOn w:val="Notes15"/>
    <w:pPr>
      <w:numPr>
        <w:ilvl w:val="1"/>
      </w:numPr>
      <w:tabs>
        <w:tab w:val="clear" w:pos="4320"/>
        <w:tab w:val="clear" w:pos="8640"/>
        <w:tab w:val="right" w:pos="-2700"/>
        <w:tab w:val="right" w:pos="720"/>
      </w:tabs>
      <w:spacing w:before="0" w:after="0"/>
    </w:pPr>
    <w:rPr>
      <w:b w:val="0"/>
      <w:szCs w:val="20"/>
    </w:rPr>
  </w:style>
  <w:style w:type="character" w:customStyle="1" w:styleId="NotesChar15">
    <w:name w:val="Notes Char_15"/>
    <w:link w:val="Notes15"/>
    <w:rPr>
      <w:rFonts w:ascii="Arial" w:hAnsi="Arial"/>
      <w:b/>
      <w:szCs w:val="24"/>
      <w:lang w:val="lt-LT" w:eastAsia="ar-SA"/>
    </w:rPr>
  </w:style>
  <w:style w:type="paragraph" w:customStyle="1" w:styleId="Notes130">
    <w:name w:val="Notes_13_0"/>
    <w:basedOn w:val="Normal99"/>
    <w:link w:val="NotesChar130"/>
    <w:pPr>
      <w:tabs>
        <w:tab w:val="num" w:pos="720"/>
        <w:tab w:val="center" w:pos="4320"/>
        <w:tab w:val="right" w:pos="8640"/>
      </w:tabs>
      <w:spacing w:before="120" w:after="120"/>
      <w:ind w:left="720" w:hanging="360"/>
      <w:jc w:val="both"/>
    </w:pPr>
    <w:rPr>
      <w:rFonts w:ascii="Arial" w:hAnsi="Arial" w:cs="Arial"/>
      <w:b/>
      <w:sz w:val="20"/>
    </w:rPr>
  </w:style>
  <w:style w:type="character" w:customStyle="1" w:styleId="NotesChar130">
    <w:name w:val="Notes Char_13_0"/>
    <w:link w:val="Notes130"/>
    <w:locked/>
    <w:rPr>
      <w:rFonts w:ascii="Arial" w:hAnsi="Arial" w:cs="Arial"/>
      <w:b/>
      <w:szCs w:val="24"/>
      <w:lang w:val="lt-LT" w:eastAsia="ar-SA"/>
    </w:rPr>
  </w:style>
  <w:style w:type="paragraph" w:customStyle="1" w:styleId="Normal1001">
    <w:name w:val="Normal_100"/>
    <w:qFormat/>
    <w:rPr>
      <w:rFonts w:ascii="Times New Roman" w:hAnsi="Times New Roman"/>
      <w:sz w:val="24"/>
      <w:szCs w:val="24"/>
    </w:rPr>
  </w:style>
  <w:style w:type="table" w:customStyle="1" w:styleId="CDMRange16">
    <w:name w:val="CDM Range 1_6"/>
    <w:basedOn w:val="TableNormal"/>
    <w:next w:val="TableNormal"/>
    <w:semiHidden/>
    <w:rPr>
      <w:rFonts w:ascii="Times New Roman" w:hAnsi="Times New Roman"/>
    </w:rPr>
    <w:tblPr/>
  </w:style>
  <w:style w:type="paragraph" w:customStyle="1" w:styleId="Normal101">
    <w:name w:val="Normal_101"/>
    <w:qFormat/>
    <w:pPr>
      <w:suppressAutoHyphens/>
    </w:pPr>
    <w:rPr>
      <w:rFonts w:ascii="Times New Roman" w:hAnsi="Times New Roman"/>
      <w:sz w:val="24"/>
      <w:szCs w:val="24"/>
      <w:lang w:eastAsia="ar-SA"/>
    </w:rPr>
  </w:style>
  <w:style w:type="paragraph" w:customStyle="1" w:styleId="Normal19">
    <w:name w:val="Normal_19"/>
    <w:qFormat/>
    <w:pPr>
      <w:suppressAutoHyphens/>
    </w:pPr>
    <w:rPr>
      <w:rFonts w:ascii="Times New Roman" w:hAnsi="Times New Roman"/>
      <w:sz w:val="24"/>
      <w:szCs w:val="24"/>
      <w:lang w:eastAsia="ar-SA"/>
    </w:rPr>
  </w:style>
  <w:style w:type="paragraph" w:customStyle="1" w:styleId="Header17">
    <w:name w:val="Header_17"/>
    <w:basedOn w:val="Normal19"/>
    <w:link w:val="HeaderChar17"/>
    <w:pPr>
      <w:tabs>
        <w:tab w:val="center" w:pos="4153"/>
        <w:tab w:val="right" w:pos="8306"/>
      </w:tabs>
    </w:pPr>
  </w:style>
  <w:style w:type="character" w:customStyle="1" w:styleId="HeaderChar17">
    <w:name w:val="Header Char_17"/>
    <w:link w:val="Header17"/>
    <w:rPr>
      <w:rFonts w:ascii="Times New Roman" w:hAnsi="Times New Roman"/>
      <w:sz w:val="24"/>
      <w:szCs w:val="24"/>
      <w:lang w:eastAsia="ar-SA"/>
    </w:rPr>
  </w:style>
  <w:style w:type="paragraph" w:customStyle="1" w:styleId="Notes17">
    <w:name w:val="Notes_17"/>
    <w:basedOn w:val="Header17"/>
    <w:link w:val="NotesChar17"/>
    <w:pPr>
      <w:numPr>
        <w:numId w:val="8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7">
    <w:name w:val="Title 1.1_17"/>
    <w:basedOn w:val="Notes17"/>
    <w:pPr>
      <w:numPr>
        <w:ilvl w:val="1"/>
      </w:numPr>
      <w:tabs>
        <w:tab w:val="clear" w:pos="4320"/>
        <w:tab w:val="clear" w:pos="8640"/>
        <w:tab w:val="right" w:pos="-2700"/>
        <w:tab w:val="right" w:pos="720"/>
      </w:tabs>
      <w:spacing w:before="0" w:after="0"/>
    </w:pPr>
    <w:rPr>
      <w:b w:val="0"/>
      <w:szCs w:val="20"/>
    </w:rPr>
  </w:style>
  <w:style w:type="character" w:customStyle="1" w:styleId="NotesChar17">
    <w:name w:val="Notes Char_17"/>
    <w:link w:val="Notes17"/>
    <w:rPr>
      <w:rFonts w:ascii="Arial" w:hAnsi="Arial"/>
      <w:b/>
      <w:szCs w:val="24"/>
      <w:lang w:val="lt-LT" w:eastAsia="ar-SA"/>
    </w:rPr>
  </w:style>
  <w:style w:type="paragraph" w:customStyle="1" w:styleId="Normal200">
    <w:name w:val="Normal_20"/>
    <w:qFormat/>
    <w:pPr>
      <w:suppressAutoHyphens/>
    </w:pPr>
    <w:rPr>
      <w:rFonts w:ascii="Times New Roman" w:hAnsi="Times New Roman"/>
      <w:sz w:val="24"/>
      <w:szCs w:val="24"/>
      <w:lang w:eastAsia="ar-SA"/>
    </w:rPr>
  </w:style>
  <w:style w:type="paragraph" w:customStyle="1" w:styleId="Header18">
    <w:name w:val="Header_18"/>
    <w:basedOn w:val="Normal200"/>
    <w:link w:val="HeaderChar18"/>
    <w:pPr>
      <w:tabs>
        <w:tab w:val="center" w:pos="4153"/>
        <w:tab w:val="right" w:pos="8306"/>
      </w:tabs>
    </w:pPr>
  </w:style>
  <w:style w:type="character" w:customStyle="1" w:styleId="HeaderChar18">
    <w:name w:val="Header Char_18"/>
    <w:link w:val="Header18"/>
    <w:rPr>
      <w:rFonts w:ascii="Times New Roman" w:hAnsi="Times New Roman"/>
      <w:sz w:val="24"/>
      <w:szCs w:val="24"/>
      <w:lang w:eastAsia="ar-SA"/>
    </w:rPr>
  </w:style>
  <w:style w:type="paragraph" w:customStyle="1" w:styleId="Notes18">
    <w:name w:val="Notes_18"/>
    <w:basedOn w:val="Header18"/>
    <w:link w:val="NotesChar18"/>
    <w:pPr>
      <w:numPr>
        <w:numId w:val="8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8">
    <w:name w:val="Title 1.1_18"/>
    <w:basedOn w:val="Notes18"/>
    <w:pPr>
      <w:numPr>
        <w:ilvl w:val="1"/>
      </w:numPr>
      <w:tabs>
        <w:tab w:val="clear" w:pos="4320"/>
        <w:tab w:val="clear" w:pos="8640"/>
        <w:tab w:val="right" w:pos="-2700"/>
        <w:tab w:val="right" w:pos="720"/>
      </w:tabs>
      <w:spacing w:before="0" w:after="0"/>
    </w:pPr>
    <w:rPr>
      <w:b w:val="0"/>
      <w:szCs w:val="20"/>
    </w:rPr>
  </w:style>
  <w:style w:type="character" w:customStyle="1" w:styleId="NotesChar18">
    <w:name w:val="Notes Char_18"/>
    <w:link w:val="Notes18"/>
    <w:rPr>
      <w:rFonts w:ascii="Arial" w:hAnsi="Arial"/>
      <w:b/>
      <w:szCs w:val="24"/>
      <w:lang w:val="lt-LT" w:eastAsia="ar-SA"/>
    </w:rPr>
  </w:style>
  <w:style w:type="paragraph" w:customStyle="1" w:styleId="Normal103">
    <w:name w:val="Normal_103"/>
    <w:qFormat/>
    <w:rPr>
      <w:rFonts w:ascii="Times New Roman" w:hAnsi="Times New Roman"/>
      <w:sz w:val="24"/>
      <w:szCs w:val="24"/>
    </w:rPr>
  </w:style>
  <w:style w:type="table" w:customStyle="1" w:styleId="CDMRange26">
    <w:name w:val="CDM Range 2_6"/>
    <w:basedOn w:val="TableNormal"/>
    <w:next w:val="TableNormal"/>
    <w:semiHidden/>
    <w:rPr>
      <w:rFonts w:ascii="Times New Roman" w:hAnsi="Times New Roman"/>
    </w:rPr>
    <w:tblPr/>
  </w:style>
  <w:style w:type="paragraph" w:customStyle="1" w:styleId="Header19">
    <w:name w:val="Header_19"/>
    <w:basedOn w:val="Normal21"/>
    <w:link w:val="HeaderChar19"/>
    <w:pPr>
      <w:tabs>
        <w:tab w:val="center" w:pos="4153"/>
        <w:tab w:val="right" w:pos="8306"/>
      </w:tabs>
    </w:pPr>
  </w:style>
  <w:style w:type="character" w:customStyle="1" w:styleId="HeaderChar19">
    <w:name w:val="Header Char_19"/>
    <w:link w:val="Header19"/>
    <w:rPr>
      <w:rFonts w:ascii="Times New Roman" w:hAnsi="Times New Roman"/>
      <w:sz w:val="24"/>
      <w:szCs w:val="24"/>
      <w:lang w:eastAsia="ar-SA"/>
    </w:rPr>
  </w:style>
  <w:style w:type="paragraph" w:customStyle="1" w:styleId="Notes19">
    <w:name w:val="Notes_19"/>
    <w:basedOn w:val="Header19"/>
    <w:link w:val="NotesChar19"/>
    <w:pPr>
      <w:numPr>
        <w:numId w:val="8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9">
    <w:name w:val="Title 1.1_19"/>
    <w:basedOn w:val="Notes19"/>
    <w:pPr>
      <w:numPr>
        <w:ilvl w:val="1"/>
      </w:numPr>
      <w:tabs>
        <w:tab w:val="clear" w:pos="4320"/>
        <w:tab w:val="clear" w:pos="8640"/>
        <w:tab w:val="right" w:pos="-2700"/>
        <w:tab w:val="right" w:pos="720"/>
      </w:tabs>
      <w:spacing w:before="0" w:after="0"/>
    </w:pPr>
    <w:rPr>
      <w:b w:val="0"/>
      <w:szCs w:val="20"/>
    </w:rPr>
  </w:style>
  <w:style w:type="character" w:customStyle="1" w:styleId="NotesChar19">
    <w:name w:val="Notes Char_19"/>
    <w:link w:val="Notes19"/>
    <w:rPr>
      <w:rFonts w:ascii="Arial" w:hAnsi="Arial"/>
      <w:b/>
      <w:szCs w:val="24"/>
      <w:lang w:val="lt-LT" w:eastAsia="ar-SA"/>
    </w:rPr>
  </w:style>
  <w:style w:type="paragraph" w:customStyle="1" w:styleId="Title3212">
    <w:name w:val="Title 3.2.1._2"/>
    <w:basedOn w:val="Notes12"/>
    <w:pPr>
      <w:numPr>
        <w:ilvl w:val="2"/>
        <w:numId w:val="86"/>
      </w:numPr>
      <w:tabs>
        <w:tab w:val="clear" w:pos="4320"/>
        <w:tab w:val="clear" w:pos="8640"/>
        <w:tab w:val="right" w:pos="-2700"/>
      </w:tabs>
      <w:spacing w:before="240"/>
    </w:pPr>
    <w:rPr>
      <w:szCs w:val="20"/>
    </w:rPr>
  </w:style>
  <w:style w:type="paragraph" w:customStyle="1" w:styleId="Normal22">
    <w:name w:val="Normal_22"/>
    <w:qFormat/>
    <w:pPr>
      <w:suppressAutoHyphens/>
    </w:pPr>
    <w:rPr>
      <w:rFonts w:ascii="Times New Roman" w:hAnsi="Times New Roman"/>
      <w:sz w:val="24"/>
      <w:szCs w:val="24"/>
      <w:lang w:eastAsia="ar-SA"/>
    </w:rPr>
  </w:style>
  <w:style w:type="paragraph" w:customStyle="1" w:styleId="Header20">
    <w:name w:val="Header_20"/>
    <w:basedOn w:val="Normal22"/>
    <w:link w:val="HeaderChar20"/>
    <w:pPr>
      <w:tabs>
        <w:tab w:val="center" w:pos="4153"/>
        <w:tab w:val="right" w:pos="8306"/>
      </w:tabs>
    </w:pPr>
  </w:style>
  <w:style w:type="character" w:customStyle="1" w:styleId="HeaderChar20">
    <w:name w:val="Header Char_20"/>
    <w:link w:val="Header20"/>
    <w:rPr>
      <w:rFonts w:ascii="Times New Roman" w:hAnsi="Times New Roman"/>
      <w:sz w:val="24"/>
      <w:szCs w:val="24"/>
      <w:lang w:eastAsia="ar-SA"/>
    </w:rPr>
  </w:style>
  <w:style w:type="paragraph" w:customStyle="1" w:styleId="Notes20">
    <w:name w:val="Notes_20"/>
    <w:basedOn w:val="Header20"/>
    <w:link w:val="NotesChar20"/>
    <w:pPr>
      <w:numPr>
        <w:numId w:val="8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0">
    <w:name w:val="Title 1.1_20"/>
    <w:basedOn w:val="Notes20"/>
    <w:pPr>
      <w:numPr>
        <w:ilvl w:val="1"/>
      </w:numPr>
      <w:tabs>
        <w:tab w:val="clear" w:pos="4320"/>
        <w:tab w:val="clear" w:pos="8640"/>
        <w:tab w:val="right" w:pos="-2700"/>
        <w:tab w:val="right" w:pos="720"/>
      </w:tabs>
      <w:spacing w:before="0" w:after="0"/>
    </w:pPr>
    <w:rPr>
      <w:b w:val="0"/>
      <w:szCs w:val="20"/>
    </w:rPr>
  </w:style>
  <w:style w:type="character" w:customStyle="1" w:styleId="NotesChar20">
    <w:name w:val="Notes Char_20"/>
    <w:link w:val="Notes20"/>
    <w:rPr>
      <w:rFonts w:ascii="Arial" w:hAnsi="Arial"/>
      <w:b/>
      <w:szCs w:val="24"/>
      <w:lang w:val="lt-LT" w:eastAsia="ar-SA"/>
    </w:rPr>
  </w:style>
  <w:style w:type="paragraph" w:customStyle="1" w:styleId="Normal18">
    <w:name w:val="Normal_18"/>
    <w:qFormat/>
    <w:pPr>
      <w:suppressAutoHyphens/>
    </w:pPr>
    <w:rPr>
      <w:rFonts w:ascii="Times New Roman" w:hAnsi="Times New Roman"/>
      <w:sz w:val="24"/>
      <w:szCs w:val="24"/>
      <w:lang w:eastAsia="ar-SA"/>
    </w:rPr>
  </w:style>
  <w:style w:type="paragraph" w:customStyle="1" w:styleId="Notes160">
    <w:name w:val="Notes_16_0"/>
    <w:basedOn w:val="Normal18"/>
    <w:link w:val="NotesChar160"/>
    <w:pPr>
      <w:numPr>
        <w:numId w:val="88"/>
      </w:numPr>
      <w:tabs>
        <w:tab w:val="center" w:pos="4320"/>
        <w:tab w:val="right" w:pos="8640"/>
      </w:tabs>
      <w:spacing w:before="120" w:after="120"/>
      <w:jc w:val="both"/>
    </w:pPr>
    <w:rPr>
      <w:rFonts w:ascii="Arial" w:hAnsi="Arial" w:cs="Arial"/>
      <w:b/>
      <w:sz w:val="20"/>
    </w:rPr>
  </w:style>
  <w:style w:type="paragraph" w:customStyle="1" w:styleId="Title11160">
    <w:name w:val="Title 1.1_16_0"/>
    <w:basedOn w:val="Notes160"/>
    <w:pPr>
      <w:numPr>
        <w:ilvl w:val="1"/>
      </w:numPr>
      <w:tabs>
        <w:tab w:val="clear" w:pos="431"/>
        <w:tab w:val="clear" w:pos="4320"/>
        <w:tab w:val="clear" w:pos="8640"/>
        <w:tab w:val="num" w:pos="576"/>
      </w:tabs>
      <w:spacing w:before="0" w:after="0"/>
    </w:pPr>
    <w:rPr>
      <w:b w:val="0"/>
    </w:rPr>
  </w:style>
  <w:style w:type="character" w:customStyle="1" w:styleId="NotesChar160">
    <w:name w:val="Notes Char_16_0"/>
    <w:link w:val="Notes160"/>
    <w:locked/>
    <w:rPr>
      <w:rFonts w:ascii="Arial" w:hAnsi="Arial" w:cs="Arial"/>
      <w:b/>
      <w:szCs w:val="24"/>
      <w:lang w:val="lt-LT" w:eastAsia="ar-SA"/>
    </w:rPr>
  </w:style>
  <w:style w:type="paragraph" w:customStyle="1" w:styleId="Normal106">
    <w:name w:val="Normal_106"/>
    <w:qFormat/>
    <w:rPr>
      <w:rFonts w:ascii="Times New Roman" w:hAnsi="Times New Roman"/>
      <w:sz w:val="24"/>
      <w:szCs w:val="24"/>
    </w:rPr>
  </w:style>
  <w:style w:type="table" w:customStyle="1" w:styleId="CDMRange17">
    <w:name w:val="CDM Range 1_7"/>
    <w:basedOn w:val="TableNormal"/>
    <w:next w:val="TableNormal"/>
    <w:semiHidden/>
    <w:rPr>
      <w:rFonts w:ascii="Times New Roman" w:hAnsi="Times New Roman"/>
    </w:rPr>
    <w:tblPr/>
  </w:style>
  <w:style w:type="paragraph" w:customStyle="1" w:styleId="Normal4">
    <w:name w:val="Normal_4"/>
    <w:qFormat/>
    <w:pPr>
      <w:suppressAutoHyphens/>
    </w:pPr>
    <w:rPr>
      <w:rFonts w:ascii="Times New Roman" w:hAnsi="Times New Roman"/>
      <w:sz w:val="24"/>
      <w:szCs w:val="24"/>
      <w:lang w:eastAsia="ar-SA"/>
    </w:rPr>
  </w:style>
  <w:style w:type="paragraph" w:customStyle="1" w:styleId="Header3">
    <w:name w:val="Header_3"/>
    <w:basedOn w:val="Normal4"/>
    <w:link w:val="HeaderChar3"/>
    <w:pPr>
      <w:tabs>
        <w:tab w:val="center" w:pos="4153"/>
        <w:tab w:val="right" w:pos="8306"/>
      </w:tabs>
    </w:pPr>
  </w:style>
  <w:style w:type="character" w:customStyle="1" w:styleId="HeaderChar3">
    <w:name w:val="Header Char_3"/>
    <w:link w:val="Header3"/>
    <w:rPr>
      <w:rFonts w:ascii="Times New Roman" w:hAnsi="Times New Roman"/>
      <w:sz w:val="24"/>
      <w:szCs w:val="24"/>
      <w:lang w:eastAsia="ar-SA"/>
    </w:rPr>
  </w:style>
  <w:style w:type="paragraph" w:customStyle="1" w:styleId="Notes3">
    <w:name w:val="Notes_3"/>
    <w:basedOn w:val="Header3"/>
    <w:link w:val="NotesChar3"/>
    <w:pPr>
      <w:numPr>
        <w:numId w:val="8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3">
    <w:name w:val="Title 1.1_3"/>
    <w:basedOn w:val="Notes3"/>
    <w:pPr>
      <w:numPr>
        <w:ilvl w:val="1"/>
      </w:numPr>
      <w:tabs>
        <w:tab w:val="clear" w:pos="4320"/>
        <w:tab w:val="clear" w:pos="8640"/>
        <w:tab w:val="right" w:pos="-2700"/>
        <w:tab w:val="right" w:pos="720"/>
      </w:tabs>
      <w:spacing w:before="0" w:after="0"/>
    </w:pPr>
    <w:rPr>
      <w:b w:val="0"/>
      <w:szCs w:val="20"/>
    </w:rPr>
  </w:style>
  <w:style w:type="character" w:customStyle="1" w:styleId="NotesChar3">
    <w:name w:val="Notes Char_3"/>
    <w:link w:val="Notes3"/>
    <w:locked/>
    <w:rPr>
      <w:rFonts w:ascii="Arial" w:hAnsi="Arial"/>
      <w:b/>
      <w:szCs w:val="24"/>
      <w:lang w:val="lt-LT" w:eastAsia="ar-SA"/>
    </w:rPr>
  </w:style>
  <w:style w:type="paragraph" w:customStyle="1" w:styleId="Normal26">
    <w:name w:val="Normal_26"/>
    <w:qFormat/>
    <w:pPr>
      <w:suppressAutoHyphens/>
    </w:pPr>
    <w:rPr>
      <w:rFonts w:ascii="Times New Roman" w:hAnsi="Times New Roman"/>
      <w:sz w:val="24"/>
      <w:szCs w:val="24"/>
      <w:lang w:eastAsia="ar-SA"/>
    </w:rPr>
  </w:style>
  <w:style w:type="paragraph" w:customStyle="1" w:styleId="Header24">
    <w:name w:val="Header_24"/>
    <w:basedOn w:val="Normal26"/>
    <w:link w:val="HeaderChar24"/>
    <w:pPr>
      <w:tabs>
        <w:tab w:val="center" w:pos="4153"/>
        <w:tab w:val="right" w:pos="8306"/>
      </w:tabs>
    </w:pPr>
  </w:style>
  <w:style w:type="character" w:customStyle="1" w:styleId="HeaderChar24">
    <w:name w:val="Header Char_24"/>
    <w:link w:val="Header24"/>
    <w:rPr>
      <w:rFonts w:ascii="Times New Roman" w:hAnsi="Times New Roman"/>
      <w:sz w:val="24"/>
      <w:szCs w:val="24"/>
      <w:lang w:eastAsia="ar-SA"/>
    </w:rPr>
  </w:style>
  <w:style w:type="paragraph" w:customStyle="1" w:styleId="Notes22">
    <w:name w:val="Notes_22"/>
    <w:basedOn w:val="Header24"/>
    <w:link w:val="NotesChar22"/>
    <w:pPr>
      <w:numPr>
        <w:numId w:val="9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2">
    <w:name w:val="Title 1.1_22"/>
    <w:basedOn w:val="Notes22"/>
    <w:pPr>
      <w:numPr>
        <w:ilvl w:val="1"/>
      </w:numPr>
      <w:tabs>
        <w:tab w:val="clear" w:pos="4320"/>
        <w:tab w:val="clear" w:pos="8640"/>
        <w:tab w:val="right" w:pos="-2700"/>
        <w:tab w:val="right" w:pos="720"/>
      </w:tabs>
      <w:spacing w:before="0" w:after="0"/>
    </w:pPr>
    <w:rPr>
      <w:b w:val="0"/>
      <w:szCs w:val="20"/>
    </w:rPr>
  </w:style>
  <w:style w:type="character" w:customStyle="1" w:styleId="NotesChar22">
    <w:name w:val="Notes Char_22"/>
    <w:link w:val="Notes22"/>
    <w:rPr>
      <w:rFonts w:ascii="Arial" w:hAnsi="Arial"/>
      <w:b/>
      <w:szCs w:val="24"/>
      <w:lang w:val="lt-LT" w:eastAsia="ar-SA"/>
    </w:rPr>
  </w:style>
  <w:style w:type="paragraph" w:customStyle="1" w:styleId="Normal108">
    <w:name w:val="Normal_108"/>
    <w:qFormat/>
    <w:rPr>
      <w:rFonts w:ascii="Times New Roman" w:hAnsi="Times New Roman"/>
      <w:sz w:val="24"/>
      <w:szCs w:val="24"/>
    </w:rPr>
  </w:style>
  <w:style w:type="table" w:customStyle="1" w:styleId="CDMRange27">
    <w:name w:val="CDM Range 2_7"/>
    <w:basedOn w:val="TableNormal"/>
    <w:next w:val="TableNormal"/>
    <w:semiHidden/>
    <w:rPr>
      <w:rFonts w:ascii="Times New Roman" w:hAnsi="Times New Roman"/>
    </w:rPr>
    <w:tblPr/>
  </w:style>
  <w:style w:type="paragraph" w:customStyle="1" w:styleId="Normal109">
    <w:name w:val="Normal_109"/>
    <w:qFormat/>
    <w:rPr>
      <w:rFonts w:ascii="Times New Roman" w:hAnsi="Times New Roman"/>
      <w:sz w:val="24"/>
      <w:szCs w:val="24"/>
    </w:rPr>
  </w:style>
  <w:style w:type="table" w:customStyle="1" w:styleId="CDMRange18">
    <w:name w:val="CDM Range 1_8"/>
    <w:basedOn w:val="TableNormal"/>
    <w:next w:val="TableNormal"/>
    <w:semiHidden/>
    <w:rPr>
      <w:rFonts w:ascii="Times New Roman" w:hAnsi="Times New Roman"/>
    </w:rPr>
    <w:tblPr/>
  </w:style>
  <w:style w:type="paragraph" w:customStyle="1" w:styleId="Normal5">
    <w:name w:val="Normal_5"/>
    <w:qFormat/>
    <w:pPr>
      <w:suppressAutoHyphens/>
    </w:pPr>
    <w:rPr>
      <w:rFonts w:ascii="Times New Roman" w:hAnsi="Times New Roman"/>
      <w:sz w:val="24"/>
      <w:szCs w:val="24"/>
      <w:lang w:eastAsia="ar-SA"/>
    </w:rPr>
  </w:style>
  <w:style w:type="paragraph" w:customStyle="1" w:styleId="Header4">
    <w:name w:val="Header_4"/>
    <w:basedOn w:val="Normal5"/>
    <w:link w:val="HeaderChar4"/>
    <w:uiPriority w:val="99"/>
    <w:pPr>
      <w:tabs>
        <w:tab w:val="center" w:pos="4153"/>
        <w:tab w:val="right" w:pos="8306"/>
      </w:tabs>
    </w:pPr>
  </w:style>
  <w:style w:type="character" w:customStyle="1" w:styleId="HeaderChar4">
    <w:name w:val="Header Char_4"/>
    <w:link w:val="Header4"/>
    <w:uiPriority w:val="99"/>
    <w:rPr>
      <w:rFonts w:ascii="Times New Roman" w:hAnsi="Times New Roman"/>
      <w:sz w:val="24"/>
      <w:szCs w:val="24"/>
      <w:lang w:eastAsia="ar-SA"/>
    </w:rPr>
  </w:style>
  <w:style w:type="paragraph" w:customStyle="1" w:styleId="Notes4">
    <w:name w:val="Notes_4"/>
    <w:basedOn w:val="Header4"/>
    <w:link w:val="NotesChar4"/>
    <w:pPr>
      <w:numPr>
        <w:numId w:val="9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4">
    <w:name w:val="Title 1.1_4"/>
    <w:basedOn w:val="Notes4"/>
    <w:pPr>
      <w:numPr>
        <w:ilvl w:val="1"/>
      </w:numPr>
      <w:tabs>
        <w:tab w:val="clear" w:pos="4320"/>
        <w:tab w:val="clear" w:pos="8640"/>
        <w:tab w:val="right" w:pos="-2700"/>
        <w:tab w:val="right" w:pos="720"/>
      </w:tabs>
      <w:spacing w:before="0" w:after="0"/>
    </w:pPr>
    <w:rPr>
      <w:b w:val="0"/>
    </w:rPr>
  </w:style>
  <w:style w:type="character" w:customStyle="1" w:styleId="NotesChar4">
    <w:name w:val="Notes Char_4"/>
    <w:link w:val="Notes4"/>
    <w:locked/>
    <w:rPr>
      <w:rFonts w:ascii="Arial" w:hAnsi="Arial"/>
      <w:b/>
      <w:szCs w:val="24"/>
      <w:lang w:val="lt-LT" w:eastAsia="ar-SA"/>
    </w:rPr>
  </w:style>
  <w:style w:type="paragraph" w:customStyle="1" w:styleId="Normal27">
    <w:name w:val="Normal_27"/>
    <w:qFormat/>
    <w:pPr>
      <w:suppressAutoHyphens/>
    </w:pPr>
    <w:rPr>
      <w:rFonts w:ascii="Times New Roman" w:hAnsi="Times New Roman"/>
      <w:sz w:val="24"/>
      <w:szCs w:val="24"/>
      <w:lang w:eastAsia="ar-SA"/>
    </w:rPr>
  </w:style>
  <w:style w:type="paragraph" w:customStyle="1" w:styleId="Header25">
    <w:name w:val="Header_25"/>
    <w:basedOn w:val="Normal27"/>
    <w:link w:val="HeaderChar25"/>
    <w:pPr>
      <w:tabs>
        <w:tab w:val="center" w:pos="4153"/>
        <w:tab w:val="right" w:pos="8306"/>
      </w:tabs>
    </w:pPr>
  </w:style>
  <w:style w:type="character" w:customStyle="1" w:styleId="HeaderChar25">
    <w:name w:val="Header Char_25"/>
    <w:link w:val="Header25"/>
    <w:rPr>
      <w:rFonts w:ascii="Times New Roman" w:hAnsi="Times New Roman"/>
      <w:sz w:val="24"/>
      <w:szCs w:val="24"/>
      <w:lang w:eastAsia="ar-SA"/>
    </w:rPr>
  </w:style>
  <w:style w:type="paragraph" w:customStyle="1" w:styleId="Notes23">
    <w:name w:val="Notes_23"/>
    <w:basedOn w:val="Header25"/>
    <w:link w:val="NotesChar23"/>
    <w:pPr>
      <w:numPr>
        <w:numId w:val="9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3">
    <w:name w:val="Title 1.1_23"/>
    <w:basedOn w:val="Notes23"/>
    <w:pPr>
      <w:numPr>
        <w:ilvl w:val="1"/>
      </w:numPr>
      <w:tabs>
        <w:tab w:val="clear" w:pos="4320"/>
        <w:tab w:val="clear" w:pos="8640"/>
        <w:tab w:val="right" w:pos="-2700"/>
        <w:tab w:val="right" w:pos="720"/>
      </w:tabs>
      <w:spacing w:before="0" w:after="0"/>
    </w:pPr>
    <w:rPr>
      <w:b w:val="0"/>
      <w:szCs w:val="20"/>
    </w:rPr>
  </w:style>
  <w:style w:type="character" w:customStyle="1" w:styleId="NotesChar23">
    <w:name w:val="Notes Char_23"/>
    <w:link w:val="Notes23"/>
    <w:rPr>
      <w:rFonts w:ascii="Arial" w:hAnsi="Arial"/>
      <w:b/>
      <w:szCs w:val="24"/>
      <w:lang w:val="lt-LT" w:eastAsia="ar-SA"/>
    </w:rPr>
  </w:style>
  <w:style w:type="paragraph" w:customStyle="1" w:styleId="Normal111">
    <w:name w:val="Normal_111"/>
    <w:qFormat/>
    <w:rPr>
      <w:rFonts w:ascii="Times New Roman" w:hAnsi="Times New Roman"/>
      <w:sz w:val="24"/>
      <w:szCs w:val="24"/>
    </w:rPr>
  </w:style>
  <w:style w:type="table" w:customStyle="1" w:styleId="CDMRange28">
    <w:name w:val="CDM Range 2_8"/>
    <w:basedOn w:val="TableNormal"/>
    <w:next w:val="TableNormal"/>
    <w:semiHidden/>
    <w:rPr>
      <w:rFonts w:ascii="Times New Roman" w:hAnsi="Times New Roman"/>
    </w:rPr>
    <w:tblPr/>
  </w:style>
  <w:style w:type="paragraph" w:customStyle="1" w:styleId="Normal112">
    <w:name w:val="Normal_112"/>
    <w:qFormat/>
    <w:pPr>
      <w:suppressAutoHyphens/>
    </w:pPr>
    <w:rPr>
      <w:rFonts w:ascii="Times New Roman" w:hAnsi="Times New Roman"/>
      <w:sz w:val="24"/>
      <w:szCs w:val="24"/>
      <w:lang w:eastAsia="ar-SA"/>
    </w:rPr>
  </w:style>
  <w:style w:type="paragraph" w:customStyle="1" w:styleId="Normal28">
    <w:name w:val="Normal_28"/>
    <w:qFormat/>
    <w:pPr>
      <w:suppressAutoHyphens/>
    </w:pPr>
    <w:rPr>
      <w:rFonts w:ascii="Times New Roman" w:hAnsi="Times New Roman"/>
      <w:sz w:val="24"/>
      <w:szCs w:val="24"/>
      <w:lang w:eastAsia="ar-SA"/>
    </w:rPr>
  </w:style>
  <w:style w:type="paragraph" w:customStyle="1" w:styleId="Header26">
    <w:name w:val="Header_26"/>
    <w:basedOn w:val="Normal28"/>
    <w:link w:val="HeaderChar26"/>
    <w:pPr>
      <w:tabs>
        <w:tab w:val="center" w:pos="4153"/>
        <w:tab w:val="right" w:pos="8306"/>
      </w:tabs>
    </w:pPr>
  </w:style>
  <w:style w:type="character" w:customStyle="1" w:styleId="HeaderChar26">
    <w:name w:val="Header Char_26"/>
    <w:link w:val="Header26"/>
    <w:rPr>
      <w:rFonts w:ascii="Times New Roman" w:hAnsi="Times New Roman"/>
      <w:sz w:val="24"/>
      <w:szCs w:val="24"/>
      <w:lang w:eastAsia="ar-SA"/>
    </w:rPr>
  </w:style>
  <w:style w:type="paragraph" w:customStyle="1" w:styleId="Notes24">
    <w:name w:val="Notes_24"/>
    <w:basedOn w:val="Header26"/>
    <w:link w:val="NotesChar24"/>
    <w:pPr>
      <w:numPr>
        <w:numId w:val="9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4">
    <w:name w:val="Title 1.1_24"/>
    <w:basedOn w:val="Notes24"/>
    <w:pPr>
      <w:numPr>
        <w:ilvl w:val="1"/>
      </w:numPr>
      <w:tabs>
        <w:tab w:val="clear" w:pos="4320"/>
        <w:tab w:val="clear" w:pos="8640"/>
        <w:tab w:val="right" w:pos="-2700"/>
        <w:tab w:val="right" w:pos="720"/>
      </w:tabs>
      <w:spacing w:before="0" w:after="0"/>
    </w:pPr>
    <w:rPr>
      <w:b w:val="0"/>
      <w:szCs w:val="20"/>
    </w:rPr>
  </w:style>
  <w:style w:type="character" w:customStyle="1" w:styleId="NotesChar24">
    <w:name w:val="Notes Char_24"/>
    <w:link w:val="Notes24"/>
    <w:rPr>
      <w:rFonts w:ascii="Arial" w:hAnsi="Arial"/>
      <w:b/>
      <w:szCs w:val="24"/>
      <w:lang w:val="lt-LT" w:eastAsia="ar-SA"/>
    </w:rPr>
  </w:style>
  <w:style w:type="paragraph" w:customStyle="1" w:styleId="Normal170">
    <w:name w:val="Normal_17_0"/>
    <w:qFormat/>
    <w:pPr>
      <w:suppressAutoHyphens/>
    </w:pPr>
    <w:rPr>
      <w:rFonts w:ascii="Times New Roman" w:hAnsi="Times New Roman"/>
      <w:sz w:val="24"/>
      <w:szCs w:val="24"/>
      <w:lang w:eastAsia="ar-SA"/>
    </w:rPr>
  </w:style>
  <w:style w:type="paragraph" w:customStyle="1" w:styleId="Normal113">
    <w:name w:val="Normal_113"/>
    <w:qFormat/>
    <w:rPr>
      <w:rFonts w:ascii="Times New Roman" w:hAnsi="Times New Roman"/>
      <w:sz w:val="24"/>
      <w:szCs w:val="24"/>
    </w:rPr>
  </w:style>
  <w:style w:type="table" w:customStyle="1" w:styleId="CDMRange19">
    <w:name w:val="CDM Range 1_9"/>
    <w:basedOn w:val="TableNormal"/>
    <w:next w:val="TableNormal"/>
    <w:semiHidden/>
    <w:rPr>
      <w:rFonts w:ascii="Times New Roman" w:hAnsi="Times New Roman"/>
    </w:rPr>
    <w:tblPr/>
  </w:style>
  <w:style w:type="paragraph" w:customStyle="1" w:styleId="Normal114">
    <w:name w:val="Normal_114"/>
    <w:qFormat/>
    <w:pPr>
      <w:suppressAutoHyphens/>
    </w:pPr>
    <w:rPr>
      <w:rFonts w:ascii="Times New Roman" w:hAnsi="Times New Roman"/>
      <w:sz w:val="24"/>
      <w:szCs w:val="24"/>
      <w:lang w:eastAsia="ar-SA"/>
    </w:rPr>
  </w:style>
  <w:style w:type="paragraph" w:customStyle="1" w:styleId="Normal29">
    <w:name w:val="Normal_29"/>
    <w:qFormat/>
    <w:pPr>
      <w:suppressAutoHyphens/>
    </w:pPr>
    <w:rPr>
      <w:rFonts w:ascii="Times New Roman" w:hAnsi="Times New Roman"/>
      <w:sz w:val="24"/>
      <w:szCs w:val="24"/>
      <w:lang w:eastAsia="ar-SA"/>
    </w:rPr>
  </w:style>
  <w:style w:type="paragraph" w:customStyle="1" w:styleId="Header27">
    <w:name w:val="Header_27"/>
    <w:basedOn w:val="Normal29"/>
    <w:link w:val="HeaderChar27"/>
    <w:pPr>
      <w:tabs>
        <w:tab w:val="center" w:pos="4153"/>
        <w:tab w:val="right" w:pos="8306"/>
      </w:tabs>
    </w:pPr>
  </w:style>
  <w:style w:type="character" w:customStyle="1" w:styleId="HeaderChar27">
    <w:name w:val="Header Char_27"/>
    <w:link w:val="Header27"/>
    <w:rPr>
      <w:rFonts w:ascii="Times New Roman" w:hAnsi="Times New Roman"/>
      <w:sz w:val="24"/>
      <w:szCs w:val="24"/>
      <w:lang w:eastAsia="ar-SA"/>
    </w:rPr>
  </w:style>
  <w:style w:type="paragraph" w:customStyle="1" w:styleId="Notes25">
    <w:name w:val="Notes_25"/>
    <w:basedOn w:val="Header27"/>
    <w:link w:val="NotesChar25"/>
    <w:pPr>
      <w:numPr>
        <w:numId w:val="98"/>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5">
    <w:name w:val="Title 1.1_25"/>
    <w:basedOn w:val="Notes25"/>
    <w:pPr>
      <w:numPr>
        <w:ilvl w:val="1"/>
      </w:numPr>
      <w:tabs>
        <w:tab w:val="clear" w:pos="4320"/>
        <w:tab w:val="clear" w:pos="8640"/>
        <w:tab w:val="right" w:pos="-2700"/>
        <w:tab w:val="right" w:pos="720"/>
      </w:tabs>
      <w:spacing w:before="0" w:after="0"/>
    </w:pPr>
    <w:rPr>
      <w:b w:val="0"/>
      <w:szCs w:val="20"/>
    </w:rPr>
  </w:style>
  <w:style w:type="character" w:customStyle="1" w:styleId="NotesChar25">
    <w:name w:val="Notes Char_25"/>
    <w:link w:val="Notes25"/>
    <w:rPr>
      <w:rFonts w:ascii="Arial" w:hAnsi="Arial"/>
      <w:b/>
      <w:szCs w:val="24"/>
      <w:lang w:val="lt-LT" w:eastAsia="ar-SA"/>
    </w:rPr>
  </w:style>
  <w:style w:type="paragraph" w:customStyle="1" w:styleId="Normal182">
    <w:name w:val="Normal_18_2"/>
    <w:qFormat/>
    <w:pPr>
      <w:suppressAutoHyphens/>
    </w:pPr>
    <w:rPr>
      <w:rFonts w:ascii="Times New Roman" w:hAnsi="Times New Roman"/>
      <w:sz w:val="24"/>
      <w:szCs w:val="24"/>
      <w:lang w:eastAsia="ar-SA"/>
    </w:rPr>
  </w:style>
  <w:style w:type="paragraph" w:customStyle="1" w:styleId="Normal1800">
    <w:name w:val="Normal_18_0_0"/>
    <w:qFormat/>
    <w:pPr>
      <w:suppressAutoHyphens/>
    </w:pPr>
    <w:rPr>
      <w:rFonts w:ascii="Times New Roman" w:hAnsi="Times New Roman"/>
      <w:sz w:val="24"/>
      <w:szCs w:val="24"/>
      <w:lang w:eastAsia="ar-SA"/>
    </w:rPr>
  </w:style>
  <w:style w:type="paragraph" w:customStyle="1" w:styleId="Normal30">
    <w:name w:val="Normal_30"/>
    <w:qFormat/>
    <w:pPr>
      <w:suppressAutoHyphens/>
    </w:pPr>
    <w:rPr>
      <w:rFonts w:ascii="Times New Roman" w:hAnsi="Times New Roman"/>
      <w:sz w:val="24"/>
      <w:szCs w:val="24"/>
      <w:lang w:eastAsia="ar-SA"/>
    </w:rPr>
  </w:style>
  <w:style w:type="paragraph" w:customStyle="1" w:styleId="Header28">
    <w:name w:val="Header_28"/>
    <w:basedOn w:val="Normal30"/>
    <w:link w:val="HeaderChar28"/>
    <w:pPr>
      <w:tabs>
        <w:tab w:val="center" w:pos="4153"/>
        <w:tab w:val="right" w:pos="8306"/>
      </w:tabs>
    </w:pPr>
  </w:style>
  <w:style w:type="character" w:customStyle="1" w:styleId="HeaderChar28">
    <w:name w:val="Header Char_28"/>
    <w:link w:val="Header28"/>
    <w:rPr>
      <w:rFonts w:ascii="Times New Roman" w:hAnsi="Times New Roman"/>
      <w:sz w:val="24"/>
      <w:szCs w:val="24"/>
      <w:lang w:eastAsia="ar-SA"/>
    </w:rPr>
  </w:style>
  <w:style w:type="paragraph" w:customStyle="1" w:styleId="Notes26">
    <w:name w:val="Notes_26"/>
    <w:basedOn w:val="Header28"/>
    <w:link w:val="NotesChar26"/>
    <w:pPr>
      <w:numPr>
        <w:numId w:val="10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6">
    <w:name w:val="Title 1.1_26"/>
    <w:basedOn w:val="Notes26"/>
    <w:pPr>
      <w:numPr>
        <w:ilvl w:val="1"/>
      </w:numPr>
      <w:tabs>
        <w:tab w:val="clear" w:pos="4320"/>
        <w:tab w:val="clear" w:pos="8640"/>
        <w:tab w:val="right" w:pos="-2700"/>
        <w:tab w:val="right" w:pos="720"/>
      </w:tabs>
      <w:spacing w:before="0" w:after="0"/>
    </w:pPr>
    <w:rPr>
      <w:b w:val="0"/>
      <w:szCs w:val="20"/>
    </w:rPr>
  </w:style>
  <w:style w:type="character" w:customStyle="1" w:styleId="NotesChar26">
    <w:name w:val="Notes Char_26"/>
    <w:link w:val="Notes26"/>
    <w:rPr>
      <w:rFonts w:ascii="Arial" w:hAnsi="Arial"/>
      <w:b/>
      <w:szCs w:val="24"/>
      <w:lang w:val="lt-LT" w:eastAsia="ar-SA"/>
    </w:rPr>
  </w:style>
  <w:style w:type="paragraph" w:customStyle="1" w:styleId="Normal54">
    <w:name w:val="Normal_54"/>
    <w:qFormat/>
    <w:pPr>
      <w:suppressAutoHyphens/>
    </w:pPr>
    <w:rPr>
      <w:rFonts w:ascii="Times New Roman" w:hAnsi="Times New Roman"/>
      <w:sz w:val="24"/>
      <w:szCs w:val="24"/>
      <w:lang w:eastAsia="ar-SA"/>
    </w:rPr>
  </w:style>
  <w:style w:type="paragraph" w:customStyle="1" w:styleId="Notes210">
    <w:name w:val="Notes_21_0"/>
    <w:basedOn w:val="Normal54"/>
    <w:link w:val="NotesChar210"/>
    <w:pPr>
      <w:tabs>
        <w:tab w:val="num" w:pos="720"/>
        <w:tab w:val="center" w:pos="4320"/>
        <w:tab w:val="right" w:pos="8640"/>
      </w:tabs>
      <w:spacing w:before="120" w:after="120"/>
      <w:ind w:left="720" w:hanging="360"/>
      <w:jc w:val="both"/>
    </w:pPr>
    <w:rPr>
      <w:rFonts w:ascii="Arial" w:hAnsi="Arial"/>
      <w:b/>
      <w:sz w:val="20"/>
    </w:rPr>
  </w:style>
  <w:style w:type="character" w:customStyle="1" w:styleId="NotesChar210">
    <w:name w:val="Notes Char_21_0"/>
    <w:link w:val="Notes210"/>
    <w:locked/>
    <w:rPr>
      <w:rFonts w:ascii="Arial" w:hAnsi="Arial"/>
      <w:b/>
      <w:szCs w:val="24"/>
      <w:lang w:eastAsia="ar-SA"/>
    </w:rPr>
  </w:style>
  <w:style w:type="paragraph" w:customStyle="1" w:styleId="Normal1810">
    <w:name w:val="Normal_18_1_0"/>
    <w:qFormat/>
    <w:pPr>
      <w:suppressAutoHyphens/>
    </w:pPr>
    <w:rPr>
      <w:rFonts w:ascii="Times New Roman" w:hAnsi="Times New Roman"/>
      <w:sz w:val="24"/>
      <w:szCs w:val="24"/>
      <w:lang w:eastAsia="ar-SA"/>
    </w:rPr>
  </w:style>
  <w:style w:type="paragraph" w:customStyle="1" w:styleId="Normal115">
    <w:name w:val="Normal_115"/>
    <w:qFormat/>
    <w:pPr>
      <w:suppressAutoHyphens/>
    </w:pPr>
    <w:rPr>
      <w:rFonts w:ascii="Times New Roman" w:hAnsi="Times New Roman"/>
      <w:sz w:val="24"/>
      <w:szCs w:val="24"/>
      <w:lang w:eastAsia="ar-SA"/>
    </w:rPr>
  </w:style>
  <w:style w:type="paragraph" w:customStyle="1" w:styleId="Normal116">
    <w:name w:val="Normal_116"/>
    <w:qFormat/>
    <w:rPr>
      <w:rFonts w:ascii="Times New Roman" w:hAnsi="Times New Roman"/>
      <w:sz w:val="24"/>
      <w:szCs w:val="24"/>
    </w:rPr>
  </w:style>
  <w:style w:type="table" w:customStyle="1" w:styleId="CDMRange29">
    <w:name w:val="CDM Range 2_9"/>
    <w:basedOn w:val="TableNormal"/>
    <w:next w:val="TableNormal"/>
    <w:semiHidden/>
    <w:rPr>
      <w:rFonts w:ascii="Times New Roman" w:hAnsi="Times New Roman"/>
    </w:rPr>
    <w:tblPr/>
  </w:style>
  <w:style w:type="paragraph" w:customStyle="1" w:styleId="Normal117">
    <w:name w:val="Normal_117"/>
    <w:qFormat/>
    <w:rPr>
      <w:rFonts w:ascii="Times New Roman" w:hAnsi="Times New Roman"/>
      <w:sz w:val="24"/>
      <w:szCs w:val="24"/>
    </w:rPr>
  </w:style>
  <w:style w:type="table" w:customStyle="1" w:styleId="CDMRange110">
    <w:name w:val="CDM Range 1_10"/>
    <w:basedOn w:val="TableNormal"/>
    <w:next w:val="TableNormal"/>
    <w:semiHidden/>
    <w:rPr>
      <w:rFonts w:ascii="Times New Roman" w:hAnsi="Times New Roman"/>
    </w:rPr>
    <w:tblPr/>
  </w:style>
  <w:style w:type="paragraph" w:customStyle="1" w:styleId="Normal118">
    <w:name w:val="Normal_118"/>
    <w:qFormat/>
    <w:pPr>
      <w:suppressAutoHyphens/>
    </w:pPr>
    <w:rPr>
      <w:rFonts w:ascii="Times New Roman" w:hAnsi="Times New Roman"/>
      <w:sz w:val="24"/>
      <w:szCs w:val="24"/>
      <w:lang w:eastAsia="ar-SA"/>
    </w:rPr>
  </w:style>
  <w:style w:type="paragraph" w:customStyle="1" w:styleId="ListParagraph3">
    <w:name w:val="List Paragraph_3"/>
    <w:basedOn w:val="Normal29"/>
    <w:uiPriority w:val="34"/>
    <w:qFormat/>
    <w:pPr>
      <w:ind w:left="720"/>
      <w:contextualSpacing/>
    </w:pPr>
  </w:style>
  <w:style w:type="paragraph" w:customStyle="1" w:styleId="Normal31">
    <w:name w:val="Normal_31"/>
    <w:qFormat/>
    <w:pPr>
      <w:suppressAutoHyphens/>
    </w:pPr>
    <w:rPr>
      <w:rFonts w:ascii="Times New Roman" w:hAnsi="Times New Roman"/>
      <w:sz w:val="24"/>
      <w:szCs w:val="24"/>
      <w:lang w:eastAsia="ar-SA"/>
    </w:rPr>
  </w:style>
  <w:style w:type="paragraph" w:customStyle="1" w:styleId="ListParagraph4">
    <w:name w:val="List Paragraph_4"/>
    <w:basedOn w:val="Normal31"/>
    <w:uiPriority w:val="34"/>
    <w:qFormat/>
    <w:pPr>
      <w:ind w:left="720"/>
      <w:contextualSpacing/>
    </w:pPr>
  </w:style>
  <w:style w:type="paragraph" w:customStyle="1" w:styleId="Normal119">
    <w:name w:val="Normal_119"/>
    <w:qFormat/>
    <w:pPr>
      <w:suppressAutoHyphens/>
    </w:pPr>
    <w:rPr>
      <w:rFonts w:ascii="Times New Roman" w:hAnsi="Times New Roman"/>
      <w:sz w:val="24"/>
      <w:szCs w:val="24"/>
      <w:lang w:eastAsia="ar-SA"/>
    </w:rPr>
  </w:style>
  <w:style w:type="paragraph" w:customStyle="1" w:styleId="Normal120">
    <w:name w:val="Normal_120"/>
    <w:qFormat/>
    <w:rPr>
      <w:rFonts w:ascii="Times New Roman" w:hAnsi="Times New Roman"/>
      <w:sz w:val="24"/>
      <w:szCs w:val="24"/>
    </w:rPr>
  </w:style>
  <w:style w:type="table" w:customStyle="1" w:styleId="CDMRange210">
    <w:name w:val="CDM Range 2_10"/>
    <w:basedOn w:val="TableNormal"/>
    <w:next w:val="TableNormal"/>
    <w:semiHidden/>
    <w:rPr>
      <w:rFonts w:ascii="Times New Roman" w:hAnsi="Times New Roman"/>
    </w:rPr>
    <w:tblPr/>
  </w:style>
  <w:style w:type="paragraph" w:customStyle="1" w:styleId="Header29">
    <w:name w:val="Header_29"/>
    <w:basedOn w:val="Normal31"/>
    <w:link w:val="HeaderChar29"/>
    <w:pPr>
      <w:tabs>
        <w:tab w:val="center" w:pos="4153"/>
        <w:tab w:val="right" w:pos="8306"/>
      </w:tabs>
    </w:pPr>
  </w:style>
  <w:style w:type="character" w:customStyle="1" w:styleId="HeaderChar29">
    <w:name w:val="Header Char_29"/>
    <w:link w:val="Header29"/>
    <w:rPr>
      <w:rFonts w:ascii="Times New Roman" w:hAnsi="Times New Roman"/>
      <w:sz w:val="24"/>
      <w:szCs w:val="24"/>
      <w:lang w:eastAsia="ar-SA"/>
    </w:rPr>
  </w:style>
  <w:style w:type="paragraph" w:customStyle="1" w:styleId="Notes27">
    <w:name w:val="Notes_27"/>
    <w:basedOn w:val="Header29"/>
    <w:link w:val="NotesChar27"/>
    <w:pPr>
      <w:numPr>
        <w:numId w:val="10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7">
    <w:name w:val="Title 1.1_27"/>
    <w:basedOn w:val="Notes27"/>
    <w:pPr>
      <w:numPr>
        <w:ilvl w:val="1"/>
      </w:numPr>
      <w:tabs>
        <w:tab w:val="clear" w:pos="4320"/>
        <w:tab w:val="clear" w:pos="8640"/>
        <w:tab w:val="right" w:pos="-2700"/>
        <w:tab w:val="right" w:pos="720"/>
      </w:tabs>
      <w:spacing w:before="0" w:after="0"/>
    </w:pPr>
    <w:rPr>
      <w:b w:val="0"/>
      <w:szCs w:val="20"/>
    </w:rPr>
  </w:style>
  <w:style w:type="character" w:customStyle="1" w:styleId="NotesChar27">
    <w:name w:val="Notes Char_27"/>
    <w:link w:val="Notes27"/>
    <w:rPr>
      <w:rFonts w:ascii="Arial" w:hAnsi="Arial"/>
      <w:b/>
      <w:szCs w:val="24"/>
      <w:lang w:val="lt-LT" w:eastAsia="ar-SA"/>
    </w:rPr>
  </w:style>
  <w:style w:type="paragraph" w:customStyle="1" w:styleId="Normal121">
    <w:name w:val="Normal_121"/>
    <w:qFormat/>
    <w:pPr>
      <w:suppressAutoHyphens/>
    </w:pPr>
    <w:rPr>
      <w:rFonts w:ascii="Times New Roman" w:hAnsi="Times New Roman"/>
      <w:sz w:val="24"/>
      <w:szCs w:val="24"/>
      <w:lang w:eastAsia="ar-SA"/>
    </w:rPr>
  </w:style>
  <w:style w:type="paragraph" w:customStyle="1" w:styleId="Normal210">
    <w:name w:val="Normal_2_1"/>
    <w:qFormat/>
    <w:rPr>
      <w:rFonts w:ascii="Times New Roman" w:hAnsi="Times New Roman"/>
    </w:rPr>
  </w:style>
  <w:style w:type="paragraph" w:customStyle="1" w:styleId="Header110">
    <w:name w:val="Header_1_1"/>
    <w:basedOn w:val="Normal210"/>
    <w:link w:val="HeaderChar110"/>
    <w:uiPriority w:val="99"/>
    <w:unhideWhenUsed/>
    <w:pPr>
      <w:tabs>
        <w:tab w:val="center" w:pos="4680"/>
        <w:tab w:val="right" w:pos="9360"/>
      </w:tabs>
    </w:pPr>
    <w:rPr>
      <w:rFonts w:ascii="Calibri" w:eastAsia="Calibri" w:hAnsi="Calibri" w:cs="Arial"/>
      <w:lang w:eastAsia="en-US"/>
    </w:rPr>
  </w:style>
  <w:style w:type="character" w:customStyle="1" w:styleId="HeaderChar110">
    <w:name w:val="Header Char_1_1"/>
    <w:basedOn w:val="DefaultParagraphFont"/>
    <w:link w:val="Header110"/>
    <w:uiPriority w:val="99"/>
    <w:rPr>
      <w:rFonts w:eastAsia="Calibri" w:cs="Arial"/>
      <w:lang w:val="lt-LT" w:eastAsia="en-US"/>
    </w:rPr>
  </w:style>
  <w:style w:type="paragraph" w:customStyle="1" w:styleId="Normal42">
    <w:name w:val="Normal_4_2"/>
    <w:qFormat/>
    <w:rPr>
      <w:rFonts w:eastAsia="Calibri" w:cs="Arial"/>
      <w:lang w:eastAsia="en-US"/>
    </w:rPr>
  </w:style>
  <w:style w:type="paragraph" w:customStyle="1" w:styleId="Normal122">
    <w:name w:val="Normal_122"/>
    <w:qFormat/>
    <w:pPr>
      <w:suppressAutoHyphens/>
    </w:pPr>
    <w:rPr>
      <w:rFonts w:ascii="Times New Roman" w:hAnsi="Times New Roman"/>
      <w:sz w:val="24"/>
      <w:szCs w:val="24"/>
      <w:lang w:eastAsia="ar-SA"/>
    </w:rPr>
  </w:style>
  <w:style w:type="paragraph" w:customStyle="1" w:styleId="Normal32">
    <w:name w:val="Normal_32"/>
    <w:qFormat/>
    <w:rPr>
      <w:rFonts w:eastAsia="Calibri" w:cs="Arial"/>
      <w:lang w:eastAsia="en-US"/>
    </w:rPr>
  </w:style>
  <w:style w:type="paragraph" w:customStyle="1" w:styleId="Header30">
    <w:name w:val="Header_30"/>
    <w:basedOn w:val="Normal32"/>
    <w:link w:val="HeaderChar30"/>
    <w:uiPriority w:val="99"/>
    <w:semiHidden/>
    <w:unhideWhenUsed/>
    <w:pPr>
      <w:tabs>
        <w:tab w:val="center" w:pos="4680"/>
        <w:tab w:val="right" w:pos="9360"/>
      </w:tabs>
    </w:pPr>
  </w:style>
  <w:style w:type="character" w:customStyle="1" w:styleId="HeaderChar30">
    <w:name w:val="Header Char_30"/>
    <w:basedOn w:val="DefaultParagraphFont"/>
    <w:link w:val="Header30"/>
    <w:uiPriority w:val="99"/>
    <w:semiHidden/>
    <w:rPr>
      <w:rFonts w:eastAsia="Calibri" w:cs="Arial"/>
      <w:lang w:val="lt-LT" w:eastAsia="en-US"/>
    </w:rPr>
  </w:style>
  <w:style w:type="paragraph" w:customStyle="1" w:styleId="Notes28">
    <w:name w:val="Notes_28"/>
    <w:basedOn w:val="Header30"/>
    <w:link w:val="NotesChar28"/>
    <w:pPr>
      <w:numPr>
        <w:numId w:val="105"/>
      </w:numPr>
      <w:tabs>
        <w:tab w:val="clear" w:pos="4680"/>
        <w:tab w:val="clear" w:pos="9360"/>
        <w:tab w:val="center" w:pos="4320"/>
        <w:tab w:val="right" w:pos="8640"/>
      </w:tabs>
      <w:suppressAutoHyphens/>
      <w:spacing w:before="120" w:after="120"/>
      <w:jc w:val="both"/>
    </w:pPr>
    <w:rPr>
      <w:rFonts w:ascii="Arial" w:hAnsi="Arial"/>
      <w:b/>
      <w:szCs w:val="24"/>
      <w:lang w:eastAsia="ar-SA"/>
    </w:rPr>
  </w:style>
  <w:style w:type="paragraph" w:customStyle="1" w:styleId="Title1128">
    <w:name w:val="Title 1.1_28"/>
    <w:basedOn w:val="Notes28"/>
    <w:pPr>
      <w:numPr>
        <w:ilvl w:val="1"/>
      </w:numPr>
      <w:tabs>
        <w:tab w:val="clear" w:pos="431"/>
        <w:tab w:val="clear" w:pos="4320"/>
        <w:tab w:val="clear" w:pos="8640"/>
        <w:tab w:val="right" w:pos="-2700"/>
        <w:tab w:val="num" w:pos="360"/>
        <w:tab w:val="right" w:pos="720"/>
      </w:tabs>
      <w:spacing w:before="0" w:after="0"/>
    </w:pPr>
    <w:rPr>
      <w:b w:val="0"/>
      <w:szCs w:val="20"/>
    </w:rPr>
  </w:style>
  <w:style w:type="character" w:customStyle="1" w:styleId="NotesChar28">
    <w:name w:val="Notes Char_28"/>
    <w:link w:val="Notes28"/>
    <w:rPr>
      <w:rFonts w:ascii="Arial" w:eastAsia="Calibri" w:hAnsi="Arial" w:cs="Arial"/>
      <w:b/>
      <w:szCs w:val="24"/>
      <w:lang w:val="lt-LT" w:eastAsia="ar-SA"/>
    </w:rPr>
  </w:style>
  <w:style w:type="paragraph" w:customStyle="1" w:styleId="Title1150">
    <w:name w:val="Title 1.1_5_0"/>
    <w:basedOn w:val="Normal122"/>
    <w:pPr>
      <w:tabs>
        <w:tab w:val="right" w:pos="-2700"/>
        <w:tab w:val="right" w:pos="720"/>
      </w:tabs>
      <w:ind w:left="720" w:hanging="360"/>
      <w:jc w:val="both"/>
    </w:pPr>
    <w:rPr>
      <w:rFonts w:ascii="Arial" w:hAnsi="Arial"/>
      <w:sz w:val="20"/>
      <w:szCs w:val="20"/>
    </w:rPr>
  </w:style>
  <w:style w:type="paragraph" w:customStyle="1" w:styleId="Normal123">
    <w:name w:val="Normal_123"/>
    <w:qFormat/>
    <w:rPr>
      <w:rFonts w:ascii="Times New Roman" w:hAnsi="Times New Roman"/>
      <w:sz w:val="24"/>
      <w:szCs w:val="24"/>
    </w:rPr>
  </w:style>
  <w:style w:type="table" w:customStyle="1" w:styleId="CDMRange111">
    <w:name w:val="CDM Range 1_11"/>
    <w:basedOn w:val="TableNormal"/>
    <w:next w:val="TableNormal"/>
    <w:semiHidden/>
    <w:rPr>
      <w:rFonts w:ascii="Times New Roman" w:hAnsi="Times New Roman"/>
    </w:rPr>
    <w:tblPr/>
  </w:style>
  <w:style w:type="paragraph" w:customStyle="1" w:styleId="Notes29">
    <w:name w:val="Notes_29"/>
    <w:basedOn w:val="Header26"/>
    <w:link w:val="NotesChar29"/>
    <w:pPr>
      <w:tabs>
        <w:tab w:val="clear" w:pos="4153"/>
        <w:tab w:val="clear" w:pos="8306"/>
        <w:tab w:val="center" w:pos="4320"/>
        <w:tab w:val="right" w:pos="8640"/>
      </w:tabs>
      <w:spacing w:before="120" w:after="120"/>
      <w:ind w:left="360" w:hanging="360"/>
      <w:jc w:val="both"/>
    </w:pPr>
    <w:rPr>
      <w:rFonts w:ascii="Arial" w:hAnsi="Arial"/>
      <w:b/>
      <w:sz w:val="20"/>
    </w:rPr>
  </w:style>
  <w:style w:type="character" w:customStyle="1" w:styleId="NotesChar29">
    <w:name w:val="Notes Char_29"/>
    <w:link w:val="Notes29"/>
    <w:rPr>
      <w:rFonts w:ascii="Arial" w:hAnsi="Arial"/>
      <w:b/>
      <w:szCs w:val="24"/>
      <w:lang w:val="lt-LT" w:eastAsia="ar-SA"/>
    </w:rPr>
  </w:style>
  <w:style w:type="paragraph" w:customStyle="1" w:styleId="Normal124">
    <w:name w:val="Normal_124"/>
    <w:qFormat/>
    <w:pPr>
      <w:suppressAutoHyphens/>
    </w:pPr>
    <w:rPr>
      <w:rFonts w:ascii="Times New Roman" w:hAnsi="Times New Roman"/>
      <w:sz w:val="24"/>
      <w:szCs w:val="24"/>
      <w:lang w:eastAsia="ar-SA"/>
    </w:rPr>
  </w:style>
  <w:style w:type="paragraph" w:customStyle="1" w:styleId="Title1151">
    <w:name w:val="Title 1.1_5_1"/>
    <w:basedOn w:val="Normal124"/>
    <w:pPr>
      <w:tabs>
        <w:tab w:val="right" w:pos="-2700"/>
        <w:tab w:val="right" w:pos="720"/>
      </w:tabs>
      <w:ind w:left="720" w:hanging="360"/>
      <w:jc w:val="both"/>
    </w:pPr>
    <w:rPr>
      <w:rFonts w:ascii="Arial" w:hAnsi="Arial"/>
      <w:sz w:val="20"/>
      <w:szCs w:val="20"/>
    </w:rPr>
  </w:style>
  <w:style w:type="paragraph" w:customStyle="1" w:styleId="Normal125">
    <w:name w:val="Normal_125"/>
    <w:qFormat/>
    <w:rPr>
      <w:rFonts w:ascii="Times New Roman" w:hAnsi="Times New Roman"/>
      <w:sz w:val="24"/>
      <w:szCs w:val="24"/>
    </w:rPr>
  </w:style>
  <w:style w:type="table" w:customStyle="1" w:styleId="CDMRange211">
    <w:name w:val="CDM Range 2_11"/>
    <w:basedOn w:val="TableNormal"/>
    <w:next w:val="TableNormal"/>
    <w:semiHidden/>
    <w:rPr>
      <w:rFonts w:ascii="Times New Roman" w:hAnsi="Times New Roman"/>
    </w:rPr>
    <w:tblPr/>
  </w:style>
  <w:style w:type="paragraph" w:customStyle="1" w:styleId="Normal220">
    <w:name w:val="Normal_2_2"/>
    <w:qFormat/>
    <w:rPr>
      <w:rFonts w:ascii="Times New Roman" w:hAnsi="Times New Roman"/>
    </w:rPr>
  </w:style>
  <w:style w:type="paragraph" w:customStyle="1" w:styleId="Header120">
    <w:name w:val="Header_1_2"/>
    <w:basedOn w:val="Normal220"/>
    <w:link w:val="HeaderChar120"/>
    <w:uiPriority w:val="99"/>
    <w:unhideWhenUsed/>
    <w:pPr>
      <w:tabs>
        <w:tab w:val="center" w:pos="4680"/>
        <w:tab w:val="right" w:pos="9360"/>
      </w:tabs>
    </w:pPr>
    <w:rPr>
      <w:rFonts w:ascii="Calibri" w:eastAsia="Calibri" w:hAnsi="Calibri" w:cs="Arial"/>
      <w:lang w:eastAsia="en-US"/>
    </w:rPr>
  </w:style>
  <w:style w:type="character" w:customStyle="1" w:styleId="HeaderChar120">
    <w:name w:val="Header Char_1_2"/>
    <w:basedOn w:val="DefaultParagraphFont"/>
    <w:link w:val="Header120"/>
    <w:uiPriority w:val="99"/>
    <w:rPr>
      <w:rFonts w:ascii="Times New Roman" w:hAnsi="Times New Roman"/>
    </w:rPr>
  </w:style>
  <w:style w:type="paragraph" w:customStyle="1" w:styleId="Normal43">
    <w:name w:val="Normal_4_3"/>
    <w:qFormat/>
    <w:rPr>
      <w:rFonts w:eastAsia="Calibri" w:cs="Arial"/>
      <w:lang w:eastAsia="en-US"/>
    </w:rPr>
  </w:style>
  <w:style w:type="paragraph" w:customStyle="1" w:styleId="Normal126">
    <w:name w:val="Normal_126"/>
    <w:qFormat/>
    <w:pPr>
      <w:suppressAutoHyphens/>
    </w:pPr>
    <w:rPr>
      <w:rFonts w:ascii="Times New Roman" w:hAnsi="Times New Roman"/>
      <w:sz w:val="24"/>
      <w:szCs w:val="24"/>
      <w:lang w:eastAsia="ar-SA"/>
    </w:rPr>
  </w:style>
  <w:style w:type="paragraph" w:customStyle="1" w:styleId="ListParagraph5">
    <w:name w:val="List Paragraph_5"/>
    <w:basedOn w:val="Normal126"/>
    <w:uiPriority w:val="34"/>
    <w:qFormat/>
    <w:pPr>
      <w:ind w:left="720"/>
      <w:contextualSpacing/>
    </w:pPr>
  </w:style>
  <w:style w:type="paragraph" w:customStyle="1" w:styleId="Normal550">
    <w:name w:val="Normal_55_0"/>
    <w:qFormat/>
    <w:pPr>
      <w:suppressAutoHyphens/>
    </w:pPr>
    <w:rPr>
      <w:rFonts w:ascii="Times New Roman" w:hAnsi="Times New Roman"/>
      <w:sz w:val="24"/>
      <w:szCs w:val="24"/>
      <w:lang w:eastAsia="ar-SA"/>
    </w:rPr>
  </w:style>
  <w:style w:type="paragraph" w:customStyle="1" w:styleId="Normal127">
    <w:name w:val="Normal_127"/>
    <w:qFormat/>
    <w:pPr>
      <w:suppressAutoHyphens/>
    </w:pPr>
    <w:rPr>
      <w:rFonts w:ascii="Times New Roman" w:hAnsi="Times New Roman"/>
      <w:sz w:val="24"/>
      <w:szCs w:val="24"/>
      <w:lang w:eastAsia="ar-SA"/>
    </w:rPr>
  </w:style>
  <w:style w:type="paragraph" w:customStyle="1" w:styleId="Normal128">
    <w:name w:val="Normal_128"/>
    <w:qFormat/>
    <w:rPr>
      <w:rFonts w:ascii="Times New Roman" w:hAnsi="Times New Roman"/>
      <w:sz w:val="24"/>
      <w:szCs w:val="24"/>
    </w:rPr>
  </w:style>
  <w:style w:type="table" w:customStyle="1" w:styleId="CDMRange112">
    <w:name w:val="CDM Range 1_12"/>
    <w:basedOn w:val="TableNormal"/>
    <w:next w:val="TableNormal"/>
    <w:semiHidden/>
    <w:rPr>
      <w:rFonts w:ascii="Times New Roman" w:hAnsi="Times New Roman"/>
    </w:rPr>
    <w:tblPr/>
  </w:style>
  <w:style w:type="paragraph" w:customStyle="1" w:styleId="Normal129">
    <w:name w:val="Normal_129"/>
    <w:qFormat/>
    <w:rPr>
      <w:rFonts w:ascii="Times New Roman" w:hAnsi="Times New Roman"/>
      <w:sz w:val="24"/>
      <w:szCs w:val="24"/>
    </w:rPr>
  </w:style>
  <w:style w:type="table" w:customStyle="1" w:styleId="CDMRange212">
    <w:name w:val="CDM Range 2_12"/>
    <w:basedOn w:val="TableNormal"/>
    <w:next w:val="TableNormal"/>
    <w:semiHidden/>
    <w:rPr>
      <w:rFonts w:ascii="Times New Roman" w:hAnsi="Times New Roman"/>
    </w:rPr>
    <w:tblPr/>
  </w:style>
  <w:style w:type="paragraph" w:customStyle="1" w:styleId="Notes">
    <w:name w:val="Notes"/>
    <w:basedOn w:val="Header"/>
    <w:link w:val="NotesChar"/>
    <w:pPr>
      <w:numPr>
        <w:numId w:val="109"/>
      </w:numPr>
      <w:tabs>
        <w:tab w:val="clear" w:pos="4677"/>
        <w:tab w:val="clear" w:pos="9355"/>
        <w:tab w:val="center" w:pos="4320"/>
        <w:tab w:val="right" w:pos="8640"/>
      </w:tabs>
      <w:suppressAutoHyphens/>
      <w:spacing w:before="120" w:after="120"/>
      <w:jc w:val="both"/>
    </w:pPr>
    <w:rPr>
      <w:rFonts w:ascii="Arial" w:hAnsi="Arial"/>
      <w:b/>
      <w:sz w:val="20"/>
      <w:lang w:eastAsia="ar-SA"/>
    </w:rPr>
  </w:style>
  <w:style w:type="paragraph" w:customStyle="1" w:styleId="Title11">
    <w:name w:val="Title 1.1"/>
    <w:basedOn w:val="Notes"/>
    <w:pPr>
      <w:numPr>
        <w:ilvl w:val="1"/>
      </w:numPr>
      <w:tabs>
        <w:tab w:val="clear" w:pos="4320"/>
        <w:tab w:val="clear" w:pos="8640"/>
        <w:tab w:val="right" w:pos="-2700"/>
        <w:tab w:val="right" w:pos="720"/>
      </w:tabs>
      <w:spacing w:before="0" w:after="0"/>
    </w:pPr>
    <w:rPr>
      <w:b w:val="0"/>
    </w:rPr>
  </w:style>
  <w:style w:type="character" w:customStyle="1" w:styleId="NotesChar">
    <w:name w:val="Notes Char"/>
    <w:link w:val="Notes"/>
    <w:rPr>
      <w:rFonts w:ascii="Arial" w:hAnsi="Arial"/>
      <w:b/>
      <w:szCs w:val="24"/>
      <w:lang w:val="lt-LT" w:eastAsia="ar-SA"/>
    </w:rPr>
  </w:style>
  <w:style w:type="paragraph" w:customStyle="1" w:styleId="Normal130">
    <w:name w:val="Normal_130"/>
    <w:qFormat/>
    <w:rPr>
      <w:rFonts w:ascii="Times New Roman" w:hAnsi="Times New Roman"/>
      <w:sz w:val="24"/>
      <w:szCs w:val="24"/>
    </w:rPr>
  </w:style>
  <w:style w:type="table" w:customStyle="1" w:styleId="CDMRange113">
    <w:name w:val="CDM Range 1_13"/>
    <w:basedOn w:val="TableNormal"/>
    <w:next w:val="TableNormal"/>
    <w:semiHidden/>
    <w:rPr>
      <w:rFonts w:ascii="Times New Roman" w:hAnsi="Times New Roman"/>
    </w:rPr>
    <w:tblPr/>
  </w:style>
  <w:style w:type="paragraph" w:customStyle="1" w:styleId="Notes32">
    <w:name w:val="Notes_32"/>
    <w:basedOn w:val="Header29"/>
    <w:link w:val="NotesChar32"/>
    <w:pPr>
      <w:tabs>
        <w:tab w:val="clear" w:pos="4153"/>
        <w:tab w:val="clear" w:pos="8306"/>
        <w:tab w:val="center" w:pos="4320"/>
        <w:tab w:val="right" w:pos="8640"/>
      </w:tabs>
      <w:spacing w:before="120" w:after="120"/>
      <w:ind w:left="360" w:hanging="360"/>
      <w:jc w:val="both"/>
    </w:pPr>
    <w:rPr>
      <w:rFonts w:ascii="Arial" w:hAnsi="Arial"/>
      <w:b/>
      <w:sz w:val="20"/>
    </w:rPr>
  </w:style>
  <w:style w:type="character" w:customStyle="1" w:styleId="NotesChar32">
    <w:name w:val="Notes Char_32"/>
    <w:link w:val="Notes32"/>
    <w:rPr>
      <w:rFonts w:ascii="Arial" w:hAnsi="Arial"/>
      <w:b/>
      <w:szCs w:val="24"/>
      <w:lang w:val="lt-LT" w:eastAsia="ar-SA"/>
    </w:rPr>
  </w:style>
  <w:style w:type="paragraph" w:customStyle="1" w:styleId="Normal131">
    <w:name w:val="Normal_131"/>
    <w:qFormat/>
    <w:pPr>
      <w:suppressAutoHyphens/>
    </w:pPr>
    <w:rPr>
      <w:rFonts w:ascii="Times New Roman" w:hAnsi="Times New Roman"/>
      <w:sz w:val="24"/>
      <w:szCs w:val="24"/>
      <w:lang w:eastAsia="ar-SA"/>
    </w:rPr>
  </w:style>
  <w:style w:type="paragraph" w:customStyle="1" w:styleId="ListParagraph6">
    <w:name w:val="List Paragraph_6"/>
    <w:basedOn w:val="Normal131"/>
    <w:uiPriority w:val="34"/>
    <w:qFormat/>
    <w:pPr>
      <w:ind w:left="720"/>
      <w:contextualSpacing/>
    </w:pPr>
  </w:style>
  <w:style w:type="paragraph" w:customStyle="1" w:styleId="Normal690">
    <w:name w:val="Normal_69_0"/>
    <w:qFormat/>
    <w:pPr>
      <w:suppressAutoHyphens/>
    </w:pPr>
    <w:rPr>
      <w:rFonts w:ascii="Times New Roman" w:hAnsi="Times New Roman"/>
      <w:sz w:val="24"/>
      <w:szCs w:val="24"/>
      <w:lang w:eastAsia="ar-SA"/>
    </w:rPr>
  </w:style>
  <w:style w:type="paragraph" w:customStyle="1" w:styleId="Normal132">
    <w:name w:val="Normal_132"/>
    <w:qFormat/>
    <w:rPr>
      <w:rFonts w:ascii="Times New Roman" w:hAnsi="Times New Roman"/>
      <w:sz w:val="24"/>
      <w:szCs w:val="24"/>
    </w:rPr>
  </w:style>
  <w:style w:type="table" w:customStyle="1" w:styleId="CDMRange213">
    <w:name w:val="CDM Range 2_13"/>
    <w:basedOn w:val="TableNormal"/>
    <w:next w:val="TableNormal"/>
    <w:semiHidden/>
    <w:rPr>
      <w:rFonts w:ascii="Times New Roman" w:hAnsi="Times New Roman"/>
    </w:rPr>
    <w:tblPr/>
  </w:style>
  <w:style w:type="paragraph" w:customStyle="1" w:styleId="Normal133">
    <w:name w:val="Normal_133"/>
    <w:qFormat/>
    <w:rPr>
      <w:rFonts w:ascii="Times New Roman" w:hAnsi="Times New Roman"/>
      <w:sz w:val="24"/>
      <w:szCs w:val="24"/>
    </w:rPr>
  </w:style>
  <w:style w:type="table" w:customStyle="1" w:styleId="CDMRange114">
    <w:name w:val="CDM Range 1_14"/>
    <w:basedOn w:val="TableNormal"/>
    <w:next w:val="TableNormal"/>
    <w:semiHidden/>
    <w:rPr>
      <w:rFonts w:ascii="Times New Roman" w:hAnsi="Times New Roman"/>
    </w:rPr>
    <w:tblPr/>
  </w:style>
  <w:style w:type="paragraph" w:customStyle="1" w:styleId="Normal135">
    <w:name w:val="Normal_135"/>
    <w:qFormat/>
    <w:rPr>
      <w:rFonts w:ascii="Times New Roman" w:hAnsi="Times New Roman"/>
      <w:sz w:val="24"/>
      <w:szCs w:val="24"/>
    </w:rPr>
  </w:style>
  <w:style w:type="table" w:customStyle="1" w:styleId="CDMRange115">
    <w:name w:val="CDM Range 1_15"/>
    <w:basedOn w:val="TableNormal"/>
    <w:next w:val="TableNormal"/>
    <w:semiHidden/>
    <w:rPr>
      <w:rFonts w:ascii="Times New Roman" w:hAnsi="Times New Roman"/>
    </w:rPr>
    <w:tblPr/>
  </w:style>
  <w:style w:type="paragraph" w:customStyle="1" w:styleId="Title1">
    <w:name w:val="Title 1"/>
    <w:basedOn w:val="Notes"/>
    <w:link w:val="Title1Char"/>
    <w:pPr>
      <w:spacing w:before="0" w:after="0"/>
    </w:pPr>
  </w:style>
  <w:style w:type="character" w:customStyle="1" w:styleId="Title1Char">
    <w:name w:val="Title 1 Char"/>
    <w:basedOn w:val="NotesChar"/>
    <w:link w:val="Title1"/>
    <w:rPr>
      <w:rFonts w:ascii="Arial" w:hAnsi="Arial"/>
      <w:b/>
      <w:szCs w:val="24"/>
      <w:lang w:val="lt-LT" w:eastAsia="ar-SA"/>
    </w:rPr>
  </w:style>
  <w:style w:type="paragraph" w:customStyle="1" w:styleId="Normal136">
    <w:name w:val="Normal_136"/>
    <w:qFormat/>
    <w:rPr>
      <w:rFonts w:ascii="Times New Roman" w:hAnsi="Times New Roman"/>
      <w:sz w:val="24"/>
      <w:szCs w:val="24"/>
    </w:rPr>
  </w:style>
  <w:style w:type="table" w:customStyle="1" w:styleId="CDMRange215">
    <w:name w:val="CDM Range 2_15"/>
    <w:basedOn w:val="TableNormal"/>
    <w:next w:val="TableNormal"/>
    <w:semiHidden/>
    <w:rPr>
      <w:rFonts w:ascii="Times New Roman" w:hAnsi="Times New Roman"/>
    </w:rPr>
    <w:tblPr/>
  </w:style>
  <w:style w:type="paragraph" w:customStyle="1" w:styleId="Normal137">
    <w:name w:val="Normal_137"/>
    <w:qFormat/>
    <w:rPr>
      <w:rFonts w:ascii="Times New Roman" w:hAnsi="Times New Roman"/>
      <w:sz w:val="24"/>
      <w:szCs w:val="24"/>
    </w:rPr>
  </w:style>
  <w:style w:type="table" w:customStyle="1" w:styleId="CDMRange116">
    <w:name w:val="CDM Range 1_16"/>
    <w:basedOn w:val="TableNormal"/>
    <w:next w:val="TableNormal"/>
    <w:semiHidden/>
    <w:rPr>
      <w:rFonts w:ascii="Times New Roman" w:hAnsi="Times New Roman"/>
    </w:rPr>
    <w:tblPr/>
  </w:style>
  <w:style w:type="paragraph" w:customStyle="1" w:styleId="Normal138">
    <w:name w:val="Normal_138"/>
    <w:qFormat/>
    <w:rPr>
      <w:rFonts w:ascii="Times New Roman" w:hAnsi="Times New Roman"/>
      <w:sz w:val="24"/>
      <w:szCs w:val="24"/>
    </w:rPr>
  </w:style>
  <w:style w:type="table" w:customStyle="1" w:styleId="CDMRange216">
    <w:name w:val="CDM Range 2_16"/>
    <w:basedOn w:val="TableNormal"/>
    <w:next w:val="TableNormal"/>
    <w:semiHidden/>
    <w:rPr>
      <w:rFonts w:ascii="Times New Roman" w:hAnsi="Times New Roman"/>
    </w:rPr>
    <w:tblPr/>
  </w:style>
  <w:style w:type="paragraph" w:customStyle="1" w:styleId="Normal67">
    <w:name w:val="Normal_67"/>
    <w:qFormat/>
    <w:rPr>
      <w:rFonts w:ascii="Times New Roman" w:hAnsi="Times New Roman"/>
      <w:sz w:val="24"/>
      <w:szCs w:val="24"/>
    </w:rPr>
  </w:style>
  <w:style w:type="paragraph" w:customStyle="1" w:styleId="Normal139">
    <w:name w:val="Normal_139"/>
    <w:qFormat/>
    <w:rPr>
      <w:rFonts w:ascii="Times New Roman" w:hAnsi="Times New Roman"/>
      <w:sz w:val="24"/>
      <w:szCs w:val="24"/>
    </w:rPr>
  </w:style>
  <w:style w:type="table" w:customStyle="1" w:styleId="CDMRange117">
    <w:name w:val="CDM Range 1_17"/>
    <w:basedOn w:val="TableNormal"/>
    <w:next w:val="TableNormal"/>
    <w:semiHidden/>
    <w:rPr>
      <w:rFonts w:ascii="Times New Roman" w:hAnsi="Times New Roman"/>
    </w:rPr>
    <w:tblPr/>
  </w:style>
  <w:style w:type="paragraph" w:customStyle="1" w:styleId="Normal1400">
    <w:name w:val="Normal_140"/>
    <w:qFormat/>
    <w:rPr>
      <w:rFonts w:ascii="Times New Roman" w:hAnsi="Times New Roman"/>
      <w:sz w:val="24"/>
      <w:szCs w:val="24"/>
    </w:rPr>
  </w:style>
  <w:style w:type="table" w:customStyle="1" w:styleId="CDMRange217">
    <w:name w:val="CDM Range 2_17"/>
    <w:basedOn w:val="TableNormal"/>
    <w:next w:val="TableNormal"/>
    <w:semiHidden/>
    <w:rPr>
      <w:rFonts w:ascii="Times New Roman" w:hAnsi="Times New Roman"/>
    </w:rPr>
    <w:tblPr/>
  </w:style>
  <w:style w:type="paragraph" w:customStyle="1" w:styleId="Normal141">
    <w:name w:val="Normal_141"/>
    <w:qFormat/>
    <w:rPr>
      <w:rFonts w:ascii="Times New Roman" w:hAnsi="Times New Roman"/>
      <w:sz w:val="24"/>
      <w:szCs w:val="24"/>
    </w:rPr>
  </w:style>
  <w:style w:type="table" w:customStyle="1" w:styleId="CDMRange118">
    <w:name w:val="CDM Range 1_18"/>
    <w:basedOn w:val="TableNormal"/>
    <w:next w:val="TableNormal"/>
    <w:semiHidden/>
    <w:rPr>
      <w:rFonts w:ascii="Times New Roman" w:hAnsi="Times New Roman"/>
    </w:rPr>
    <w:tblPr/>
  </w:style>
  <w:style w:type="paragraph" w:customStyle="1" w:styleId="Normal142">
    <w:name w:val="Normal_142"/>
    <w:qFormat/>
    <w:rPr>
      <w:rFonts w:ascii="Times New Roman" w:hAnsi="Times New Roman"/>
      <w:sz w:val="24"/>
      <w:szCs w:val="24"/>
    </w:rPr>
  </w:style>
  <w:style w:type="table" w:customStyle="1" w:styleId="CDMRange218">
    <w:name w:val="CDM Range 2_18"/>
    <w:basedOn w:val="TableNormal"/>
    <w:next w:val="TableNormal"/>
    <w:semiHidden/>
    <w:rPr>
      <w:rFonts w:ascii="Times New Roman" w:hAnsi="Times New Roman"/>
    </w:rPr>
    <w:tblPr/>
  </w:style>
  <w:style w:type="paragraph" w:customStyle="1" w:styleId="Normal143">
    <w:name w:val="Normal_143"/>
    <w:qFormat/>
    <w:rPr>
      <w:rFonts w:ascii="Times New Roman" w:hAnsi="Times New Roman"/>
      <w:sz w:val="24"/>
      <w:szCs w:val="24"/>
    </w:rPr>
  </w:style>
  <w:style w:type="table" w:customStyle="1" w:styleId="CDMRange119">
    <w:name w:val="CDM Range 1_19"/>
    <w:basedOn w:val="TableNormal"/>
    <w:next w:val="TableNormal"/>
    <w:semiHidden/>
    <w:rPr>
      <w:rFonts w:ascii="Times New Roman" w:hAnsi="Times New Roman"/>
    </w:rPr>
    <w:tblPr/>
  </w:style>
  <w:style w:type="paragraph" w:customStyle="1" w:styleId="Normal144">
    <w:name w:val="Normal_144"/>
    <w:qFormat/>
    <w:rPr>
      <w:rFonts w:ascii="Times New Roman" w:hAnsi="Times New Roman"/>
      <w:sz w:val="24"/>
      <w:szCs w:val="24"/>
    </w:rPr>
  </w:style>
  <w:style w:type="table" w:customStyle="1" w:styleId="CDMRange219">
    <w:name w:val="CDM Range 2_19"/>
    <w:basedOn w:val="TableNormal"/>
    <w:next w:val="TableNormal"/>
    <w:semiHidden/>
    <w:rPr>
      <w:rFonts w:ascii="Times New Roman" w:hAnsi="Times New Roman"/>
    </w:rPr>
    <w:tblPr/>
  </w:style>
  <w:style w:type="paragraph" w:customStyle="1" w:styleId="Normal145">
    <w:name w:val="Normal_145"/>
    <w:qFormat/>
    <w:rPr>
      <w:rFonts w:ascii="Times New Roman" w:hAnsi="Times New Roman"/>
      <w:sz w:val="24"/>
      <w:szCs w:val="24"/>
    </w:rPr>
  </w:style>
  <w:style w:type="table" w:customStyle="1" w:styleId="CDMRange120">
    <w:name w:val="CDM Range 1_20"/>
    <w:basedOn w:val="TableNormal"/>
    <w:next w:val="TableNormal"/>
    <w:semiHidden/>
    <w:rPr>
      <w:rFonts w:ascii="Times New Roman" w:hAnsi="Times New Roman"/>
    </w:rPr>
    <w:tblPr/>
  </w:style>
  <w:style w:type="paragraph" w:customStyle="1" w:styleId="Normal146">
    <w:name w:val="Normal_146"/>
    <w:qFormat/>
    <w:rPr>
      <w:rFonts w:ascii="Times New Roman" w:hAnsi="Times New Roman"/>
      <w:sz w:val="24"/>
      <w:szCs w:val="24"/>
    </w:rPr>
  </w:style>
  <w:style w:type="table" w:customStyle="1" w:styleId="CDMRange220">
    <w:name w:val="CDM Range 2_20"/>
    <w:basedOn w:val="TableNormal"/>
    <w:next w:val="TableNormal"/>
    <w:semiHidden/>
    <w:rPr>
      <w:rFonts w:ascii="Times New Roman" w:hAnsi="Times New Roman"/>
    </w:rPr>
    <w:tblPr/>
  </w:style>
  <w:style w:type="paragraph" w:customStyle="1" w:styleId="Normal147">
    <w:name w:val="Normal_147"/>
    <w:qFormat/>
    <w:rPr>
      <w:rFonts w:ascii="Times New Roman" w:hAnsi="Times New Roman"/>
      <w:sz w:val="24"/>
      <w:szCs w:val="24"/>
    </w:rPr>
  </w:style>
  <w:style w:type="table" w:customStyle="1" w:styleId="CDMRange121">
    <w:name w:val="CDM Range 1_21"/>
    <w:basedOn w:val="TableNormal"/>
    <w:next w:val="TableNormal"/>
    <w:semiHidden/>
    <w:rPr>
      <w:rFonts w:ascii="Times New Roman" w:hAnsi="Times New Roman"/>
    </w:rPr>
    <w:tblPr/>
  </w:style>
  <w:style w:type="paragraph" w:customStyle="1" w:styleId="Normal148">
    <w:name w:val="Normal_148"/>
    <w:qFormat/>
    <w:rPr>
      <w:rFonts w:ascii="Times New Roman" w:hAnsi="Times New Roman"/>
      <w:sz w:val="24"/>
      <w:szCs w:val="24"/>
    </w:rPr>
  </w:style>
  <w:style w:type="table" w:customStyle="1" w:styleId="CDMRange221">
    <w:name w:val="CDM Range 2_21"/>
    <w:basedOn w:val="TableNormal"/>
    <w:next w:val="TableNormal"/>
    <w:semiHidden/>
    <w:rPr>
      <w:rFonts w:ascii="Times New Roman" w:hAnsi="Times New Roman"/>
    </w:rPr>
    <w:tblPr/>
  </w:style>
  <w:style w:type="paragraph" w:customStyle="1" w:styleId="Notes33">
    <w:name w:val="Notes_33"/>
    <w:basedOn w:val="Header30"/>
    <w:link w:val="NotesChar33"/>
    <w:pPr>
      <w:numPr>
        <w:numId w:val="111"/>
      </w:numPr>
      <w:tabs>
        <w:tab w:val="clear" w:pos="4680"/>
        <w:tab w:val="clear" w:pos="9360"/>
        <w:tab w:val="center" w:pos="4320"/>
        <w:tab w:val="right" w:pos="8640"/>
      </w:tabs>
      <w:suppressAutoHyphens/>
      <w:spacing w:before="120" w:after="120"/>
      <w:jc w:val="both"/>
    </w:pPr>
    <w:rPr>
      <w:rFonts w:ascii="Arial" w:hAnsi="Arial"/>
      <w:b/>
      <w:szCs w:val="24"/>
      <w:lang w:eastAsia="ar-SA"/>
    </w:rPr>
  </w:style>
  <w:style w:type="character" w:customStyle="1" w:styleId="NotesChar33">
    <w:name w:val="Notes Char_33"/>
    <w:link w:val="Notes33"/>
    <w:locked/>
    <w:rPr>
      <w:rFonts w:ascii="Arial" w:eastAsia="Calibri" w:hAnsi="Arial" w:cs="Arial"/>
      <w:b/>
      <w:szCs w:val="24"/>
      <w:lang w:val="lt-LT" w:eastAsia="ar-SA"/>
    </w:rPr>
  </w:style>
  <w:style w:type="paragraph" w:customStyle="1" w:styleId="Normal149">
    <w:name w:val="Normal_149"/>
    <w:qFormat/>
    <w:rPr>
      <w:rFonts w:eastAsia="Calibri" w:cs="Arial"/>
      <w:lang w:eastAsia="en-US"/>
    </w:rPr>
  </w:style>
  <w:style w:type="table" w:customStyle="1" w:styleId="TableGrid0">
    <w:name w:val="Table Grid_0"/>
    <w:basedOn w:val="TableNormal"/>
    <w:uiPriority w:val="59"/>
    <w:rPr>
      <w:rFonts w:eastAsia="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0">
    <w:name w:val="Normal_150"/>
    <w:qFormat/>
    <w:rPr>
      <w:rFonts w:ascii="Times New Roman" w:hAnsi="Times New Roman"/>
      <w:sz w:val="24"/>
      <w:szCs w:val="24"/>
    </w:rPr>
  </w:style>
  <w:style w:type="table" w:customStyle="1" w:styleId="CDMRange122">
    <w:name w:val="CDM Range 1_22"/>
    <w:basedOn w:val="TableNormal"/>
    <w:next w:val="TableNormal"/>
    <w:semiHidden/>
    <w:rPr>
      <w:rFonts w:ascii="Times New Roman" w:hAnsi="Times New Roman"/>
    </w:rPr>
    <w:tblPr/>
  </w:style>
  <w:style w:type="paragraph" w:customStyle="1" w:styleId="Normal7">
    <w:name w:val="Normal_7"/>
    <w:qFormat/>
    <w:pPr>
      <w:suppressAutoHyphens/>
    </w:pPr>
    <w:rPr>
      <w:rFonts w:ascii="Times New Roman" w:hAnsi="Times New Roman"/>
      <w:sz w:val="24"/>
      <w:szCs w:val="24"/>
      <w:lang w:eastAsia="ar-SA"/>
    </w:rPr>
  </w:style>
  <w:style w:type="paragraph" w:customStyle="1" w:styleId="Normal151">
    <w:name w:val="Normal_151"/>
    <w:qFormat/>
    <w:rPr>
      <w:rFonts w:ascii="Times New Roman" w:hAnsi="Times New Roman"/>
      <w:sz w:val="24"/>
      <w:szCs w:val="24"/>
    </w:rPr>
  </w:style>
  <w:style w:type="table" w:customStyle="1" w:styleId="CDMRange222">
    <w:name w:val="CDM Range 2_22"/>
    <w:basedOn w:val="TableNormal"/>
    <w:next w:val="TableNormal"/>
    <w:semiHidden/>
    <w:rPr>
      <w:rFonts w:ascii="Times New Roman" w:hAnsi="Times New Roman"/>
    </w:rPr>
    <w:tblPr/>
  </w:style>
  <w:style w:type="paragraph" w:customStyle="1" w:styleId="StyleTextstand-aloneCustomColorRGB1">
    <w:name w:val="Style Text_stand-alone + Custom Color(RGB(1"/>
    <w:basedOn w:val="Textstand-alone"/>
    <w:pPr>
      <w:spacing w:before="120" w:after="0"/>
    </w:pPr>
    <w:rPr>
      <w:color w:val="016794"/>
      <w:szCs w:val="20"/>
    </w:rPr>
  </w:style>
  <w:style w:type="paragraph" w:customStyle="1" w:styleId="Text9pItalicLeft025">
    <w:name w:val="Text_9p_Italic_Left_0.25"/>
    <w:basedOn w:val="Normal"/>
    <w:qFormat/>
    <w:pPr>
      <w:ind w:left="142"/>
    </w:pPr>
    <w:rPr>
      <w:rFonts w:ascii="Verdana" w:eastAsia="Calibri" w:hAnsi="Verdana" w:cstheme="minorBidi"/>
      <w:i/>
      <w:noProof/>
      <w:sz w:val="18"/>
      <w:szCs w:val="18"/>
      <w:lang w:eastAsia="en-US"/>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CoverPageChar"/>
    <w:link w:val="FooterSensitivity"/>
    <w:rPr>
      <w:rFonts w:ascii="Times New Roman" w:hAnsi="Times New Roman"/>
      <w:b/>
      <w:color w:val="016794"/>
      <w:sz w:val="32"/>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CoverPageChar"/>
    <w:link w:val="HeaderSensitivity"/>
    <w:rPr>
      <w:rFonts w:ascii="Times New Roman" w:hAnsi="Times New Roman"/>
      <w:b/>
      <w:color w:val="016794"/>
      <w:sz w:val="32"/>
      <w:szCs w:val="24"/>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CoverPageChar"/>
    <w:link w:val="HeaderSensitivityRight"/>
    <w:rPr>
      <w:rFonts w:ascii="Times New Roman" w:hAnsi="Times New Roman"/>
      <w:color w:val="016794"/>
      <w:sz w:val="28"/>
      <w:szCs w:val="24"/>
    </w:rPr>
  </w:style>
  <w:style w:type="paragraph" w:customStyle="1" w:styleId="LegalNumPar">
    <w:name w:val="LegalNumPar"/>
    <w:basedOn w:val="Normal"/>
    <w:pPr>
      <w:numPr>
        <w:numId w:val="117"/>
      </w:numPr>
      <w:spacing w:line="360" w:lineRule="auto"/>
    </w:pPr>
  </w:style>
  <w:style w:type="paragraph" w:customStyle="1" w:styleId="LegalNumPar2">
    <w:name w:val="LegalNumPar2"/>
    <w:basedOn w:val="Normal"/>
    <w:pPr>
      <w:numPr>
        <w:ilvl w:val="1"/>
        <w:numId w:val="117"/>
      </w:numPr>
      <w:spacing w:line="360" w:lineRule="auto"/>
    </w:pPr>
  </w:style>
  <w:style w:type="paragraph" w:customStyle="1" w:styleId="LegalNumPar3">
    <w:name w:val="LegalNumPar3"/>
    <w:basedOn w:val="Normal"/>
    <w:pPr>
      <w:numPr>
        <w:ilvl w:val="2"/>
        <w:numId w:val="117"/>
      </w:numPr>
      <w:spacing w:line="36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lt-LT"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en-GB"/>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b/>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lang w:eastAsia="en-US"/>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en-GB"/>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rPr>
      <w:rFonts w:ascii="Times New Roman" w:eastAsia="Times New Roman" w:hAnsi="Times New Roman" w:cs="Times New Roman"/>
      <w:sz w:val="24"/>
      <w:szCs w:val="24"/>
      <w:lang w:eastAsia="en-GB"/>
    </w:rPr>
  </w:style>
  <w:style w:type="character" w:customStyle="1" w:styleId="Heading1Char">
    <w:name w:val="Heading 1 Char"/>
    <w:link w:val="Heading1"/>
    <w:rPr>
      <w:rFonts w:ascii="Cambria" w:eastAsia="Times New Roman" w:hAnsi="Cambria" w:cs="Times New Roman"/>
      <w:b/>
      <w:bCs/>
      <w:color w:val="365F91"/>
      <w:sz w:val="28"/>
      <w:szCs w:val="28"/>
      <w:lang w:eastAsia="en-GB"/>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Normal"/>
    <w:qFormat/>
    <w:pPr>
      <w:numPr>
        <w:numId w:val="4"/>
      </w:numPr>
      <w:tabs>
        <w:tab w:val="left" w:pos="907"/>
      </w:tabs>
      <w:spacing w:after="240"/>
      <w:jc w:val="both"/>
    </w:pPr>
    <w:rPr>
      <w:rFonts w:ascii="Verdana" w:hAnsi="Verdana"/>
      <w:b/>
      <w:color w:val="016794"/>
      <w:sz w:val="32"/>
      <w:szCs w:val="32"/>
    </w:r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lang w:eastAsia="en-US"/>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ind w:left="357" w:hanging="357"/>
    </w:pPr>
    <w:rPr>
      <w:rFonts w:ascii="Verdana" w:hAnsi="Verdana"/>
      <w: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lang w:eastAsia="en-US"/>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qFormat/>
    <w:pPr>
      <w:spacing w:after="100"/>
    </w:pPr>
    <w:rPr>
      <w:rFonts w:ascii="Verdana" w:hAnsi="Verdana"/>
      <w:color w:val="365F91" w:themeColor="accent1" w:themeShade="BF"/>
      <w:sz w:val="22"/>
    </w:rPr>
  </w:style>
  <w:style w:type="paragraph" w:styleId="TOC2">
    <w:name w:val="toc 2"/>
    <w:basedOn w:val="Normal"/>
    <w:next w:val="Normal"/>
    <w:autoRedefine/>
    <w:uiPriority w:val="39"/>
    <w:unhideWhenUsed/>
    <w:qFormat/>
    <w:pPr>
      <w:spacing w:after="100"/>
      <w:ind w:left="240"/>
    </w:pPr>
    <w:rPr>
      <w:rFonts w:ascii="Verdana" w:hAnsi="Verdana"/>
      <w:color w:val="808080" w:themeColor="background1" w:themeShade="80"/>
      <w:sz w:val="20"/>
    </w:rPr>
  </w:style>
  <w:style w:type="paragraph" w:customStyle="1" w:styleId="HEADER1PartBUDG">
    <w:name w:val="HEADER 1_Part BUDG"/>
    <w:basedOn w:val="HEADER1Part1"/>
    <w:qFormat/>
  </w:style>
  <w:style w:type="paragraph" w:customStyle="1" w:styleId="HEADER2PartBUDG">
    <w:name w:val="HEADER 2_Part BUDG"/>
    <w:basedOn w:val="HEADER2Part1"/>
    <w:qFormat/>
  </w:style>
  <w:style w:type="paragraph" w:customStyle="1" w:styleId="HEADER3PartBUGD">
    <w:name w:val="HEADER 3_Part BUGD"/>
    <w:basedOn w:val="HEADER3Part1"/>
    <w:qFormat/>
  </w:style>
  <w:style w:type="paragraph" w:customStyle="1" w:styleId="HEADER4PartBUDG">
    <w:name w:val="HEADER 4_Part BUDG"/>
    <w:basedOn w:val="HEADER4Part1"/>
    <w:qFormat/>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Times New Roman" w:hAnsi="Times New Roman"/>
    </w:rPr>
  </w:style>
  <w:style w:type="character" w:styleId="FootnoteReference">
    <w:name w:val="footnote reference"/>
    <w:basedOn w:val="DefaultParagraphFont"/>
    <w:uiPriority w:val="99"/>
    <w:semiHidden/>
    <w:unhideWhenUsed/>
    <w:rPr>
      <w:vertAlign w:val="superscript"/>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Default">
    <w:name w:val="Default"/>
    <w:pPr>
      <w:autoSpaceDE w:val="0"/>
      <w:autoSpaceDN w:val="0"/>
      <w:adjustRightInd w:val="0"/>
    </w:pPr>
    <w:rPr>
      <w:rFonts w:ascii="Arial" w:eastAsia="Calibri" w:hAnsi="Arial" w:cs="Arial"/>
      <w:color w:val="000000"/>
      <w:sz w:val="24"/>
      <w:szCs w:val="24"/>
      <w:lang w:eastAsia="en-US"/>
    </w:rPr>
  </w:style>
  <w:style w:type="paragraph" w:customStyle="1" w:styleId="DMETW18949BIPAGGBS">
    <w:name w:val="DM_ETW_18949_BIP_AGGBS"/>
    <w:rPr>
      <w:rFonts w:eastAsia="Calibri"/>
    </w:rPr>
  </w:style>
  <w:style w:type="paragraph" w:customStyle="1" w:styleId="DMETW18949BIPAGGPL">
    <w:name w:val="DM_ETW_18949_BIP_AGGPL"/>
    <w:rPr>
      <w:rFonts w:eastAsia="Calibri"/>
    </w:rPr>
  </w:style>
  <w:style w:type="paragraph" w:customStyle="1" w:styleId="DMETW18949BIPAGGCF">
    <w:name w:val="DM_ETW_18949_BIP_AGGCF"/>
    <w:rPr>
      <w:rFonts w:eastAsia="Calibri"/>
    </w:rPr>
  </w:style>
  <w:style w:type="paragraph" w:customStyle="1" w:styleId="DMETW18949BIPAGGNA">
    <w:name w:val="DM_ETW_18949_BIP_AGGNA"/>
    <w:rPr>
      <w:rFonts w:eastAsia="Calibri"/>
    </w:rPr>
  </w:style>
  <w:style w:type="paragraph" w:customStyle="1" w:styleId="DMETW18983BIPBSEDF">
    <w:name w:val="DM_ETW_18983_BIP_BSEDF"/>
    <w:rPr>
      <w:rFonts w:eastAsia="Calibri"/>
    </w:rPr>
  </w:style>
  <w:style w:type="paragraph" w:customStyle="1" w:styleId="DMETW18983BIPPLEDF">
    <w:name w:val="DM_ETW_18983_BIP_PLEDF"/>
    <w:rPr>
      <w:rFonts w:eastAsia="Calibri"/>
    </w:rPr>
  </w:style>
  <w:style w:type="paragraph" w:customStyle="1" w:styleId="DMETW18983BIPCNA8">
    <w:name w:val="DM_ETW_18983_BIP_CNA8"/>
    <w:rPr>
      <w:rFonts w:eastAsia="Calibri"/>
    </w:rPr>
  </w:style>
  <w:style w:type="paragraph" w:customStyle="1" w:styleId="DMETW18983BIPCNA9">
    <w:name w:val="DM_ETW_18983_BIP_CNA9"/>
    <w:rPr>
      <w:rFonts w:eastAsia="Calibri"/>
    </w:rPr>
  </w:style>
  <w:style w:type="paragraph" w:customStyle="1" w:styleId="DMETW18983BIPCNA10">
    <w:name w:val="DM_ETW_18983_BIP_CNA10"/>
    <w:rPr>
      <w:rFonts w:eastAsia="Calibri"/>
    </w:rPr>
  </w:style>
  <w:style w:type="paragraph" w:customStyle="1" w:styleId="DMETW18983BIPCNA11">
    <w:name w:val="DM_ETW_18983_BIP_CNA11"/>
    <w:rPr>
      <w:rFonts w:eastAsia="Calibri"/>
    </w:rPr>
  </w:style>
  <w:style w:type="paragraph" w:customStyle="1" w:styleId="DMETW17185BIPCURR">
    <w:name w:val="DM_ETW_17185_BIP_CURR"/>
    <w:rPr>
      <w:rFonts w:eastAsia="Calibri"/>
    </w:rPr>
  </w:style>
  <w:style w:type="paragraph" w:customStyle="1" w:styleId="DMETW17185BIPDRCAS">
    <w:name w:val="DM_ETW_17185_BIP_DR_CAS"/>
    <w:rPr>
      <w:rFonts w:eastAsia="Calibri"/>
    </w:rPr>
  </w:style>
  <w:style w:type="paragraph" w:customStyle="1" w:styleId="DGTextstand-alone">
    <w:name w:val="DG_Text_stand-alone"/>
    <w:link w:val="DGTextstand-aloneChar"/>
    <w:pPr>
      <w:spacing w:before="240" w:after="240"/>
      <w:jc w:val="both"/>
    </w:pPr>
    <w:rPr>
      <w:rFonts w:ascii="Verdana" w:eastAsia="Calibri" w:hAnsi="Verdana"/>
      <w:noProof/>
      <w:sz w:val="18"/>
      <w:szCs w:val="18"/>
      <w:lang w:eastAsia="en-US"/>
    </w:rPr>
  </w:style>
  <w:style w:type="character" w:customStyle="1" w:styleId="DGTextstand-aloneChar">
    <w:name w:val="DG_Text_stand-alone Char"/>
    <w:link w:val="DGTextstand-alone"/>
    <w:locked/>
    <w:rPr>
      <w:rFonts w:ascii="Verdana" w:eastAsia="Calibri" w:hAnsi="Verdana"/>
      <w:noProof/>
      <w:sz w:val="18"/>
      <w:szCs w:val="18"/>
      <w:lang w:eastAsia="en-US"/>
    </w:rPr>
  </w:style>
  <w:style w:type="paragraph" w:customStyle="1" w:styleId="DMETW18983BIPPF">
    <w:name w:val="DM_ETW_18983_BIP_PF"/>
    <w:rPr>
      <w:rFonts w:eastAsia="Calibri"/>
    </w:rPr>
  </w:style>
  <w:style w:type="paragraph" w:customStyle="1" w:styleId="DMETW18983BIPNCPFBMM">
    <w:name w:val="DM_ETW_18983_BIP_NCPF_BMM"/>
    <w:rPr>
      <w:rFonts w:eastAsia="Calibri"/>
    </w:rPr>
  </w:style>
  <w:style w:type="paragraph" w:customStyle="1" w:styleId="DMETW18983BIPCPF">
    <w:name w:val="DM_ETW_18983_BIP_CPF"/>
    <w:rPr>
      <w:rFonts w:eastAsia="Calibri"/>
    </w:rPr>
  </w:style>
  <w:style w:type="paragraph" w:customStyle="1" w:styleId="DMETW18983BIPTFCONTR">
    <w:name w:val="DM_ETW_18983_BIP_TFCONTR"/>
    <w:rPr>
      <w:rFonts w:eastAsia="Calibri"/>
    </w:rPr>
  </w:style>
  <w:style w:type="paragraph" w:customStyle="1" w:styleId="DMETW18983BIPERNER">
    <w:name w:val="DM_ETW_18983_BIP_ERNER"/>
    <w:rPr>
      <w:rFonts w:eastAsia="Calibri"/>
    </w:rPr>
  </w:style>
  <w:style w:type="paragraph" w:customStyle="1" w:styleId="DMETW18983BIPRNET">
    <w:name w:val="DM_ETW_18983_BIP_RNET"/>
    <w:rPr>
      <w:rFonts w:eastAsia="Calibri"/>
    </w:rPr>
  </w:style>
  <w:style w:type="paragraph" w:customStyle="1" w:styleId="DMETW18983BIPRET">
    <w:name w:val="DM_ETW_18983_BIP_RET"/>
    <w:rPr>
      <w:rFonts w:eastAsia="Calibri"/>
    </w:rPr>
  </w:style>
  <w:style w:type="paragraph" w:customStyle="1" w:styleId="Text8pNormalLeft">
    <w:name w:val="Text_8p_Normal_Left"/>
    <w:qFormat/>
    <w:pPr>
      <w:ind w:left="34"/>
    </w:pPr>
    <w:rPr>
      <w:rFonts w:ascii="Verdana" w:eastAsia="Calibri" w:hAnsi="Verdana"/>
      <w:bCs/>
      <w:sz w:val="16"/>
      <w:lang w:eastAsia="en-US"/>
    </w:rPr>
  </w:style>
  <w:style w:type="paragraph" w:customStyle="1" w:styleId="DMETW18983BIPCASH">
    <w:name w:val="DM_ETW_18983_BIP_CASH"/>
    <w:rPr>
      <w:rFonts w:eastAsia="Calibri"/>
    </w:rPr>
  </w:style>
  <w:style w:type="paragraph" w:customStyle="1" w:styleId="DMETW18983BIPCOFINPAY">
    <w:name w:val="DM_ETW_18983_BIP_COFINPAY"/>
    <w:rPr>
      <w:rFonts w:eastAsia="Calibri"/>
    </w:rPr>
  </w:style>
  <w:style w:type="paragraph" w:customStyle="1" w:styleId="DMETW18983BIPPAY">
    <w:name w:val="DM_ETW_18983_BIP_PAY"/>
    <w:rPr>
      <w:rFonts w:eastAsia="Calibri"/>
    </w:rPr>
  </w:style>
  <w:style w:type="paragraph" w:customStyle="1" w:styleId="DMETW18983BIPCURPAY">
    <w:name w:val="DM_ETW_18983_BIP_CURPAY"/>
    <w:rPr>
      <w:rFonts w:eastAsia="Calibri"/>
    </w:rPr>
  </w:style>
  <w:style w:type="paragraph" w:customStyle="1" w:styleId="DMETW18983BIPSUNPAY">
    <w:name w:val="DM_ETW_18983_BIP_SUNPAY"/>
    <w:rPr>
      <w:rFonts w:eastAsia="Calibri"/>
    </w:rPr>
  </w:style>
  <w:style w:type="paragraph" w:customStyle="1" w:styleId="DMETW18983BIPACCDEF">
    <w:name w:val="DM_ETW_18983_BIP_ACCDEF"/>
    <w:rPr>
      <w:rFonts w:eastAsia="Calibri"/>
    </w:rPr>
  </w:style>
  <w:style w:type="paragraph" w:customStyle="1" w:styleId="DMETW18983BIPFVMAFS">
    <w:name w:val="DM_ETW_18983_BIP_FVMAFS"/>
    <w:rPr>
      <w:rFonts w:eastAsia="Calibri"/>
    </w:rPr>
  </w:style>
  <w:style w:type="paragraph" w:customStyle="1" w:styleId="DMETW18983BIPCLDFCAP">
    <w:name w:val="DM_ETW_18983_BIP_CLDFCAP"/>
    <w:rPr>
      <w:rFonts w:eastAsia="Calibri"/>
    </w:rPr>
  </w:style>
  <w:style w:type="paragraph" w:customStyle="1" w:styleId="DMETW18983BIPCLDFCAPMS11">
    <w:name w:val="DM_ETW_18983_BIP_CLDFCAP_MS11"/>
    <w:rPr>
      <w:rFonts w:eastAsia="Calibri"/>
    </w:rPr>
  </w:style>
  <w:style w:type="paragraph" w:customStyle="1" w:styleId="DMETW18983BIPCLDFCAPTFTCLS">
    <w:name w:val="DM_ETW_18983_BIP_CLDFCAP_TFT_CLS"/>
    <w:rPr>
      <w:rFonts w:eastAsia="Calibri"/>
    </w:rPr>
  </w:style>
  <w:style w:type="paragraph" w:customStyle="1" w:styleId="DMETW18983BIPCLDFCAPTFTACT">
    <w:name w:val="DM_ETW_18983_BIP_CLDFCAP_TFT_ACT"/>
    <w:rPr>
      <w:rFonts w:eastAsia="Calibri"/>
    </w:rPr>
  </w:style>
  <w:style w:type="paragraph" w:customStyle="1" w:styleId="DMETW18983BIPREV">
    <w:name w:val="DM_ETW_18983_BIP_REV"/>
    <w:rPr>
      <w:rFonts w:eastAsia="Calibri"/>
    </w:rPr>
  </w:style>
  <w:style w:type="paragraph" w:customStyle="1" w:styleId="DMETW18983BIPNEXREV">
    <w:name w:val="DM_ETW_18983_BIP_NEXREV"/>
    <w:rPr>
      <w:rFonts w:eastAsia="Calibri"/>
    </w:rPr>
  </w:style>
  <w:style w:type="paragraph" w:customStyle="1" w:styleId="DMETW18983BIPNEXREVBMM">
    <w:name w:val="DM_ETW_18983_BIP_NEXREV_BMM"/>
    <w:rPr>
      <w:rFonts w:eastAsia="Calibri"/>
    </w:rPr>
  </w:style>
  <w:style w:type="paragraph" w:customStyle="1" w:styleId="DMETW18983BIPEXREV">
    <w:name w:val="DM_ETW_18983_BIP_EXREV"/>
    <w:rPr>
      <w:rFonts w:eastAsia="Calibri"/>
    </w:rPr>
  </w:style>
  <w:style w:type="paragraph" w:customStyle="1" w:styleId="DMETW18983BIPOPEAID">
    <w:name w:val="DM_ETW_18983_BIP_OPE_AID"/>
    <w:rPr>
      <w:rFonts w:eastAsia="Calibri"/>
    </w:rPr>
  </w:style>
  <w:style w:type="paragraph" w:customStyle="1" w:styleId="DMETW18983BIPOPECOFI">
    <w:name w:val="DM_ETW_18983_BIP_OPE_COFI"/>
    <w:rPr>
      <w:rFonts w:eastAsia="Calibri"/>
    </w:rPr>
  </w:style>
  <w:style w:type="paragraph" w:customStyle="1" w:styleId="DMETW18983BIPOPEBMM">
    <w:name w:val="DM_ETW_18983_BIP_OPE_BMM"/>
    <w:rPr>
      <w:rFonts w:eastAsia="Calibri"/>
    </w:rPr>
  </w:style>
  <w:style w:type="paragraph" w:customStyle="1" w:styleId="DMETW18983BIPFINCOST">
    <w:name w:val="DM_ETW_18983_BIP_FINCOST"/>
    <w:rPr>
      <w:rFonts w:eastAsia="Calibri"/>
    </w:rPr>
  </w:style>
  <w:style w:type="paragraph" w:customStyle="1" w:styleId="DMETW18983BIPOTHEXP">
    <w:name w:val="DM_ETW_18983_BIP_OTHEXP"/>
    <w:rPr>
      <w:rFonts w:eastAsia="Calibri"/>
    </w:rPr>
  </w:style>
  <w:style w:type="paragraph" w:customStyle="1" w:styleId="DMETW18983BIPCONTGASSTS">
    <w:name w:val="DM_ETW_18983_BIP_CONTGASSTS"/>
    <w:rPr>
      <w:rFonts w:eastAsia="Calibri"/>
    </w:rPr>
  </w:style>
  <w:style w:type="paragraph" w:customStyle="1" w:styleId="DMETW18983BIPOCNYE">
    <w:name w:val="DM_ETW_18983_BIP_OCNYE"/>
    <w:rPr>
      <w:rFonts w:eastAsia="Calibri"/>
    </w:rPr>
  </w:style>
  <w:style w:type="paragraph" w:customStyle="1" w:styleId="DMETW19001BIPCR">
    <w:name w:val="DM_ETW_19001_BIP_CR"/>
    <w:rPr>
      <w:rFonts w:eastAsia="Calibri"/>
    </w:rPr>
  </w:style>
  <w:style w:type="paragraph" w:customStyle="1" w:styleId="DMETW19001BIPCDTR">
    <w:name w:val="DM_ETW_19001_BIP_CDTR"/>
    <w:rPr>
      <w:rFonts w:eastAsia="Calibri"/>
    </w:rPr>
  </w:style>
  <w:style w:type="paragraph" w:customStyle="1" w:styleId="DMETW19001BIPFARC">
    <w:name w:val="DM_ETW_19001_BIP_FARC"/>
    <w:rPr>
      <w:rFonts w:eastAsia="Calibri"/>
    </w:rPr>
  </w:style>
  <w:style w:type="paragraph" w:customStyle="1" w:styleId="DMETW19001BIPLR">
    <w:name w:val="DM_ETW_19001_BIP_LR"/>
    <w:rPr>
      <w:rFonts w:eastAsia="Calibri"/>
    </w:rPr>
  </w:style>
  <w:style w:type="paragraph" w:customStyle="1" w:styleId="DMETW19001BIPECRBDGR">
    <w:name w:val="DM_ETW_19001_BIP_ECRBDGR"/>
    <w:rPr>
      <w:rFonts w:eastAsia="Calibri"/>
    </w:rPr>
  </w:style>
  <w:style w:type="paragraph" w:customStyle="1" w:styleId="DMETW18319BIPBS">
    <w:name w:val="DM_ETW_18319_BIP_BS"/>
    <w:rPr>
      <w:rFonts w:eastAsia="Calibri"/>
    </w:rPr>
  </w:style>
  <w:style w:type="paragraph" w:customStyle="1" w:styleId="DMETW18319BIPFP">
    <w:name w:val="DM_ETW_18319_BIP_FP"/>
    <w:rPr>
      <w:rFonts w:eastAsia="Calibri"/>
    </w:rPr>
  </w:style>
  <w:style w:type="paragraph" w:customStyle="1" w:styleId="DMETW18319BIPCF">
    <w:name w:val="DM_ETW_18319_BIP_CF"/>
    <w:rPr>
      <w:rFonts w:eastAsia="Calibri"/>
    </w:rPr>
  </w:style>
  <w:style w:type="paragraph" w:customStyle="1" w:styleId="DMETW17933BIPBS">
    <w:name w:val="DM_ETW_17933_BIP_BS"/>
    <w:rPr>
      <w:rFonts w:eastAsia="Calibri"/>
    </w:rPr>
  </w:style>
  <w:style w:type="paragraph" w:customStyle="1" w:styleId="DMETW17933BIPFP">
    <w:name w:val="DM_ETW_17933_BIP_FP"/>
    <w:rPr>
      <w:rFonts w:eastAsia="Calibri"/>
    </w:rPr>
  </w:style>
  <w:style w:type="paragraph" w:customStyle="1" w:styleId="DMETW17933BIPCF">
    <w:name w:val="DM_ETW_17933_BIP_CF"/>
    <w:rPr>
      <w:rFonts w:eastAsia="Calibri"/>
    </w:rPr>
  </w:style>
  <w:style w:type="paragraph" w:customStyle="1" w:styleId="DMETW18992BIPCONSBS">
    <w:name w:val="DM_ETW_18992_BIP_CONSBS"/>
    <w:rPr>
      <w:rFonts w:eastAsia="Calibri"/>
    </w:rPr>
  </w:style>
  <w:style w:type="paragraph" w:customStyle="1" w:styleId="DMETW18992BIPCONSPL">
    <w:name w:val="DM_ETW_18992_BIP_CONSPL"/>
    <w:rPr>
      <w:rFonts w:eastAsia="Calibri"/>
    </w:rPr>
  </w:style>
  <w:style w:type="paragraph" w:customStyle="1" w:styleId="DMETW18992BIPCONSCF">
    <w:name w:val="DM_ETW_18992_BIP_CONSCF"/>
    <w:rPr>
      <w:rFonts w:eastAsia="Calibri"/>
    </w:rPr>
  </w:style>
  <w:style w:type="paragraph" w:customStyle="1" w:styleId="DMETW18992BIPCONSNA">
    <w:name w:val="DM_ETW_18992_BIP_CONSNA"/>
    <w:rPr>
      <w:rFonts w:eastAsia="Calibri"/>
    </w:rPr>
  </w:style>
  <w:style w:type="paragraph" w:customStyle="1" w:styleId="HEADERTITLE0">
    <w:name w:val="HEADER_TITLE_0"/>
    <w:basedOn w:val="HEADERTITLE"/>
    <w:qFormat/>
    <w:pPr>
      <w:jc w:val="both"/>
    </w:pPr>
  </w:style>
  <w:style w:type="paragraph" w:customStyle="1" w:styleId="ListBullet1">
    <w:name w:val="List Bullet 1"/>
    <w:basedOn w:val="Normal"/>
    <w:pPr>
      <w:numPr>
        <w:numId w:val="21"/>
      </w:numPr>
      <w:spacing w:before="120" w:after="120"/>
      <w:jc w:val="both"/>
    </w:pPr>
    <w:rPr>
      <w:lang w:eastAsia="de-DE"/>
    </w:rPr>
  </w:style>
  <w:style w:type="paragraph" w:customStyle="1" w:styleId="Text9pBoldLeft">
    <w:name w:val="Text_9p_Bold_Left"/>
    <w:qFormat/>
    <w:pPr>
      <w:pBdr>
        <w:top w:val="nil"/>
        <w:left w:val="nil"/>
        <w:bottom w:val="nil"/>
        <w:right w:val="nil"/>
        <w:between w:val="nil"/>
        <w:bar w:val="nil"/>
      </w:pBdr>
    </w:pPr>
    <w:rPr>
      <w:rFonts w:ascii="Verdana" w:eastAsia="Calibri" w:hAnsi="Verdana"/>
      <w:b/>
      <w:noProof/>
      <w:sz w:val="18"/>
      <w:szCs w:val="18"/>
      <w:bdr w:val="nil"/>
      <w:lang w:eastAsia="en-US"/>
    </w:rPr>
  </w:style>
  <w:style w:type="paragraph" w:customStyle="1" w:styleId="ListDash">
    <w:name w:val="List Dash"/>
    <w:basedOn w:val="Normal"/>
    <w:pPr>
      <w:numPr>
        <w:numId w:val="23"/>
      </w:numPr>
      <w:spacing w:before="120" w:after="120"/>
      <w:jc w:val="both"/>
    </w:pPr>
    <w:rPr>
      <w:lang w:eastAsia="de-DE"/>
    </w:rPr>
  </w:style>
  <w:style w:type="paragraph" w:customStyle="1" w:styleId="DMETW19004BIPTable11">
    <w:name w:val="DM_ETW_19004_BIP_Table1.1"/>
    <w:rPr>
      <w:rFonts w:eastAsia="Calibri"/>
    </w:rPr>
  </w:style>
  <w:style w:type="paragraph" w:customStyle="1" w:styleId="DMETW19004BIPTable12">
    <w:name w:val="DM_ETW_19004_BIP_Table_1.2"/>
    <w:rPr>
      <w:rFonts w:eastAsia="Calibri"/>
    </w:rPr>
  </w:style>
  <w:style w:type="paragraph" w:customStyle="1" w:styleId="DMETW19004BIPTable13">
    <w:name w:val="DM_ETW_19004_BIP_Table_1.3"/>
    <w:rPr>
      <w:rFonts w:eastAsia="Calibri"/>
    </w:rPr>
  </w:style>
  <w:style w:type="paragraph" w:customStyle="1" w:styleId="DMETW19004BIPTable14">
    <w:name w:val="DM_ETW_19004_BIP_Table_1.4"/>
    <w:rPr>
      <w:rFonts w:eastAsia="Calibri"/>
    </w:rPr>
  </w:style>
  <w:style w:type="paragraph" w:customStyle="1" w:styleId="DMETW19004BIPTable21a">
    <w:name w:val="DM_ETW_19004_BIP_Table_2.1a"/>
    <w:rPr>
      <w:rFonts w:eastAsia="Calibri"/>
    </w:rPr>
  </w:style>
  <w:style w:type="paragraph" w:customStyle="1" w:styleId="DMETW19004BIPTable21b">
    <w:name w:val="DM_ETW_19004_BIP_Table_2.1b"/>
    <w:rPr>
      <w:rFonts w:eastAsia="Calibri"/>
    </w:rPr>
  </w:style>
  <w:style w:type="paragraph" w:customStyle="1" w:styleId="DMETW19004BIPTable22">
    <w:name w:val="DM_ETW_19004_BIP_Table_2.2"/>
    <w:rPr>
      <w:rFonts w:eastAsia="Calibri"/>
    </w:rPr>
  </w:style>
  <w:style w:type="paragraph" w:customStyle="1" w:styleId="DMETW19004BIPTable23">
    <w:name w:val="DM_ETW_19004_BIP_Table_2.3"/>
    <w:rPr>
      <w:rFonts w:eastAsia="Calibri"/>
    </w:rPr>
  </w:style>
  <w:style w:type="paragraph" w:customStyle="1" w:styleId="DMETW19004BIPTable24">
    <w:name w:val="DM_ETW_19004_BIP_Table_2.4"/>
    <w:rPr>
      <w:rFonts w:eastAsia="Calibri"/>
    </w:rPr>
  </w:style>
  <w:style w:type="paragraph" w:customStyle="1" w:styleId="DMETW19004BIPTable25">
    <w:name w:val="DM_ETW_19004_BIP_Table_2.5"/>
    <w:rPr>
      <w:rFonts w:eastAsia="Calibri"/>
    </w:rPr>
  </w:style>
  <w:style w:type="paragraph" w:customStyle="1" w:styleId="DMETW19004BIPTable26">
    <w:name w:val="DM_ETW_19004_BIP_Table_2.6"/>
    <w:rPr>
      <w:rFonts w:eastAsia="Calibri"/>
    </w:rPr>
  </w:style>
  <w:style w:type="paragraph" w:customStyle="1" w:styleId="Normal20">
    <w:name w:val="Normal_2_0"/>
    <w:qFormat/>
    <w:rPr>
      <w:rFonts w:ascii="Times New Roman" w:hAnsi="Times New Roman"/>
    </w:rPr>
  </w:style>
  <w:style w:type="paragraph" w:customStyle="1" w:styleId="Header10">
    <w:name w:val="Header_1_0"/>
    <w:basedOn w:val="Normal20"/>
    <w:link w:val="HeaderChar10"/>
    <w:uiPriority w:val="99"/>
    <w:unhideWhenUsed/>
    <w:pPr>
      <w:tabs>
        <w:tab w:val="center" w:pos="4680"/>
        <w:tab w:val="right" w:pos="9360"/>
      </w:tabs>
    </w:pPr>
    <w:rPr>
      <w:rFonts w:ascii="Calibri" w:eastAsia="Calibri" w:hAnsi="Calibri" w:cs="Arial"/>
      <w:lang w:eastAsia="en-US"/>
    </w:rPr>
  </w:style>
  <w:style w:type="character" w:customStyle="1" w:styleId="HeaderChar10">
    <w:name w:val="Header Char_1_0"/>
    <w:basedOn w:val="DefaultParagraphFont"/>
    <w:link w:val="Header10"/>
    <w:uiPriority w:val="99"/>
    <w:rPr>
      <w:rFonts w:eastAsia="Calibri" w:cs="Arial"/>
      <w:lang w:val="lt-LT" w:eastAsia="en-US"/>
    </w:rPr>
  </w:style>
  <w:style w:type="paragraph" w:customStyle="1" w:styleId="Normal41">
    <w:name w:val="Normal_4_1"/>
    <w:qFormat/>
    <w:rPr>
      <w:rFonts w:eastAsia="Calibri" w:cs="Arial"/>
      <w:lang w:eastAsia="en-US"/>
    </w:rPr>
  </w:style>
  <w:style w:type="paragraph" w:customStyle="1" w:styleId="Normal76">
    <w:name w:val="Normal_76"/>
    <w:qFormat/>
    <w:rPr>
      <w:rFonts w:ascii="Times New Roman" w:hAnsi="Times New Roman"/>
      <w:sz w:val="24"/>
      <w:szCs w:val="24"/>
    </w:rPr>
  </w:style>
  <w:style w:type="paragraph" w:customStyle="1" w:styleId="Normal0">
    <w:name w:val="Normal_0"/>
    <w:qFormat/>
    <w:pPr>
      <w:suppressAutoHyphens/>
    </w:pPr>
    <w:rPr>
      <w:rFonts w:ascii="Times New Roman" w:hAnsi="Times New Roman"/>
      <w:sz w:val="24"/>
      <w:szCs w:val="24"/>
      <w:lang w:eastAsia="ar-SA"/>
    </w:rPr>
  </w:style>
  <w:style w:type="paragraph" w:customStyle="1" w:styleId="Textstand-alonenumberingLetters0">
    <w:name w:val="Text_stand-alone_(numbering Letters)_0"/>
    <w:basedOn w:val="Normal"/>
    <w:qFormat/>
    <w:pPr>
      <w:numPr>
        <w:numId w:val="25"/>
      </w:numPr>
      <w:spacing w:after="240"/>
    </w:pPr>
    <w:rPr>
      <w:rFonts w:ascii="Verdana" w:hAnsi="Verdana"/>
      <w:sz w:val="18"/>
      <w:szCs w:val="18"/>
    </w:rPr>
  </w:style>
  <w:style w:type="paragraph" w:customStyle="1" w:styleId="Normal8">
    <w:name w:val="Normal_8"/>
    <w:qFormat/>
    <w:pPr>
      <w:suppressAutoHyphens/>
    </w:pPr>
    <w:rPr>
      <w:rFonts w:ascii="Times New Roman" w:hAnsi="Times New Roman"/>
      <w:sz w:val="24"/>
      <w:szCs w:val="24"/>
      <w:lang w:eastAsia="ar-SA"/>
    </w:rPr>
  </w:style>
  <w:style w:type="table" w:customStyle="1" w:styleId="CDMRange1">
    <w:name w:val="CDM Range 1"/>
    <w:basedOn w:val="TableNormal"/>
    <w:next w:val="TableNormal"/>
    <w:semiHidden/>
    <w:rPr>
      <w:rFonts w:ascii="Times New Roman" w:hAnsi="Times New Roman"/>
    </w:rPr>
    <w:tblPr/>
  </w:style>
  <w:style w:type="paragraph" w:customStyle="1" w:styleId="Normal73">
    <w:name w:val="Normal_73"/>
    <w:qFormat/>
    <w:rPr>
      <w:rFonts w:ascii="Times New Roman" w:hAnsi="Times New Roman"/>
      <w:sz w:val="24"/>
      <w:szCs w:val="24"/>
    </w:rPr>
  </w:style>
  <w:style w:type="table" w:customStyle="1" w:styleId="CDMRange2">
    <w:name w:val="CDM Range 2"/>
    <w:basedOn w:val="TableNormal"/>
    <w:next w:val="TableNormal"/>
    <w:semiHidden/>
    <w:rPr>
      <w:rFonts w:ascii="Times New Roman" w:hAnsi="Times New Roman"/>
    </w:rPr>
    <w:tblPr/>
  </w:style>
  <w:style w:type="paragraph" w:customStyle="1" w:styleId="Normal74">
    <w:name w:val="Normal_74"/>
    <w:qFormat/>
    <w:rPr>
      <w:rFonts w:ascii="Times New Roman" w:hAnsi="Times New Roman"/>
      <w:sz w:val="24"/>
      <w:szCs w:val="24"/>
    </w:rPr>
  </w:style>
  <w:style w:type="table" w:customStyle="1" w:styleId="CDMRange10">
    <w:name w:val="CDM Range 1_0"/>
    <w:basedOn w:val="TableNormal"/>
    <w:next w:val="TableNormal"/>
    <w:semiHidden/>
    <w:rPr>
      <w:rFonts w:ascii="Times New Roman" w:hAnsi="Times New Roman"/>
    </w:rPr>
    <w:tblPr/>
  </w:style>
  <w:style w:type="paragraph" w:customStyle="1" w:styleId="Normal75">
    <w:name w:val="Normal_75"/>
    <w:qFormat/>
    <w:rPr>
      <w:rFonts w:ascii="Times New Roman" w:hAnsi="Times New Roman"/>
      <w:sz w:val="24"/>
      <w:szCs w:val="24"/>
    </w:rPr>
  </w:style>
  <w:style w:type="table" w:customStyle="1" w:styleId="CDMRange20">
    <w:name w:val="CDM Range 2_0"/>
    <w:basedOn w:val="TableNormal"/>
    <w:next w:val="TableNormal"/>
    <w:semiHidden/>
    <w:rPr>
      <w:rFonts w:ascii="Times New Roman" w:hAnsi="Times New Roman"/>
    </w:rPr>
    <w:tblPr/>
  </w:style>
  <w:style w:type="paragraph" w:customStyle="1" w:styleId="Header0">
    <w:name w:val="Header_0"/>
    <w:basedOn w:val="Normal0"/>
    <w:link w:val="HeaderChar0"/>
    <w:uiPriority w:val="99"/>
    <w:pPr>
      <w:tabs>
        <w:tab w:val="center" w:pos="4153"/>
        <w:tab w:val="right" w:pos="8306"/>
      </w:tabs>
    </w:pPr>
  </w:style>
  <w:style w:type="character" w:customStyle="1" w:styleId="HeaderChar0">
    <w:name w:val="Header Char_0"/>
    <w:link w:val="Header0"/>
    <w:uiPriority w:val="99"/>
    <w:rPr>
      <w:rFonts w:ascii="Times New Roman" w:hAnsi="Times New Roman"/>
      <w:sz w:val="24"/>
      <w:szCs w:val="24"/>
      <w:lang w:eastAsia="ar-SA"/>
    </w:rPr>
  </w:style>
  <w:style w:type="paragraph" w:customStyle="1" w:styleId="Notes0">
    <w:name w:val="Notes_0"/>
    <w:basedOn w:val="Header0"/>
    <w:link w:val="NotesChar0"/>
    <w:pPr>
      <w:numPr>
        <w:numId w:val="2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0">
    <w:name w:val="Title 1.1_0"/>
    <w:basedOn w:val="Notes0"/>
    <w:pPr>
      <w:numPr>
        <w:ilvl w:val="1"/>
      </w:numPr>
      <w:tabs>
        <w:tab w:val="clear" w:pos="4320"/>
        <w:tab w:val="clear" w:pos="8640"/>
        <w:tab w:val="right" w:pos="-2700"/>
        <w:tab w:val="right" w:pos="720"/>
      </w:tabs>
      <w:spacing w:before="0" w:after="0"/>
    </w:pPr>
    <w:rPr>
      <w:b w:val="0"/>
    </w:rPr>
  </w:style>
  <w:style w:type="character" w:customStyle="1" w:styleId="NotesChar0">
    <w:name w:val="Notes Char_0"/>
    <w:link w:val="Notes0"/>
    <w:rPr>
      <w:rFonts w:ascii="Arial" w:hAnsi="Arial"/>
      <w:b/>
      <w:szCs w:val="24"/>
      <w:lang w:val="lt-LT" w:eastAsia="ar-SA"/>
    </w:rPr>
  </w:style>
  <w:style w:type="paragraph" w:customStyle="1" w:styleId="Title10">
    <w:name w:val="Title 1_0"/>
    <w:basedOn w:val="Notes0"/>
    <w:pPr>
      <w:spacing w:before="0" w:after="0"/>
    </w:pPr>
  </w:style>
  <w:style w:type="paragraph" w:customStyle="1" w:styleId="Normal3">
    <w:name w:val="Normal_3"/>
    <w:qFormat/>
    <w:pPr>
      <w:suppressAutoHyphens/>
    </w:pPr>
    <w:rPr>
      <w:rFonts w:ascii="Times New Roman" w:hAnsi="Times New Roman"/>
      <w:sz w:val="24"/>
      <w:szCs w:val="24"/>
      <w:lang w:eastAsia="ar-SA"/>
    </w:rPr>
  </w:style>
  <w:style w:type="paragraph" w:customStyle="1" w:styleId="Header2">
    <w:name w:val="Header_2"/>
    <w:basedOn w:val="Normal3"/>
    <w:link w:val="HeaderChar2"/>
    <w:pPr>
      <w:tabs>
        <w:tab w:val="center" w:pos="4153"/>
        <w:tab w:val="right" w:pos="8306"/>
      </w:tabs>
    </w:pPr>
  </w:style>
  <w:style w:type="character" w:customStyle="1" w:styleId="HeaderChar2">
    <w:name w:val="Header Char_2"/>
    <w:link w:val="Header2"/>
    <w:rPr>
      <w:rFonts w:ascii="Times New Roman" w:hAnsi="Times New Roman"/>
      <w:sz w:val="24"/>
      <w:szCs w:val="24"/>
      <w:lang w:eastAsia="ar-SA"/>
    </w:rPr>
  </w:style>
  <w:style w:type="paragraph" w:customStyle="1" w:styleId="Notes2">
    <w:name w:val="Notes_2"/>
    <w:basedOn w:val="Header2"/>
    <w:link w:val="NotesChar2"/>
    <w:pPr>
      <w:numPr>
        <w:numId w:val="2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
    <w:name w:val="Title 1.1_2"/>
    <w:basedOn w:val="Notes2"/>
    <w:pPr>
      <w:numPr>
        <w:ilvl w:val="1"/>
      </w:numPr>
      <w:tabs>
        <w:tab w:val="clear" w:pos="4320"/>
        <w:tab w:val="clear" w:pos="8640"/>
        <w:tab w:val="right" w:pos="-2700"/>
        <w:tab w:val="right" w:pos="720"/>
      </w:tabs>
      <w:spacing w:before="0" w:after="0"/>
    </w:pPr>
    <w:rPr>
      <w:b w:val="0"/>
      <w:szCs w:val="20"/>
    </w:rPr>
  </w:style>
  <w:style w:type="character" w:customStyle="1" w:styleId="NotesChar2">
    <w:name w:val="Notes Char_2"/>
    <w:link w:val="Notes2"/>
    <w:rPr>
      <w:rFonts w:ascii="Arial" w:hAnsi="Arial"/>
      <w:b/>
      <w:szCs w:val="24"/>
      <w:lang w:val="lt-LT" w:eastAsia="ar-SA"/>
    </w:rPr>
  </w:style>
  <w:style w:type="paragraph" w:customStyle="1" w:styleId="Normal2">
    <w:name w:val="Normal_2"/>
    <w:qFormat/>
    <w:pPr>
      <w:suppressAutoHyphens/>
    </w:pPr>
    <w:rPr>
      <w:rFonts w:ascii="Times New Roman" w:hAnsi="Times New Roman"/>
      <w:sz w:val="24"/>
      <w:szCs w:val="24"/>
      <w:lang w:eastAsia="ar-SA"/>
    </w:rPr>
  </w:style>
  <w:style w:type="paragraph" w:customStyle="1" w:styleId="Header1">
    <w:name w:val="Header_1"/>
    <w:basedOn w:val="Normal2"/>
    <w:link w:val="HeaderChar1"/>
    <w:uiPriority w:val="99"/>
    <w:pPr>
      <w:tabs>
        <w:tab w:val="center" w:pos="4153"/>
        <w:tab w:val="right" w:pos="8306"/>
      </w:tabs>
    </w:pPr>
  </w:style>
  <w:style w:type="character" w:customStyle="1" w:styleId="HeaderChar1">
    <w:name w:val="Header Char_1"/>
    <w:link w:val="Header1"/>
    <w:uiPriority w:val="99"/>
    <w:rPr>
      <w:rFonts w:ascii="Times New Roman" w:hAnsi="Times New Roman"/>
      <w:sz w:val="24"/>
      <w:szCs w:val="24"/>
      <w:lang w:eastAsia="ar-SA"/>
    </w:rPr>
  </w:style>
  <w:style w:type="paragraph" w:customStyle="1" w:styleId="Notes1">
    <w:name w:val="Notes_1"/>
    <w:basedOn w:val="Header1"/>
    <w:link w:val="NotesChar1"/>
    <w:pPr>
      <w:numPr>
        <w:numId w:val="3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
    <w:name w:val="Title 1.1_1"/>
    <w:basedOn w:val="Notes1"/>
    <w:pPr>
      <w:numPr>
        <w:ilvl w:val="1"/>
      </w:numPr>
      <w:tabs>
        <w:tab w:val="clear" w:pos="4320"/>
        <w:tab w:val="clear" w:pos="8640"/>
        <w:tab w:val="right" w:pos="-2700"/>
        <w:tab w:val="right" w:pos="720"/>
      </w:tabs>
      <w:spacing w:before="0" w:after="0"/>
    </w:pPr>
    <w:rPr>
      <w:b w:val="0"/>
      <w:szCs w:val="20"/>
    </w:rPr>
  </w:style>
  <w:style w:type="character" w:customStyle="1" w:styleId="NotesChar1">
    <w:name w:val="Notes Char_1"/>
    <w:link w:val="Notes1"/>
    <w:locked/>
    <w:rPr>
      <w:rFonts w:ascii="Arial" w:hAnsi="Arial"/>
      <w:b/>
      <w:szCs w:val="24"/>
      <w:lang w:val="lt-LT" w:eastAsia="ar-SA"/>
    </w:rPr>
  </w:style>
  <w:style w:type="paragraph" w:customStyle="1" w:styleId="Title116">
    <w:name w:val="Title 1_1"/>
    <w:basedOn w:val="Notes1"/>
    <w:pPr>
      <w:spacing w:before="0" w:after="0"/>
    </w:pPr>
  </w:style>
  <w:style w:type="paragraph" w:customStyle="1" w:styleId="Normal77">
    <w:name w:val="Normal_77"/>
    <w:qFormat/>
    <w:rPr>
      <w:rFonts w:ascii="Times New Roman" w:hAnsi="Times New Roman"/>
      <w:sz w:val="24"/>
      <w:szCs w:val="24"/>
    </w:rPr>
  </w:style>
  <w:style w:type="paragraph" w:customStyle="1" w:styleId="NotesText0">
    <w:name w:val="Notes Text_0"/>
    <w:basedOn w:val="Normal2"/>
    <w:pPr>
      <w:spacing w:after="60" w:line="180" w:lineRule="atLeast"/>
      <w:jc w:val="both"/>
    </w:pPr>
    <w:rPr>
      <w:rFonts w:ascii="Arial" w:hAnsi="Arial" w:cs="Arial"/>
      <w:sz w:val="15"/>
      <w:szCs w:val="15"/>
    </w:rPr>
  </w:style>
  <w:style w:type="paragraph" w:customStyle="1" w:styleId="Normal90">
    <w:name w:val="Normal_9_0"/>
    <w:qFormat/>
    <w:pPr>
      <w:suppressAutoHyphens/>
    </w:pPr>
    <w:rPr>
      <w:rFonts w:ascii="Times New Roman" w:hAnsi="Times New Roman"/>
      <w:sz w:val="24"/>
      <w:szCs w:val="24"/>
      <w:lang w:eastAsia="ar-SA"/>
    </w:rPr>
  </w:style>
  <w:style w:type="paragraph" w:customStyle="1" w:styleId="Normal100">
    <w:name w:val="Normal_1_0_0"/>
    <w:qFormat/>
    <w:pPr>
      <w:spacing w:line="190" w:lineRule="atLeast"/>
      <w:jc w:val="both"/>
    </w:pPr>
    <w:rPr>
      <w:rFonts w:ascii="Arial" w:hAnsi="Arial"/>
      <w:sz w:val="15"/>
      <w:szCs w:val="24"/>
    </w:rPr>
  </w:style>
  <w:style w:type="paragraph" w:customStyle="1" w:styleId="Normal900">
    <w:name w:val="Normal_9_0_0"/>
    <w:qFormat/>
    <w:pPr>
      <w:spacing w:line="190" w:lineRule="atLeast"/>
      <w:jc w:val="both"/>
    </w:pPr>
    <w:rPr>
      <w:rFonts w:ascii="Arial" w:hAnsi="Arial"/>
      <w:sz w:val="15"/>
      <w:szCs w:val="24"/>
    </w:rPr>
  </w:style>
  <w:style w:type="paragraph" w:customStyle="1" w:styleId="Normal400">
    <w:name w:val="Normal_4_0_0"/>
    <w:qFormat/>
    <w:rPr>
      <w:rFonts w:eastAsia="Calibri" w:cs="Arial"/>
      <w:lang w:eastAsia="en-US"/>
    </w:rPr>
  </w:style>
  <w:style w:type="paragraph" w:customStyle="1" w:styleId="Normal901">
    <w:name w:val="Normal_9_0_1"/>
    <w:qFormat/>
    <w:pPr>
      <w:suppressAutoHyphens/>
    </w:pPr>
    <w:rPr>
      <w:rFonts w:ascii="Times New Roman" w:hAnsi="Times New Roman"/>
      <w:sz w:val="24"/>
      <w:szCs w:val="24"/>
      <w:lang w:eastAsia="ar-SA"/>
    </w:rPr>
  </w:style>
  <w:style w:type="paragraph" w:customStyle="1" w:styleId="Title1110">
    <w:name w:val="Title 1.1.1_0"/>
    <w:basedOn w:val="Notes1"/>
    <w:link w:val="Title111Char0"/>
    <w:pPr>
      <w:numPr>
        <w:ilvl w:val="2"/>
        <w:numId w:val="39"/>
      </w:numPr>
      <w:tabs>
        <w:tab w:val="clear" w:pos="4320"/>
        <w:tab w:val="clear" w:pos="8640"/>
        <w:tab w:val="right" w:pos="-2700"/>
      </w:tabs>
      <w:spacing w:before="0" w:after="0"/>
    </w:pPr>
    <w:rPr>
      <w:b w:val="0"/>
      <w:szCs w:val="20"/>
    </w:rPr>
  </w:style>
  <w:style w:type="character" w:customStyle="1" w:styleId="Title111Char0">
    <w:name w:val="Title 1.1.1 Char_0"/>
    <w:link w:val="Title1110"/>
    <w:rPr>
      <w:rFonts w:ascii="Arial" w:hAnsi="Arial"/>
      <w:lang w:eastAsia="ar-SA"/>
    </w:rPr>
  </w:style>
  <w:style w:type="paragraph" w:customStyle="1" w:styleId="Normal910">
    <w:name w:val="Normal_9_1_0"/>
    <w:qFormat/>
    <w:pPr>
      <w:spacing w:line="190" w:lineRule="atLeast"/>
      <w:jc w:val="both"/>
    </w:pPr>
    <w:rPr>
      <w:rFonts w:ascii="Arial" w:hAnsi="Arial"/>
      <w:sz w:val="15"/>
      <w:szCs w:val="24"/>
    </w:rPr>
  </w:style>
  <w:style w:type="paragraph" w:customStyle="1" w:styleId="Normal1000">
    <w:name w:val="Normal_10_0"/>
    <w:qFormat/>
    <w:pPr>
      <w:suppressAutoHyphens/>
    </w:pPr>
    <w:rPr>
      <w:rFonts w:ascii="Times New Roman" w:hAnsi="Times New Roman"/>
      <w:sz w:val="24"/>
      <w:szCs w:val="24"/>
      <w:lang w:eastAsia="ar-SA"/>
    </w:rPr>
  </w:style>
  <w:style w:type="paragraph" w:customStyle="1" w:styleId="Notes10">
    <w:name w:val="Notes_1_0"/>
    <w:basedOn w:val="Normal77"/>
    <w:link w:val="NotesChar10"/>
    <w:pPr>
      <w:numPr>
        <w:numId w:val="45"/>
      </w:numPr>
      <w:tabs>
        <w:tab w:val="center" w:pos="4320"/>
        <w:tab w:val="right" w:pos="8640"/>
      </w:tabs>
      <w:spacing w:before="120" w:after="120"/>
      <w:jc w:val="both"/>
    </w:pPr>
    <w:rPr>
      <w:rFonts w:ascii="Arial" w:hAnsi="Arial"/>
      <w:b/>
      <w:sz w:val="20"/>
    </w:rPr>
  </w:style>
  <w:style w:type="character" w:customStyle="1" w:styleId="NotesChar10">
    <w:name w:val="Notes Char_1_0"/>
    <w:link w:val="Notes10"/>
    <w:locked/>
    <w:rPr>
      <w:rFonts w:ascii="Arial" w:hAnsi="Arial"/>
      <w:b/>
      <w:szCs w:val="24"/>
      <w:lang w:val="lt-LT"/>
    </w:rPr>
  </w:style>
  <w:style w:type="paragraph" w:customStyle="1" w:styleId="ListParagraph0">
    <w:name w:val="List Paragraph_0"/>
    <w:basedOn w:val="Normal2"/>
    <w:uiPriority w:val="34"/>
    <w:qFormat/>
    <w:pPr>
      <w:ind w:left="720"/>
      <w:contextualSpacing/>
    </w:pPr>
  </w:style>
  <w:style w:type="paragraph" w:customStyle="1" w:styleId="Normal160">
    <w:name w:val="Normal_16_0"/>
    <w:qFormat/>
    <w:rPr>
      <w:rFonts w:ascii="Times New Roman" w:hAnsi="Times New Roman"/>
      <w:sz w:val="24"/>
      <w:szCs w:val="24"/>
    </w:rPr>
  </w:style>
  <w:style w:type="paragraph" w:customStyle="1" w:styleId="Default0">
    <w:name w:val="Default_0"/>
    <w:pPr>
      <w:autoSpaceDE w:val="0"/>
      <w:autoSpaceDN w:val="0"/>
      <w:adjustRightInd w:val="0"/>
    </w:pPr>
    <w:rPr>
      <w:rFonts w:ascii="Arial" w:eastAsia="Calibri" w:hAnsi="Arial" w:cs="Arial"/>
      <w:color w:val="000000"/>
      <w:sz w:val="24"/>
      <w:szCs w:val="24"/>
      <w:lang w:eastAsia="en-US"/>
    </w:rPr>
  </w:style>
  <w:style w:type="paragraph" w:customStyle="1" w:styleId="xx0">
    <w:name w:val="xx_0"/>
    <w:basedOn w:val="Normal2"/>
    <w:pPr>
      <w:jc w:val="both"/>
    </w:pPr>
    <w:rPr>
      <w:rFonts w:ascii="Univers (WN)" w:hAnsi="Univers (WN)"/>
      <w:sz w:val="20"/>
      <w:szCs w:val="20"/>
    </w:rPr>
  </w:style>
  <w:style w:type="paragraph" w:customStyle="1" w:styleId="Normal6">
    <w:name w:val="Normal_6"/>
    <w:qFormat/>
    <w:pPr>
      <w:suppressAutoHyphens/>
    </w:pPr>
    <w:rPr>
      <w:rFonts w:ascii="Times New Roman" w:hAnsi="Times New Roman"/>
      <w:sz w:val="24"/>
      <w:szCs w:val="24"/>
      <w:lang w:eastAsia="ar-SA"/>
    </w:rPr>
  </w:style>
  <w:style w:type="paragraph" w:customStyle="1" w:styleId="Header50">
    <w:name w:val="Header_5"/>
    <w:basedOn w:val="Normal6"/>
    <w:link w:val="HeaderChar5"/>
    <w:uiPriority w:val="99"/>
    <w:pPr>
      <w:tabs>
        <w:tab w:val="center" w:pos="4153"/>
        <w:tab w:val="right" w:pos="8306"/>
      </w:tabs>
    </w:pPr>
  </w:style>
  <w:style w:type="character" w:customStyle="1" w:styleId="HeaderChar5">
    <w:name w:val="Header Char_5"/>
    <w:link w:val="Header50"/>
    <w:uiPriority w:val="99"/>
    <w:rPr>
      <w:rFonts w:ascii="Times New Roman" w:hAnsi="Times New Roman"/>
      <w:sz w:val="24"/>
      <w:szCs w:val="24"/>
      <w:lang w:eastAsia="ar-SA"/>
    </w:rPr>
  </w:style>
  <w:style w:type="paragraph" w:customStyle="1" w:styleId="Notes5">
    <w:name w:val="Notes_5"/>
    <w:basedOn w:val="Header50"/>
    <w:link w:val="NotesChar5"/>
    <w:pPr>
      <w:numPr>
        <w:numId w:val="5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5">
    <w:name w:val="Title 1.1_5"/>
    <w:basedOn w:val="Notes5"/>
    <w:pPr>
      <w:numPr>
        <w:ilvl w:val="1"/>
      </w:numPr>
      <w:tabs>
        <w:tab w:val="clear" w:pos="4320"/>
        <w:tab w:val="clear" w:pos="8640"/>
        <w:tab w:val="right" w:pos="-2700"/>
        <w:tab w:val="right" w:pos="720"/>
      </w:tabs>
      <w:spacing w:before="0" w:after="0"/>
    </w:pPr>
    <w:rPr>
      <w:b w:val="0"/>
      <w:szCs w:val="20"/>
    </w:rPr>
  </w:style>
  <w:style w:type="character" w:customStyle="1" w:styleId="NotesChar5">
    <w:name w:val="Notes Char_5"/>
    <w:link w:val="Notes5"/>
    <w:rPr>
      <w:rFonts w:ascii="Arial" w:hAnsi="Arial"/>
      <w:b/>
      <w:szCs w:val="24"/>
      <w:lang w:val="lt-LT" w:eastAsia="ar-SA"/>
    </w:rPr>
  </w:style>
  <w:style w:type="paragraph" w:customStyle="1" w:styleId="Title12">
    <w:name w:val="Title 1_2"/>
    <w:basedOn w:val="Notes2"/>
    <w:pPr>
      <w:spacing w:before="0" w:after="0"/>
    </w:pPr>
  </w:style>
  <w:style w:type="paragraph" w:customStyle="1" w:styleId="Normal78">
    <w:name w:val="Normal_78"/>
    <w:qFormat/>
    <w:rPr>
      <w:rFonts w:ascii="Times New Roman" w:hAnsi="Times New Roman"/>
      <w:sz w:val="24"/>
      <w:szCs w:val="24"/>
    </w:rPr>
  </w:style>
  <w:style w:type="paragraph" w:customStyle="1" w:styleId="Normal79">
    <w:name w:val="Normal_79"/>
    <w:qFormat/>
    <w:rPr>
      <w:rFonts w:ascii="Times New Roman" w:hAnsi="Times New Roman"/>
      <w:sz w:val="24"/>
      <w:szCs w:val="24"/>
    </w:rPr>
  </w:style>
  <w:style w:type="paragraph" w:customStyle="1" w:styleId="Title321">
    <w:name w:val="Title 3.2.1."/>
    <w:basedOn w:val="Notes5"/>
    <w:pPr>
      <w:numPr>
        <w:ilvl w:val="2"/>
        <w:numId w:val="59"/>
      </w:numPr>
      <w:tabs>
        <w:tab w:val="clear" w:pos="4320"/>
        <w:tab w:val="clear" w:pos="8640"/>
        <w:tab w:val="right" w:pos="-2700"/>
      </w:tabs>
      <w:spacing w:before="240"/>
    </w:pPr>
    <w:rPr>
      <w:szCs w:val="20"/>
    </w:rPr>
  </w:style>
  <w:style w:type="paragraph" w:customStyle="1" w:styleId="Normal9">
    <w:name w:val="Normal_9"/>
    <w:qFormat/>
    <w:pPr>
      <w:suppressAutoHyphens/>
    </w:pPr>
    <w:rPr>
      <w:rFonts w:ascii="Times New Roman" w:hAnsi="Times New Roman"/>
      <w:sz w:val="24"/>
      <w:szCs w:val="24"/>
      <w:lang w:eastAsia="ar-SA"/>
    </w:rPr>
  </w:style>
  <w:style w:type="paragraph" w:customStyle="1" w:styleId="Header7">
    <w:name w:val="Header_7"/>
    <w:basedOn w:val="Normal9"/>
    <w:link w:val="HeaderChar7"/>
    <w:pPr>
      <w:tabs>
        <w:tab w:val="center" w:pos="4153"/>
        <w:tab w:val="right" w:pos="8306"/>
      </w:tabs>
    </w:pPr>
  </w:style>
  <w:style w:type="character" w:customStyle="1" w:styleId="HeaderChar7">
    <w:name w:val="Header Char_7"/>
    <w:link w:val="Header7"/>
    <w:rPr>
      <w:rFonts w:ascii="Times New Roman" w:hAnsi="Times New Roman"/>
      <w:sz w:val="24"/>
      <w:szCs w:val="24"/>
      <w:lang w:eastAsia="ar-SA"/>
    </w:rPr>
  </w:style>
  <w:style w:type="paragraph" w:customStyle="1" w:styleId="Notes7">
    <w:name w:val="Notes_7"/>
    <w:basedOn w:val="Header7"/>
    <w:link w:val="NotesChar7"/>
    <w:pPr>
      <w:numPr>
        <w:numId w:val="6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7">
    <w:name w:val="Title 1.1_7"/>
    <w:basedOn w:val="Notes7"/>
    <w:pPr>
      <w:numPr>
        <w:ilvl w:val="1"/>
      </w:numPr>
      <w:tabs>
        <w:tab w:val="clear" w:pos="4320"/>
        <w:tab w:val="clear" w:pos="8640"/>
        <w:tab w:val="right" w:pos="-2700"/>
        <w:tab w:val="right" w:pos="720"/>
      </w:tabs>
      <w:spacing w:before="0" w:after="0"/>
    </w:pPr>
    <w:rPr>
      <w:b w:val="0"/>
      <w:szCs w:val="20"/>
    </w:rPr>
  </w:style>
  <w:style w:type="character" w:customStyle="1" w:styleId="NotesChar7">
    <w:name w:val="Notes Char_7"/>
    <w:link w:val="Notes7"/>
    <w:rPr>
      <w:rFonts w:ascii="Arial" w:hAnsi="Arial"/>
      <w:b/>
      <w:szCs w:val="24"/>
      <w:lang w:val="lt-LT" w:eastAsia="ar-SA"/>
    </w:rPr>
  </w:style>
  <w:style w:type="paragraph" w:customStyle="1" w:styleId="Normal80">
    <w:name w:val="Normal_80"/>
    <w:qFormat/>
    <w:rPr>
      <w:rFonts w:ascii="Times New Roman" w:hAnsi="Times New Roman"/>
      <w:sz w:val="24"/>
      <w:szCs w:val="24"/>
    </w:rPr>
  </w:style>
  <w:style w:type="paragraph" w:customStyle="1" w:styleId="Normal81">
    <w:name w:val="Normal_81"/>
    <w:qFormat/>
    <w:rPr>
      <w:rFonts w:ascii="Times New Roman" w:hAnsi="Times New Roman"/>
      <w:sz w:val="24"/>
      <w:szCs w:val="24"/>
    </w:rPr>
  </w:style>
  <w:style w:type="table" w:customStyle="1" w:styleId="CDMRange11">
    <w:name w:val="CDM Range 1_1"/>
    <w:basedOn w:val="TableNormal"/>
    <w:next w:val="TableNormal"/>
    <w:semiHidden/>
    <w:rPr>
      <w:rFonts w:ascii="Times New Roman" w:hAnsi="Times New Roman"/>
    </w:rPr>
    <w:tblPr/>
  </w:style>
  <w:style w:type="paragraph" w:customStyle="1" w:styleId="Normal10">
    <w:name w:val="Normal_10"/>
    <w:qFormat/>
    <w:pPr>
      <w:suppressAutoHyphens/>
    </w:pPr>
    <w:rPr>
      <w:rFonts w:ascii="Times New Roman" w:hAnsi="Times New Roman"/>
      <w:sz w:val="24"/>
      <w:szCs w:val="24"/>
      <w:lang w:eastAsia="ar-SA"/>
    </w:rPr>
  </w:style>
  <w:style w:type="paragraph" w:customStyle="1" w:styleId="Header8">
    <w:name w:val="Header_8"/>
    <w:basedOn w:val="Normal10"/>
    <w:link w:val="HeaderChar8"/>
    <w:pPr>
      <w:tabs>
        <w:tab w:val="center" w:pos="4153"/>
        <w:tab w:val="right" w:pos="8306"/>
      </w:tabs>
    </w:pPr>
  </w:style>
  <w:style w:type="character" w:customStyle="1" w:styleId="HeaderChar8">
    <w:name w:val="Header Char_8"/>
    <w:link w:val="Header8"/>
    <w:rPr>
      <w:rFonts w:ascii="Times New Roman" w:hAnsi="Times New Roman"/>
      <w:sz w:val="24"/>
      <w:szCs w:val="24"/>
      <w:lang w:eastAsia="ar-SA"/>
    </w:rPr>
  </w:style>
  <w:style w:type="paragraph" w:customStyle="1" w:styleId="Notes8">
    <w:name w:val="Notes_8"/>
    <w:basedOn w:val="Header8"/>
    <w:link w:val="NotesChar8"/>
    <w:pPr>
      <w:numPr>
        <w:numId w:val="6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8">
    <w:name w:val="Title 1.1_8"/>
    <w:basedOn w:val="Notes8"/>
    <w:pPr>
      <w:numPr>
        <w:ilvl w:val="1"/>
      </w:numPr>
      <w:tabs>
        <w:tab w:val="clear" w:pos="4320"/>
        <w:tab w:val="clear" w:pos="8640"/>
        <w:tab w:val="right" w:pos="-2700"/>
        <w:tab w:val="right" w:pos="720"/>
      </w:tabs>
      <w:spacing w:before="0" w:after="0"/>
    </w:pPr>
    <w:rPr>
      <w:b w:val="0"/>
    </w:rPr>
  </w:style>
  <w:style w:type="character" w:customStyle="1" w:styleId="NotesChar8">
    <w:name w:val="Notes Char_8"/>
    <w:link w:val="Notes8"/>
    <w:rPr>
      <w:rFonts w:ascii="Arial" w:hAnsi="Arial"/>
      <w:b/>
      <w:szCs w:val="24"/>
      <w:lang w:val="lt-LT" w:eastAsia="ar-SA"/>
    </w:rPr>
  </w:style>
  <w:style w:type="paragraph" w:customStyle="1" w:styleId="Normal82">
    <w:name w:val="Normal_82"/>
    <w:qFormat/>
    <w:rPr>
      <w:rFonts w:ascii="Times New Roman" w:hAnsi="Times New Roman"/>
      <w:sz w:val="24"/>
      <w:szCs w:val="24"/>
    </w:rPr>
  </w:style>
  <w:style w:type="paragraph" w:customStyle="1" w:styleId="FootnoteText0">
    <w:name w:val="Footnote Text_0"/>
    <w:basedOn w:val="Normal82"/>
    <w:link w:val="FootnoteTextChar0"/>
    <w:unhideWhenUsed/>
    <w:rPr>
      <w:sz w:val="20"/>
      <w:szCs w:val="20"/>
    </w:rPr>
  </w:style>
  <w:style w:type="character" w:customStyle="1" w:styleId="FootnoteTextChar0">
    <w:name w:val="Footnote Text Char_0"/>
    <w:basedOn w:val="DefaultParagraphFont"/>
    <w:link w:val="FootnoteText0"/>
    <w:rPr>
      <w:rFonts w:ascii="Times New Roman" w:hAnsi="Times New Roman"/>
      <w:lang w:eastAsia="ar-SA"/>
    </w:rPr>
  </w:style>
  <w:style w:type="paragraph" w:customStyle="1" w:styleId="Listi0">
    <w:name w:val="List i)_0"/>
    <w:basedOn w:val="Normal6"/>
    <w:next w:val="Normal6"/>
    <w:pPr>
      <w:keepNext/>
      <w:numPr>
        <w:numId w:val="64"/>
      </w:numPr>
      <w:tabs>
        <w:tab w:val="clear" w:pos="1080"/>
        <w:tab w:val="num" w:pos="180"/>
      </w:tabs>
      <w:suppressAutoHyphens w:val="0"/>
      <w:autoSpaceDE w:val="0"/>
      <w:autoSpaceDN w:val="0"/>
      <w:adjustRightInd w:val="0"/>
      <w:spacing w:after="80" w:line="190" w:lineRule="atLeast"/>
      <w:jc w:val="both"/>
    </w:pPr>
    <w:rPr>
      <w:rFonts w:ascii="Arial" w:hAnsi="Arial"/>
      <w:noProof/>
      <w:sz w:val="15"/>
      <w:szCs w:val="20"/>
      <w:lang w:eastAsia="en-GB"/>
    </w:rPr>
  </w:style>
  <w:style w:type="paragraph" w:customStyle="1" w:styleId="Normal25">
    <w:name w:val="Normal_25"/>
    <w:qFormat/>
    <w:pPr>
      <w:suppressAutoHyphens/>
    </w:pPr>
    <w:rPr>
      <w:rFonts w:ascii="Times New Roman" w:hAnsi="Times New Roman"/>
      <w:sz w:val="24"/>
      <w:szCs w:val="24"/>
      <w:lang w:eastAsia="ar-SA"/>
    </w:rPr>
  </w:style>
  <w:style w:type="paragraph" w:customStyle="1" w:styleId="ListParagraph2">
    <w:name w:val="List Paragraph_2"/>
    <w:basedOn w:val="Normal25"/>
    <w:uiPriority w:val="34"/>
    <w:qFormat/>
    <w:pPr>
      <w:ind w:left="720"/>
      <w:contextualSpacing/>
    </w:pPr>
  </w:style>
  <w:style w:type="paragraph" w:customStyle="1" w:styleId="Normal140">
    <w:name w:val="Normal_14_0"/>
    <w:qFormat/>
    <w:pPr>
      <w:suppressAutoHyphens/>
    </w:pPr>
    <w:rPr>
      <w:rFonts w:ascii="Times New Roman" w:hAnsi="Times New Roman"/>
      <w:sz w:val="24"/>
      <w:szCs w:val="24"/>
      <w:lang w:eastAsia="ar-SA"/>
    </w:rPr>
  </w:style>
  <w:style w:type="paragraph" w:customStyle="1" w:styleId="Normal850">
    <w:name w:val="Normal_85_0"/>
    <w:qFormat/>
    <w:pPr>
      <w:spacing w:line="190" w:lineRule="atLeast"/>
      <w:jc w:val="both"/>
    </w:pPr>
    <w:rPr>
      <w:rFonts w:ascii="Arial" w:hAnsi="Arial"/>
      <w:sz w:val="15"/>
      <w:szCs w:val="24"/>
    </w:rPr>
  </w:style>
  <w:style w:type="paragraph" w:customStyle="1" w:styleId="Normal21">
    <w:name w:val="Normal_21"/>
    <w:qFormat/>
    <w:pPr>
      <w:suppressAutoHyphens/>
    </w:pPr>
    <w:rPr>
      <w:rFonts w:ascii="Times New Roman" w:hAnsi="Times New Roman"/>
      <w:sz w:val="24"/>
      <w:szCs w:val="24"/>
      <w:lang w:eastAsia="ar-SA"/>
    </w:rPr>
  </w:style>
  <w:style w:type="paragraph" w:customStyle="1" w:styleId="Notes40">
    <w:name w:val="Notes_4_0"/>
    <w:basedOn w:val="Normal21"/>
    <w:link w:val="NotesChar40"/>
    <w:pPr>
      <w:tabs>
        <w:tab w:val="num" w:pos="720"/>
        <w:tab w:val="center" w:pos="4320"/>
        <w:tab w:val="right" w:pos="8640"/>
      </w:tabs>
      <w:spacing w:before="120" w:after="120"/>
      <w:ind w:left="720" w:hanging="360"/>
      <w:jc w:val="both"/>
    </w:pPr>
    <w:rPr>
      <w:rFonts w:ascii="Arial" w:hAnsi="Arial" w:cs="Arial"/>
      <w:b/>
      <w:sz w:val="20"/>
    </w:rPr>
  </w:style>
  <w:style w:type="character" w:customStyle="1" w:styleId="NotesChar40">
    <w:name w:val="Notes Char_4_0"/>
    <w:link w:val="Notes40"/>
    <w:locked/>
    <w:rPr>
      <w:rFonts w:ascii="Arial" w:hAnsi="Arial" w:cs="Arial"/>
      <w:b/>
      <w:szCs w:val="24"/>
      <w:lang w:val="lt-LT" w:eastAsia="ar-SA"/>
    </w:rPr>
  </w:style>
  <w:style w:type="paragraph" w:customStyle="1" w:styleId="Normal11">
    <w:name w:val="Normal_11"/>
    <w:qFormat/>
    <w:pPr>
      <w:suppressAutoHyphens/>
    </w:pPr>
    <w:rPr>
      <w:rFonts w:ascii="Times New Roman" w:hAnsi="Times New Roman"/>
      <w:sz w:val="24"/>
      <w:szCs w:val="24"/>
      <w:lang w:eastAsia="ar-SA"/>
    </w:rPr>
  </w:style>
  <w:style w:type="paragraph" w:customStyle="1" w:styleId="Header9">
    <w:name w:val="Header_9"/>
    <w:basedOn w:val="Normal11"/>
    <w:link w:val="HeaderChar9"/>
    <w:pPr>
      <w:tabs>
        <w:tab w:val="center" w:pos="4153"/>
        <w:tab w:val="right" w:pos="8306"/>
      </w:tabs>
    </w:pPr>
  </w:style>
  <w:style w:type="character" w:customStyle="1" w:styleId="HeaderChar9">
    <w:name w:val="Header Char_9"/>
    <w:link w:val="Header9"/>
    <w:rPr>
      <w:rFonts w:ascii="Times New Roman" w:hAnsi="Times New Roman"/>
      <w:sz w:val="24"/>
      <w:szCs w:val="24"/>
      <w:lang w:eastAsia="ar-SA"/>
    </w:rPr>
  </w:style>
  <w:style w:type="paragraph" w:customStyle="1" w:styleId="Notes9">
    <w:name w:val="Notes_9"/>
    <w:basedOn w:val="Header9"/>
    <w:link w:val="NotesChar9"/>
    <w:pPr>
      <w:numPr>
        <w:numId w:val="6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9">
    <w:name w:val="Title 1.1_9"/>
    <w:basedOn w:val="Notes9"/>
    <w:pPr>
      <w:numPr>
        <w:ilvl w:val="1"/>
      </w:numPr>
      <w:tabs>
        <w:tab w:val="clear" w:pos="4320"/>
        <w:tab w:val="clear" w:pos="8640"/>
        <w:tab w:val="right" w:pos="-2700"/>
        <w:tab w:val="right" w:pos="720"/>
      </w:tabs>
      <w:spacing w:before="0" w:after="0"/>
    </w:pPr>
    <w:rPr>
      <w:b w:val="0"/>
      <w:szCs w:val="20"/>
    </w:rPr>
  </w:style>
  <w:style w:type="character" w:customStyle="1" w:styleId="NotesChar9">
    <w:name w:val="Notes Char_9"/>
    <w:link w:val="Notes9"/>
    <w:rPr>
      <w:rFonts w:ascii="Arial" w:hAnsi="Arial"/>
      <w:b/>
      <w:szCs w:val="24"/>
      <w:lang w:val="lt-LT" w:eastAsia="ar-SA"/>
    </w:rPr>
  </w:style>
  <w:style w:type="paragraph" w:customStyle="1" w:styleId="Normal84">
    <w:name w:val="Normal_84"/>
    <w:qFormat/>
    <w:rPr>
      <w:rFonts w:ascii="Times New Roman" w:hAnsi="Times New Roman"/>
      <w:sz w:val="24"/>
      <w:szCs w:val="24"/>
    </w:rPr>
  </w:style>
  <w:style w:type="table" w:customStyle="1" w:styleId="CDMRange21">
    <w:name w:val="CDM Range 2_1"/>
    <w:basedOn w:val="TableNormal"/>
    <w:next w:val="TableNormal"/>
    <w:semiHidden/>
    <w:rPr>
      <w:rFonts w:ascii="Times New Roman" w:hAnsi="Times New Roman"/>
    </w:rPr>
    <w:tblPr/>
  </w:style>
  <w:style w:type="paragraph" w:customStyle="1" w:styleId="Normal12">
    <w:name w:val="Normal_12"/>
    <w:qFormat/>
    <w:pPr>
      <w:suppressAutoHyphens/>
    </w:pPr>
    <w:rPr>
      <w:rFonts w:ascii="Times New Roman" w:hAnsi="Times New Roman"/>
      <w:sz w:val="24"/>
      <w:szCs w:val="24"/>
      <w:lang w:eastAsia="ar-SA"/>
    </w:rPr>
  </w:style>
  <w:style w:type="paragraph" w:customStyle="1" w:styleId="Header100">
    <w:name w:val="Header_10"/>
    <w:basedOn w:val="Normal12"/>
    <w:link w:val="HeaderChar100"/>
    <w:pPr>
      <w:tabs>
        <w:tab w:val="center" w:pos="4153"/>
        <w:tab w:val="right" w:pos="8306"/>
      </w:tabs>
    </w:pPr>
  </w:style>
  <w:style w:type="character" w:customStyle="1" w:styleId="HeaderChar100">
    <w:name w:val="Header Char_10"/>
    <w:link w:val="Header100"/>
    <w:rPr>
      <w:rFonts w:ascii="Times New Roman" w:hAnsi="Times New Roman"/>
      <w:sz w:val="24"/>
      <w:szCs w:val="24"/>
      <w:lang w:eastAsia="ar-SA"/>
    </w:rPr>
  </w:style>
  <w:style w:type="paragraph" w:customStyle="1" w:styleId="Notes100">
    <w:name w:val="Notes_10"/>
    <w:basedOn w:val="Header100"/>
    <w:link w:val="NotesChar100"/>
    <w:pPr>
      <w:numPr>
        <w:numId w:val="68"/>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00">
    <w:name w:val="Title 1.1_10"/>
    <w:basedOn w:val="Notes100"/>
    <w:pPr>
      <w:numPr>
        <w:ilvl w:val="1"/>
      </w:numPr>
      <w:tabs>
        <w:tab w:val="clear" w:pos="4320"/>
        <w:tab w:val="clear" w:pos="8640"/>
        <w:tab w:val="right" w:pos="-2700"/>
        <w:tab w:val="right" w:pos="720"/>
      </w:tabs>
      <w:spacing w:before="0" w:after="0"/>
    </w:pPr>
    <w:rPr>
      <w:b w:val="0"/>
      <w:szCs w:val="20"/>
    </w:rPr>
  </w:style>
  <w:style w:type="character" w:customStyle="1" w:styleId="NotesChar100">
    <w:name w:val="Notes Char_10"/>
    <w:link w:val="Notes100"/>
    <w:rPr>
      <w:rFonts w:ascii="Arial" w:hAnsi="Arial"/>
      <w:b/>
      <w:szCs w:val="24"/>
      <w:lang w:val="lt-LT" w:eastAsia="ar-SA"/>
    </w:rPr>
  </w:style>
  <w:style w:type="paragraph" w:customStyle="1" w:styleId="Normal87">
    <w:name w:val="Normal_87"/>
    <w:qFormat/>
    <w:rPr>
      <w:rFonts w:ascii="Times New Roman" w:hAnsi="Times New Roman"/>
      <w:sz w:val="24"/>
      <w:szCs w:val="24"/>
    </w:rPr>
  </w:style>
  <w:style w:type="table" w:customStyle="1" w:styleId="CDMRange12">
    <w:name w:val="CDM Range 1_2"/>
    <w:basedOn w:val="TableNormal"/>
    <w:next w:val="TableNormal"/>
    <w:semiHidden/>
    <w:rPr>
      <w:rFonts w:ascii="Times New Roman" w:hAnsi="Times New Roman"/>
    </w:rPr>
    <w:tblPr/>
  </w:style>
  <w:style w:type="paragraph" w:customStyle="1" w:styleId="Normal13">
    <w:name w:val="Normal_13"/>
    <w:qFormat/>
    <w:pPr>
      <w:suppressAutoHyphens/>
    </w:pPr>
    <w:rPr>
      <w:rFonts w:ascii="Times New Roman" w:hAnsi="Times New Roman"/>
      <w:sz w:val="24"/>
      <w:szCs w:val="24"/>
      <w:lang w:eastAsia="ar-SA"/>
    </w:rPr>
  </w:style>
  <w:style w:type="paragraph" w:customStyle="1" w:styleId="Header11">
    <w:name w:val="Header_11"/>
    <w:basedOn w:val="Normal13"/>
    <w:link w:val="HeaderChar11"/>
    <w:pPr>
      <w:tabs>
        <w:tab w:val="center" w:pos="4153"/>
        <w:tab w:val="right" w:pos="8306"/>
      </w:tabs>
    </w:pPr>
  </w:style>
  <w:style w:type="character" w:customStyle="1" w:styleId="HeaderChar11">
    <w:name w:val="Header Char_11"/>
    <w:link w:val="Header11"/>
    <w:rPr>
      <w:rFonts w:ascii="Times New Roman" w:hAnsi="Times New Roman"/>
      <w:sz w:val="24"/>
      <w:szCs w:val="24"/>
      <w:lang w:eastAsia="ar-SA"/>
    </w:rPr>
  </w:style>
  <w:style w:type="paragraph" w:customStyle="1" w:styleId="Notes11">
    <w:name w:val="Notes_11"/>
    <w:basedOn w:val="Header11"/>
    <w:link w:val="NotesChar11"/>
    <w:pPr>
      <w:numPr>
        <w:numId w:val="7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1">
    <w:name w:val="Title 1.1_11"/>
    <w:basedOn w:val="Notes11"/>
    <w:pPr>
      <w:numPr>
        <w:ilvl w:val="1"/>
      </w:numPr>
      <w:tabs>
        <w:tab w:val="clear" w:pos="4320"/>
        <w:tab w:val="clear" w:pos="8640"/>
        <w:tab w:val="right" w:pos="-2700"/>
        <w:tab w:val="right" w:pos="720"/>
      </w:tabs>
      <w:spacing w:before="0" w:after="0"/>
    </w:pPr>
    <w:rPr>
      <w:b w:val="0"/>
      <w:szCs w:val="20"/>
    </w:rPr>
  </w:style>
  <w:style w:type="character" w:customStyle="1" w:styleId="NotesChar11">
    <w:name w:val="Notes Char_11"/>
    <w:link w:val="Notes11"/>
    <w:rPr>
      <w:rFonts w:ascii="Arial" w:hAnsi="Arial"/>
      <w:b/>
      <w:szCs w:val="24"/>
      <w:lang w:val="lt-LT" w:eastAsia="ar-SA"/>
    </w:rPr>
  </w:style>
  <w:style w:type="paragraph" w:customStyle="1" w:styleId="Normal89">
    <w:name w:val="Normal_89"/>
    <w:qFormat/>
    <w:rPr>
      <w:rFonts w:ascii="Times New Roman" w:hAnsi="Times New Roman"/>
      <w:sz w:val="24"/>
      <w:szCs w:val="24"/>
    </w:rPr>
  </w:style>
  <w:style w:type="table" w:customStyle="1" w:styleId="CDMRange22">
    <w:name w:val="CDM Range 2_2"/>
    <w:basedOn w:val="TableNormal"/>
    <w:next w:val="TableNormal"/>
    <w:semiHidden/>
    <w:rPr>
      <w:rFonts w:ascii="Times New Roman" w:hAnsi="Times New Roman"/>
    </w:rPr>
    <w:tblPr/>
  </w:style>
  <w:style w:type="paragraph" w:customStyle="1" w:styleId="Normal14">
    <w:name w:val="Normal_14"/>
    <w:qFormat/>
    <w:pPr>
      <w:suppressAutoHyphens/>
    </w:pPr>
    <w:rPr>
      <w:rFonts w:ascii="Times New Roman" w:hAnsi="Times New Roman"/>
      <w:sz w:val="24"/>
      <w:szCs w:val="24"/>
      <w:lang w:eastAsia="ar-SA"/>
    </w:rPr>
  </w:style>
  <w:style w:type="paragraph" w:customStyle="1" w:styleId="Header12">
    <w:name w:val="Header_12"/>
    <w:basedOn w:val="Normal14"/>
    <w:link w:val="HeaderChar12"/>
    <w:pPr>
      <w:tabs>
        <w:tab w:val="center" w:pos="4153"/>
        <w:tab w:val="right" w:pos="8306"/>
      </w:tabs>
    </w:pPr>
  </w:style>
  <w:style w:type="character" w:customStyle="1" w:styleId="HeaderChar12">
    <w:name w:val="Header Char_12"/>
    <w:link w:val="Header12"/>
    <w:rPr>
      <w:rFonts w:ascii="Times New Roman" w:hAnsi="Times New Roman"/>
      <w:sz w:val="24"/>
      <w:szCs w:val="24"/>
      <w:lang w:eastAsia="ar-SA"/>
    </w:rPr>
  </w:style>
  <w:style w:type="paragraph" w:customStyle="1" w:styleId="Notes12">
    <w:name w:val="Notes_12"/>
    <w:basedOn w:val="Header12"/>
    <w:link w:val="NotesChar12"/>
    <w:pPr>
      <w:numPr>
        <w:numId w:val="7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2">
    <w:name w:val="Title 1.1_12"/>
    <w:basedOn w:val="Notes12"/>
    <w:pPr>
      <w:numPr>
        <w:ilvl w:val="1"/>
      </w:numPr>
      <w:tabs>
        <w:tab w:val="clear" w:pos="4320"/>
        <w:tab w:val="clear" w:pos="8640"/>
        <w:tab w:val="right" w:pos="720"/>
      </w:tabs>
      <w:spacing w:before="0" w:after="0"/>
    </w:pPr>
    <w:rPr>
      <w:b w:val="0"/>
    </w:rPr>
  </w:style>
  <w:style w:type="character" w:customStyle="1" w:styleId="NotesChar12">
    <w:name w:val="Notes Char_12"/>
    <w:link w:val="Notes12"/>
    <w:rPr>
      <w:rFonts w:ascii="Arial" w:hAnsi="Arial"/>
      <w:b/>
      <w:szCs w:val="24"/>
      <w:lang w:val="lt-LT" w:eastAsia="ar-SA"/>
    </w:rPr>
  </w:style>
  <w:style w:type="paragraph" w:customStyle="1" w:styleId="Normal902">
    <w:name w:val="Normal_90"/>
    <w:qFormat/>
    <w:rPr>
      <w:rFonts w:ascii="Times New Roman" w:hAnsi="Times New Roman"/>
      <w:sz w:val="24"/>
      <w:szCs w:val="24"/>
    </w:rPr>
  </w:style>
  <w:style w:type="paragraph" w:customStyle="1" w:styleId="Normal91">
    <w:name w:val="Normal_91"/>
    <w:qFormat/>
    <w:rPr>
      <w:rFonts w:ascii="Times New Roman" w:hAnsi="Times New Roman"/>
      <w:sz w:val="24"/>
      <w:szCs w:val="24"/>
    </w:rPr>
  </w:style>
  <w:style w:type="table" w:customStyle="1" w:styleId="CDMRange13">
    <w:name w:val="CDM Range 1_3"/>
    <w:basedOn w:val="TableNormal"/>
    <w:next w:val="TableNormal"/>
    <w:semiHidden/>
    <w:rPr>
      <w:rFonts w:ascii="Times New Roman" w:hAnsi="Times New Roman"/>
    </w:rPr>
    <w:tblPr/>
  </w:style>
  <w:style w:type="paragraph" w:customStyle="1" w:styleId="Normal92">
    <w:name w:val="Normal_92"/>
    <w:qFormat/>
    <w:rPr>
      <w:rFonts w:eastAsia="Calibri" w:cs="Arial"/>
      <w:lang w:eastAsia="en-US"/>
    </w:rPr>
  </w:style>
  <w:style w:type="table" w:customStyle="1" w:styleId="CDMRange23">
    <w:name w:val="CDM Range 2_3"/>
    <w:basedOn w:val="TableNormal"/>
    <w:next w:val="TableNormal"/>
    <w:semiHidden/>
    <w:rPr>
      <w:rFonts w:ascii="Times New Roman" w:hAnsi="Times New Roman"/>
    </w:rPr>
    <w:tblPr/>
  </w:style>
  <w:style w:type="paragraph" w:customStyle="1" w:styleId="Normal93">
    <w:name w:val="Normal_93"/>
    <w:qFormat/>
    <w:rPr>
      <w:rFonts w:ascii="Times New Roman" w:hAnsi="Times New Roman"/>
      <w:sz w:val="24"/>
      <w:szCs w:val="24"/>
    </w:rPr>
  </w:style>
  <w:style w:type="paragraph" w:styleId="ListParagraph">
    <w:name w:val="List Paragraph"/>
    <w:basedOn w:val="Normal"/>
    <w:uiPriority w:val="34"/>
    <w:qFormat/>
    <w:pPr>
      <w:suppressAutoHyphens/>
      <w:ind w:left="720"/>
      <w:contextualSpacing/>
    </w:pPr>
    <w:rPr>
      <w:lang w:eastAsia="ar-SA"/>
    </w:rPr>
  </w:style>
  <w:style w:type="table" w:customStyle="1" w:styleId="CDMRange14">
    <w:name w:val="CDM Range 1_4"/>
    <w:basedOn w:val="TableNormal"/>
    <w:next w:val="TableNormal"/>
    <w:semiHidden/>
    <w:rPr>
      <w:rFonts w:ascii="Times New Roman" w:hAnsi="Times New Roman"/>
    </w:rPr>
    <w:tblPr/>
  </w:style>
  <w:style w:type="paragraph" w:customStyle="1" w:styleId="Normal15">
    <w:name w:val="Normal_15"/>
    <w:qFormat/>
    <w:pPr>
      <w:suppressAutoHyphens/>
    </w:pPr>
    <w:rPr>
      <w:rFonts w:ascii="Times New Roman" w:hAnsi="Times New Roman"/>
      <w:sz w:val="24"/>
      <w:szCs w:val="24"/>
      <w:lang w:eastAsia="ar-SA"/>
    </w:rPr>
  </w:style>
  <w:style w:type="paragraph" w:customStyle="1" w:styleId="Header13">
    <w:name w:val="Header_13"/>
    <w:basedOn w:val="Normal15"/>
    <w:link w:val="HeaderChar13"/>
    <w:pPr>
      <w:tabs>
        <w:tab w:val="center" w:pos="4153"/>
        <w:tab w:val="right" w:pos="8306"/>
      </w:tabs>
    </w:pPr>
  </w:style>
  <w:style w:type="character" w:customStyle="1" w:styleId="HeaderChar13">
    <w:name w:val="Header Char_13"/>
    <w:link w:val="Header13"/>
    <w:rPr>
      <w:rFonts w:ascii="Times New Roman" w:hAnsi="Times New Roman"/>
      <w:sz w:val="24"/>
      <w:szCs w:val="24"/>
      <w:lang w:eastAsia="ar-SA"/>
    </w:rPr>
  </w:style>
  <w:style w:type="paragraph" w:customStyle="1" w:styleId="Notes13">
    <w:name w:val="Notes_13"/>
    <w:basedOn w:val="Header13"/>
    <w:link w:val="NotesChar13"/>
    <w:pPr>
      <w:numPr>
        <w:numId w:val="7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3">
    <w:name w:val="Title 1.1_13"/>
    <w:basedOn w:val="Notes13"/>
    <w:pPr>
      <w:numPr>
        <w:ilvl w:val="1"/>
      </w:numPr>
      <w:tabs>
        <w:tab w:val="clear" w:pos="4320"/>
        <w:tab w:val="clear" w:pos="8640"/>
        <w:tab w:val="right" w:pos="-2700"/>
        <w:tab w:val="right" w:pos="720"/>
      </w:tabs>
      <w:spacing w:before="0" w:after="0"/>
    </w:pPr>
    <w:rPr>
      <w:b w:val="0"/>
      <w:szCs w:val="20"/>
    </w:rPr>
  </w:style>
  <w:style w:type="character" w:customStyle="1" w:styleId="NotesChar13">
    <w:name w:val="Notes Char_13"/>
    <w:link w:val="Notes13"/>
    <w:rPr>
      <w:rFonts w:ascii="Arial" w:hAnsi="Arial"/>
      <w:b/>
      <w:szCs w:val="24"/>
      <w:lang w:val="lt-LT" w:eastAsia="ar-SA"/>
    </w:rPr>
  </w:style>
  <w:style w:type="paragraph" w:customStyle="1" w:styleId="Normal94">
    <w:name w:val="Normal_94"/>
    <w:qFormat/>
    <w:pPr>
      <w:suppressAutoHyphens/>
    </w:pPr>
    <w:rPr>
      <w:rFonts w:ascii="Times New Roman" w:hAnsi="Times New Roman"/>
      <w:sz w:val="24"/>
      <w:szCs w:val="24"/>
      <w:lang w:eastAsia="ar-SA"/>
    </w:rPr>
  </w:style>
  <w:style w:type="paragraph" w:customStyle="1" w:styleId="Normal95">
    <w:name w:val="Normal_95"/>
    <w:qFormat/>
    <w:rPr>
      <w:rFonts w:ascii="Times New Roman" w:hAnsi="Times New Roman"/>
      <w:sz w:val="24"/>
      <w:szCs w:val="24"/>
    </w:rPr>
  </w:style>
  <w:style w:type="table" w:customStyle="1" w:styleId="CDMRange24">
    <w:name w:val="CDM Range 2_4"/>
    <w:basedOn w:val="TableNormal"/>
    <w:next w:val="TableNormal"/>
    <w:semiHidden/>
    <w:rPr>
      <w:rFonts w:ascii="Times New Roman" w:hAnsi="Times New Roman"/>
    </w:rPr>
    <w:tblPr/>
  </w:style>
  <w:style w:type="paragraph" w:customStyle="1" w:styleId="Normal16">
    <w:name w:val="Normal_16"/>
    <w:qFormat/>
    <w:pPr>
      <w:suppressAutoHyphens/>
    </w:pPr>
    <w:rPr>
      <w:rFonts w:ascii="Times New Roman" w:hAnsi="Times New Roman"/>
      <w:sz w:val="24"/>
      <w:szCs w:val="24"/>
      <w:lang w:eastAsia="ar-SA"/>
    </w:rPr>
  </w:style>
  <w:style w:type="paragraph" w:customStyle="1" w:styleId="Header14">
    <w:name w:val="Header_14"/>
    <w:basedOn w:val="Normal16"/>
    <w:link w:val="HeaderChar14"/>
    <w:pPr>
      <w:tabs>
        <w:tab w:val="center" w:pos="4153"/>
        <w:tab w:val="right" w:pos="8306"/>
      </w:tabs>
    </w:pPr>
  </w:style>
  <w:style w:type="character" w:customStyle="1" w:styleId="HeaderChar14">
    <w:name w:val="Header Char_14"/>
    <w:link w:val="Header14"/>
    <w:rPr>
      <w:rFonts w:ascii="Times New Roman" w:hAnsi="Times New Roman"/>
      <w:sz w:val="24"/>
      <w:szCs w:val="24"/>
      <w:lang w:eastAsia="ar-SA"/>
    </w:rPr>
  </w:style>
  <w:style w:type="paragraph" w:customStyle="1" w:styleId="Notes14">
    <w:name w:val="Notes_14"/>
    <w:basedOn w:val="Header14"/>
    <w:link w:val="NotesChar14"/>
    <w:pPr>
      <w:numPr>
        <w:numId w:val="7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4">
    <w:name w:val="Title 1.1_14"/>
    <w:basedOn w:val="Notes14"/>
    <w:pPr>
      <w:numPr>
        <w:ilvl w:val="1"/>
      </w:numPr>
      <w:tabs>
        <w:tab w:val="clear" w:pos="4320"/>
        <w:tab w:val="clear" w:pos="8640"/>
        <w:tab w:val="right" w:pos="-2700"/>
        <w:tab w:val="right" w:pos="720"/>
      </w:tabs>
      <w:spacing w:before="0" w:after="0"/>
    </w:pPr>
    <w:rPr>
      <w:b w:val="0"/>
      <w:szCs w:val="20"/>
    </w:rPr>
  </w:style>
  <w:style w:type="character" w:customStyle="1" w:styleId="NotesChar14">
    <w:name w:val="Notes Char_14"/>
    <w:link w:val="Notes14"/>
    <w:rPr>
      <w:rFonts w:ascii="Arial" w:hAnsi="Arial"/>
      <w:b/>
      <w:szCs w:val="24"/>
      <w:lang w:val="lt-LT" w:eastAsia="ar-SA"/>
    </w:rPr>
  </w:style>
  <w:style w:type="paragraph" w:customStyle="1" w:styleId="Normal96">
    <w:name w:val="Normal_96"/>
    <w:qFormat/>
    <w:pPr>
      <w:suppressAutoHyphens/>
    </w:pPr>
    <w:rPr>
      <w:rFonts w:ascii="Times New Roman" w:hAnsi="Times New Roman"/>
      <w:sz w:val="24"/>
      <w:szCs w:val="24"/>
      <w:lang w:eastAsia="ar-SA"/>
    </w:rPr>
  </w:style>
  <w:style w:type="paragraph" w:customStyle="1" w:styleId="Normal250">
    <w:name w:val="Normal_25_0"/>
    <w:qFormat/>
    <w:pPr>
      <w:suppressAutoHyphens/>
    </w:pPr>
    <w:rPr>
      <w:rFonts w:ascii="Times New Roman" w:hAnsi="Times New Roman"/>
      <w:sz w:val="24"/>
      <w:szCs w:val="24"/>
      <w:lang w:eastAsia="ar-SA"/>
    </w:rPr>
  </w:style>
  <w:style w:type="paragraph" w:customStyle="1" w:styleId="Normal97">
    <w:name w:val="Normal_97"/>
    <w:qFormat/>
    <w:rPr>
      <w:rFonts w:ascii="Times New Roman" w:hAnsi="Times New Roman"/>
      <w:sz w:val="24"/>
      <w:szCs w:val="24"/>
    </w:rPr>
  </w:style>
  <w:style w:type="table" w:customStyle="1" w:styleId="CDMRange15">
    <w:name w:val="CDM Range 1_5"/>
    <w:basedOn w:val="TableNormal"/>
    <w:next w:val="TableNormal"/>
    <w:semiHidden/>
    <w:rPr>
      <w:rFonts w:ascii="Times New Roman" w:hAnsi="Times New Roman"/>
    </w:rPr>
    <w:tblPr/>
  </w:style>
  <w:style w:type="paragraph" w:customStyle="1" w:styleId="Normal98">
    <w:name w:val="Normal_98"/>
    <w:qFormat/>
    <w:rPr>
      <w:rFonts w:ascii="Times New Roman" w:hAnsi="Times New Roman"/>
      <w:sz w:val="24"/>
      <w:szCs w:val="24"/>
    </w:rPr>
  </w:style>
  <w:style w:type="table" w:customStyle="1" w:styleId="CDMRange25">
    <w:name w:val="CDM Range 2_5"/>
    <w:basedOn w:val="TableNormal"/>
    <w:next w:val="TableNormal"/>
    <w:semiHidden/>
    <w:rPr>
      <w:rFonts w:ascii="Times New Roman" w:hAnsi="Times New Roman"/>
    </w:rPr>
    <w:tblPr/>
  </w:style>
  <w:style w:type="paragraph" w:customStyle="1" w:styleId="Title3211">
    <w:name w:val="Title 3.2.1._1"/>
    <w:basedOn w:val="Notes5"/>
    <w:pPr>
      <w:numPr>
        <w:ilvl w:val="2"/>
        <w:numId w:val="78"/>
      </w:numPr>
      <w:tabs>
        <w:tab w:val="clear" w:pos="4320"/>
        <w:tab w:val="clear" w:pos="8640"/>
        <w:tab w:val="right" w:pos="-2700"/>
      </w:tabs>
      <w:spacing w:before="240"/>
    </w:pPr>
    <w:rPr>
      <w:szCs w:val="20"/>
    </w:rPr>
  </w:style>
  <w:style w:type="paragraph" w:customStyle="1" w:styleId="Normal99">
    <w:name w:val="Normal_99"/>
    <w:qFormat/>
    <w:pPr>
      <w:suppressAutoHyphens/>
    </w:pPr>
    <w:rPr>
      <w:rFonts w:ascii="Times New Roman" w:hAnsi="Times New Roman"/>
      <w:sz w:val="24"/>
      <w:szCs w:val="24"/>
      <w:lang w:eastAsia="ar-SA"/>
    </w:rPr>
  </w:style>
  <w:style w:type="paragraph" w:customStyle="1" w:styleId="Normal17">
    <w:name w:val="Normal_17"/>
    <w:qFormat/>
    <w:pPr>
      <w:suppressAutoHyphens/>
    </w:pPr>
    <w:rPr>
      <w:rFonts w:ascii="Times New Roman" w:hAnsi="Times New Roman"/>
      <w:sz w:val="24"/>
      <w:szCs w:val="24"/>
      <w:lang w:eastAsia="ar-SA"/>
    </w:rPr>
  </w:style>
  <w:style w:type="paragraph" w:customStyle="1" w:styleId="Header15">
    <w:name w:val="Header_15"/>
    <w:basedOn w:val="Normal17"/>
    <w:link w:val="HeaderChar15"/>
    <w:pPr>
      <w:tabs>
        <w:tab w:val="center" w:pos="4153"/>
        <w:tab w:val="right" w:pos="8306"/>
      </w:tabs>
    </w:pPr>
  </w:style>
  <w:style w:type="character" w:customStyle="1" w:styleId="HeaderChar15">
    <w:name w:val="Header Char_15"/>
    <w:link w:val="Header15"/>
    <w:rPr>
      <w:rFonts w:ascii="Times New Roman" w:hAnsi="Times New Roman"/>
      <w:sz w:val="24"/>
      <w:szCs w:val="24"/>
      <w:lang w:eastAsia="ar-SA"/>
    </w:rPr>
  </w:style>
  <w:style w:type="paragraph" w:customStyle="1" w:styleId="Notes15">
    <w:name w:val="Notes_15"/>
    <w:basedOn w:val="Header15"/>
    <w:link w:val="NotesChar15"/>
    <w:pPr>
      <w:numPr>
        <w:numId w:val="7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5">
    <w:name w:val="Title 1.1_15"/>
    <w:basedOn w:val="Notes15"/>
    <w:pPr>
      <w:numPr>
        <w:ilvl w:val="1"/>
      </w:numPr>
      <w:tabs>
        <w:tab w:val="clear" w:pos="4320"/>
        <w:tab w:val="clear" w:pos="8640"/>
        <w:tab w:val="right" w:pos="-2700"/>
        <w:tab w:val="right" w:pos="720"/>
      </w:tabs>
      <w:spacing w:before="0" w:after="0"/>
    </w:pPr>
    <w:rPr>
      <w:b w:val="0"/>
      <w:szCs w:val="20"/>
    </w:rPr>
  </w:style>
  <w:style w:type="character" w:customStyle="1" w:styleId="NotesChar15">
    <w:name w:val="Notes Char_15"/>
    <w:link w:val="Notes15"/>
    <w:rPr>
      <w:rFonts w:ascii="Arial" w:hAnsi="Arial"/>
      <w:b/>
      <w:szCs w:val="24"/>
      <w:lang w:val="lt-LT" w:eastAsia="ar-SA"/>
    </w:rPr>
  </w:style>
  <w:style w:type="paragraph" w:customStyle="1" w:styleId="Notes130">
    <w:name w:val="Notes_13_0"/>
    <w:basedOn w:val="Normal99"/>
    <w:link w:val="NotesChar130"/>
    <w:pPr>
      <w:tabs>
        <w:tab w:val="num" w:pos="720"/>
        <w:tab w:val="center" w:pos="4320"/>
        <w:tab w:val="right" w:pos="8640"/>
      </w:tabs>
      <w:spacing w:before="120" w:after="120"/>
      <w:ind w:left="720" w:hanging="360"/>
      <w:jc w:val="both"/>
    </w:pPr>
    <w:rPr>
      <w:rFonts w:ascii="Arial" w:hAnsi="Arial" w:cs="Arial"/>
      <w:b/>
      <w:sz w:val="20"/>
    </w:rPr>
  </w:style>
  <w:style w:type="character" w:customStyle="1" w:styleId="NotesChar130">
    <w:name w:val="Notes Char_13_0"/>
    <w:link w:val="Notes130"/>
    <w:locked/>
    <w:rPr>
      <w:rFonts w:ascii="Arial" w:hAnsi="Arial" w:cs="Arial"/>
      <w:b/>
      <w:szCs w:val="24"/>
      <w:lang w:val="lt-LT" w:eastAsia="ar-SA"/>
    </w:rPr>
  </w:style>
  <w:style w:type="paragraph" w:customStyle="1" w:styleId="Normal1001">
    <w:name w:val="Normal_100"/>
    <w:qFormat/>
    <w:rPr>
      <w:rFonts w:ascii="Times New Roman" w:hAnsi="Times New Roman"/>
      <w:sz w:val="24"/>
      <w:szCs w:val="24"/>
    </w:rPr>
  </w:style>
  <w:style w:type="table" w:customStyle="1" w:styleId="CDMRange16">
    <w:name w:val="CDM Range 1_6"/>
    <w:basedOn w:val="TableNormal"/>
    <w:next w:val="TableNormal"/>
    <w:semiHidden/>
    <w:rPr>
      <w:rFonts w:ascii="Times New Roman" w:hAnsi="Times New Roman"/>
    </w:rPr>
    <w:tblPr/>
  </w:style>
  <w:style w:type="paragraph" w:customStyle="1" w:styleId="Normal101">
    <w:name w:val="Normal_101"/>
    <w:qFormat/>
    <w:pPr>
      <w:suppressAutoHyphens/>
    </w:pPr>
    <w:rPr>
      <w:rFonts w:ascii="Times New Roman" w:hAnsi="Times New Roman"/>
      <w:sz w:val="24"/>
      <w:szCs w:val="24"/>
      <w:lang w:eastAsia="ar-SA"/>
    </w:rPr>
  </w:style>
  <w:style w:type="paragraph" w:customStyle="1" w:styleId="Normal19">
    <w:name w:val="Normal_19"/>
    <w:qFormat/>
    <w:pPr>
      <w:suppressAutoHyphens/>
    </w:pPr>
    <w:rPr>
      <w:rFonts w:ascii="Times New Roman" w:hAnsi="Times New Roman"/>
      <w:sz w:val="24"/>
      <w:szCs w:val="24"/>
      <w:lang w:eastAsia="ar-SA"/>
    </w:rPr>
  </w:style>
  <w:style w:type="paragraph" w:customStyle="1" w:styleId="Header17">
    <w:name w:val="Header_17"/>
    <w:basedOn w:val="Normal19"/>
    <w:link w:val="HeaderChar17"/>
    <w:pPr>
      <w:tabs>
        <w:tab w:val="center" w:pos="4153"/>
        <w:tab w:val="right" w:pos="8306"/>
      </w:tabs>
    </w:pPr>
  </w:style>
  <w:style w:type="character" w:customStyle="1" w:styleId="HeaderChar17">
    <w:name w:val="Header Char_17"/>
    <w:link w:val="Header17"/>
    <w:rPr>
      <w:rFonts w:ascii="Times New Roman" w:hAnsi="Times New Roman"/>
      <w:sz w:val="24"/>
      <w:szCs w:val="24"/>
      <w:lang w:eastAsia="ar-SA"/>
    </w:rPr>
  </w:style>
  <w:style w:type="paragraph" w:customStyle="1" w:styleId="Notes17">
    <w:name w:val="Notes_17"/>
    <w:basedOn w:val="Header17"/>
    <w:link w:val="NotesChar17"/>
    <w:pPr>
      <w:numPr>
        <w:numId w:val="8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7">
    <w:name w:val="Title 1.1_17"/>
    <w:basedOn w:val="Notes17"/>
    <w:pPr>
      <w:numPr>
        <w:ilvl w:val="1"/>
      </w:numPr>
      <w:tabs>
        <w:tab w:val="clear" w:pos="4320"/>
        <w:tab w:val="clear" w:pos="8640"/>
        <w:tab w:val="right" w:pos="-2700"/>
        <w:tab w:val="right" w:pos="720"/>
      </w:tabs>
      <w:spacing w:before="0" w:after="0"/>
    </w:pPr>
    <w:rPr>
      <w:b w:val="0"/>
      <w:szCs w:val="20"/>
    </w:rPr>
  </w:style>
  <w:style w:type="character" w:customStyle="1" w:styleId="NotesChar17">
    <w:name w:val="Notes Char_17"/>
    <w:link w:val="Notes17"/>
    <w:rPr>
      <w:rFonts w:ascii="Arial" w:hAnsi="Arial"/>
      <w:b/>
      <w:szCs w:val="24"/>
      <w:lang w:val="lt-LT" w:eastAsia="ar-SA"/>
    </w:rPr>
  </w:style>
  <w:style w:type="paragraph" w:customStyle="1" w:styleId="Normal200">
    <w:name w:val="Normal_20"/>
    <w:qFormat/>
    <w:pPr>
      <w:suppressAutoHyphens/>
    </w:pPr>
    <w:rPr>
      <w:rFonts w:ascii="Times New Roman" w:hAnsi="Times New Roman"/>
      <w:sz w:val="24"/>
      <w:szCs w:val="24"/>
      <w:lang w:eastAsia="ar-SA"/>
    </w:rPr>
  </w:style>
  <w:style w:type="paragraph" w:customStyle="1" w:styleId="Header18">
    <w:name w:val="Header_18"/>
    <w:basedOn w:val="Normal200"/>
    <w:link w:val="HeaderChar18"/>
    <w:pPr>
      <w:tabs>
        <w:tab w:val="center" w:pos="4153"/>
        <w:tab w:val="right" w:pos="8306"/>
      </w:tabs>
    </w:pPr>
  </w:style>
  <w:style w:type="character" w:customStyle="1" w:styleId="HeaderChar18">
    <w:name w:val="Header Char_18"/>
    <w:link w:val="Header18"/>
    <w:rPr>
      <w:rFonts w:ascii="Times New Roman" w:hAnsi="Times New Roman"/>
      <w:sz w:val="24"/>
      <w:szCs w:val="24"/>
      <w:lang w:eastAsia="ar-SA"/>
    </w:rPr>
  </w:style>
  <w:style w:type="paragraph" w:customStyle="1" w:styleId="Notes18">
    <w:name w:val="Notes_18"/>
    <w:basedOn w:val="Header18"/>
    <w:link w:val="NotesChar18"/>
    <w:pPr>
      <w:numPr>
        <w:numId w:val="8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8">
    <w:name w:val="Title 1.1_18"/>
    <w:basedOn w:val="Notes18"/>
    <w:pPr>
      <w:numPr>
        <w:ilvl w:val="1"/>
      </w:numPr>
      <w:tabs>
        <w:tab w:val="clear" w:pos="4320"/>
        <w:tab w:val="clear" w:pos="8640"/>
        <w:tab w:val="right" w:pos="-2700"/>
        <w:tab w:val="right" w:pos="720"/>
      </w:tabs>
      <w:spacing w:before="0" w:after="0"/>
    </w:pPr>
    <w:rPr>
      <w:b w:val="0"/>
      <w:szCs w:val="20"/>
    </w:rPr>
  </w:style>
  <w:style w:type="character" w:customStyle="1" w:styleId="NotesChar18">
    <w:name w:val="Notes Char_18"/>
    <w:link w:val="Notes18"/>
    <w:rPr>
      <w:rFonts w:ascii="Arial" w:hAnsi="Arial"/>
      <w:b/>
      <w:szCs w:val="24"/>
      <w:lang w:val="lt-LT" w:eastAsia="ar-SA"/>
    </w:rPr>
  </w:style>
  <w:style w:type="paragraph" w:customStyle="1" w:styleId="Normal103">
    <w:name w:val="Normal_103"/>
    <w:qFormat/>
    <w:rPr>
      <w:rFonts w:ascii="Times New Roman" w:hAnsi="Times New Roman"/>
      <w:sz w:val="24"/>
      <w:szCs w:val="24"/>
    </w:rPr>
  </w:style>
  <w:style w:type="table" w:customStyle="1" w:styleId="CDMRange26">
    <w:name w:val="CDM Range 2_6"/>
    <w:basedOn w:val="TableNormal"/>
    <w:next w:val="TableNormal"/>
    <w:semiHidden/>
    <w:rPr>
      <w:rFonts w:ascii="Times New Roman" w:hAnsi="Times New Roman"/>
    </w:rPr>
    <w:tblPr/>
  </w:style>
  <w:style w:type="paragraph" w:customStyle="1" w:styleId="Header19">
    <w:name w:val="Header_19"/>
    <w:basedOn w:val="Normal21"/>
    <w:link w:val="HeaderChar19"/>
    <w:pPr>
      <w:tabs>
        <w:tab w:val="center" w:pos="4153"/>
        <w:tab w:val="right" w:pos="8306"/>
      </w:tabs>
    </w:pPr>
  </w:style>
  <w:style w:type="character" w:customStyle="1" w:styleId="HeaderChar19">
    <w:name w:val="Header Char_19"/>
    <w:link w:val="Header19"/>
    <w:rPr>
      <w:rFonts w:ascii="Times New Roman" w:hAnsi="Times New Roman"/>
      <w:sz w:val="24"/>
      <w:szCs w:val="24"/>
      <w:lang w:eastAsia="ar-SA"/>
    </w:rPr>
  </w:style>
  <w:style w:type="paragraph" w:customStyle="1" w:styleId="Notes19">
    <w:name w:val="Notes_19"/>
    <w:basedOn w:val="Header19"/>
    <w:link w:val="NotesChar19"/>
    <w:pPr>
      <w:numPr>
        <w:numId w:val="8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9">
    <w:name w:val="Title 1.1_19"/>
    <w:basedOn w:val="Notes19"/>
    <w:pPr>
      <w:numPr>
        <w:ilvl w:val="1"/>
      </w:numPr>
      <w:tabs>
        <w:tab w:val="clear" w:pos="4320"/>
        <w:tab w:val="clear" w:pos="8640"/>
        <w:tab w:val="right" w:pos="-2700"/>
        <w:tab w:val="right" w:pos="720"/>
      </w:tabs>
      <w:spacing w:before="0" w:after="0"/>
    </w:pPr>
    <w:rPr>
      <w:b w:val="0"/>
      <w:szCs w:val="20"/>
    </w:rPr>
  </w:style>
  <w:style w:type="character" w:customStyle="1" w:styleId="NotesChar19">
    <w:name w:val="Notes Char_19"/>
    <w:link w:val="Notes19"/>
    <w:rPr>
      <w:rFonts w:ascii="Arial" w:hAnsi="Arial"/>
      <w:b/>
      <w:szCs w:val="24"/>
      <w:lang w:val="lt-LT" w:eastAsia="ar-SA"/>
    </w:rPr>
  </w:style>
  <w:style w:type="paragraph" w:customStyle="1" w:styleId="Title3212">
    <w:name w:val="Title 3.2.1._2"/>
    <w:basedOn w:val="Notes12"/>
    <w:pPr>
      <w:numPr>
        <w:ilvl w:val="2"/>
        <w:numId w:val="86"/>
      </w:numPr>
      <w:tabs>
        <w:tab w:val="clear" w:pos="4320"/>
        <w:tab w:val="clear" w:pos="8640"/>
        <w:tab w:val="right" w:pos="-2700"/>
      </w:tabs>
      <w:spacing w:before="240"/>
    </w:pPr>
    <w:rPr>
      <w:szCs w:val="20"/>
    </w:rPr>
  </w:style>
  <w:style w:type="paragraph" w:customStyle="1" w:styleId="Normal22">
    <w:name w:val="Normal_22"/>
    <w:qFormat/>
    <w:pPr>
      <w:suppressAutoHyphens/>
    </w:pPr>
    <w:rPr>
      <w:rFonts w:ascii="Times New Roman" w:hAnsi="Times New Roman"/>
      <w:sz w:val="24"/>
      <w:szCs w:val="24"/>
      <w:lang w:eastAsia="ar-SA"/>
    </w:rPr>
  </w:style>
  <w:style w:type="paragraph" w:customStyle="1" w:styleId="Header20">
    <w:name w:val="Header_20"/>
    <w:basedOn w:val="Normal22"/>
    <w:link w:val="HeaderChar20"/>
    <w:pPr>
      <w:tabs>
        <w:tab w:val="center" w:pos="4153"/>
        <w:tab w:val="right" w:pos="8306"/>
      </w:tabs>
    </w:pPr>
  </w:style>
  <w:style w:type="character" w:customStyle="1" w:styleId="HeaderChar20">
    <w:name w:val="Header Char_20"/>
    <w:link w:val="Header20"/>
    <w:rPr>
      <w:rFonts w:ascii="Times New Roman" w:hAnsi="Times New Roman"/>
      <w:sz w:val="24"/>
      <w:szCs w:val="24"/>
      <w:lang w:eastAsia="ar-SA"/>
    </w:rPr>
  </w:style>
  <w:style w:type="paragraph" w:customStyle="1" w:styleId="Notes20">
    <w:name w:val="Notes_20"/>
    <w:basedOn w:val="Header20"/>
    <w:link w:val="NotesChar20"/>
    <w:pPr>
      <w:numPr>
        <w:numId w:val="8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0">
    <w:name w:val="Title 1.1_20"/>
    <w:basedOn w:val="Notes20"/>
    <w:pPr>
      <w:numPr>
        <w:ilvl w:val="1"/>
      </w:numPr>
      <w:tabs>
        <w:tab w:val="clear" w:pos="4320"/>
        <w:tab w:val="clear" w:pos="8640"/>
        <w:tab w:val="right" w:pos="-2700"/>
        <w:tab w:val="right" w:pos="720"/>
      </w:tabs>
      <w:spacing w:before="0" w:after="0"/>
    </w:pPr>
    <w:rPr>
      <w:b w:val="0"/>
      <w:szCs w:val="20"/>
    </w:rPr>
  </w:style>
  <w:style w:type="character" w:customStyle="1" w:styleId="NotesChar20">
    <w:name w:val="Notes Char_20"/>
    <w:link w:val="Notes20"/>
    <w:rPr>
      <w:rFonts w:ascii="Arial" w:hAnsi="Arial"/>
      <w:b/>
      <w:szCs w:val="24"/>
      <w:lang w:val="lt-LT" w:eastAsia="ar-SA"/>
    </w:rPr>
  </w:style>
  <w:style w:type="paragraph" w:customStyle="1" w:styleId="Normal18">
    <w:name w:val="Normal_18"/>
    <w:qFormat/>
    <w:pPr>
      <w:suppressAutoHyphens/>
    </w:pPr>
    <w:rPr>
      <w:rFonts w:ascii="Times New Roman" w:hAnsi="Times New Roman"/>
      <w:sz w:val="24"/>
      <w:szCs w:val="24"/>
      <w:lang w:eastAsia="ar-SA"/>
    </w:rPr>
  </w:style>
  <w:style w:type="paragraph" w:customStyle="1" w:styleId="Notes160">
    <w:name w:val="Notes_16_0"/>
    <w:basedOn w:val="Normal18"/>
    <w:link w:val="NotesChar160"/>
    <w:pPr>
      <w:numPr>
        <w:numId w:val="88"/>
      </w:numPr>
      <w:tabs>
        <w:tab w:val="center" w:pos="4320"/>
        <w:tab w:val="right" w:pos="8640"/>
      </w:tabs>
      <w:spacing w:before="120" w:after="120"/>
      <w:jc w:val="both"/>
    </w:pPr>
    <w:rPr>
      <w:rFonts w:ascii="Arial" w:hAnsi="Arial" w:cs="Arial"/>
      <w:b/>
      <w:sz w:val="20"/>
    </w:rPr>
  </w:style>
  <w:style w:type="paragraph" w:customStyle="1" w:styleId="Title11160">
    <w:name w:val="Title 1.1_16_0"/>
    <w:basedOn w:val="Notes160"/>
    <w:pPr>
      <w:numPr>
        <w:ilvl w:val="1"/>
      </w:numPr>
      <w:tabs>
        <w:tab w:val="clear" w:pos="431"/>
        <w:tab w:val="clear" w:pos="4320"/>
        <w:tab w:val="clear" w:pos="8640"/>
        <w:tab w:val="num" w:pos="576"/>
      </w:tabs>
      <w:spacing w:before="0" w:after="0"/>
    </w:pPr>
    <w:rPr>
      <w:b w:val="0"/>
    </w:rPr>
  </w:style>
  <w:style w:type="character" w:customStyle="1" w:styleId="NotesChar160">
    <w:name w:val="Notes Char_16_0"/>
    <w:link w:val="Notes160"/>
    <w:locked/>
    <w:rPr>
      <w:rFonts w:ascii="Arial" w:hAnsi="Arial" w:cs="Arial"/>
      <w:b/>
      <w:szCs w:val="24"/>
      <w:lang w:val="lt-LT" w:eastAsia="ar-SA"/>
    </w:rPr>
  </w:style>
  <w:style w:type="paragraph" w:customStyle="1" w:styleId="Normal106">
    <w:name w:val="Normal_106"/>
    <w:qFormat/>
    <w:rPr>
      <w:rFonts w:ascii="Times New Roman" w:hAnsi="Times New Roman"/>
      <w:sz w:val="24"/>
      <w:szCs w:val="24"/>
    </w:rPr>
  </w:style>
  <w:style w:type="table" w:customStyle="1" w:styleId="CDMRange17">
    <w:name w:val="CDM Range 1_7"/>
    <w:basedOn w:val="TableNormal"/>
    <w:next w:val="TableNormal"/>
    <w:semiHidden/>
    <w:rPr>
      <w:rFonts w:ascii="Times New Roman" w:hAnsi="Times New Roman"/>
    </w:rPr>
    <w:tblPr/>
  </w:style>
  <w:style w:type="paragraph" w:customStyle="1" w:styleId="Normal4">
    <w:name w:val="Normal_4"/>
    <w:qFormat/>
    <w:pPr>
      <w:suppressAutoHyphens/>
    </w:pPr>
    <w:rPr>
      <w:rFonts w:ascii="Times New Roman" w:hAnsi="Times New Roman"/>
      <w:sz w:val="24"/>
      <w:szCs w:val="24"/>
      <w:lang w:eastAsia="ar-SA"/>
    </w:rPr>
  </w:style>
  <w:style w:type="paragraph" w:customStyle="1" w:styleId="Header3">
    <w:name w:val="Header_3"/>
    <w:basedOn w:val="Normal4"/>
    <w:link w:val="HeaderChar3"/>
    <w:pPr>
      <w:tabs>
        <w:tab w:val="center" w:pos="4153"/>
        <w:tab w:val="right" w:pos="8306"/>
      </w:tabs>
    </w:pPr>
  </w:style>
  <w:style w:type="character" w:customStyle="1" w:styleId="HeaderChar3">
    <w:name w:val="Header Char_3"/>
    <w:link w:val="Header3"/>
    <w:rPr>
      <w:rFonts w:ascii="Times New Roman" w:hAnsi="Times New Roman"/>
      <w:sz w:val="24"/>
      <w:szCs w:val="24"/>
      <w:lang w:eastAsia="ar-SA"/>
    </w:rPr>
  </w:style>
  <w:style w:type="paragraph" w:customStyle="1" w:styleId="Notes3">
    <w:name w:val="Notes_3"/>
    <w:basedOn w:val="Header3"/>
    <w:link w:val="NotesChar3"/>
    <w:pPr>
      <w:numPr>
        <w:numId w:val="8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3">
    <w:name w:val="Title 1.1_3"/>
    <w:basedOn w:val="Notes3"/>
    <w:pPr>
      <w:numPr>
        <w:ilvl w:val="1"/>
      </w:numPr>
      <w:tabs>
        <w:tab w:val="clear" w:pos="4320"/>
        <w:tab w:val="clear" w:pos="8640"/>
        <w:tab w:val="right" w:pos="-2700"/>
        <w:tab w:val="right" w:pos="720"/>
      </w:tabs>
      <w:spacing w:before="0" w:after="0"/>
    </w:pPr>
    <w:rPr>
      <w:b w:val="0"/>
      <w:szCs w:val="20"/>
    </w:rPr>
  </w:style>
  <w:style w:type="character" w:customStyle="1" w:styleId="NotesChar3">
    <w:name w:val="Notes Char_3"/>
    <w:link w:val="Notes3"/>
    <w:locked/>
    <w:rPr>
      <w:rFonts w:ascii="Arial" w:hAnsi="Arial"/>
      <w:b/>
      <w:szCs w:val="24"/>
      <w:lang w:val="lt-LT" w:eastAsia="ar-SA"/>
    </w:rPr>
  </w:style>
  <w:style w:type="paragraph" w:customStyle="1" w:styleId="Normal26">
    <w:name w:val="Normal_26"/>
    <w:qFormat/>
    <w:pPr>
      <w:suppressAutoHyphens/>
    </w:pPr>
    <w:rPr>
      <w:rFonts w:ascii="Times New Roman" w:hAnsi="Times New Roman"/>
      <w:sz w:val="24"/>
      <w:szCs w:val="24"/>
      <w:lang w:eastAsia="ar-SA"/>
    </w:rPr>
  </w:style>
  <w:style w:type="paragraph" w:customStyle="1" w:styleId="Header24">
    <w:name w:val="Header_24"/>
    <w:basedOn w:val="Normal26"/>
    <w:link w:val="HeaderChar24"/>
    <w:pPr>
      <w:tabs>
        <w:tab w:val="center" w:pos="4153"/>
        <w:tab w:val="right" w:pos="8306"/>
      </w:tabs>
    </w:pPr>
  </w:style>
  <w:style w:type="character" w:customStyle="1" w:styleId="HeaderChar24">
    <w:name w:val="Header Char_24"/>
    <w:link w:val="Header24"/>
    <w:rPr>
      <w:rFonts w:ascii="Times New Roman" w:hAnsi="Times New Roman"/>
      <w:sz w:val="24"/>
      <w:szCs w:val="24"/>
      <w:lang w:eastAsia="ar-SA"/>
    </w:rPr>
  </w:style>
  <w:style w:type="paragraph" w:customStyle="1" w:styleId="Notes22">
    <w:name w:val="Notes_22"/>
    <w:basedOn w:val="Header24"/>
    <w:link w:val="NotesChar22"/>
    <w:pPr>
      <w:numPr>
        <w:numId w:val="9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2">
    <w:name w:val="Title 1.1_22"/>
    <w:basedOn w:val="Notes22"/>
    <w:pPr>
      <w:numPr>
        <w:ilvl w:val="1"/>
      </w:numPr>
      <w:tabs>
        <w:tab w:val="clear" w:pos="4320"/>
        <w:tab w:val="clear" w:pos="8640"/>
        <w:tab w:val="right" w:pos="-2700"/>
        <w:tab w:val="right" w:pos="720"/>
      </w:tabs>
      <w:spacing w:before="0" w:after="0"/>
    </w:pPr>
    <w:rPr>
      <w:b w:val="0"/>
      <w:szCs w:val="20"/>
    </w:rPr>
  </w:style>
  <w:style w:type="character" w:customStyle="1" w:styleId="NotesChar22">
    <w:name w:val="Notes Char_22"/>
    <w:link w:val="Notes22"/>
    <w:rPr>
      <w:rFonts w:ascii="Arial" w:hAnsi="Arial"/>
      <w:b/>
      <w:szCs w:val="24"/>
      <w:lang w:val="lt-LT" w:eastAsia="ar-SA"/>
    </w:rPr>
  </w:style>
  <w:style w:type="paragraph" w:customStyle="1" w:styleId="Normal108">
    <w:name w:val="Normal_108"/>
    <w:qFormat/>
    <w:rPr>
      <w:rFonts w:ascii="Times New Roman" w:hAnsi="Times New Roman"/>
      <w:sz w:val="24"/>
      <w:szCs w:val="24"/>
    </w:rPr>
  </w:style>
  <w:style w:type="table" w:customStyle="1" w:styleId="CDMRange27">
    <w:name w:val="CDM Range 2_7"/>
    <w:basedOn w:val="TableNormal"/>
    <w:next w:val="TableNormal"/>
    <w:semiHidden/>
    <w:rPr>
      <w:rFonts w:ascii="Times New Roman" w:hAnsi="Times New Roman"/>
    </w:rPr>
    <w:tblPr/>
  </w:style>
  <w:style w:type="paragraph" w:customStyle="1" w:styleId="Normal109">
    <w:name w:val="Normal_109"/>
    <w:qFormat/>
    <w:rPr>
      <w:rFonts w:ascii="Times New Roman" w:hAnsi="Times New Roman"/>
      <w:sz w:val="24"/>
      <w:szCs w:val="24"/>
    </w:rPr>
  </w:style>
  <w:style w:type="table" w:customStyle="1" w:styleId="CDMRange18">
    <w:name w:val="CDM Range 1_8"/>
    <w:basedOn w:val="TableNormal"/>
    <w:next w:val="TableNormal"/>
    <w:semiHidden/>
    <w:rPr>
      <w:rFonts w:ascii="Times New Roman" w:hAnsi="Times New Roman"/>
    </w:rPr>
    <w:tblPr/>
  </w:style>
  <w:style w:type="paragraph" w:customStyle="1" w:styleId="Normal5">
    <w:name w:val="Normal_5"/>
    <w:qFormat/>
    <w:pPr>
      <w:suppressAutoHyphens/>
    </w:pPr>
    <w:rPr>
      <w:rFonts w:ascii="Times New Roman" w:hAnsi="Times New Roman"/>
      <w:sz w:val="24"/>
      <w:szCs w:val="24"/>
      <w:lang w:eastAsia="ar-SA"/>
    </w:rPr>
  </w:style>
  <w:style w:type="paragraph" w:customStyle="1" w:styleId="Header4">
    <w:name w:val="Header_4"/>
    <w:basedOn w:val="Normal5"/>
    <w:link w:val="HeaderChar4"/>
    <w:uiPriority w:val="99"/>
    <w:pPr>
      <w:tabs>
        <w:tab w:val="center" w:pos="4153"/>
        <w:tab w:val="right" w:pos="8306"/>
      </w:tabs>
    </w:pPr>
  </w:style>
  <w:style w:type="character" w:customStyle="1" w:styleId="HeaderChar4">
    <w:name w:val="Header Char_4"/>
    <w:link w:val="Header4"/>
    <w:uiPriority w:val="99"/>
    <w:rPr>
      <w:rFonts w:ascii="Times New Roman" w:hAnsi="Times New Roman"/>
      <w:sz w:val="24"/>
      <w:szCs w:val="24"/>
      <w:lang w:eastAsia="ar-SA"/>
    </w:rPr>
  </w:style>
  <w:style w:type="paragraph" w:customStyle="1" w:styleId="Notes4">
    <w:name w:val="Notes_4"/>
    <w:basedOn w:val="Header4"/>
    <w:link w:val="NotesChar4"/>
    <w:pPr>
      <w:numPr>
        <w:numId w:val="9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4">
    <w:name w:val="Title 1.1_4"/>
    <w:basedOn w:val="Notes4"/>
    <w:pPr>
      <w:numPr>
        <w:ilvl w:val="1"/>
      </w:numPr>
      <w:tabs>
        <w:tab w:val="clear" w:pos="4320"/>
        <w:tab w:val="clear" w:pos="8640"/>
        <w:tab w:val="right" w:pos="-2700"/>
        <w:tab w:val="right" w:pos="720"/>
      </w:tabs>
      <w:spacing w:before="0" w:after="0"/>
    </w:pPr>
    <w:rPr>
      <w:b w:val="0"/>
    </w:rPr>
  </w:style>
  <w:style w:type="character" w:customStyle="1" w:styleId="NotesChar4">
    <w:name w:val="Notes Char_4"/>
    <w:link w:val="Notes4"/>
    <w:locked/>
    <w:rPr>
      <w:rFonts w:ascii="Arial" w:hAnsi="Arial"/>
      <w:b/>
      <w:szCs w:val="24"/>
      <w:lang w:val="lt-LT" w:eastAsia="ar-SA"/>
    </w:rPr>
  </w:style>
  <w:style w:type="paragraph" w:customStyle="1" w:styleId="Normal27">
    <w:name w:val="Normal_27"/>
    <w:qFormat/>
    <w:pPr>
      <w:suppressAutoHyphens/>
    </w:pPr>
    <w:rPr>
      <w:rFonts w:ascii="Times New Roman" w:hAnsi="Times New Roman"/>
      <w:sz w:val="24"/>
      <w:szCs w:val="24"/>
      <w:lang w:eastAsia="ar-SA"/>
    </w:rPr>
  </w:style>
  <w:style w:type="paragraph" w:customStyle="1" w:styleId="Header25">
    <w:name w:val="Header_25"/>
    <w:basedOn w:val="Normal27"/>
    <w:link w:val="HeaderChar25"/>
    <w:pPr>
      <w:tabs>
        <w:tab w:val="center" w:pos="4153"/>
        <w:tab w:val="right" w:pos="8306"/>
      </w:tabs>
    </w:pPr>
  </w:style>
  <w:style w:type="character" w:customStyle="1" w:styleId="HeaderChar25">
    <w:name w:val="Header Char_25"/>
    <w:link w:val="Header25"/>
    <w:rPr>
      <w:rFonts w:ascii="Times New Roman" w:hAnsi="Times New Roman"/>
      <w:sz w:val="24"/>
      <w:szCs w:val="24"/>
      <w:lang w:eastAsia="ar-SA"/>
    </w:rPr>
  </w:style>
  <w:style w:type="paragraph" w:customStyle="1" w:styleId="Notes23">
    <w:name w:val="Notes_23"/>
    <w:basedOn w:val="Header25"/>
    <w:link w:val="NotesChar23"/>
    <w:pPr>
      <w:numPr>
        <w:numId w:val="9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3">
    <w:name w:val="Title 1.1_23"/>
    <w:basedOn w:val="Notes23"/>
    <w:pPr>
      <w:numPr>
        <w:ilvl w:val="1"/>
      </w:numPr>
      <w:tabs>
        <w:tab w:val="clear" w:pos="4320"/>
        <w:tab w:val="clear" w:pos="8640"/>
        <w:tab w:val="right" w:pos="-2700"/>
        <w:tab w:val="right" w:pos="720"/>
      </w:tabs>
      <w:spacing w:before="0" w:after="0"/>
    </w:pPr>
    <w:rPr>
      <w:b w:val="0"/>
      <w:szCs w:val="20"/>
    </w:rPr>
  </w:style>
  <w:style w:type="character" w:customStyle="1" w:styleId="NotesChar23">
    <w:name w:val="Notes Char_23"/>
    <w:link w:val="Notes23"/>
    <w:rPr>
      <w:rFonts w:ascii="Arial" w:hAnsi="Arial"/>
      <w:b/>
      <w:szCs w:val="24"/>
      <w:lang w:val="lt-LT" w:eastAsia="ar-SA"/>
    </w:rPr>
  </w:style>
  <w:style w:type="paragraph" w:customStyle="1" w:styleId="Normal111">
    <w:name w:val="Normal_111"/>
    <w:qFormat/>
    <w:rPr>
      <w:rFonts w:ascii="Times New Roman" w:hAnsi="Times New Roman"/>
      <w:sz w:val="24"/>
      <w:szCs w:val="24"/>
    </w:rPr>
  </w:style>
  <w:style w:type="table" w:customStyle="1" w:styleId="CDMRange28">
    <w:name w:val="CDM Range 2_8"/>
    <w:basedOn w:val="TableNormal"/>
    <w:next w:val="TableNormal"/>
    <w:semiHidden/>
    <w:rPr>
      <w:rFonts w:ascii="Times New Roman" w:hAnsi="Times New Roman"/>
    </w:rPr>
    <w:tblPr/>
  </w:style>
  <w:style w:type="paragraph" w:customStyle="1" w:styleId="Normal112">
    <w:name w:val="Normal_112"/>
    <w:qFormat/>
    <w:pPr>
      <w:suppressAutoHyphens/>
    </w:pPr>
    <w:rPr>
      <w:rFonts w:ascii="Times New Roman" w:hAnsi="Times New Roman"/>
      <w:sz w:val="24"/>
      <w:szCs w:val="24"/>
      <w:lang w:eastAsia="ar-SA"/>
    </w:rPr>
  </w:style>
  <w:style w:type="paragraph" w:customStyle="1" w:styleId="Normal28">
    <w:name w:val="Normal_28"/>
    <w:qFormat/>
    <w:pPr>
      <w:suppressAutoHyphens/>
    </w:pPr>
    <w:rPr>
      <w:rFonts w:ascii="Times New Roman" w:hAnsi="Times New Roman"/>
      <w:sz w:val="24"/>
      <w:szCs w:val="24"/>
      <w:lang w:eastAsia="ar-SA"/>
    </w:rPr>
  </w:style>
  <w:style w:type="paragraph" w:customStyle="1" w:styleId="Header26">
    <w:name w:val="Header_26"/>
    <w:basedOn w:val="Normal28"/>
    <w:link w:val="HeaderChar26"/>
    <w:pPr>
      <w:tabs>
        <w:tab w:val="center" w:pos="4153"/>
        <w:tab w:val="right" w:pos="8306"/>
      </w:tabs>
    </w:pPr>
  </w:style>
  <w:style w:type="character" w:customStyle="1" w:styleId="HeaderChar26">
    <w:name w:val="Header Char_26"/>
    <w:link w:val="Header26"/>
    <w:rPr>
      <w:rFonts w:ascii="Times New Roman" w:hAnsi="Times New Roman"/>
      <w:sz w:val="24"/>
      <w:szCs w:val="24"/>
      <w:lang w:eastAsia="ar-SA"/>
    </w:rPr>
  </w:style>
  <w:style w:type="paragraph" w:customStyle="1" w:styleId="Notes24">
    <w:name w:val="Notes_24"/>
    <w:basedOn w:val="Header26"/>
    <w:link w:val="NotesChar24"/>
    <w:pPr>
      <w:numPr>
        <w:numId w:val="9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4">
    <w:name w:val="Title 1.1_24"/>
    <w:basedOn w:val="Notes24"/>
    <w:pPr>
      <w:numPr>
        <w:ilvl w:val="1"/>
      </w:numPr>
      <w:tabs>
        <w:tab w:val="clear" w:pos="4320"/>
        <w:tab w:val="clear" w:pos="8640"/>
        <w:tab w:val="right" w:pos="-2700"/>
        <w:tab w:val="right" w:pos="720"/>
      </w:tabs>
      <w:spacing w:before="0" w:after="0"/>
    </w:pPr>
    <w:rPr>
      <w:b w:val="0"/>
      <w:szCs w:val="20"/>
    </w:rPr>
  </w:style>
  <w:style w:type="character" w:customStyle="1" w:styleId="NotesChar24">
    <w:name w:val="Notes Char_24"/>
    <w:link w:val="Notes24"/>
    <w:rPr>
      <w:rFonts w:ascii="Arial" w:hAnsi="Arial"/>
      <w:b/>
      <w:szCs w:val="24"/>
      <w:lang w:val="lt-LT" w:eastAsia="ar-SA"/>
    </w:rPr>
  </w:style>
  <w:style w:type="paragraph" w:customStyle="1" w:styleId="Normal170">
    <w:name w:val="Normal_17_0"/>
    <w:qFormat/>
    <w:pPr>
      <w:suppressAutoHyphens/>
    </w:pPr>
    <w:rPr>
      <w:rFonts w:ascii="Times New Roman" w:hAnsi="Times New Roman"/>
      <w:sz w:val="24"/>
      <w:szCs w:val="24"/>
      <w:lang w:eastAsia="ar-SA"/>
    </w:rPr>
  </w:style>
  <w:style w:type="paragraph" w:customStyle="1" w:styleId="Normal113">
    <w:name w:val="Normal_113"/>
    <w:qFormat/>
    <w:rPr>
      <w:rFonts w:ascii="Times New Roman" w:hAnsi="Times New Roman"/>
      <w:sz w:val="24"/>
      <w:szCs w:val="24"/>
    </w:rPr>
  </w:style>
  <w:style w:type="table" w:customStyle="1" w:styleId="CDMRange19">
    <w:name w:val="CDM Range 1_9"/>
    <w:basedOn w:val="TableNormal"/>
    <w:next w:val="TableNormal"/>
    <w:semiHidden/>
    <w:rPr>
      <w:rFonts w:ascii="Times New Roman" w:hAnsi="Times New Roman"/>
    </w:rPr>
    <w:tblPr/>
  </w:style>
  <w:style w:type="paragraph" w:customStyle="1" w:styleId="Normal114">
    <w:name w:val="Normal_114"/>
    <w:qFormat/>
    <w:pPr>
      <w:suppressAutoHyphens/>
    </w:pPr>
    <w:rPr>
      <w:rFonts w:ascii="Times New Roman" w:hAnsi="Times New Roman"/>
      <w:sz w:val="24"/>
      <w:szCs w:val="24"/>
      <w:lang w:eastAsia="ar-SA"/>
    </w:rPr>
  </w:style>
  <w:style w:type="paragraph" w:customStyle="1" w:styleId="Normal29">
    <w:name w:val="Normal_29"/>
    <w:qFormat/>
    <w:pPr>
      <w:suppressAutoHyphens/>
    </w:pPr>
    <w:rPr>
      <w:rFonts w:ascii="Times New Roman" w:hAnsi="Times New Roman"/>
      <w:sz w:val="24"/>
      <w:szCs w:val="24"/>
      <w:lang w:eastAsia="ar-SA"/>
    </w:rPr>
  </w:style>
  <w:style w:type="paragraph" w:customStyle="1" w:styleId="Header27">
    <w:name w:val="Header_27"/>
    <w:basedOn w:val="Normal29"/>
    <w:link w:val="HeaderChar27"/>
    <w:pPr>
      <w:tabs>
        <w:tab w:val="center" w:pos="4153"/>
        <w:tab w:val="right" w:pos="8306"/>
      </w:tabs>
    </w:pPr>
  </w:style>
  <w:style w:type="character" w:customStyle="1" w:styleId="HeaderChar27">
    <w:name w:val="Header Char_27"/>
    <w:link w:val="Header27"/>
    <w:rPr>
      <w:rFonts w:ascii="Times New Roman" w:hAnsi="Times New Roman"/>
      <w:sz w:val="24"/>
      <w:szCs w:val="24"/>
      <w:lang w:eastAsia="ar-SA"/>
    </w:rPr>
  </w:style>
  <w:style w:type="paragraph" w:customStyle="1" w:styleId="Notes25">
    <w:name w:val="Notes_25"/>
    <w:basedOn w:val="Header27"/>
    <w:link w:val="NotesChar25"/>
    <w:pPr>
      <w:numPr>
        <w:numId w:val="98"/>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5">
    <w:name w:val="Title 1.1_25"/>
    <w:basedOn w:val="Notes25"/>
    <w:pPr>
      <w:numPr>
        <w:ilvl w:val="1"/>
      </w:numPr>
      <w:tabs>
        <w:tab w:val="clear" w:pos="4320"/>
        <w:tab w:val="clear" w:pos="8640"/>
        <w:tab w:val="right" w:pos="-2700"/>
        <w:tab w:val="right" w:pos="720"/>
      </w:tabs>
      <w:spacing w:before="0" w:after="0"/>
    </w:pPr>
    <w:rPr>
      <w:b w:val="0"/>
      <w:szCs w:val="20"/>
    </w:rPr>
  </w:style>
  <w:style w:type="character" w:customStyle="1" w:styleId="NotesChar25">
    <w:name w:val="Notes Char_25"/>
    <w:link w:val="Notes25"/>
    <w:rPr>
      <w:rFonts w:ascii="Arial" w:hAnsi="Arial"/>
      <w:b/>
      <w:szCs w:val="24"/>
      <w:lang w:val="lt-LT" w:eastAsia="ar-SA"/>
    </w:rPr>
  </w:style>
  <w:style w:type="paragraph" w:customStyle="1" w:styleId="Normal182">
    <w:name w:val="Normal_18_2"/>
    <w:qFormat/>
    <w:pPr>
      <w:suppressAutoHyphens/>
    </w:pPr>
    <w:rPr>
      <w:rFonts w:ascii="Times New Roman" w:hAnsi="Times New Roman"/>
      <w:sz w:val="24"/>
      <w:szCs w:val="24"/>
      <w:lang w:eastAsia="ar-SA"/>
    </w:rPr>
  </w:style>
  <w:style w:type="paragraph" w:customStyle="1" w:styleId="Normal1800">
    <w:name w:val="Normal_18_0_0"/>
    <w:qFormat/>
    <w:pPr>
      <w:suppressAutoHyphens/>
    </w:pPr>
    <w:rPr>
      <w:rFonts w:ascii="Times New Roman" w:hAnsi="Times New Roman"/>
      <w:sz w:val="24"/>
      <w:szCs w:val="24"/>
      <w:lang w:eastAsia="ar-SA"/>
    </w:rPr>
  </w:style>
  <w:style w:type="paragraph" w:customStyle="1" w:styleId="Normal30">
    <w:name w:val="Normal_30"/>
    <w:qFormat/>
    <w:pPr>
      <w:suppressAutoHyphens/>
    </w:pPr>
    <w:rPr>
      <w:rFonts w:ascii="Times New Roman" w:hAnsi="Times New Roman"/>
      <w:sz w:val="24"/>
      <w:szCs w:val="24"/>
      <w:lang w:eastAsia="ar-SA"/>
    </w:rPr>
  </w:style>
  <w:style w:type="paragraph" w:customStyle="1" w:styleId="Header28">
    <w:name w:val="Header_28"/>
    <w:basedOn w:val="Normal30"/>
    <w:link w:val="HeaderChar28"/>
    <w:pPr>
      <w:tabs>
        <w:tab w:val="center" w:pos="4153"/>
        <w:tab w:val="right" w:pos="8306"/>
      </w:tabs>
    </w:pPr>
  </w:style>
  <w:style w:type="character" w:customStyle="1" w:styleId="HeaderChar28">
    <w:name w:val="Header Char_28"/>
    <w:link w:val="Header28"/>
    <w:rPr>
      <w:rFonts w:ascii="Times New Roman" w:hAnsi="Times New Roman"/>
      <w:sz w:val="24"/>
      <w:szCs w:val="24"/>
      <w:lang w:eastAsia="ar-SA"/>
    </w:rPr>
  </w:style>
  <w:style w:type="paragraph" w:customStyle="1" w:styleId="Notes26">
    <w:name w:val="Notes_26"/>
    <w:basedOn w:val="Header28"/>
    <w:link w:val="NotesChar26"/>
    <w:pPr>
      <w:numPr>
        <w:numId w:val="10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6">
    <w:name w:val="Title 1.1_26"/>
    <w:basedOn w:val="Notes26"/>
    <w:pPr>
      <w:numPr>
        <w:ilvl w:val="1"/>
      </w:numPr>
      <w:tabs>
        <w:tab w:val="clear" w:pos="4320"/>
        <w:tab w:val="clear" w:pos="8640"/>
        <w:tab w:val="right" w:pos="-2700"/>
        <w:tab w:val="right" w:pos="720"/>
      </w:tabs>
      <w:spacing w:before="0" w:after="0"/>
    </w:pPr>
    <w:rPr>
      <w:b w:val="0"/>
      <w:szCs w:val="20"/>
    </w:rPr>
  </w:style>
  <w:style w:type="character" w:customStyle="1" w:styleId="NotesChar26">
    <w:name w:val="Notes Char_26"/>
    <w:link w:val="Notes26"/>
    <w:rPr>
      <w:rFonts w:ascii="Arial" w:hAnsi="Arial"/>
      <w:b/>
      <w:szCs w:val="24"/>
      <w:lang w:val="lt-LT" w:eastAsia="ar-SA"/>
    </w:rPr>
  </w:style>
  <w:style w:type="paragraph" w:customStyle="1" w:styleId="Normal54">
    <w:name w:val="Normal_54"/>
    <w:qFormat/>
    <w:pPr>
      <w:suppressAutoHyphens/>
    </w:pPr>
    <w:rPr>
      <w:rFonts w:ascii="Times New Roman" w:hAnsi="Times New Roman"/>
      <w:sz w:val="24"/>
      <w:szCs w:val="24"/>
      <w:lang w:eastAsia="ar-SA"/>
    </w:rPr>
  </w:style>
  <w:style w:type="paragraph" w:customStyle="1" w:styleId="Notes210">
    <w:name w:val="Notes_21_0"/>
    <w:basedOn w:val="Normal54"/>
    <w:link w:val="NotesChar210"/>
    <w:pPr>
      <w:tabs>
        <w:tab w:val="num" w:pos="720"/>
        <w:tab w:val="center" w:pos="4320"/>
        <w:tab w:val="right" w:pos="8640"/>
      </w:tabs>
      <w:spacing w:before="120" w:after="120"/>
      <w:ind w:left="720" w:hanging="360"/>
      <w:jc w:val="both"/>
    </w:pPr>
    <w:rPr>
      <w:rFonts w:ascii="Arial" w:hAnsi="Arial"/>
      <w:b/>
      <w:sz w:val="20"/>
    </w:rPr>
  </w:style>
  <w:style w:type="character" w:customStyle="1" w:styleId="NotesChar210">
    <w:name w:val="Notes Char_21_0"/>
    <w:link w:val="Notes210"/>
    <w:locked/>
    <w:rPr>
      <w:rFonts w:ascii="Arial" w:hAnsi="Arial"/>
      <w:b/>
      <w:szCs w:val="24"/>
      <w:lang w:eastAsia="ar-SA"/>
    </w:rPr>
  </w:style>
  <w:style w:type="paragraph" w:customStyle="1" w:styleId="Normal1810">
    <w:name w:val="Normal_18_1_0"/>
    <w:qFormat/>
    <w:pPr>
      <w:suppressAutoHyphens/>
    </w:pPr>
    <w:rPr>
      <w:rFonts w:ascii="Times New Roman" w:hAnsi="Times New Roman"/>
      <w:sz w:val="24"/>
      <w:szCs w:val="24"/>
      <w:lang w:eastAsia="ar-SA"/>
    </w:rPr>
  </w:style>
  <w:style w:type="paragraph" w:customStyle="1" w:styleId="Normal115">
    <w:name w:val="Normal_115"/>
    <w:qFormat/>
    <w:pPr>
      <w:suppressAutoHyphens/>
    </w:pPr>
    <w:rPr>
      <w:rFonts w:ascii="Times New Roman" w:hAnsi="Times New Roman"/>
      <w:sz w:val="24"/>
      <w:szCs w:val="24"/>
      <w:lang w:eastAsia="ar-SA"/>
    </w:rPr>
  </w:style>
  <w:style w:type="paragraph" w:customStyle="1" w:styleId="Normal116">
    <w:name w:val="Normal_116"/>
    <w:qFormat/>
    <w:rPr>
      <w:rFonts w:ascii="Times New Roman" w:hAnsi="Times New Roman"/>
      <w:sz w:val="24"/>
      <w:szCs w:val="24"/>
    </w:rPr>
  </w:style>
  <w:style w:type="table" w:customStyle="1" w:styleId="CDMRange29">
    <w:name w:val="CDM Range 2_9"/>
    <w:basedOn w:val="TableNormal"/>
    <w:next w:val="TableNormal"/>
    <w:semiHidden/>
    <w:rPr>
      <w:rFonts w:ascii="Times New Roman" w:hAnsi="Times New Roman"/>
    </w:rPr>
    <w:tblPr/>
  </w:style>
  <w:style w:type="paragraph" w:customStyle="1" w:styleId="Normal117">
    <w:name w:val="Normal_117"/>
    <w:qFormat/>
    <w:rPr>
      <w:rFonts w:ascii="Times New Roman" w:hAnsi="Times New Roman"/>
      <w:sz w:val="24"/>
      <w:szCs w:val="24"/>
    </w:rPr>
  </w:style>
  <w:style w:type="table" w:customStyle="1" w:styleId="CDMRange110">
    <w:name w:val="CDM Range 1_10"/>
    <w:basedOn w:val="TableNormal"/>
    <w:next w:val="TableNormal"/>
    <w:semiHidden/>
    <w:rPr>
      <w:rFonts w:ascii="Times New Roman" w:hAnsi="Times New Roman"/>
    </w:rPr>
    <w:tblPr/>
  </w:style>
  <w:style w:type="paragraph" w:customStyle="1" w:styleId="Normal118">
    <w:name w:val="Normal_118"/>
    <w:qFormat/>
    <w:pPr>
      <w:suppressAutoHyphens/>
    </w:pPr>
    <w:rPr>
      <w:rFonts w:ascii="Times New Roman" w:hAnsi="Times New Roman"/>
      <w:sz w:val="24"/>
      <w:szCs w:val="24"/>
      <w:lang w:eastAsia="ar-SA"/>
    </w:rPr>
  </w:style>
  <w:style w:type="paragraph" w:customStyle="1" w:styleId="ListParagraph3">
    <w:name w:val="List Paragraph_3"/>
    <w:basedOn w:val="Normal29"/>
    <w:uiPriority w:val="34"/>
    <w:qFormat/>
    <w:pPr>
      <w:ind w:left="720"/>
      <w:contextualSpacing/>
    </w:pPr>
  </w:style>
  <w:style w:type="paragraph" w:customStyle="1" w:styleId="Normal31">
    <w:name w:val="Normal_31"/>
    <w:qFormat/>
    <w:pPr>
      <w:suppressAutoHyphens/>
    </w:pPr>
    <w:rPr>
      <w:rFonts w:ascii="Times New Roman" w:hAnsi="Times New Roman"/>
      <w:sz w:val="24"/>
      <w:szCs w:val="24"/>
      <w:lang w:eastAsia="ar-SA"/>
    </w:rPr>
  </w:style>
  <w:style w:type="paragraph" w:customStyle="1" w:styleId="ListParagraph4">
    <w:name w:val="List Paragraph_4"/>
    <w:basedOn w:val="Normal31"/>
    <w:uiPriority w:val="34"/>
    <w:qFormat/>
    <w:pPr>
      <w:ind w:left="720"/>
      <w:contextualSpacing/>
    </w:pPr>
  </w:style>
  <w:style w:type="paragraph" w:customStyle="1" w:styleId="Normal119">
    <w:name w:val="Normal_119"/>
    <w:qFormat/>
    <w:pPr>
      <w:suppressAutoHyphens/>
    </w:pPr>
    <w:rPr>
      <w:rFonts w:ascii="Times New Roman" w:hAnsi="Times New Roman"/>
      <w:sz w:val="24"/>
      <w:szCs w:val="24"/>
      <w:lang w:eastAsia="ar-SA"/>
    </w:rPr>
  </w:style>
  <w:style w:type="paragraph" w:customStyle="1" w:styleId="Normal120">
    <w:name w:val="Normal_120"/>
    <w:qFormat/>
    <w:rPr>
      <w:rFonts w:ascii="Times New Roman" w:hAnsi="Times New Roman"/>
      <w:sz w:val="24"/>
      <w:szCs w:val="24"/>
    </w:rPr>
  </w:style>
  <w:style w:type="table" w:customStyle="1" w:styleId="CDMRange210">
    <w:name w:val="CDM Range 2_10"/>
    <w:basedOn w:val="TableNormal"/>
    <w:next w:val="TableNormal"/>
    <w:semiHidden/>
    <w:rPr>
      <w:rFonts w:ascii="Times New Roman" w:hAnsi="Times New Roman"/>
    </w:rPr>
    <w:tblPr/>
  </w:style>
  <w:style w:type="paragraph" w:customStyle="1" w:styleId="Header29">
    <w:name w:val="Header_29"/>
    <w:basedOn w:val="Normal31"/>
    <w:link w:val="HeaderChar29"/>
    <w:pPr>
      <w:tabs>
        <w:tab w:val="center" w:pos="4153"/>
        <w:tab w:val="right" w:pos="8306"/>
      </w:tabs>
    </w:pPr>
  </w:style>
  <w:style w:type="character" w:customStyle="1" w:styleId="HeaderChar29">
    <w:name w:val="Header Char_29"/>
    <w:link w:val="Header29"/>
    <w:rPr>
      <w:rFonts w:ascii="Times New Roman" w:hAnsi="Times New Roman"/>
      <w:sz w:val="24"/>
      <w:szCs w:val="24"/>
      <w:lang w:eastAsia="ar-SA"/>
    </w:rPr>
  </w:style>
  <w:style w:type="paragraph" w:customStyle="1" w:styleId="Notes27">
    <w:name w:val="Notes_27"/>
    <w:basedOn w:val="Header29"/>
    <w:link w:val="NotesChar27"/>
    <w:pPr>
      <w:numPr>
        <w:numId w:val="10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7">
    <w:name w:val="Title 1.1_27"/>
    <w:basedOn w:val="Notes27"/>
    <w:pPr>
      <w:numPr>
        <w:ilvl w:val="1"/>
      </w:numPr>
      <w:tabs>
        <w:tab w:val="clear" w:pos="4320"/>
        <w:tab w:val="clear" w:pos="8640"/>
        <w:tab w:val="right" w:pos="-2700"/>
        <w:tab w:val="right" w:pos="720"/>
      </w:tabs>
      <w:spacing w:before="0" w:after="0"/>
    </w:pPr>
    <w:rPr>
      <w:b w:val="0"/>
      <w:szCs w:val="20"/>
    </w:rPr>
  </w:style>
  <w:style w:type="character" w:customStyle="1" w:styleId="NotesChar27">
    <w:name w:val="Notes Char_27"/>
    <w:link w:val="Notes27"/>
    <w:rPr>
      <w:rFonts w:ascii="Arial" w:hAnsi="Arial"/>
      <w:b/>
      <w:szCs w:val="24"/>
      <w:lang w:val="lt-LT" w:eastAsia="ar-SA"/>
    </w:rPr>
  </w:style>
  <w:style w:type="paragraph" w:customStyle="1" w:styleId="Normal121">
    <w:name w:val="Normal_121"/>
    <w:qFormat/>
    <w:pPr>
      <w:suppressAutoHyphens/>
    </w:pPr>
    <w:rPr>
      <w:rFonts w:ascii="Times New Roman" w:hAnsi="Times New Roman"/>
      <w:sz w:val="24"/>
      <w:szCs w:val="24"/>
      <w:lang w:eastAsia="ar-SA"/>
    </w:rPr>
  </w:style>
  <w:style w:type="paragraph" w:customStyle="1" w:styleId="Normal210">
    <w:name w:val="Normal_2_1"/>
    <w:qFormat/>
    <w:rPr>
      <w:rFonts w:ascii="Times New Roman" w:hAnsi="Times New Roman"/>
    </w:rPr>
  </w:style>
  <w:style w:type="paragraph" w:customStyle="1" w:styleId="Header110">
    <w:name w:val="Header_1_1"/>
    <w:basedOn w:val="Normal210"/>
    <w:link w:val="HeaderChar110"/>
    <w:uiPriority w:val="99"/>
    <w:unhideWhenUsed/>
    <w:pPr>
      <w:tabs>
        <w:tab w:val="center" w:pos="4680"/>
        <w:tab w:val="right" w:pos="9360"/>
      </w:tabs>
    </w:pPr>
    <w:rPr>
      <w:rFonts w:ascii="Calibri" w:eastAsia="Calibri" w:hAnsi="Calibri" w:cs="Arial"/>
      <w:lang w:eastAsia="en-US"/>
    </w:rPr>
  </w:style>
  <w:style w:type="character" w:customStyle="1" w:styleId="HeaderChar110">
    <w:name w:val="Header Char_1_1"/>
    <w:basedOn w:val="DefaultParagraphFont"/>
    <w:link w:val="Header110"/>
    <w:uiPriority w:val="99"/>
    <w:rPr>
      <w:rFonts w:eastAsia="Calibri" w:cs="Arial"/>
      <w:lang w:val="lt-LT" w:eastAsia="en-US"/>
    </w:rPr>
  </w:style>
  <w:style w:type="paragraph" w:customStyle="1" w:styleId="Normal42">
    <w:name w:val="Normal_4_2"/>
    <w:qFormat/>
    <w:rPr>
      <w:rFonts w:eastAsia="Calibri" w:cs="Arial"/>
      <w:lang w:eastAsia="en-US"/>
    </w:rPr>
  </w:style>
  <w:style w:type="paragraph" w:customStyle="1" w:styleId="Normal122">
    <w:name w:val="Normal_122"/>
    <w:qFormat/>
    <w:pPr>
      <w:suppressAutoHyphens/>
    </w:pPr>
    <w:rPr>
      <w:rFonts w:ascii="Times New Roman" w:hAnsi="Times New Roman"/>
      <w:sz w:val="24"/>
      <w:szCs w:val="24"/>
      <w:lang w:eastAsia="ar-SA"/>
    </w:rPr>
  </w:style>
  <w:style w:type="paragraph" w:customStyle="1" w:styleId="Normal32">
    <w:name w:val="Normal_32"/>
    <w:qFormat/>
    <w:rPr>
      <w:rFonts w:eastAsia="Calibri" w:cs="Arial"/>
      <w:lang w:eastAsia="en-US"/>
    </w:rPr>
  </w:style>
  <w:style w:type="paragraph" w:customStyle="1" w:styleId="Header30">
    <w:name w:val="Header_30"/>
    <w:basedOn w:val="Normal32"/>
    <w:link w:val="HeaderChar30"/>
    <w:uiPriority w:val="99"/>
    <w:semiHidden/>
    <w:unhideWhenUsed/>
    <w:pPr>
      <w:tabs>
        <w:tab w:val="center" w:pos="4680"/>
        <w:tab w:val="right" w:pos="9360"/>
      </w:tabs>
    </w:pPr>
  </w:style>
  <w:style w:type="character" w:customStyle="1" w:styleId="HeaderChar30">
    <w:name w:val="Header Char_30"/>
    <w:basedOn w:val="DefaultParagraphFont"/>
    <w:link w:val="Header30"/>
    <w:uiPriority w:val="99"/>
    <w:semiHidden/>
    <w:rPr>
      <w:rFonts w:eastAsia="Calibri" w:cs="Arial"/>
      <w:lang w:val="lt-LT" w:eastAsia="en-US"/>
    </w:rPr>
  </w:style>
  <w:style w:type="paragraph" w:customStyle="1" w:styleId="Notes28">
    <w:name w:val="Notes_28"/>
    <w:basedOn w:val="Header30"/>
    <w:link w:val="NotesChar28"/>
    <w:pPr>
      <w:numPr>
        <w:numId w:val="105"/>
      </w:numPr>
      <w:tabs>
        <w:tab w:val="clear" w:pos="4680"/>
        <w:tab w:val="clear" w:pos="9360"/>
        <w:tab w:val="center" w:pos="4320"/>
        <w:tab w:val="right" w:pos="8640"/>
      </w:tabs>
      <w:suppressAutoHyphens/>
      <w:spacing w:before="120" w:after="120"/>
      <w:jc w:val="both"/>
    </w:pPr>
    <w:rPr>
      <w:rFonts w:ascii="Arial" w:hAnsi="Arial"/>
      <w:b/>
      <w:szCs w:val="24"/>
      <w:lang w:eastAsia="ar-SA"/>
    </w:rPr>
  </w:style>
  <w:style w:type="paragraph" w:customStyle="1" w:styleId="Title1128">
    <w:name w:val="Title 1.1_28"/>
    <w:basedOn w:val="Notes28"/>
    <w:pPr>
      <w:numPr>
        <w:ilvl w:val="1"/>
      </w:numPr>
      <w:tabs>
        <w:tab w:val="clear" w:pos="431"/>
        <w:tab w:val="clear" w:pos="4320"/>
        <w:tab w:val="clear" w:pos="8640"/>
        <w:tab w:val="right" w:pos="-2700"/>
        <w:tab w:val="num" w:pos="360"/>
        <w:tab w:val="right" w:pos="720"/>
      </w:tabs>
      <w:spacing w:before="0" w:after="0"/>
    </w:pPr>
    <w:rPr>
      <w:b w:val="0"/>
      <w:szCs w:val="20"/>
    </w:rPr>
  </w:style>
  <w:style w:type="character" w:customStyle="1" w:styleId="NotesChar28">
    <w:name w:val="Notes Char_28"/>
    <w:link w:val="Notes28"/>
    <w:rPr>
      <w:rFonts w:ascii="Arial" w:eastAsia="Calibri" w:hAnsi="Arial" w:cs="Arial"/>
      <w:b/>
      <w:szCs w:val="24"/>
      <w:lang w:val="lt-LT" w:eastAsia="ar-SA"/>
    </w:rPr>
  </w:style>
  <w:style w:type="paragraph" w:customStyle="1" w:styleId="Title1150">
    <w:name w:val="Title 1.1_5_0"/>
    <w:basedOn w:val="Normal122"/>
    <w:pPr>
      <w:tabs>
        <w:tab w:val="right" w:pos="-2700"/>
        <w:tab w:val="right" w:pos="720"/>
      </w:tabs>
      <w:ind w:left="720" w:hanging="360"/>
      <w:jc w:val="both"/>
    </w:pPr>
    <w:rPr>
      <w:rFonts w:ascii="Arial" w:hAnsi="Arial"/>
      <w:sz w:val="20"/>
      <w:szCs w:val="20"/>
    </w:rPr>
  </w:style>
  <w:style w:type="paragraph" w:customStyle="1" w:styleId="Normal123">
    <w:name w:val="Normal_123"/>
    <w:qFormat/>
    <w:rPr>
      <w:rFonts w:ascii="Times New Roman" w:hAnsi="Times New Roman"/>
      <w:sz w:val="24"/>
      <w:szCs w:val="24"/>
    </w:rPr>
  </w:style>
  <w:style w:type="table" w:customStyle="1" w:styleId="CDMRange111">
    <w:name w:val="CDM Range 1_11"/>
    <w:basedOn w:val="TableNormal"/>
    <w:next w:val="TableNormal"/>
    <w:semiHidden/>
    <w:rPr>
      <w:rFonts w:ascii="Times New Roman" w:hAnsi="Times New Roman"/>
    </w:rPr>
    <w:tblPr/>
  </w:style>
  <w:style w:type="paragraph" w:customStyle="1" w:styleId="Notes29">
    <w:name w:val="Notes_29"/>
    <w:basedOn w:val="Header26"/>
    <w:link w:val="NotesChar29"/>
    <w:pPr>
      <w:tabs>
        <w:tab w:val="clear" w:pos="4153"/>
        <w:tab w:val="clear" w:pos="8306"/>
        <w:tab w:val="center" w:pos="4320"/>
        <w:tab w:val="right" w:pos="8640"/>
      </w:tabs>
      <w:spacing w:before="120" w:after="120"/>
      <w:ind w:left="360" w:hanging="360"/>
      <w:jc w:val="both"/>
    </w:pPr>
    <w:rPr>
      <w:rFonts w:ascii="Arial" w:hAnsi="Arial"/>
      <w:b/>
      <w:sz w:val="20"/>
    </w:rPr>
  </w:style>
  <w:style w:type="character" w:customStyle="1" w:styleId="NotesChar29">
    <w:name w:val="Notes Char_29"/>
    <w:link w:val="Notes29"/>
    <w:rPr>
      <w:rFonts w:ascii="Arial" w:hAnsi="Arial"/>
      <w:b/>
      <w:szCs w:val="24"/>
      <w:lang w:val="lt-LT" w:eastAsia="ar-SA"/>
    </w:rPr>
  </w:style>
  <w:style w:type="paragraph" w:customStyle="1" w:styleId="Normal124">
    <w:name w:val="Normal_124"/>
    <w:qFormat/>
    <w:pPr>
      <w:suppressAutoHyphens/>
    </w:pPr>
    <w:rPr>
      <w:rFonts w:ascii="Times New Roman" w:hAnsi="Times New Roman"/>
      <w:sz w:val="24"/>
      <w:szCs w:val="24"/>
      <w:lang w:eastAsia="ar-SA"/>
    </w:rPr>
  </w:style>
  <w:style w:type="paragraph" w:customStyle="1" w:styleId="Title1151">
    <w:name w:val="Title 1.1_5_1"/>
    <w:basedOn w:val="Normal124"/>
    <w:pPr>
      <w:tabs>
        <w:tab w:val="right" w:pos="-2700"/>
        <w:tab w:val="right" w:pos="720"/>
      </w:tabs>
      <w:ind w:left="720" w:hanging="360"/>
      <w:jc w:val="both"/>
    </w:pPr>
    <w:rPr>
      <w:rFonts w:ascii="Arial" w:hAnsi="Arial"/>
      <w:sz w:val="20"/>
      <w:szCs w:val="20"/>
    </w:rPr>
  </w:style>
  <w:style w:type="paragraph" w:customStyle="1" w:styleId="Normal125">
    <w:name w:val="Normal_125"/>
    <w:qFormat/>
    <w:rPr>
      <w:rFonts w:ascii="Times New Roman" w:hAnsi="Times New Roman"/>
      <w:sz w:val="24"/>
      <w:szCs w:val="24"/>
    </w:rPr>
  </w:style>
  <w:style w:type="table" w:customStyle="1" w:styleId="CDMRange211">
    <w:name w:val="CDM Range 2_11"/>
    <w:basedOn w:val="TableNormal"/>
    <w:next w:val="TableNormal"/>
    <w:semiHidden/>
    <w:rPr>
      <w:rFonts w:ascii="Times New Roman" w:hAnsi="Times New Roman"/>
    </w:rPr>
    <w:tblPr/>
  </w:style>
  <w:style w:type="paragraph" w:customStyle="1" w:styleId="Normal220">
    <w:name w:val="Normal_2_2"/>
    <w:qFormat/>
    <w:rPr>
      <w:rFonts w:ascii="Times New Roman" w:hAnsi="Times New Roman"/>
    </w:rPr>
  </w:style>
  <w:style w:type="paragraph" w:customStyle="1" w:styleId="Header120">
    <w:name w:val="Header_1_2"/>
    <w:basedOn w:val="Normal220"/>
    <w:link w:val="HeaderChar120"/>
    <w:uiPriority w:val="99"/>
    <w:unhideWhenUsed/>
    <w:pPr>
      <w:tabs>
        <w:tab w:val="center" w:pos="4680"/>
        <w:tab w:val="right" w:pos="9360"/>
      </w:tabs>
    </w:pPr>
    <w:rPr>
      <w:rFonts w:ascii="Calibri" w:eastAsia="Calibri" w:hAnsi="Calibri" w:cs="Arial"/>
      <w:lang w:eastAsia="en-US"/>
    </w:rPr>
  </w:style>
  <w:style w:type="character" w:customStyle="1" w:styleId="HeaderChar120">
    <w:name w:val="Header Char_1_2"/>
    <w:basedOn w:val="DefaultParagraphFont"/>
    <w:link w:val="Header120"/>
    <w:uiPriority w:val="99"/>
    <w:rPr>
      <w:rFonts w:ascii="Times New Roman" w:hAnsi="Times New Roman"/>
    </w:rPr>
  </w:style>
  <w:style w:type="paragraph" w:customStyle="1" w:styleId="Normal43">
    <w:name w:val="Normal_4_3"/>
    <w:qFormat/>
    <w:rPr>
      <w:rFonts w:eastAsia="Calibri" w:cs="Arial"/>
      <w:lang w:eastAsia="en-US"/>
    </w:rPr>
  </w:style>
  <w:style w:type="paragraph" w:customStyle="1" w:styleId="Normal126">
    <w:name w:val="Normal_126"/>
    <w:qFormat/>
    <w:pPr>
      <w:suppressAutoHyphens/>
    </w:pPr>
    <w:rPr>
      <w:rFonts w:ascii="Times New Roman" w:hAnsi="Times New Roman"/>
      <w:sz w:val="24"/>
      <w:szCs w:val="24"/>
      <w:lang w:eastAsia="ar-SA"/>
    </w:rPr>
  </w:style>
  <w:style w:type="paragraph" w:customStyle="1" w:styleId="ListParagraph5">
    <w:name w:val="List Paragraph_5"/>
    <w:basedOn w:val="Normal126"/>
    <w:uiPriority w:val="34"/>
    <w:qFormat/>
    <w:pPr>
      <w:ind w:left="720"/>
      <w:contextualSpacing/>
    </w:pPr>
  </w:style>
  <w:style w:type="paragraph" w:customStyle="1" w:styleId="Normal550">
    <w:name w:val="Normal_55_0"/>
    <w:qFormat/>
    <w:pPr>
      <w:suppressAutoHyphens/>
    </w:pPr>
    <w:rPr>
      <w:rFonts w:ascii="Times New Roman" w:hAnsi="Times New Roman"/>
      <w:sz w:val="24"/>
      <w:szCs w:val="24"/>
      <w:lang w:eastAsia="ar-SA"/>
    </w:rPr>
  </w:style>
  <w:style w:type="paragraph" w:customStyle="1" w:styleId="Normal127">
    <w:name w:val="Normal_127"/>
    <w:qFormat/>
    <w:pPr>
      <w:suppressAutoHyphens/>
    </w:pPr>
    <w:rPr>
      <w:rFonts w:ascii="Times New Roman" w:hAnsi="Times New Roman"/>
      <w:sz w:val="24"/>
      <w:szCs w:val="24"/>
      <w:lang w:eastAsia="ar-SA"/>
    </w:rPr>
  </w:style>
  <w:style w:type="paragraph" w:customStyle="1" w:styleId="Normal128">
    <w:name w:val="Normal_128"/>
    <w:qFormat/>
    <w:rPr>
      <w:rFonts w:ascii="Times New Roman" w:hAnsi="Times New Roman"/>
      <w:sz w:val="24"/>
      <w:szCs w:val="24"/>
    </w:rPr>
  </w:style>
  <w:style w:type="table" w:customStyle="1" w:styleId="CDMRange112">
    <w:name w:val="CDM Range 1_12"/>
    <w:basedOn w:val="TableNormal"/>
    <w:next w:val="TableNormal"/>
    <w:semiHidden/>
    <w:rPr>
      <w:rFonts w:ascii="Times New Roman" w:hAnsi="Times New Roman"/>
    </w:rPr>
    <w:tblPr/>
  </w:style>
  <w:style w:type="paragraph" w:customStyle="1" w:styleId="Normal129">
    <w:name w:val="Normal_129"/>
    <w:qFormat/>
    <w:rPr>
      <w:rFonts w:ascii="Times New Roman" w:hAnsi="Times New Roman"/>
      <w:sz w:val="24"/>
      <w:szCs w:val="24"/>
    </w:rPr>
  </w:style>
  <w:style w:type="table" w:customStyle="1" w:styleId="CDMRange212">
    <w:name w:val="CDM Range 2_12"/>
    <w:basedOn w:val="TableNormal"/>
    <w:next w:val="TableNormal"/>
    <w:semiHidden/>
    <w:rPr>
      <w:rFonts w:ascii="Times New Roman" w:hAnsi="Times New Roman"/>
    </w:rPr>
    <w:tblPr/>
  </w:style>
  <w:style w:type="paragraph" w:customStyle="1" w:styleId="Notes">
    <w:name w:val="Notes"/>
    <w:basedOn w:val="Header"/>
    <w:link w:val="NotesChar"/>
    <w:pPr>
      <w:numPr>
        <w:numId w:val="109"/>
      </w:numPr>
      <w:tabs>
        <w:tab w:val="clear" w:pos="4677"/>
        <w:tab w:val="clear" w:pos="9355"/>
        <w:tab w:val="center" w:pos="4320"/>
        <w:tab w:val="right" w:pos="8640"/>
      </w:tabs>
      <w:suppressAutoHyphens/>
      <w:spacing w:before="120" w:after="120"/>
      <w:jc w:val="both"/>
    </w:pPr>
    <w:rPr>
      <w:rFonts w:ascii="Arial" w:hAnsi="Arial"/>
      <w:b/>
      <w:sz w:val="20"/>
      <w:lang w:eastAsia="ar-SA"/>
    </w:rPr>
  </w:style>
  <w:style w:type="paragraph" w:customStyle="1" w:styleId="Title11">
    <w:name w:val="Title 1.1"/>
    <w:basedOn w:val="Notes"/>
    <w:pPr>
      <w:numPr>
        <w:ilvl w:val="1"/>
      </w:numPr>
      <w:tabs>
        <w:tab w:val="clear" w:pos="4320"/>
        <w:tab w:val="clear" w:pos="8640"/>
        <w:tab w:val="right" w:pos="-2700"/>
        <w:tab w:val="right" w:pos="720"/>
      </w:tabs>
      <w:spacing w:before="0" w:after="0"/>
    </w:pPr>
    <w:rPr>
      <w:b w:val="0"/>
    </w:rPr>
  </w:style>
  <w:style w:type="character" w:customStyle="1" w:styleId="NotesChar">
    <w:name w:val="Notes Char"/>
    <w:link w:val="Notes"/>
    <w:rPr>
      <w:rFonts w:ascii="Arial" w:hAnsi="Arial"/>
      <w:b/>
      <w:szCs w:val="24"/>
      <w:lang w:val="lt-LT" w:eastAsia="ar-SA"/>
    </w:rPr>
  </w:style>
  <w:style w:type="paragraph" w:customStyle="1" w:styleId="Normal130">
    <w:name w:val="Normal_130"/>
    <w:qFormat/>
    <w:rPr>
      <w:rFonts w:ascii="Times New Roman" w:hAnsi="Times New Roman"/>
      <w:sz w:val="24"/>
      <w:szCs w:val="24"/>
    </w:rPr>
  </w:style>
  <w:style w:type="table" w:customStyle="1" w:styleId="CDMRange113">
    <w:name w:val="CDM Range 1_13"/>
    <w:basedOn w:val="TableNormal"/>
    <w:next w:val="TableNormal"/>
    <w:semiHidden/>
    <w:rPr>
      <w:rFonts w:ascii="Times New Roman" w:hAnsi="Times New Roman"/>
    </w:rPr>
    <w:tblPr/>
  </w:style>
  <w:style w:type="paragraph" w:customStyle="1" w:styleId="Notes32">
    <w:name w:val="Notes_32"/>
    <w:basedOn w:val="Header29"/>
    <w:link w:val="NotesChar32"/>
    <w:pPr>
      <w:tabs>
        <w:tab w:val="clear" w:pos="4153"/>
        <w:tab w:val="clear" w:pos="8306"/>
        <w:tab w:val="center" w:pos="4320"/>
        <w:tab w:val="right" w:pos="8640"/>
      </w:tabs>
      <w:spacing w:before="120" w:after="120"/>
      <w:ind w:left="360" w:hanging="360"/>
      <w:jc w:val="both"/>
    </w:pPr>
    <w:rPr>
      <w:rFonts w:ascii="Arial" w:hAnsi="Arial"/>
      <w:b/>
      <w:sz w:val="20"/>
    </w:rPr>
  </w:style>
  <w:style w:type="character" w:customStyle="1" w:styleId="NotesChar32">
    <w:name w:val="Notes Char_32"/>
    <w:link w:val="Notes32"/>
    <w:rPr>
      <w:rFonts w:ascii="Arial" w:hAnsi="Arial"/>
      <w:b/>
      <w:szCs w:val="24"/>
      <w:lang w:val="lt-LT" w:eastAsia="ar-SA"/>
    </w:rPr>
  </w:style>
  <w:style w:type="paragraph" w:customStyle="1" w:styleId="Normal131">
    <w:name w:val="Normal_131"/>
    <w:qFormat/>
    <w:pPr>
      <w:suppressAutoHyphens/>
    </w:pPr>
    <w:rPr>
      <w:rFonts w:ascii="Times New Roman" w:hAnsi="Times New Roman"/>
      <w:sz w:val="24"/>
      <w:szCs w:val="24"/>
      <w:lang w:eastAsia="ar-SA"/>
    </w:rPr>
  </w:style>
  <w:style w:type="paragraph" w:customStyle="1" w:styleId="ListParagraph6">
    <w:name w:val="List Paragraph_6"/>
    <w:basedOn w:val="Normal131"/>
    <w:uiPriority w:val="34"/>
    <w:qFormat/>
    <w:pPr>
      <w:ind w:left="720"/>
      <w:contextualSpacing/>
    </w:pPr>
  </w:style>
  <w:style w:type="paragraph" w:customStyle="1" w:styleId="Normal690">
    <w:name w:val="Normal_69_0"/>
    <w:qFormat/>
    <w:pPr>
      <w:suppressAutoHyphens/>
    </w:pPr>
    <w:rPr>
      <w:rFonts w:ascii="Times New Roman" w:hAnsi="Times New Roman"/>
      <w:sz w:val="24"/>
      <w:szCs w:val="24"/>
      <w:lang w:eastAsia="ar-SA"/>
    </w:rPr>
  </w:style>
  <w:style w:type="paragraph" w:customStyle="1" w:styleId="Normal132">
    <w:name w:val="Normal_132"/>
    <w:qFormat/>
    <w:rPr>
      <w:rFonts w:ascii="Times New Roman" w:hAnsi="Times New Roman"/>
      <w:sz w:val="24"/>
      <w:szCs w:val="24"/>
    </w:rPr>
  </w:style>
  <w:style w:type="table" w:customStyle="1" w:styleId="CDMRange213">
    <w:name w:val="CDM Range 2_13"/>
    <w:basedOn w:val="TableNormal"/>
    <w:next w:val="TableNormal"/>
    <w:semiHidden/>
    <w:rPr>
      <w:rFonts w:ascii="Times New Roman" w:hAnsi="Times New Roman"/>
    </w:rPr>
    <w:tblPr/>
  </w:style>
  <w:style w:type="paragraph" w:customStyle="1" w:styleId="Normal133">
    <w:name w:val="Normal_133"/>
    <w:qFormat/>
    <w:rPr>
      <w:rFonts w:ascii="Times New Roman" w:hAnsi="Times New Roman"/>
      <w:sz w:val="24"/>
      <w:szCs w:val="24"/>
    </w:rPr>
  </w:style>
  <w:style w:type="table" w:customStyle="1" w:styleId="CDMRange114">
    <w:name w:val="CDM Range 1_14"/>
    <w:basedOn w:val="TableNormal"/>
    <w:next w:val="TableNormal"/>
    <w:semiHidden/>
    <w:rPr>
      <w:rFonts w:ascii="Times New Roman" w:hAnsi="Times New Roman"/>
    </w:rPr>
    <w:tblPr/>
  </w:style>
  <w:style w:type="paragraph" w:customStyle="1" w:styleId="Normal135">
    <w:name w:val="Normal_135"/>
    <w:qFormat/>
    <w:rPr>
      <w:rFonts w:ascii="Times New Roman" w:hAnsi="Times New Roman"/>
      <w:sz w:val="24"/>
      <w:szCs w:val="24"/>
    </w:rPr>
  </w:style>
  <w:style w:type="table" w:customStyle="1" w:styleId="CDMRange115">
    <w:name w:val="CDM Range 1_15"/>
    <w:basedOn w:val="TableNormal"/>
    <w:next w:val="TableNormal"/>
    <w:semiHidden/>
    <w:rPr>
      <w:rFonts w:ascii="Times New Roman" w:hAnsi="Times New Roman"/>
    </w:rPr>
    <w:tblPr/>
  </w:style>
  <w:style w:type="paragraph" w:customStyle="1" w:styleId="Title1">
    <w:name w:val="Title 1"/>
    <w:basedOn w:val="Notes"/>
    <w:link w:val="Title1Char"/>
    <w:pPr>
      <w:spacing w:before="0" w:after="0"/>
    </w:pPr>
  </w:style>
  <w:style w:type="character" w:customStyle="1" w:styleId="Title1Char">
    <w:name w:val="Title 1 Char"/>
    <w:basedOn w:val="NotesChar"/>
    <w:link w:val="Title1"/>
    <w:rPr>
      <w:rFonts w:ascii="Arial" w:hAnsi="Arial"/>
      <w:b/>
      <w:szCs w:val="24"/>
      <w:lang w:val="lt-LT" w:eastAsia="ar-SA"/>
    </w:rPr>
  </w:style>
  <w:style w:type="paragraph" w:customStyle="1" w:styleId="Normal136">
    <w:name w:val="Normal_136"/>
    <w:qFormat/>
    <w:rPr>
      <w:rFonts w:ascii="Times New Roman" w:hAnsi="Times New Roman"/>
      <w:sz w:val="24"/>
      <w:szCs w:val="24"/>
    </w:rPr>
  </w:style>
  <w:style w:type="table" w:customStyle="1" w:styleId="CDMRange215">
    <w:name w:val="CDM Range 2_15"/>
    <w:basedOn w:val="TableNormal"/>
    <w:next w:val="TableNormal"/>
    <w:semiHidden/>
    <w:rPr>
      <w:rFonts w:ascii="Times New Roman" w:hAnsi="Times New Roman"/>
    </w:rPr>
    <w:tblPr/>
  </w:style>
  <w:style w:type="paragraph" w:customStyle="1" w:styleId="Normal137">
    <w:name w:val="Normal_137"/>
    <w:qFormat/>
    <w:rPr>
      <w:rFonts w:ascii="Times New Roman" w:hAnsi="Times New Roman"/>
      <w:sz w:val="24"/>
      <w:szCs w:val="24"/>
    </w:rPr>
  </w:style>
  <w:style w:type="table" w:customStyle="1" w:styleId="CDMRange116">
    <w:name w:val="CDM Range 1_16"/>
    <w:basedOn w:val="TableNormal"/>
    <w:next w:val="TableNormal"/>
    <w:semiHidden/>
    <w:rPr>
      <w:rFonts w:ascii="Times New Roman" w:hAnsi="Times New Roman"/>
    </w:rPr>
    <w:tblPr/>
  </w:style>
  <w:style w:type="paragraph" w:customStyle="1" w:styleId="Normal138">
    <w:name w:val="Normal_138"/>
    <w:qFormat/>
    <w:rPr>
      <w:rFonts w:ascii="Times New Roman" w:hAnsi="Times New Roman"/>
      <w:sz w:val="24"/>
      <w:szCs w:val="24"/>
    </w:rPr>
  </w:style>
  <w:style w:type="table" w:customStyle="1" w:styleId="CDMRange216">
    <w:name w:val="CDM Range 2_16"/>
    <w:basedOn w:val="TableNormal"/>
    <w:next w:val="TableNormal"/>
    <w:semiHidden/>
    <w:rPr>
      <w:rFonts w:ascii="Times New Roman" w:hAnsi="Times New Roman"/>
    </w:rPr>
    <w:tblPr/>
  </w:style>
  <w:style w:type="paragraph" w:customStyle="1" w:styleId="Normal67">
    <w:name w:val="Normal_67"/>
    <w:qFormat/>
    <w:rPr>
      <w:rFonts w:ascii="Times New Roman" w:hAnsi="Times New Roman"/>
      <w:sz w:val="24"/>
      <w:szCs w:val="24"/>
    </w:rPr>
  </w:style>
  <w:style w:type="paragraph" w:customStyle="1" w:styleId="Normal139">
    <w:name w:val="Normal_139"/>
    <w:qFormat/>
    <w:rPr>
      <w:rFonts w:ascii="Times New Roman" w:hAnsi="Times New Roman"/>
      <w:sz w:val="24"/>
      <w:szCs w:val="24"/>
    </w:rPr>
  </w:style>
  <w:style w:type="table" w:customStyle="1" w:styleId="CDMRange117">
    <w:name w:val="CDM Range 1_17"/>
    <w:basedOn w:val="TableNormal"/>
    <w:next w:val="TableNormal"/>
    <w:semiHidden/>
    <w:rPr>
      <w:rFonts w:ascii="Times New Roman" w:hAnsi="Times New Roman"/>
    </w:rPr>
    <w:tblPr/>
  </w:style>
  <w:style w:type="paragraph" w:customStyle="1" w:styleId="Normal1400">
    <w:name w:val="Normal_140"/>
    <w:qFormat/>
    <w:rPr>
      <w:rFonts w:ascii="Times New Roman" w:hAnsi="Times New Roman"/>
      <w:sz w:val="24"/>
      <w:szCs w:val="24"/>
    </w:rPr>
  </w:style>
  <w:style w:type="table" w:customStyle="1" w:styleId="CDMRange217">
    <w:name w:val="CDM Range 2_17"/>
    <w:basedOn w:val="TableNormal"/>
    <w:next w:val="TableNormal"/>
    <w:semiHidden/>
    <w:rPr>
      <w:rFonts w:ascii="Times New Roman" w:hAnsi="Times New Roman"/>
    </w:rPr>
    <w:tblPr/>
  </w:style>
  <w:style w:type="paragraph" w:customStyle="1" w:styleId="Normal141">
    <w:name w:val="Normal_141"/>
    <w:qFormat/>
    <w:rPr>
      <w:rFonts w:ascii="Times New Roman" w:hAnsi="Times New Roman"/>
      <w:sz w:val="24"/>
      <w:szCs w:val="24"/>
    </w:rPr>
  </w:style>
  <w:style w:type="table" w:customStyle="1" w:styleId="CDMRange118">
    <w:name w:val="CDM Range 1_18"/>
    <w:basedOn w:val="TableNormal"/>
    <w:next w:val="TableNormal"/>
    <w:semiHidden/>
    <w:rPr>
      <w:rFonts w:ascii="Times New Roman" w:hAnsi="Times New Roman"/>
    </w:rPr>
    <w:tblPr/>
  </w:style>
  <w:style w:type="paragraph" w:customStyle="1" w:styleId="Normal142">
    <w:name w:val="Normal_142"/>
    <w:qFormat/>
    <w:rPr>
      <w:rFonts w:ascii="Times New Roman" w:hAnsi="Times New Roman"/>
      <w:sz w:val="24"/>
      <w:szCs w:val="24"/>
    </w:rPr>
  </w:style>
  <w:style w:type="table" w:customStyle="1" w:styleId="CDMRange218">
    <w:name w:val="CDM Range 2_18"/>
    <w:basedOn w:val="TableNormal"/>
    <w:next w:val="TableNormal"/>
    <w:semiHidden/>
    <w:rPr>
      <w:rFonts w:ascii="Times New Roman" w:hAnsi="Times New Roman"/>
    </w:rPr>
    <w:tblPr/>
  </w:style>
  <w:style w:type="paragraph" w:customStyle="1" w:styleId="Normal143">
    <w:name w:val="Normal_143"/>
    <w:qFormat/>
    <w:rPr>
      <w:rFonts w:ascii="Times New Roman" w:hAnsi="Times New Roman"/>
      <w:sz w:val="24"/>
      <w:szCs w:val="24"/>
    </w:rPr>
  </w:style>
  <w:style w:type="table" w:customStyle="1" w:styleId="CDMRange119">
    <w:name w:val="CDM Range 1_19"/>
    <w:basedOn w:val="TableNormal"/>
    <w:next w:val="TableNormal"/>
    <w:semiHidden/>
    <w:rPr>
      <w:rFonts w:ascii="Times New Roman" w:hAnsi="Times New Roman"/>
    </w:rPr>
    <w:tblPr/>
  </w:style>
  <w:style w:type="paragraph" w:customStyle="1" w:styleId="Normal144">
    <w:name w:val="Normal_144"/>
    <w:qFormat/>
    <w:rPr>
      <w:rFonts w:ascii="Times New Roman" w:hAnsi="Times New Roman"/>
      <w:sz w:val="24"/>
      <w:szCs w:val="24"/>
    </w:rPr>
  </w:style>
  <w:style w:type="table" w:customStyle="1" w:styleId="CDMRange219">
    <w:name w:val="CDM Range 2_19"/>
    <w:basedOn w:val="TableNormal"/>
    <w:next w:val="TableNormal"/>
    <w:semiHidden/>
    <w:rPr>
      <w:rFonts w:ascii="Times New Roman" w:hAnsi="Times New Roman"/>
    </w:rPr>
    <w:tblPr/>
  </w:style>
  <w:style w:type="paragraph" w:customStyle="1" w:styleId="Normal145">
    <w:name w:val="Normal_145"/>
    <w:qFormat/>
    <w:rPr>
      <w:rFonts w:ascii="Times New Roman" w:hAnsi="Times New Roman"/>
      <w:sz w:val="24"/>
      <w:szCs w:val="24"/>
    </w:rPr>
  </w:style>
  <w:style w:type="table" w:customStyle="1" w:styleId="CDMRange120">
    <w:name w:val="CDM Range 1_20"/>
    <w:basedOn w:val="TableNormal"/>
    <w:next w:val="TableNormal"/>
    <w:semiHidden/>
    <w:rPr>
      <w:rFonts w:ascii="Times New Roman" w:hAnsi="Times New Roman"/>
    </w:rPr>
    <w:tblPr/>
  </w:style>
  <w:style w:type="paragraph" w:customStyle="1" w:styleId="Normal146">
    <w:name w:val="Normal_146"/>
    <w:qFormat/>
    <w:rPr>
      <w:rFonts w:ascii="Times New Roman" w:hAnsi="Times New Roman"/>
      <w:sz w:val="24"/>
      <w:szCs w:val="24"/>
    </w:rPr>
  </w:style>
  <w:style w:type="table" w:customStyle="1" w:styleId="CDMRange220">
    <w:name w:val="CDM Range 2_20"/>
    <w:basedOn w:val="TableNormal"/>
    <w:next w:val="TableNormal"/>
    <w:semiHidden/>
    <w:rPr>
      <w:rFonts w:ascii="Times New Roman" w:hAnsi="Times New Roman"/>
    </w:rPr>
    <w:tblPr/>
  </w:style>
  <w:style w:type="paragraph" w:customStyle="1" w:styleId="Normal147">
    <w:name w:val="Normal_147"/>
    <w:qFormat/>
    <w:rPr>
      <w:rFonts w:ascii="Times New Roman" w:hAnsi="Times New Roman"/>
      <w:sz w:val="24"/>
      <w:szCs w:val="24"/>
    </w:rPr>
  </w:style>
  <w:style w:type="table" w:customStyle="1" w:styleId="CDMRange121">
    <w:name w:val="CDM Range 1_21"/>
    <w:basedOn w:val="TableNormal"/>
    <w:next w:val="TableNormal"/>
    <w:semiHidden/>
    <w:rPr>
      <w:rFonts w:ascii="Times New Roman" w:hAnsi="Times New Roman"/>
    </w:rPr>
    <w:tblPr/>
  </w:style>
  <w:style w:type="paragraph" w:customStyle="1" w:styleId="Normal148">
    <w:name w:val="Normal_148"/>
    <w:qFormat/>
    <w:rPr>
      <w:rFonts w:ascii="Times New Roman" w:hAnsi="Times New Roman"/>
      <w:sz w:val="24"/>
      <w:szCs w:val="24"/>
    </w:rPr>
  </w:style>
  <w:style w:type="table" w:customStyle="1" w:styleId="CDMRange221">
    <w:name w:val="CDM Range 2_21"/>
    <w:basedOn w:val="TableNormal"/>
    <w:next w:val="TableNormal"/>
    <w:semiHidden/>
    <w:rPr>
      <w:rFonts w:ascii="Times New Roman" w:hAnsi="Times New Roman"/>
    </w:rPr>
    <w:tblPr/>
  </w:style>
  <w:style w:type="paragraph" w:customStyle="1" w:styleId="Notes33">
    <w:name w:val="Notes_33"/>
    <w:basedOn w:val="Header30"/>
    <w:link w:val="NotesChar33"/>
    <w:pPr>
      <w:numPr>
        <w:numId w:val="111"/>
      </w:numPr>
      <w:tabs>
        <w:tab w:val="clear" w:pos="4680"/>
        <w:tab w:val="clear" w:pos="9360"/>
        <w:tab w:val="center" w:pos="4320"/>
        <w:tab w:val="right" w:pos="8640"/>
      </w:tabs>
      <w:suppressAutoHyphens/>
      <w:spacing w:before="120" w:after="120"/>
      <w:jc w:val="both"/>
    </w:pPr>
    <w:rPr>
      <w:rFonts w:ascii="Arial" w:hAnsi="Arial"/>
      <w:b/>
      <w:szCs w:val="24"/>
      <w:lang w:eastAsia="ar-SA"/>
    </w:rPr>
  </w:style>
  <w:style w:type="character" w:customStyle="1" w:styleId="NotesChar33">
    <w:name w:val="Notes Char_33"/>
    <w:link w:val="Notes33"/>
    <w:locked/>
    <w:rPr>
      <w:rFonts w:ascii="Arial" w:eastAsia="Calibri" w:hAnsi="Arial" w:cs="Arial"/>
      <w:b/>
      <w:szCs w:val="24"/>
      <w:lang w:val="lt-LT" w:eastAsia="ar-SA"/>
    </w:rPr>
  </w:style>
  <w:style w:type="paragraph" w:customStyle="1" w:styleId="Normal149">
    <w:name w:val="Normal_149"/>
    <w:qFormat/>
    <w:rPr>
      <w:rFonts w:eastAsia="Calibri" w:cs="Arial"/>
      <w:lang w:eastAsia="en-US"/>
    </w:rPr>
  </w:style>
  <w:style w:type="table" w:customStyle="1" w:styleId="TableGrid0">
    <w:name w:val="Table Grid_0"/>
    <w:basedOn w:val="TableNormal"/>
    <w:uiPriority w:val="59"/>
    <w:rPr>
      <w:rFonts w:eastAsia="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0">
    <w:name w:val="Normal_150"/>
    <w:qFormat/>
    <w:rPr>
      <w:rFonts w:ascii="Times New Roman" w:hAnsi="Times New Roman"/>
      <w:sz w:val="24"/>
      <w:szCs w:val="24"/>
    </w:rPr>
  </w:style>
  <w:style w:type="table" w:customStyle="1" w:styleId="CDMRange122">
    <w:name w:val="CDM Range 1_22"/>
    <w:basedOn w:val="TableNormal"/>
    <w:next w:val="TableNormal"/>
    <w:semiHidden/>
    <w:rPr>
      <w:rFonts w:ascii="Times New Roman" w:hAnsi="Times New Roman"/>
    </w:rPr>
    <w:tblPr/>
  </w:style>
  <w:style w:type="paragraph" w:customStyle="1" w:styleId="Normal7">
    <w:name w:val="Normal_7"/>
    <w:qFormat/>
    <w:pPr>
      <w:suppressAutoHyphens/>
    </w:pPr>
    <w:rPr>
      <w:rFonts w:ascii="Times New Roman" w:hAnsi="Times New Roman"/>
      <w:sz w:val="24"/>
      <w:szCs w:val="24"/>
      <w:lang w:eastAsia="ar-SA"/>
    </w:rPr>
  </w:style>
  <w:style w:type="paragraph" w:customStyle="1" w:styleId="Normal151">
    <w:name w:val="Normal_151"/>
    <w:qFormat/>
    <w:rPr>
      <w:rFonts w:ascii="Times New Roman" w:hAnsi="Times New Roman"/>
      <w:sz w:val="24"/>
      <w:szCs w:val="24"/>
    </w:rPr>
  </w:style>
  <w:style w:type="table" w:customStyle="1" w:styleId="CDMRange222">
    <w:name w:val="CDM Range 2_22"/>
    <w:basedOn w:val="TableNormal"/>
    <w:next w:val="TableNormal"/>
    <w:semiHidden/>
    <w:rPr>
      <w:rFonts w:ascii="Times New Roman" w:hAnsi="Times New Roman"/>
    </w:rPr>
    <w:tblPr/>
  </w:style>
  <w:style w:type="paragraph" w:customStyle="1" w:styleId="StyleTextstand-aloneCustomColorRGB1">
    <w:name w:val="Style Text_stand-alone + Custom Color(RGB(1"/>
    <w:basedOn w:val="Textstand-alone"/>
    <w:pPr>
      <w:spacing w:before="120" w:after="0"/>
    </w:pPr>
    <w:rPr>
      <w:color w:val="016794"/>
      <w:szCs w:val="20"/>
    </w:rPr>
  </w:style>
  <w:style w:type="paragraph" w:customStyle="1" w:styleId="Text9pItalicLeft025">
    <w:name w:val="Text_9p_Italic_Left_0.25"/>
    <w:basedOn w:val="Normal"/>
    <w:qFormat/>
    <w:pPr>
      <w:ind w:left="142"/>
    </w:pPr>
    <w:rPr>
      <w:rFonts w:ascii="Verdana" w:eastAsia="Calibri" w:hAnsi="Verdana" w:cstheme="minorBidi"/>
      <w:i/>
      <w:noProof/>
      <w:sz w:val="18"/>
      <w:szCs w:val="18"/>
      <w:lang w:eastAsia="en-US"/>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CoverPageChar"/>
    <w:link w:val="FooterSensitivity"/>
    <w:rPr>
      <w:rFonts w:ascii="Times New Roman" w:hAnsi="Times New Roman"/>
      <w:b/>
      <w:color w:val="016794"/>
      <w:sz w:val="32"/>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CoverPageChar"/>
    <w:link w:val="HeaderSensitivity"/>
    <w:rPr>
      <w:rFonts w:ascii="Times New Roman" w:hAnsi="Times New Roman"/>
      <w:b/>
      <w:color w:val="016794"/>
      <w:sz w:val="32"/>
      <w:szCs w:val="24"/>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CoverPageChar"/>
    <w:link w:val="HeaderSensitivityRight"/>
    <w:rPr>
      <w:rFonts w:ascii="Times New Roman" w:hAnsi="Times New Roman"/>
      <w:color w:val="016794"/>
      <w:sz w:val="28"/>
      <w:szCs w:val="24"/>
    </w:rPr>
  </w:style>
  <w:style w:type="paragraph" w:customStyle="1" w:styleId="LegalNumPar">
    <w:name w:val="LegalNumPar"/>
    <w:basedOn w:val="Normal"/>
    <w:pPr>
      <w:numPr>
        <w:numId w:val="117"/>
      </w:numPr>
      <w:spacing w:line="360" w:lineRule="auto"/>
    </w:pPr>
  </w:style>
  <w:style w:type="paragraph" w:customStyle="1" w:styleId="LegalNumPar2">
    <w:name w:val="LegalNumPar2"/>
    <w:basedOn w:val="Normal"/>
    <w:pPr>
      <w:numPr>
        <w:ilvl w:val="1"/>
        <w:numId w:val="117"/>
      </w:numPr>
      <w:spacing w:line="360" w:lineRule="auto"/>
    </w:pPr>
  </w:style>
  <w:style w:type="paragraph" w:customStyle="1" w:styleId="LegalNumPar3">
    <w:name w:val="LegalNumPar3"/>
    <w:basedOn w:val="Normal"/>
    <w:pPr>
      <w:numPr>
        <w:ilvl w:val="2"/>
        <w:numId w:val="117"/>
      </w:numPr>
      <w:spacing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header" Target="header145.xml"/><Relationship Id="rId21" Type="http://schemas.openxmlformats.org/officeDocument/2006/relationships/header" Target="header6.xml"/><Relationship Id="rId63" Type="http://schemas.openxmlformats.org/officeDocument/2006/relationships/header" Target="header27.xml"/><Relationship Id="rId159" Type="http://schemas.openxmlformats.org/officeDocument/2006/relationships/header" Target="header75.xml"/><Relationship Id="rId324" Type="http://schemas.openxmlformats.org/officeDocument/2006/relationships/header" Target="header158.xml"/><Relationship Id="rId366" Type="http://schemas.openxmlformats.org/officeDocument/2006/relationships/header" Target="header179.xml"/><Relationship Id="rId170" Type="http://schemas.openxmlformats.org/officeDocument/2006/relationships/footer" Target="footer80.xml"/><Relationship Id="rId226" Type="http://schemas.openxmlformats.org/officeDocument/2006/relationships/footer" Target="footer108.xml"/><Relationship Id="rId433" Type="http://schemas.openxmlformats.org/officeDocument/2006/relationships/footer" Target="footer211.xml"/><Relationship Id="rId268" Type="http://schemas.openxmlformats.org/officeDocument/2006/relationships/footer" Target="footer129.xml"/><Relationship Id="rId32" Type="http://schemas.openxmlformats.org/officeDocument/2006/relationships/footer" Target="footer11.xml"/><Relationship Id="rId74" Type="http://schemas.openxmlformats.org/officeDocument/2006/relationships/footer" Target="footer32.xml"/><Relationship Id="rId128" Type="http://schemas.openxmlformats.org/officeDocument/2006/relationships/footer" Target="footer59.xml"/><Relationship Id="rId335" Type="http://schemas.openxmlformats.org/officeDocument/2006/relationships/header" Target="header163.xml"/><Relationship Id="rId377" Type="http://schemas.openxmlformats.org/officeDocument/2006/relationships/header" Target="header184.xml"/><Relationship Id="rId5" Type="http://schemas.microsoft.com/office/2007/relationships/stylesWithEffects" Target="stylesWithEffects.xml"/><Relationship Id="rId181" Type="http://schemas.openxmlformats.org/officeDocument/2006/relationships/footer" Target="footer85.xml"/><Relationship Id="rId237" Type="http://schemas.openxmlformats.org/officeDocument/2006/relationships/header" Target="header114.xml"/><Relationship Id="rId402" Type="http://schemas.openxmlformats.org/officeDocument/2006/relationships/header" Target="header197.xml"/><Relationship Id="rId279" Type="http://schemas.openxmlformats.org/officeDocument/2006/relationships/header" Target="header135.xml"/><Relationship Id="rId43" Type="http://schemas.openxmlformats.org/officeDocument/2006/relationships/footer" Target="footer16.xml"/><Relationship Id="rId139" Type="http://schemas.openxmlformats.org/officeDocument/2006/relationships/footer" Target="footer64.xml"/><Relationship Id="rId290" Type="http://schemas.openxmlformats.org/officeDocument/2006/relationships/footer" Target="footer140.xml"/><Relationship Id="rId304" Type="http://schemas.openxmlformats.org/officeDocument/2006/relationships/footer" Target="footer147.xml"/><Relationship Id="rId346" Type="http://schemas.openxmlformats.org/officeDocument/2006/relationships/footer" Target="footer168.xml"/><Relationship Id="rId388" Type="http://schemas.openxmlformats.org/officeDocument/2006/relationships/footer" Target="footer189.xml"/><Relationship Id="rId85" Type="http://schemas.openxmlformats.org/officeDocument/2006/relationships/footer" Target="footer37.xml"/><Relationship Id="rId150" Type="http://schemas.openxmlformats.org/officeDocument/2006/relationships/header" Target="header71.xml"/><Relationship Id="rId192" Type="http://schemas.openxmlformats.org/officeDocument/2006/relationships/header" Target="header92.xml"/><Relationship Id="rId206" Type="http://schemas.openxmlformats.org/officeDocument/2006/relationships/footer" Target="footer98.xml"/><Relationship Id="rId413" Type="http://schemas.openxmlformats.org/officeDocument/2006/relationships/header" Target="header202.xml"/><Relationship Id="rId248" Type="http://schemas.openxmlformats.org/officeDocument/2006/relationships/footer" Target="footer119.xml"/><Relationship Id="rId269" Type="http://schemas.openxmlformats.org/officeDocument/2006/relationships/header" Target="header130.xml"/><Relationship Id="rId434" Type="http://schemas.openxmlformats.org/officeDocument/2006/relationships/footer" Target="footer212.xml"/><Relationship Id="rId12" Type="http://schemas.openxmlformats.org/officeDocument/2006/relationships/header" Target="header2.xml"/><Relationship Id="rId33" Type="http://schemas.openxmlformats.org/officeDocument/2006/relationships/header" Target="header12.xml"/><Relationship Id="rId108" Type="http://schemas.openxmlformats.org/officeDocument/2006/relationships/header" Target="header50.xml"/><Relationship Id="rId129" Type="http://schemas.openxmlformats.org/officeDocument/2006/relationships/header" Target="header60.xml"/><Relationship Id="rId280" Type="http://schemas.openxmlformats.org/officeDocument/2006/relationships/footer" Target="footer135.xml"/><Relationship Id="rId315" Type="http://schemas.openxmlformats.org/officeDocument/2006/relationships/header" Target="header153.xml"/><Relationship Id="rId336" Type="http://schemas.openxmlformats.org/officeDocument/2006/relationships/header" Target="header164.xml"/><Relationship Id="rId357" Type="http://schemas.openxmlformats.org/officeDocument/2006/relationships/header" Target="header174.xml"/><Relationship Id="rId54" Type="http://schemas.openxmlformats.org/officeDocument/2006/relationships/header" Target="header23.xml"/><Relationship Id="rId75" Type="http://schemas.openxmlformats.org/officeDocument/2006/relationships/header" Target="header33.xml"/><Relationship Id="rId96" Type="http://schemas.openxmlformats.org/officeDocument/2006/relationships/header" Target="header44.xml"/><Relationship Id="rId140" Type="http://schemas.openxmlformats.org/officeDocument/2006/relationships/footer" Target="footer65.xml"/><Relationship Id="rId161" Type="http://schemas.openxmlformats.org/officeDocument/2006/relationships/header" Target="header76.xml"/><Relationship Id="rId182" Type="http://schemas.openxmlformats.org/officeDocument/2006/relationships/footer" Target="footer86.xml"/><Relationship Id="rId217" Type="http://schemas.openxmlformats.org/officeDocument/2006/relationships/footer" Target="footer103.xml"/><Relationship Id="rId378" Type="http://schemas.openxmlformats.org/officeDocument/2006/relationships/header" Target="header185.xml"/><Relationship Id="rId399" Type="http://schemas.openxmlformats.org/officeDocument/2006/relationships/header" Target="header195.xml"/><Relationship Id="rId403" Type="http://schemas.openxmlformats.org/officeDocument/2006/relationships/footer" Target="footer196.xml"/><Relationship Id="rId6" Type="http://schemas.openxmlformats.org/officeDocument/2006/relationships/settings" Target="settings.xml"/><Relationship Id="rId238" Type="http://schemas.openxmlformats.org/officeDocument/2006/relationships/footer" Target="footer114.xml"/><Relationship Id="rId259" Type="http://schemas.openxmlformats.org/officeDocument/2006/relationships/footer" Target="footer124.xml"/><Relationship Id="rId424" Type="http://schemas.openxmlformats.org/officeDocument/2006/relationships/footer" Target="footer207.xml"/><Relationship Id="rId23" Type="http://schemas.openxmlformats.org/officeDocument/2006/relationships/header" Target="header7.xml"/><Relationship Id="rId119" Type="http://schemas.openxmlformats.org/officeDocument/2006/relationships/header" Target="header55.xml"/><Relationship Id="rId270" Type="http://schemas.openxmlformats.org/officeDocument/2006/relationships/header" Target="header131.xml"/><Relationship Id="rId291" Type="http://schemas.openxmlformats.org/officeDocument/2006/relationships/header" Target="header141.xml"/><Relationship Id="rId305" Type="http://schemas.openxmlformats.org/officeDocument/2006/relationships/header" Target="header148.xml"/><Relationship Id="rId326" Type="http://schemas.openxmlformats.org/officeDocument/2006/relationships/footer" Target="footer158.xml"/><Relationship Id="rId347" Type="http://schemas.openxmlformats.org/officeDocument/2006/relationships/header" Target="header169.xml"/><Relationship Id="rId44" Type="http://schemas.openxmlformats.org/officeDocument/2006/relationships/footer" Target="footer17.xml"/><Relationship Id="rId65" Type="http://schemas.openxmlformats.org/officeDocument/2006/relationships/header" Target="header28.xml"/><Relationship Id="rId86" Type="http://schemas.openxmlformats.org/officeDocument/2006/relationships/footer" Target="footer38.xml"/><Relationship Id="rId130" Type="http://schemas.openxmlformats.org/officeDocument/2006/relationships/footer" Target="footer60.xml"/><Relationship Id="rId151" Type="http://schemas.openxmlformats.org/officeDocument/2006/relationships/footer" Target="footer70.xml"/><Relationship Id="rId368" Type="http://schemas.openxmlformats.org/officeDocument/2006/relationships/footer" Target="footer179.xml"/><Relationship Id="rId389" Type="http://schemas.openxmlformats.org/officeDocument/2006/relationships/header" Target="header190.xml"/><Relationship Id="rId172" Type="http://schemas.openxmlformats.org/officeDocument/2006/relationships/footer" Target="footer81.xml"/><Relationship Id="rId193" Type="http://schemas.openxmlformats.org/officeDocument/2006/relationships/footer" Target="footer91.xml"/><Relationship Id="rId207" Type="http://schemas.openxmlformats.org/officeDocument/2006/relationships/header" Target="header99.xml"/><Relationship Id="rId228" Type="http://schemas.openxmlformats.org/officeDocument/2006/relationships/header" Target="header110.xml"/><Relationship Id="rId249" Type="http://schemas.openxmlformats.org/officeDocument/2006/relationships/header" Target="header120.xml"/><Relationship Id="rId414" Type="http://schemas.openxmlformats.org/officeDocument/2006/relationships/header" Target="header203.xml"/><Relationship Id="rId435" Type="http://schemas.openxmlformats.org/officeDocument/2006/relationships/header" Target="header213.xml"/><Relationship Id="rId13" Type="http://schemas.openxmlformats.org/officeDocument/2006/relationships/footer" Target="footer1.xml"/><Relationship Id="rId109" Type="http://schemas.openxmlformats.org/officeDocument/2006/relationships/footer" Target="footer49.xml"/><Relationship Id="rId260" Type="http://schemas.openxmlformats.org/officeDocument/2006/relationships/footer" Target="footer125.xml"/><Relationship Id="rId281" Type="http://schemas.openxmlformats.org/officeDocument/2006/relationships/header" Target="header136.xml"/><Relationship Id="rId316" Type="http://schemas.openxmlformats.org/officeDocument/2006/relationships/footer" Target="footer153.xml"/><Relationship Id="rId337" Type="http://schemas.openxmlformats.org/officeDocument/2006/relationships/footer" Target="footer163.xml"/><Relationship Id="rId34" Type="http://schemas.openxmlformats.org/officeDocument/2006/relationships/footer" Target="footer12.xml"/><Relationship Id="rId55" Type="http://schemas.openxmlformats.org/officeDocument/2006/relationships/footer" Target="footer22.xml"/><Relationship Id="rId76" Type="http://schemas.openxmlformats.org/officeDocument/2006/relationships/footer" Target="footer33.xml"/><Relationship Id="rId97" Type="http://schemas.openxmlformats.org/officeDocument/2006/relationships/footer" Target="footer43.xml"/><Relationship Id="rId120" Type="http://schemas.openxmlformats.org/officeDocument/2006/relationships/header" Target="header56.xml"/><Relationship Id="rId141" Type="http://schemas.openxmlformats.org/officeDocument/2006/relationships/header" Target="header66.xml"/><Relationship Id="rId358" Type="http://schemas.openxmlformats.org/officeDocument/2006/relationships/footer" Target="footer174.xml"/><Relationship Id="rId379" Type="http://schemas.openxmlformats.org/officeDocument/2006/relationships/footer" Target="footer184.xml"/><Relationship Id="rId7" Type="http://schemas.openxmlformats.org/officeDocument/2006/relationships/webSettings" Target="webSettings.xml"/><Relationship Id="rId162" Type="http://schemas.openxmlformats.org/officeDocument/2006/relationships/header" Target="header77.xml"/><Relationship Id="rId183" Type="http://schemas.openxmlformats.org/officeDocument/2006/relationships/header" Target="header87.xml"/><Relationship Id="rId218" Type="http://schemas.openxmlformats.org/officeDocument/2006/relationships/footer" Target="footer104.xml"/><Relationship Id="rId239" Type="http://schemas.openxmlformats.org/officeDocument/2006/relationships/header" Target="header115.xml"/><Relationship Id="rId390" Type="http://schemas.openxmlformats.org/officeDocument/2006/relationships/header" Target="header191.xml"/><Relationship Id="rId404" Type="http://schemas.openxmlformats.org/officeDocument/2006/relationships/footer" Target="footer197.xml"/><Relationship Id="rId425" Type="http://schemas.openxmlformats.org/officeDocument/2006/relationships/header" Target="header208.xml"/><Relationship Id="rId250" Type="http://schemas.openxmlformats.org/officeDocument/2006/relationships/footer" Target="footer120.xml"/><Relationship Id="rId271" Type="http://schemas.openxmlformats.org/officeDocument/2006/relationships/footer" Target="footer130.xml"/><Relationship Id="rId292" Type="http://schemas.openxmlformats.org/officeDocument/2006/relationships/footer" Target="footer141.xml"/><Relationship Id="rId306" Type="http://schemas.openxmlformats.org/officeDocument/2006/relationships/header" Target="header149.xml"/><Relationship Id="rId24" Type="http://schemas.openxmlformats.org/officeDocument/2006/relationships/header" Target="header8.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eader" Target="header39.xml"/><Relationship Id="rId110" Type="http://schemas.openxmlformats.org/officeDocument/2006/relationships/footer" Target="footer50.xml"/><Relationship Id="rId131" Type="http://schemas.openxmlformats.org/officeDocument/2006/relationships/header" Target="header61.xml"/><Relationship Id="rId327" Type="http://schemas.openxmlformats.org/officeDocument/2006/relationships/header" Target="header159.xml"/><Relationship Id="rId348" Type="http://schemas.openxmlformats.org/officeDocument/2006/relationships/header" Target="header170.xml"/><Relationship Id="rId369" Type="http://schemas.openxmlformats.org/officeDocument/2006/relationships/header" Target="header180.xml"/><Relationship Id="rId152" Type="http://schemas.openxmlformats.org/officeDocument/2006/relationships/footer" Target="footer71.xml"/><Relationship Id="rId173" Type="http://schemas.openxmlformats.org/officeDocument/2006/relationships/header" Target="header82.xml"/><Relationship Id="rId194" Type="http://schemas.openxmlformats.org/officeDocument/2006/relationships/footer" Target="footer92.xml"/><Relationship Id="rId208" Type="http://schemas.openxmlformats.org/officeDocument/2006/relationships/footer" Target="footer99.xml"/><Relationship Id="rId229" Type="http://schemas.openxmlformats.org/officeDocument/2006/relationships/footer" Target="footer109.xml"/><Relationship Id="rId380" Type="http://schemas.openxmlformats.org/officeDocument/2006/relationships/footer" Target="footer185.xml"/><Relationship Id="rId415" Type="http://schemas.openxmlformats.org/officeDocument/2006/relationships/footer" Target="footer202.xml"/><Relationship Id="rId436" Type="http://schemas.openxmlformats.org/officeDocument/2006/relationships/footer" Target="footer213.xml"/><Relationship Id="rId240" Type="http://schemas.openxmlformats.org/officeDocument/2006/relationships/header" Target="header116.xml"/><Relationship Id="rId261" Type="http://schemas.openxmlformats.org/officeDocument/2006/relationships/header" Target="header126.xml"/><Relationship Id="rId14" Type="http://schemas.openxmlformats.org/officeDocument/2006/relationships/footer" Target="footer2.xml"/><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header" Target="header34.xml"/><Relationship Id="rId100" Type="http://schemas.openxmlformats.org/officeDocument/2006/relationships/footer" Target="footer45.xml"/><Relationship Id="rId282" Type="http://schemas.openxmlformats.org/officeDocument/2006/relationships/header" Target="header137.xml"/><Relationship Id="rId317" Type="http://schemas.openxmlformats.org/officeDocument/2006/relationships/header" Target="header154.xml"/><Relationship Id="rId338" Type="http://schemas.openxmlformats.org/officeDocument/2006/relationships/footer" Target="footer164.xml"/><Relationship Id="rId359" Type="http://schemas.openxmlformats.org/officeDocument/2006/relationships/header" Target="header175.xml"/><Relationship Id="rId8" Type="http://schemas.openxmlformats.org/officeDocument/2006/relationships/footnotes" Target="footnotes.xml"/><Relationship Id="rId98" Type="http://schemas.openxmlformats.org/officeDocument/2006/relationships/footer" Target="footer44.xml"/><Relationship Id="rId121" Type="http://schemas.openxmlformats.org/officeDocument/2006/relationships/footer" Target="footer55.xml"/><Relationship Id="rId142" Type="http://schemas.openxmlformats.org/officeDocument/2006/relationships/footer" Target="footer66.xml"/><Relationship Id="rId163" Type="http://schemas.openxmlformats.org/officeDocument/2006/relationships/footer" Target="footer76.xml"/><Relationship Id="rId184" Type="http://schemas.openxmlformats.org/officeDocument/2006/relationships/footer" Target="footer87.xml"/><Relationship Id="rId219" Type="http://schemas.openxmlformats.org/officeDocument/2006/relationships/header" Target="header105.xml"/><Relationship Id="rId370" Type="http://schemas.openxmlformats.org/officeDocument/2006/relationships/footer" Target="footer180.xml"/><Relationship Id="rId391" Type="http://schemas.openxmlformats.org/officeDocument/2006/relationships/footer" Target="footer190.xml"/><Relationship Id="rId405" Type="http://schemas.openxmlformats.org/officeDocument/2006/relationships/header" Target="header198.xml"/><Relationship Id="rId426" Type="http://schemas.openxmlformats.org/officeDocument/2006/relationships/header" Target="header209.xml"/><Relationship Id="rId230" Type="http://schemas.openxmlformats.org/officeDocument/2006/relationships/footer" Target="footer110.xml"/><Relationship Id="rId251" Type="http://schemas.openxmlformats.org/officeDocument/2006/relationships/header" Target="header121.xml"/><Relationship Id="rId25" Type="http://schemas.openxmlformats.org/officeDocument/2006/relationships/footer" Target="footer7.xml"/><Relationship Id="rId46" Type="http://schemas.openxmlformats.org/officeDocument/2006/relationships/footer" Target="footer18.xml"/><Relationship Id="rId67" Type="http://schemas.openxmlformats.org/officeDocument/2006/relationships/footer" Target="footer28.xml"/><Relationship Id="rId272" Type="http://schemas.openxmlformats.org/officeDocument/2006/relationships/footer" Target="footer131.xml"/><Relationship Id="rId293" Type="http://schemas.openxmlformats.org/officeDocument/2006/relationships/header" Target="header142.xml"/><Relationship Id="rId307" Type="http://schemas.openxmlformats.org/officeDocument/2006/relationships/footer" Target="footer148.xml"/><Relationship Id="rId328" Type="http://schemas.openxmlformats.org/officeDocument/2006/relationships/footer" Target="footer159.xml"/><Relationship Id="rId349" Type="http://schemas.openxmlformats.org/officeDocument/2006/relationships/footer" Target="footer169.xml"/><Relationship Id="rId88" Type="http://schemas.openxmlformats.org/officeDocument/2006/relationships/footer" Target="footer39.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header" Target="header72.xml"/><Relationship Id="rId174" Type="http://schemas.openxmlformats.org/officeDocument/2006/relationships/header" Target="header83.xml"/><Relationship Id="rId195" Type="http://schemas.openxmlformats.org/officeDocument/2006/relationships/header" Target="header93.xml"/><Relationship Id="rId209" Type="http://schemas.openxmlformats.org/officeDocument/2006/relationships/header" Target="header100.xml"/><Relationship Id="rId360" Type="http://schemas.openxmlformats.org/officeDocument/2006/relationships/header" Target="header176.xml"/><Relationship Id="rId381" Type="http://schemas.openxmlformats.org/officeDocument/2006/relationships/header" Target="header186.xml"/><Relationship Id="rId416" Type="http://schemas.openxmlformats.org/officeDocument/2006/relationships/footer" Target="footer203.xml"/><Relationship Id="rId220" Type="http://schemas.openxmlformats.org/officeDocument/2006/relationships/footer" Target="footer105.xml"/><Relationship Id="rId241" Type="http://schemas.openxmlformats.org/officeDocument/2006/relationships/footer" Target="footer115.xml"/><Relationship Id="rId437" Type="http://schemas.openxmlformats.org/officeDocument/2006/relationships/fontTable" Target="fontTable.xm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header" Target="header24.xml"/><Relationship Id="rId262" Type="http://schemas.openxmlformats.org/officeDocument/2006/relationships/footer" Target="footer126.xml"/><Relationship Id="rId283" Type="http://schemas.openxmlformats.org/officeDocument/2006/relationships/footer" Target="footer136.xml"/><Relationship Id="rId318" Type="http://schemas.openxmlformats.org/officeDocument/2006/relationships/header" Target="header155.xml"/><Relationship Id="rId339" Type="http://schemas.openxmlformats.org/officeDocument/2006/relationships/header" Target="header165.xml"/><Relationship Id="rId78" Type="http://schemas.openxmlformats.org/officeDocument/2006/relationships/header" Target="header35.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6.xml"/><Relationship Id="rId143" Type="http://schemas.openxmlformats.org/officeDocument/2006/relationships/header" Target="header67.xml"/><Relationship Id="rId164" Type="http://schemas.openxmlformats.org/officeDocument/2006/relationships/footer" Target="footer77.xml"/><Relationship Id="rId185" Type="http://schemas.openxmlformats.org/officeDocument/2006/relationships/header" Target="header88.xml"/><Relationship Id="rId350" Type="http://schemas.openxmlformats.org/officeDocument/2006/relationships/footer" Target="footer170.xml"/><Relationship Id="rId371" Type="http://schemas.openxmlformats.org/officeDocument/2006/relationships/header" Target="header181.xml"/><Relationship Id="rId406" Type="http://schemas.openxmlformats.org/officeDocument/2006/relationships/footer" Target="footer198.xml"/><Relationship Id="rId9" Type="http://schemas.openxmlformats.org/officeDocument/2006/relationships/endnotes" Target="endnotes.xml"/><Relationship Id="rId210" Type="http://schemas.openxmlformats.org/officeDocument/2006/relationships/header" Target="header101.xml"/><Relationship Id="rId392" Type="http://schemas.openxmlformats.org/officeDocument/2006/relationships/footer" Target="footer191.xml"/><Relationship Id="rId427" Type="http://schemas.openxmlformats.org/officeDocument/2006/relationships/footer" Target="footer208.xml"/><Relationship Id="rId26" Type="http://schemas.openxmlformats.org/officeDocument/2006/relationships/footer" Target="footer8.xml"/><Relationship Id="rId231" Type="http://schemas.openxmlformats.org/officeDocument/2006/relationships/header" Target="header111.xml"/><Relationship Id="rId252" Type="http://schemas.openxmlformats.org/officeDocument/2006/relationships/header" Target="header122.xml"/><Relationship Id="rId273" Type="http://schemas.openxmlformats.org/officeDocument/2006/relationships/header" Target="header132.xml"/><Relationship Id="rId294" Type="http://schemas.openxmlformats.org/officeDocument/2006/relationships/header" Target="header143.xml"/><Relationship Id="rId308" Type="http://schemas.openxmlformats.org/officeDocument/2006/relationships/footer" Target="footer149.xml"/><Relationship Id="rId329" Type="http://schemas.openxmlformats.org/officeDocument/2006/relationships/header" Target="header160.xml"/><Relationship Id="rId47" Type="http://schemas.openxmlformats.org/officeDocument/2006/relationships/header" Target="header19.xml"/><Relationship Id="rId68" Type="http://schemas.openxmlformats.org/officeDocument/2006/relationships/footer" Target="footer29.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footer" Target="footer61.xml"/><Relationship Id="rId154" Type="http://schemas.openxmlformats.org/officeDocument/2006/relationships/footer" Target="footer72.xml"/><Relationship Id="rId175" Type="http://schemas.openxmlformats.org/officeDocument/2006/relationships/footer" Target="footer82.xml"/><Relationship Id="rId340" Type="http://schemas.openxmlformats.org/officeDocument/2006/relationships/footer" Target="footer165.xml"/><Relationship Id="rId361" Type="http://schemas.openxmlformats.org/officeDocument/2006/relationships/footer" Target="footer175.xml"/><Relationship Id="rId196" Type="http://schemas.openxmlformats.org/officeDocument/2006/relationships/footer" Target="footer93.xml"/><Relationship Id="rId200" Type="http://schemas.openxmlformats.org/officeDocument/2006/relationships/footer" Target="footer95.xml"/><Relationship Id="rId382" Type="http://schemas.openxmlformats.org/officeDocument/2006/relationships/footer" Target="footer186.xml"/><Relationship Id="rId417" Type="http://schemas.openxmlformats.org/officeDocument/2006/relationships/header" Target="header204.xml"/><Relationship Id="rId438" Type="http://schemas.openxmlformats.org/officeDocument/2006/relationships/theme" Target="theme/theme1.xml"/><Relationship Id="rId16" Type="http://schemas.openxmlformats.org/officeDocument/2006/relationships/footer" Target="footer3.xml"/><Relationship Id="rId221" Type="http://schemas.openxmlformats.org/officeDocument/2006/relationships/header" Target="header106.xml"/><Relationship Id="rId242" Type="http://schemas.openxmlformats.org/officeDocument/2006/relationships/footer" Target="footer116.xml"/><Relationship Id="rId263" Type="http://schemas.openxmlformats.org/officeDocument/2006/relationships/header" Target="header127.xml"/><Relationship Id="rId284" Type="http://schemas.openxmlformats.org/officeDocument/2006/relationships/footer" Target="footer137.xml"/><Relationship Id="rId319" Type="http://schemas.openxmlformats.org/officeDocument/2006/relationships/footer" Target="footer154.xml"/><Relationship Id="rId37" Type="http://schemas.openxmlformats.org/officeDocument/2006/relationships/footer" Target="footer13.xml"/><Relationship Id="rId58" Type="http://schemas.openxmlformats.org/officeDocument/2006/relationships/footer" Target="footer24.xml"/><Relationship Id="rId79" Type="http://schemas.openxmlformats.org/officeDocument/2006/relationships/footer" Target="footer34.xml"/><Relationship Id="rId102" Type="http://schemas.openxmlformats.org/officeDocument/2006/relationships/header" Target="header47.xml"/><Relationship Id="rId123" Type="http://schemas.openxmlformats.org/officeDocument/2006/relationships/header" Target="header57.xml"/><Relationship Id="rId144" Type="http://schemas.openxmlformats.org/officeDocument/2006/relationships/header" Target="header68.xml"/><Relationship Id="rId330" Type="http://schemas.openxmlformats.org/officeDocument/2006/relationships/header" Target="header161.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header" Target="header89.xml"/><Relationship Id="rId351" Type="http://schemas.openxmlformats.org/officeDocument/2006/relationships/header" Target="header171.xml"/><Relationship Id="rId372" Type="http://schemas.openxmlformats.org/officeDocument/2006/relationships/header" Target="header182.xml"/><Relationship Id="rId393" Type="http://schemas.openxmlformats.org/officeDocument/2006/relationships/header" Target="header192.xml"/><Relationship Id="rId407" Type="http://schemas.openxmlformats.org/officeDocument/2006/relationships/header" Target="header199.xml"/><Relationship Id="rId428" Type="http://schemas.openxmlformats.org/officeDocument/2006/relationships/footer" Target="footer209.xml"/><Relationship Id="rId211" Type="http://schemas.openxmlformats.org/officeDocument/2006/relationships/footer" Target="footer100.xml"/><Relationship Id="rId232" Type="http://schemas.openxmlformats.org/officeDocument/2006/relationships/footer" Target="footer111.xml"/><Relationship Id="rId253" Type="http://schemas.openxmlformats.org/officeDocument/2006/relationships/footer" Target="footer121.xml"/><Relationship Id="rId274" Type="http://schemas.openxmlformats.org/officeDocument/2006/relationships/footer" Target="footer132.xml"/><Relationship Id="rId295" Type="http://schemas.openxmlformats.org/officeDocument/2006/relationships/footer" Target="footer142.xml"/><Relationship Id="rId309" Type="http://schemas.openxmlformats.org/officeDocument/2006/relationships/header" Target="header150.xml"/><Relationship Id="rId27" Type="http://schemas.openxmlformats.org/officeDocument/2006/relationships/header" Target="header9.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header" Target="header52.xml"/><Relationship Id="rId134" Type="http://schemas.openxmlformats.org/officeDocument/2006/relationships/footer" Target="footer62.xml"/><Relationship Id="rId320" Type="http://schemas.openxmlformats.org/officeDocument/2006/relationships/footer" Target="footer155.xml"/><Relationship Id="rId80" Type="http://schemas.openxmlformats.org/officeDocument/2006/relationships/footer" Target="footer35.xml"/><Relationship Id="rId155" Type="http://schemas.openxmlformats.org/officeDocument/2006/relationships/header" Target="header73.xml"/><Relationship Id="rId176" Type="http://schemas.openxmlformats.org/officeDocument/2006/relationships/footer" Target="footer83.xml"/><Relationship Id="rId197" Type="http://schemas.openxmlformats.org/officeDocument/2006/relationships/header" Target="header94.xml"/><Relationship Id="rId341" Type="http://schemas.openxmlformats.org/officeDocument/2006/relationships/header" Target="header166.xml"/><Relationship Id="rId362" Type="http://schemas.openxmlformats.org/officeDocument/2006/relationships/footer" Target="footer176.xml"/><Relationship Id="rId383" Type="http://schemas.openxmlformats.org/officeDocument/2006/relationships/header" Target="header187.xml"/><Relationship Id="rId418" Type="http://schemas.openxmlformats.org/officeDocument/2006/relationships/footer" Target="footer204.xml"/><Relationship Id="rId201" Type="http://schemas.openxmlformats.org/officeDocument/2006/relationships/header" Target="header96.xml"/><Relationship Id="rId222" Type="http://schemas.openxmlformats.org/officeDocument/2006/relationships/header" Target="header107.xml"/><Relationship Id="rId243" Type="http://schemas.openxmlformats.org/officeDocument/2006/relationships/header" Target="header117.xml"/><Relationship Id="rId264" Type="http://schemas.openxmlformats.org/officeDocument/2006/relationships/header" Target="header128.xml"/><Relationship Id="rId285" Type="http://schemas.openxmlformats.org/officeDocument/2006/relationships/header" Target="header138.xml"/><Relationship Id="rId17" Type="http://schemas.openxmlformats.org/officeDocument/2006/relationships/header" Target="header4.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footer" Target="footer46.xml"/><Relationship Id="rId124" Type="http://schemas.openxmlformats.org/officeDocument/2006/relationships/footer" Target="footer57.xml"/><Relationship Id="rId310" Type="http://schemas.openxmlformats.org/officeDocument/2006/relationships/footer" Target="footer150.xml"/><Relationship Id="rId70" Type="http://schemas.openxmlformats.org/officeDocument/2006/relationships/footer" Target="footer30.xml"/><Relationship Id="rId91" Type="http://schemas.openxmlformats.org/officeDocument/2006/relationships/footer" Target="footer40.xml"/><Relationship Id="rId145" Type="http://schemas.openxmlformats.org/officeDocument/2006/relationships/footer" Target="footer67.xml"/><Relationship Id="rId166" Type="http://schemas.openxmlformats.org/officeDocument/2006/relationships/footer" Target="footer78.xml"/><Relationship Id="rId187" Type="http://schemas.openxmlformats.org/officeDocument/2006/relationships/footer" Target="footer88.xml"/><Relationship Id="rId331" Type="http://schemas.openxmlformats.org/officeDocument/2006/relationships/footer" Target="footer160.xml"/><Relationship Id="rId352" Type="http://schemas.openxmlformats.org/officeDocument/2006/relationships/footer" Target="footer171.xml"/><Relationship Id="rId373" Type="http://schemas.openxmlformats.org/officeDocument/2006/relationships/footer" Target="footer181.xml"/><Relationship Id="rId394" Type="http://schemas.openxmlformats.org/officeDocument/2006/relationships/footer" Target="footer192.xml"/><Relationship Id="rId408" Type="http://schemas.openxmlformats.org/officeDocument/2006/relationships/header" Target="header200.xml"/><Relationship Id="rId429" Type="http://schemas.openxmlformats.org/officeDocument/2006/relationships/header" Target="header210.xml"/><Relationship Id="rId1" Type="http://schemas.microsoft.com/office/2006/relationships/keyMapCustomizations" Target="customizations.xml"/><Relationship Id="rId212" Type="http://schemas.openxmlformats.org/officeDocument/2006/relationships/footer" Target="footer101.xml"/><Relationship Id="rId233" Type="http://schemas.openxmlformats.org/officeDocument/2006/relationships/header" Target="header112.xml"/><Relationship Id="rId254" Type="http://schemas.openxmlformats.org/officeDocument/2006/relationships/footer" Target="footer122.xml"/><Relationship Id="rId28" Type="http://schemas.openxmlformats.org/officeDocument/2006/relationships/footer" Target="footer9.xml"/><Relationship Id="rId49" Type="http://schemas.openxmlformats.org/officeDocument/2006/relationships/footer" Target="footer19.xml"/><Relationship Id="rId114" Type="http://schemas.openxmlformats.org/officeDocument/2006/relationships/header" Target="header53.xml"/><Relationship Id="rId275" Type="http://schemas.openxmlformats.org/officeDocument/2006/relationships/header" Target="header133.xml"/><Relationship Id="rId296" Type="http://schemas.openxmlformats.org/officeDocument/2006/relationships/footer" Target="footer143.xml"/><Relationship Id="rId300" Type="http://schemas.openxmlformats.org/officeDocument/2006/relationships/header" Target="header146.xml"/><Relationship Id="rId60" Type="http://schemas.openxmlformats.org/officeDocument/2006/relationships/header" Target="header26.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header" Target="header74.xml"/><Relationship Id="rId177" Type="http://schemas.openxmlformats.org/officeDocument/2006/relationships/header" Target="header84.xml"/><Relationship Id="rId198" Type="http://schemas.openxmlformats.org/officeDocument/2006/relationships/header" Target="header95.xml"/><Relationship Id="rId321" Type="http://schemas.openxmlformats.org/officeDocument/2006/relationships/header" Target="header156.xml"/><Relationship Id="rId342" Type="http://schemas.openxmlformats.org/officeDocument/2006/relationships/header" Target="header167.xml"/><Relationship Id="rId363" Type="http://schemas.openxmlformats.org/officeDocument/2006/relationships/header" Target="header177.xml"/><Relationship Id="rId384" Type="http://schemas.openxmlformats.org/officeDocument/2006/relationships/header" Target="header188.xml"/><Relationship Id="rId419" Type="http://schemas.openxmlformats.org/officeDocument/2006/relationships/header" Target="header205.xml"/><Relationship Id="rId202" Type="http://schemas.openxmlformats.org/officeDocument/2006/relationships/footer" Target="footer96.xml"/><Relationship Id="rId223" Type="http://schemas.openxmlformats.org/officeDocument/2006/relationships/footer" Target="footer106.xml"/><Relationship Id="rId244" Type="http://schemas.openxmlformats.org/officeDocument/2006/relationships/footer" Target="footer117.xml"/><Relationship Id="rId430" Type="http://schemas.openxmlformats.org/officeDocument/2006/relationships/footer" Target="footer210.xml"/><Relationship Id="rId18" Type="http://schemas.openxmlformats.org/officeDocument/2006/relationships/header" Target="header5.xml"/><Relationship Id="rId39" Type="http://schemas.openxmlformats.org/officeDocument/2006/relationships/header" Target="header15.xml"/><Relationship Id="rId265" Type="http://schemas.openxmlformats.org/officeDocument/2006/relationships/footer" Target="footer127.xml"/><Relationship Id="rId286" Type="http://schemas.openxmlformats.org/officeDocument/2006/relationships/footer" Target="footer138.xml"/><Relationship Id="rId50" Type="http://schemas.openxmlformats.org/officeDocument/2006/relationships/footer" Target="footer20.xml"/><Relationship Id="rId104" Type="http://schemas.openxmlformats.org/officeDocument/2006/relationships/footer" Target="footer47.xml"/><Relationship Id="rId125" Type="http://schemas.openxmlformats.org/officeDocument/2006/relationships/header" Target="header58.xml"/><Relationship Id="rId146" Type="http://schemas.openxmlformats.org/officeDocument/2006/relationships/footer" Target="footer68.xml"/><Relationship Id="rId167" Type="http://schemas.openxmlformats.org/officeDocument/2006/relationships/header" Target="header79.xml"/><Relationship Id="rId188" Type="http://schemas.openxmlformats.org/officeDocument/2006/relationships/footer" Target="footer89.xml"/><Relationship Id="rId311" Type="http://schemas.openxmlformats.org/officeDocument/2006/relationships/header" Target="header151.xml"/><Relationship Id="rId332" Type="http://schemas.openxmlformats.org/officeDocument/2006/relationships/footer" Target="footer161.xml"/><Relationship Id="rId353" Type="http://schemas.openxmlformats.org/officeDocument/2006/relationships/header" Target="header172.xml"/><Relationship Id="rId374" Type="http://schemas.openxmlformats.org/officeDocument/2006/relationships/footer" Target="footer182.xml"/><Relationship Id="rId395" Type="http://schemas.openxmlformats.org/officeDocument/2006/relationships/header" Target="header193.xml"/><Relationship Id="rId409" Type="http://schemas.openxmlformats.org/officeDocument/2006/relationships/footer" Target="footer199.xml"/><Relationship Id="rId71" Type="http://schemas.openxmlformats.org/officeDocument/2006/relationships/header" Target="header31.xml"/><Relationship Id="rId92" Type="http://schemas.openxmlformats.org/officeDocument/2006/relationships/footer" Target="footer41.xml"/><Relationship Id="rId213" Type="http://schemas.openxmlformats.org/officeDocument/2006/relationships/header" Target="header102.xml"/><Relationship Id="rId234" Type="http://schemas.openxmlformats.org/officeDocument/2006/relationships/header" Target="header113.xml"/><Relationship Id="rId420" Type="http://schemas.openxmlformats.org/officeDocument/2006/relationships/header" Target="header206.xml"/><Relationship Id="rId2" Type="http://schemas.openxmlformats.org/officeDocument/2006/relationships/customXml" Target="../customXml/item1.xml"/><Relationship Id="rId29" Type="http://schemas.openxmlformats.org/officeDocument/2006/relationships/header" Target="header10.xml"/><Relationship Id="rId255" Type="http://schemas.openxmlformats.org/officeDocument/2006/relationships/header" Target="header123.xml"/><Relationship Id="rId276" Type="http://schemas.openxmlformats.org/officeDocument/2006/relationships/header" Target="header134.xml"/><Relationship Id="rId297" Type="http://schemas.openxmlformats.org/officeDocument/2006/relationships/header" Target="header144.xml"/><Relationship Id="rId40" Type="http://schemas.openxmlformats.org/officeDocument/2006/relationships/footer" Target="footer15.xml"/><Relationship Id="rId115" Type="http://schemas.openxmlformats.org/officeDocument/2006/relationships/footer" Target="footer52.xml"/><Relationship Id="rId136" Type="http://schemas.openxmlformats.org/officeDocument/2006/relationships/footer" Target="footer63.xml"/><Relationship Id="rId157" Type="http://schemas.openxmlformats.org/officeDocument/2006/relationships/footer" Target="footer73.xml"/><Relationship Id="rId178" Type="http://schemas.openxmlformats.org/officeDocument/2006/relationships/footer" Target="footer84.xml"/><Relationship Id="rId301" Type="http://schemas.openxmlformats.org/officeDocument/2006/relationships/footer" Target="footer145.xml"/><Relationship Id="rId322" Type="http://schemas.openxmlformats.org/officeDocument/2006/relationships/footer" Target="footer156.xml"/><Relationship Id="rId343" Type="http://schemas.openxmlformats.org/officeDocument/2006/relationships/footer" Target="footer166.xml"/><Relationship Id="rId364" Type="http://schemas.openxmlformats.org/officeDocument/2006/relationships/footer" Target="footer177.xml"/><Relationship Id="rId61" Type="http://schemas.openxmlformats.org/officeDocument/2006/relationships/footer" Target="footer25.xml"/><Relationship Id="rId82" Type="http://schemas.openxmlformats.org/officeDocument/2006/relationships/footer" Target="footer36.xml"/><Relationship Id="rId199" Type="http://schemas.openxmlformats.org/officeDocument/2006/relationships/footer" Target="footer94.xml"/><Relationship Id="rId203" Type="http://schemas.openxmlformats.org/officeDocument/2006/relationships/header" Target="header97.xml"/><Relationship Id="rId385" Type="http://schemas.openxmlformats.org/officeDocument/2006/relationships/footer" Target="footer187.xml"/><Relationship Id="rId19" Type="http://schemas.openxmlformats.org/officeDocument/2006/relationships/footer" Target="footer4.xml"/><Relationship Id="rId224" Type="http://schemas.openxmlformats.org/officeDocument/2006/relationships/footer" Target="footer107.xml"/><Relationship Id="rId245" Type="http://schemas.openxmlformats.org/officeDocument/2006/relationships/header" Target="header118.xml"/><Relationship Id="rId266" Type="http://schemas.openxmlformats.org/officeDocument/2006/relationships/footer" Target="footer128.xml"/><Relationship Id="rId287" Type="http://schemas.openxmlformats.org/officeDocument/2006/relationships/header" Target="header139.xml"/><Relationship Id="rId410" Type="http://schemas.openxmlformats.org/officeDocument/2006/relationships/footer" Target="footer200.xml"/><Relationship Id="rId431" Type="http://schemas.openxmlformats.org/officeDocument/2006/relationships/header" Target="header211.xml"/><Relationship Id="rId30" Type="http://schemas.openxmlformats.org/officeDocument/2006/relationships/header" Target="header11.xml"/><Relationship Id="rId105" Type="http://schemas.openxmlformats.org/officeDocument/2006/relationships/header" Target="header48.xml"/><Relationship Id="rId126" Type="http://schemas.openxmlformats.org/officeDocument/2006/relationships/header" Target="header59.xml"/><Relationship Id="rId147" Type="http://schemas.openxmlformats.org/officeDocument/2006/relationships/header" Target="header69.xml"/><Relationship Id="rId168" Type="http://schemas.openxmlformats.org/officeDocument/2006/relationships/header" Target="header80.xml"/><Relationship Id="rId312" Type="http://schemas.openxmlformats.org/officeDocument/2006/relationships/header" Target="header152.xml"/><Relationship Id="rId333" Type="http://schemas.openxmlformats.org/officeDocument/2006/relationships/header" Target="header162.xml"/><Relationship Id="rId354" Type="http://schemas.openxmlformats.org/officeDocument/2006/relationships/header" Target="header173.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189" Type="http://schemas.openxmlformats.org/officeDocument/2006/relationships/header" Target="header90.xml"/><Relationship Id="rId375" Type="http://schemas.openxmlformats.org/officeDocument/2006/relationships/header" Target="header183.xml"/><Relationship Id="rId396" Type="http://schemas.openxmlformats.org/officeDocument/2006/relationships/header" Target="header194.xml"/><Relationship Id="rId3" Type="http://schemas.openxmlformats.org/officeDocument/2006/relationships/numbering" Target="numbering.xml"/><Relationship Id="rId214" Type="http://schemas.openxmlformats.org/officeDocument/2006/relationships/footer" Target="footer102.xml"/><Relationship Id="rId235" Type="http://schemas.openxmlformats.org/officeDocument/2006/relationships/footer" Target="footer112.xml"/><Relationship Id="rId256" Type="http://schemas.openxmlformats.org/officeDocument/2006/relationships/footer" Target="footer123.xml"/><Relationship Id="rId277" Type="http://schemas.openxmlformats.org/officeDocument/2006/relationships/footer" Target="footer133.xml"/><Relationship Id="rId298" Type="http://schemas.openxmlformats.org/officeDocument/2006/relationships/footer" Target="footer144.xml"/><Relationship Id="rId400" Type="http://schemas.openxmlformats.org/officeDocument/2006/relationships/footer" Target="footer195.xml"/><Relationship Id="rId421" Type="http://schemas.openxmlformats.org/officeDocument/2006/relationships/footer" Target="footer205.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footer" Target="footer74.xml"/><Relationship Id="rId302" Type="http://schemas.openxmlformats.org/officeDocument/2006/relationships/footer" Target="footer146.xml"/><Relationship Id="rId323" Type="http://schemas.openxmlformats.org/officeDocument/2006/relationships/header" Target="header157.xml"/><Relationship Id="rId344" Type="http://schemas.openxmlformats.org/officeDocument/2006/relationships/footer" Target="footer167.xml"/><Relationship Id="rId20" Type="http://schemas.openxmlformats.org/officeDocument/2006/relationships/footer" Target="footer5.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eader" Target="header37.xml"/><Relationship Id="rId179" Type="http://schemas.openxmlformats.org/officeDocument/2006/relationships/header" Target="header85.xml"/><Relationship Id="rId365" Type="http://schemas.openxmlformats.org/officeDocument/2006/relationships/header" Target="header178.xml"/><Relationship Id="rId386" Type="http://schemas.openxmlformats.org/officeDocument/2006/relationships/footer" Target="footer188.xml"/><Relationship Id="rId190" Type="http://schemas.openxmlformats.org/officeDocument/2006/relationships/footer" Target="footer90.xml"/><Relationship Id="rId204" Type="http://schemas.openxmlformats.org/officeDocument/2006/relationships/header" Target="header98.xml"/><Relationship Id="rId225" Type="http://schemas.openxmlformats.org/officeDocument/2006/relationships/header" Target="header108.xml"/><Relationship Id="rId246" Type="http://schemas.openxmlformats.org/officeDocument/2006/relationships/header" Target="header119.xml"/><Relationship Id="rId267" Type="http://schemas.openxmlformats.org/officeDocument/2006/relationships/header" Target="header129.xml"/><Relationship Id="rId288" Type="http://schemas.openxmlformats.org/officeDocument/2006/relationships/header" Target="header140.xml"/><Relationship Id="rId411" Type="http://schemas.openxmlformats.org/officeDocument/2006/relationships/header" Target="header201.xml"/><Relationship Id="rId432" Type="http://schemas.openxmlformats.org/officeDocument/2006/relationships/header" Target="header212.xml"/><Relationship Id="rId106" Type="http://schemas.openxmlformats.org/officeDocument/2006/relationships/footer" Target="footer48.xml"/><Relationship Id="rId127" Type="http://schemas.openxmlformats.org/officeDocument/2006/relationships/footer" Target="footer58.xml"/><Relationship Id="rId313" Type="http://schemas.openxmlformats.org/officeDocument/2006/relationships/footer" Target="footer151.xml"/><Relationship Id="rId10" Type="http://schemas.openxmlformats.org/officeDocument/2006/relationships/image" Target="media/image1.emf"/><Relationship Id="rId31" Type="http://schemas.openxmlformats.org/officeDocument/2006/relationships/footer" Target="footer10.xml"/><Relationship Id="rId52" Type="http://schemas.openxmlformats.org/officeDocument/2006/relationships/footer" Target="footer21.xml"/><Relationship Id="rId73" Type="http://schemas.openxmlformats.org/officeDocument/2006/relationships/footer" Target="footer31.xml"/><Relationship Id="rId94" Type="http://schemas.openxmlformats.org/officeDocument/2006/relationships/footer" Target="footer42.xml"/><Relationship Id="rId148" Type="http://schemas.openxmlformats.org/officeDocument/2006/relationships/footer" Target="footer69.xml"/><Relationship Id="rId169" Type="http://schemas.openxmlformats.org/officeDocument/2006/relationships/footer" Target="footer79.xml"/><Relationship Id="rId334" Type="http://schemas.openxmlformats.org/officeDocument/2006/relationships/footer" Target="footer162.xml"/><Relationship Id="rId355" Type="http://schemas.openxmlformats.org/officeDocument/2006/relationships/footer" Target="footer172.xml"/><Relationship Id="rId376" Type="http://schemas.openxmlformats.org/officeDocument/2006/relationships/footer" Target="footer183.xml"/><Relationship Id="rId397" Type="http://schemas.openxmlformats.org/officeDocument/2006/relationships/footer" Target="footer193.xml"/><Relationship Id="rId4" Type="http://schemas.openxmlformats.org/officeDocument/2006/relationships/styles" Target="styles.xml"/><Relationship Id="rId180" Type="http://schemas.openxmlformats.org/officeDocument/2006/relationships/header" Target="header86.xml"/><Relationship Id="rId215" Type="http://schemas.openxmlformats.org/officeDocument/2006/relationships/header" Target="header103.xml"/><Relationship Id="rId236" Type="http://schemas.openxmlformats.org/officeDocument/2006/relationships/footer" Target="footer113.xml"/><Relationship Id="rId257" Type="http://schemas.openxmlformats.org/officeDocument/2006/relationships/header" Target="header124.xml"/><Relationship Id="rId278" Type="http://schemas.openxmlformats.org/officeDocument/2006/relationships/footer" Target="footer134.xml"/><Relationship Id="rId401" Type="http://schemas.openxmlformats.org/officeDocument/2006/relationships/header" Target="header196.xml"/><Relationship Id="rId422" Type="http://schemas.openxmlformats.org/officeDocument/2006/relationships/footer" Target="footer206.xml"/><Relationship Id="rId303" Type="http://schemas.openxmlformats.org/officeDocument/2006/relationships/header" Target="header147.xml"/><Relationship Id="rId42" Type="http://schemas.openxmlformats.org/officeDocument/2006/relationships/header" Target="header17.xml"/><Relationship Id="rId84" Type="http://schemas.openxmlformats.org/officeDocument/2006/relationships/header" Target="header38.xml"/><Relationship Id="rId138" Type="http://schemas.openxmlformats.org/officeDocument/2006/relationships/header" Target="header65.xml"/><Relationship Id="rId345" Type="http://schemas.openxmlformats.org/officeDocument/2006/relationships/header" Target="header168.xml"/><Relationship Id="rId387" Type="http://schemas.openxmlformats.org/officeDocument/2006/relationships/header" Target="header189.xml"/><Relationship Id="rId191" Type="http://schemas.openxmlformats.org/officeDocument/2006/relationships/header" Target="header91.xml"/><Relationship Id="rId205" Type="http://schemas.openxmlformats.org/officeDocument/2006/relationships/footer" Target="footer97.xml"/><Relationship Id="rId247" Type="http://schemas.openxmlformats.org/officeDocument/2006/relationships/footer" Target="footer118.xml"/><Relationship Id="rId412" Type="http://schemas.openxmlformats.org/officeDocument/2006/relationships/footer" Target="footer201.xml"/><Relationship Id="rId107" Type="http://schemas.openxmlformats.org/officeDocument/2006/relationships/header" Target="header49.xml"/><Relationship Id="rId289" Type="http://schemas.openxmlformats.org/officeDocument/2006/relationships/footer" Target="footer139.xml"/><Relationship Id="rId11" Type="http://schemas.openxmlformats.org/officeDocument/2006/relationships/header" Target="header1.xml"/><Relationship Id="rId53" Type="http://schemas.openxmlformats.org/officeDocument/2006/relationships/header" Target="header22.xml"/><Relationship Id="rId149" Type="http://schemas.openxmlformats.org/officeDocument/2006/relationships/header" Target="header70.xml"/><Relationship Id="rId314" Type="http://schemas.openxmlformats.org/officeDocument/2006/relationships/footer" Target="footer152.xml"/><Relationship Id="rId356" Type="http://schemas.openxmlformats.org/officeDocument/2006/relationships/footer" Target="footer173.xml"/><Relationship Id="rId398" Type="http://schemas.openxmlformats.org/officeDocument/2006/relationships/footer" Target="footer194.xml"/><Relationship Id="rId95" Type="http://schemas.openxmlformats.org/officeDocument/2006/relationships/header" Target="header43.xml"/><Relationship Id="rId160" Type="http://schemas.openxmlformats.org/officeDocument/2006/relationships/footer" Target="footer75.xml"/><Relationship Id="rId216" Type="http://schemas.openxmlformats.org/officeDocument/2006/relationships/header" Target="header104.xml"/><Relationship Id="rId423" Type="http://schemas.openxmlformats.org/officeDocument/2006/relationships/header" Target="header207.xml"/><Relationship Id="rId258" Type="http://schemas.openxmlformats.org/officeDocument/2006/relationships/header" Target="header125.xml"/><Relationship Id="rId22" Type="http://schemas.openxmlformats.org/officeDocument/2006/relationships/footer" Target="footer6.xml"/><Relationship Id="rId64" Type="http://schemas.openxmlformats.org/officeDocument/2006/relationships/footer" Target="footer27.xml"/><Relationship Id="rId118" Type="http://schemas.openxmlformats.org/officeDocument/2006/relationships/footer" Target="footer54.xml"/><Relationship Id="rId325" Type="http://schemas.openxmlformats.org/officeDocument/2006/relationships/footer" Target="footer157.xml"/><Relationship Id="rId367" Type="http://schemas.openxmlformats.org/officeDocument/2006/relationships/footer" Target="footer178.xml"/><Relationship Id="rId171" Type="http://schemas.openxmlformats.org/officeDocument/2006/relationships/header" Target="header81.xml"/><Relationship Id="rId227" Type="http://schemas.openxmlformats.org/officeDocument/2006/relationships/header" Target="header10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7E42D-C596-40F5-9153-C7236FD5C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48</Pages>
  <Words>48021</Words>
  <Characters>284768</Characters>
  <Application>Microsoft Office Word</Application>
  <DocSecurity>0</DocSecurity>
  <Lines>21905</Lines>
  <Paragraphs>12799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319990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80</cp:revision>
  <dcterms:created xsi:type="dcterms:W3CDTF">2020-06-02T07:36:00Z</dcterms:created>
  <dcterms:modified xsi:type="dcterms:W3CDTF">2020-09-02T14:46:00Z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IAsAAB+LCAAAAAAABAA9lomV4zAMQ1syqbse9d/D4IPKvE02HlvmAYCQ4rQb7X7610JX527/Uf+6vtnW3fOeuOvcjLyz3/xuhL6t3cx5e/KJfWOcG50H68bqd3Gpq3njW4rUbtfq2/Q36TJ0EavW6H/HjjO0cugNQuZVyE5G3VGGjOMnyfW82RXl07frTxUz9ESJRqego2Bb9/WgK/zct6uD79yhTucgGfUOvUAzREzWqRrWU5xejUma5nURpKP</vt:lpwstr>
  </property>
  <property fmtid="{D5CDD505-2E9C-101B-9397-08002B2CF9AE}" pid="3" name="DMCulture01">
    <vt:lpwstr>oU7+j+b1xNyGrBWWjmKw3VIfSCddM4XH7MDAZ3Z2v4Gmn63NpWsiOCqtyA0poyzgViDEoU2vojueOpPWHj+LF1gtfNznR9m3CQncgSHXFer+N9a06b8XY1MvUmsbgJB86PzzuVXeGSwU3kZtODLO/KPp+rbhTLZQSfJdhMtck/N6vdAURq1V70hhkiOoRxbSaFSrtChC1Mrrpy2NegTb0p1vZ3dGcSRjv5U71Au+kFksk8RXL8ytEhaIb0C31QP</vt:lpwstr>
  </property>
  <property fmtid="{D5CDD505-2E9C-101B-9397-08002B2CF9AE}" pid="4" name="DMCulture02">
    <vt:lpwstr>bgPbj+tntxpqJ/TJMDQHRrZugAYqnNvSklIp8vl6KciSD1jCIAEoVvOEBJ31OVfhepRCuzsT/Pyb7jAUM5ummRKMMkw9G9RPl6vlYFQ2aQrZiqiuXufbWiMsBFgDieCqFrRCeagmEajoY6PMPDQVPX3IpwPiVXlztMk5Yo2hg1jl/h3zzCyIDc7rNbzjmGa+kOBPL9uMjTbSOCwSgdxjX1zJO3LRcVPhda5j4g+QUxLW+ZCcylblciqCS+VlH56</vt:lpwstr>
  </property>
  <property fmtid="{D5CDD505-2E9C-101B-9397-08002B2CF9AE}" pid="5" name="DMCulture03">
    <vt:lpwstr>LIMZenhsZoz6HbUGO+Sq/hJ1Jv1O2uYrH3G465lqAkk2hhE2WFCUnYT9ZLHkrmcUrCKG2lxsdiDgXZ2d+aJh9RArGEN5Vs/SoBYyQMTzIzIsWI8CYSclAa8/Tf4nwWJPJG66kMrAmp/zxU0TYU1fimOLcjPXmOvhWoNua6S4USzglHGgEGiIxTUvTVgIgKIjeOU6g1AL6RQM8JR/apOGp813xrfvUq7X9VGS+gDScebwlMVUM88NjNjh8mxHVAm</vt:lpwstr>
  </property>
  <property fmtid="{D5CDD505-2E9C-101B-9397-08002B2CF9AE}" pid="6" name="DMCulture04">
    <vt:lpwstr>9xhaBOBR77ZePIzHP3ejA2G1iklblgOXytWUqBfdYAW8/Zm3cGED+Z4dz/IRkmAL61UudJ9nEHuOGvc3lr12RTtEgwGMBPdS3sHueuEwatPoFvLJ2oBQGBUjpXzT4s1pFvlsqYLL7CzvdjPrKYoVL7vWA4JE5H2OIWPzYud+VirdjtqNkMIpI+x2ZRVOcsQCaUmDEPT2IdNLo5I9Hi5vlIrtPsMtEDfT1Y9mLNA1SbUIENw5MEQ56ihCJEKV/3v</vt:lpwstr>
  </property>
  <property fmtid="{D5CDD505-2E9C-101B-9397-08002B2CF9AE}" pid="7" name="DMCulture05">
    <vt:lpwstr>bkB+IgTe8AWoxTCa0rA4VecM42AGVuDClm4xOYvoMDfL3LNYmn87B8WNbdulVWMn2gaYOEUrHtvm5ZNVAE6fURFvD3c0i9B1P4JtRUp/j1Mwy4ApAn3p5vrvtHahO8fw/DyBcm7s0wy5jt6LH87a5eKIcHjGE872tVSWO+eNh1rEOJNb1iQRxIIltmg3HqIMc9gH44pYntthn3XYB1AQbVtR855Jh+wNAGQPm/dnlPQEiU+VbjrOoY5NRCE51TF</vt:lpwstr>
  </property>
  <property fmtid="{D5CDD505-2E9C-101B-9397-08002B2CF9AE}" pid="8" name="DMCulture06">
    <vt:lpwstr>MvS8x3XlEjc5VGF3ZwyrQ4t0Hpqso76JEGw7Yn6Cyi1lQoO6BeB+s1feqxySg+VitR+diUZZJf8R/O5oG3AOtkVKfiP+Hn1McgCwAA</vt:lpwstr>
  </property>
  <property fmtid="{D5CDD505-2E9C-101B-9397-08002B2CF9AE}" pid="9" name="frecMETA00">
    <vt:lpwstr>UgoAAB+LCAAAAAAABAA9lguOxCAMQ69EgPA5D/e/w/o5nZVGaqcF4sSO0xjjnXg3Xszxepy32+vtxZgv1nx368V+qX9tvZta0t7sL859Sysnq4+Wat0+eru0UPd6dnU7dJvt7ek36/Vxnza3/rR/at/Woq7gQ/dX+/t+1yf732T7eMIY2Yl+CSkQhDitluvFNKzdX9dqYPd5SSQiFWLWVXuP3u7Q4nQ6ocxDR2gBi48O5aimiFeQ9KjzV6+vy6P</vt:lpwstr>
  </property>
  <property fmtid="{D5CDD505-2E9C-101B-9397-08002B2CF9AE}" pid="10" name="frecMETA01">
    <vt:lpwstr>tujnKY913tJ9kH3VrzQi8Z3K4Hm+h0cH8+mg+1lfyr4o0L4x1SGIPV2EsPwBx106lHdBBMbnqLoU3F2EPGS6v0wERep4P4rSSY9LcKeboxkLMbn5UohVmL8hDaChsd1FDQA/R4y1BhnrqllrfxYludYl2IbgP8A3nqIXw0ZsiJXQW21AlzK6unvnNfC6LkoPaTwKXANQHMNH0ZOlwJQZd5KezDxvu8WvL0fC7gAheqCoh4sPCPEYvlhU4WahdFF</vt:lpwstr>
  </property>
  <property fmtid="{D5CDD505-2E9C-101B-9397-08002B2CF9AE}" pid="11" name="frecMETA02">
    <vt:lpwstr>cyyF5p9WlofYySBKXdJlw48n4AdFVV02eZ4Kw8LVmdJCGnU1ValA/xIr9TrCk8YKxKUmXheOJG0Q+1dVAF6Wl6XCfdbicJbeY/EF5PGB8mTofcVi+nuRdE4lyr99K5A0Yuzb0WOJ3/lnSfq6SNiAdZKgpK1T0pt1OPxAowo3oo0XiJS0ox8/TFqu5BA9VdsWB++yTaiZY83dpnw7Z20MwE3njerCqEsbjezXznpymFvF4Az1R+U77FCWG57WG1w</vt:lpwstr>
  </property>
  <property fmtid="{D5CDD505-2E9C-101B-9397-08002B2CF9AE}" pid="12" name="frecMETA03">
    <vt:lpwstr>h09RVWbKftX9PxE0ulczsBWbF6kjeW40B/Po8wF83Jtwzg5ARdgmf1KirLi8KJyOySmkG+npcEBc9nkUCCSgwi5n62uP0DIC+Izm+t3Fh7ydrBbSlt2TPG3yiTpyGVnFDVUGTVVoU7ZEZvxciK7yz4V5SlL+2oXHWqigEs487Ofa/6Um84715oQMAVb3cU22ymNhTPZZXJmT3A8Ptxew6K1+VHHtrwcMeHANKX+gjU/ee9bE4V0r/uajZRWT9Vp</vt:lpwstr>
  </property>
  <property fmtid="{D5CDD505-2E9C-101B-9397-08002B2CF9AE}" pid="13" name="frecMETA04">
    <vt:lpwstr>5CCW6GEOG5Y4Z1k9woHD4MEGWAZEHZZTdtpZQCggHkG7OANmDiTmD+h9Fu10Z9RcS3O+cB3azfBK9syt5ULYITgjPOpQl7TOiPmNufmpWQnrkPu1oHVcQxU7Ei5MulUXw7CljTQpzb6VkaJQ4VFLqcv4PLas0Q37xWTcnKoLozS+gjADZ7UzOCCR1qGSYpwgYhrepicew9hsSr+3ePCEbZ9T2B7sDBIdTQBsRvWp0RQW6SzxMJU+13VA+5LdPph</vt:lpwstr>
  </property>
  <property fmtid="{D5CDD505-2E9C-101B-9397-08002B2CF9AE}" pid="14" name="frecMETA05">
    <vt:lpwstr>m2z0BB1Wi9NGWT8cJOnOGwHgb+5WeSNHPZn8xQSQ76+Mjy5AwSoHCVOh25ZLl6giIweke30U0A95Bs9B+hgY0vhP4iLjln7MUMvfXBMPiaFXG7rIMpAxZDAF9kfSaEJZMq9JZAqqMkNO4SI/vEHJmOZXO7wNGaMkhi9Yu1KsGFQ7U/GUUWVbR/TWy+NoDI17I8Dy27sSWba/+cGi1pL4OPFqtJdWtbArIvFEJsoBSIBcm/gBwFPhXUgoAAA==</vt:lpwstr>
  </property>
  <property fmtid="{D5CDD505-2E9C-101B-9397-08002B2CF9AE}" pid="15" name="PeriodId">
    <vt:i4>10</vt:i4>
  </property>
  <property fmtid="{D5CDD505-2E9C-101B-9397-08002B2CF9AE}" pid="16" name="PeriodName">
    <vt:lpwstr>2019 Annual Accounts</vt:lpwstr>
  </property>
  <property fmtid="{D5CDD505-2E9C-101B-9397-08002B2CF9AE}" pid="17" name="ReportId">
    <vt:i4>218</vt:i4>
  </property>
  <property fmtid="{D5CDD505-2E9C-101B-9397-08002B2CF9AE}" pid="18" name="ReportName">
    <vt:lpwstr>EDF from Master Report</vt:lpwstr>
  </property>
  <property fmtid="{D5CDD505-2E9C-101B-9397-08002B2CF9AE}" pid="19" name="synchronize">
    <vt:lpwstr>on</vt:lpwstr>
  </property>
  <property fmtid="{D5CDD505-2E9C-101B-9397-08002B2CF9AE}" pid="20" name="TemplateId">
    <vt:i4>604</vt:i4>
  </property>
  <property fmtid="{D5CDD505-2E9C-101B-9397-08002B2CF9AE}" pid="21" name="UseLegacyExcelTemplate">
    <vt:bool>true</vt:bool>
  </property>
  <property fmtid="{D5CDD505-2E9C-101B-9397-08002B2CF9AE}" pid="22" name="Level of sensitivity">
    <vt:lpwstr>Standard treatment</vt:lpwstr>
  </property>
  <property fmtid="{D5CDD505-2E9C-101B-9397-08002B2CF9AE}" pid="23" name="Part">
    <vt:lpwstr>1</vt:lpwstr>
  </property>
  <property fmtid="{D5CDD505-2E9C-101B-9397-08002B2CF9AE}" pid="24" name="Total parts">
    <vt:lpwstr>1</vt:lpwstr>
  </property>
  <property fmtid="{D5CDD505-2E9C-101B-9397-08002B2CF9AE}" pid="25" name="DocStatus">
    <vt:lpwstr>Green</vt:lpwstr>
  </property>
  <property fmtid="{D5CDD505-2E9C-101B-9397-08002B2CF9AE}" pid="26" name="CPTemplateID">
    <vt:lpwstr>CP-040</vt:lpwstr>
  </property>
  <property fmtid="{D5CDD505-2E9C-101B-9397-08002B2CF9AE}" pid="27" name="Last edited using">
    <vt:lpwstr>LW 7.0, Build 20190717</vt:lpwstr>
  </property>
  <property fmtid="{D5CDD505-2E9C-101B-9397-08002B2CF9AE}" pid="28" name="Created using">
    <vt:lpwstr>LW 7.0, Build 20190717</vt:lpwstr>
  </property>
</Properties>
</file>