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BC" w:rsidRDefault="003A51CD" w:rsidP="004761A2">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C10680A-BDAB-407C-9FFB-4221CF1DC129" style="width:450.75pt;height:414pt">
            <v:imagedata r:id="rId8" o:title=""/>
          </v:shape>
        </w:pict>
      </w:r>
    </w:p>
    <w:bookmarkEnd w:id="0"/>
    <w:p w:rsidR="00FF41BC" w:rsidRDefault="00FF41BC">
      <w:pPr>
        <w:rPr>
          <w:noProof/>
        </w:rPr>
        <w:sectPr w:rsidR="00FF41BC" w:rsidSect="004761A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FF41BC" w:rsidRDefault="00730EF0">
      <w:pPr>
        <w:jc w:val="center"/>
        <w:rPr>
          <w:rFonts w:asciiTheme="minorHAnsi" w:hAnsiTheme="minorHAnsi" w:cstheme="minorHAnsi"/>
          <w:b/>
          <w:noProof/>
          <w:sz w:val="36"/>
        </w:rPr>
      </w:pPr>
      <w:r>
        <w:rPr>
          <w:rFonts w:asciiTheme="minorHAnsi" w:hAnsiTheme="minorHAnsi"/>
          <w:b/>
          <w:noProof/>
          <w:sz w:val="36"/>
        </w:rPr>
        <w:lastRenderedPageBreak/>
        <w:t>Příprava na změny</w:t>
      </w:r>
    </w:p>
    <w:p w:rsidR="00FF41BC" w:rsidRDefault="00730EF0">
      <w:pPr>
        <w:jc w:val="center"/>
        <w:rPr>
          <w:rFonts w:asciiTheme="minorHAnsi" w:hAnsiTheme="minorHAnsi" w:cstheme="minorHAnsi"/>
          <w:b/>
          <w:noProof/>
          <w:sz w:val="36"/>
        </w:rPr>
      </w:pPr>
      <w:r>
        <w:rPr>
          <w:rFonts w:asciiTheme="minorHAnsi" w:hAnsiTheme="minorHAnsi"/>
          <w:b/>
          <w:noProof/>
          <w:sz w:val="36"/>
        </w:rPr>
        <w:t xml:space="preserve">Sdělení o připravenosti na konci přechodného období mezi Evropskou unií a Spojeným královstvím </w:t>
      </w:r>
    </w:p>
    <w:sdt>
      <w:sdtPr>
        <w:rPr>
          <w:rFonts w:asciiTheme="minorHAnsi" w:eastAsiaTheme="minorHAnsi" w:hAnsiTheme="minorHAnsi" w:cstheme="minorHAnsi"/>
          <w:noProof/>
          <w:color w:val="auto"/>
          <w:sz w:val="20"/>
          <w:szCs w:val="22"/>
        </w:rPr>
        <w:id w:val="-771317319"/>
        <w:docPartObj>
          <w:docPartGallery w:val="Table of Contents"/>
          <w:docPartUnique/>
        </w:docPartObj>
      </w:sdtPr>
      <w:sdtEndPr>
        <w:rPr>
          <w:rFonts w:eastAsiaTheme="majorEastAsia"/>
          <w:b/>
          <w:bCs/>
          <w:color w:val="365F91" w:themeColor="accent1" w:themeShade="BF"/>
          <w:szCs w:val="32"/>
        </w:rPr>
      </w:sdtEndPr>
      <w:sdtContent>
        <w:sdt>
          <w:sdtPr>
            <w:rPr>
              <w:rFonts w:ascii="EC Square Sans Pro" w:eastAsiaTheme="minorHAnsi" w:hAnsi="EC Square Sans Pro" w:cstheme="minorBidi"/>
              <w:noProof/>
              <w:color w:val="auto"/>
              <w:sz w:val="22"/>
              <w:szCs w:val="22"/>
            </w:rPr>
            <w:id w:val="263355505"/>
            <w:docPartObj>
              <w:docPartGallery w:val="Table of Contents"/>
              <w:docPartUnique/>
            </w:docPartObj>
          </w:sdtPr>
          <w:sdtEndPr>
            <w:rPr>
              <w:b/>
              <w:bCs/>
            </w:rPr>
          </w:sdtEndPr>
          <w:sdtContent>
            <w:p w:rsidR="00FF41BC" w:rsidRDefault="00FF41BC">
              <w:pPr>
                <w:pStyle w:val="TOCHeading"/>
                <w:rPr>
                  <w:noProof/>
                </w:rPr>
              </w:pPr>
            </w:p>
            <w:p w:rsidR="00FF41BC" w:rsidRDefault="00730EF0">
              <w:pPr>
                <w:pStyle w:val="TOC1"/>
                <w:tabs>
                  <w:tab w:val="left" w:pos="440"/>
                  <w:tab w:val="right" w:leader="dot" w:pos="9062"/>
                </w:tabs>
                <w:rPr>
                  <w:rFonts w:asciiTheme="minorHAnsi" w:eastAsiaTheme="minorEastAsia" w:hAnsiTheme="minorHAnsi"/>
                  <w:noProof/>
                  <w:lang w:val="en-US"/>
                </w:rPr>
              </w:pPr>
              <w:r>
                <w:rPr>
                  <w:noProof/>
                </w:rPr>
                <w:fldChar w:fldCharType="begin"/>
              </w:r>
              <w:r>
                <w:rPr>
                  <w:noProof/>
                </w:rPr>
                <w:instrText xml:space="preserve"> TOC \o "1-4" \h \z \u </w:instrText>
              </w:r>
              <w:r>
                <w:rPr>
                  <w:noProof/>
                </w:rPr>
                <w:fldChar w:fldCharType="separate"/>
              </w:r>
              <w:hyperlink w:anchor="_Toc46143597" w:history="1">
                <w:r>
                  <w:rPr>
                    <w:rStyle w:val="Hyperlink"/>
                    <w:rFonts w:cstheme="minorHAnsi"/>
                    <w:noProof/>
                    <w:lang w:val="fr-BE"/>
                  </w:rPr>
                  <w:t>I.</w:t>
                </w:r>
                <w:r>
                  <w:rPr>
                    <w:rFonts w:asciiTheme="minorHAnsi" w:eastAsiaTheme="minorEastAsia" w:hAnsiTheme="minorHAnsi"/>
                    <w:noProof/>
                    <w:lang w:val="en-US"/>
                  </w:rPr>
                  <w:tab/>
                </w:r>
                <w:r>
                  <w:rPr>
                    <w:rStyle w:val="Hyperlink"/>
                    <w:noProof/>
                  </w:rPr>
                  <w:t>ÚVOD</w:t>
                </w:r>
                <w:r>
                  <w:rPr>
                    <w:noProof/>
                    <w:webHidden/>
                  </w:rPr>
                  <w:tab/>
                </w:r>
                <w:r>
                  <w:rPr>
                    <w:noProof/>
                    <w:webHidden/>
                  </w:rPr>
                  <w:fldChar w:fldCharType="begin"/>
                </w:r>
                <w:r>
                  <w:rPr>
                    <w:noProof/>
                    <w:webHidden/>
                  </w:rPr>
                  <w:instrText xml:space="preserve"> PAGEREF _Toc46143597 \h </w:instrText>
                </w:r>
                <w:r>
                  <w:rPr>
                    <w:noProof/>
                    <w:webHidden/>
                  </w:rPr>
                </w:r>
                <w:r>
                  <w:rPr>
                    <w:noProof/>
                    <w:webHidden/>
                  </w:rPr>
                  <w:fldChar w:fldCharType="separate"/>
                </w:r>
                <w:r>
                  <w:rPr>
                    <w:noProof/>
                    <w:webHidden/>
                  </w:rPr>
                  <w:t>3</w:t>
                </w:r>
                <w:r>
                  <w:rPr>
                    <w:noProof/>
                    <w:webHidden/>
                  </w:rPr>
                  <w:fldChar w:fldCharType="end"/>
                </w:r>
              </w:hyperlink>
            </w:p>
            <w:p w:rsidR="00FF41BC" w:rsidRDefault="003A51CD">
              <w:pPr>
                <w:pStyle w:val="TOC1"/>
                <w:tabs>
                  <w:tab w:val="left" w:pos="440"/>
                  <w:tab w:val="right" w:leader="dot" w:pos="9062"/>
                </w:tabs>
                <w:rPr>
                  <w:rFonts w:asciiTheme="minorHAnsi" w:eastAsiaTheme="minorEastAsia" w:hAnsiTheme="minorHAnsi"/>
                  <w:noProof/>
                  <w:lang w:val="en-US"/>
                </w:rPr>
              </w:pPr>
              <w:hyperlink w:anchor="_Toc46143598" w:history="1">
                <w:r w:rsidR="00730EF0">
                  <w:rPr>
                    <w:rStyle w:val="Hyperlink"/>
                    <w:rFonts w:cstheme="minorHAnsi"/>
                    <w:noProof/>
                    <w:lang w:val="fr-BE"/>
                  </w:rPr>
                  <w:t>II.</w:t>
                </w:r>
                <w:r w:rsidR="00730EF0">
                  <w:rPr>
                    <w:rFonts w:asciiTheme="minorHAnsi" w:eastAsiaTheme="minorEastAsia" w:hAnsiTheme="minorHAnsi"/>
                    <w:noProof/>
                    <w:lang w:val="en-US"/>
                  </w:rPr>
                  <w:tab/>
                </w:r>
                <w:r w:rsidR="00730EF0">
                  <w:rPr>
                    <w:rStyle w:val="Hyperlink"/>
                    <w:noProof/>
                  </w:rPr>
                  <w:t>ZMĚNY, JEŽ NASTANOU BEZ OHLEDU NA KONKRÉTNÍ SCÉNÁŘ</w:t>
                </w:r>
                <w:r w:rsidR="00730EF0">
                  <w:rPr>
                    <w:noProof/>
                    <w:webHidden/>
                  </w:rPr>
                  <w:tab/>
                </w:r>
                <w:r w:rsidR="00730EF0">
                  <w:rPr>
                    <w:noProof/>
                    <w:webHidden/>
                  </w:rPr>
                  <w:fldChar w:fldCharType="begin"/>
                </w:r>
                <w:r w:rsidR="00730EF0">
                  <w:rPr>
                    <w:noProof/>
                    <w:webHidden/>
                  </w:rPr>
                  <w:instrText xml:space="preserve"> PAGEREF _Toc46143598 \h </w:instrText>
                </w:r>
                <w:r w:rsidR="00730EF0">
                  <w:rPr>
                    <w:noProof/>
                    <w:webHidden/>
                  </w:rPr>
                </w:r>
                <w:r w:rsidR="00730EF0">
                  <w:rPr>
                    <w:noProof/>
                    <w:webHidden/>
                  </w:rPr>
                  <w:fldChar w:fldCharType="separate"/>
                </w:r>
                <w:r w:rsidR="00730EF0">
                  <w:rPr>
                    <w:noProof/>
                    <w:webHidden/>
                  </w:rPr>
                  <w:t>5</w:t>
                </w:r>
                <w:r w:rsidR="00730EF0">
                  <w:rPr>
                    <w:noProof/>
                    <w:webHidden/>
                  </w:rPr>
                  <w:fldChar w:fldCharType="end"/>
                </w:r>
              </w:hyperlink>
            </w:p>
            <w:p w:rsidR="00FF41BC" w:rsidRDefault="003A51CD">
              <w:pPr>
                <w:pStyle w:val="TOC2"/>
                <w:rPr>
                  <w:rFonts w:asciiTheme="minorHAnsi" w:eastAsiaTheme="minorEastAsia" w:hAnsiTheme="minorHAnsi" w:cstheme="minorBidi"/>
                  <w:b w:val="0"/>
                  <w:lang w:val="en-US"/>
                </w:rPr>
              </w:pPr>
              <w:hyperlink w:anchor="_Toc46143599" w:history="1">
                <w:r w:rsidR="00730EF0">
                  <w:rPr>
                    <w:rStyle w:val="Hyperlink"/>
                  </w:rPr>
                  <w:t>A.</w:t>
                </w:r>
                <w:r w:rsidR="00730EF0">
                  <w:rPr>
                    <w:rFonts w:asciiTheme="minorHAnsi" w:eastAsiaTheme="minorEastAsia" w:hAnsiTheme="minorHAnsi" w:cstheme="minorBidi"/>
                    <w:b w:val="0"/>
                    <w:lang w:val="en-US"/>
                  </w:rPr>
                  <w:tab/>
                </w:r>
                <w:r w:rsidR="00730EF0">
                  <w:rPr>
                    <w:rStyle w:val="Hyperlink"/>
                  </w:rPr>
                  <w:t>Obchod se zbožím</w:t>
                </w:r>
                <w:r w:rsidR="00730EF0">
                  <w:rPr>
                    <w:webHidden/>
                  </w:rPr>
                  <w:tab/>
                </w:r>
                <w:r w:rsidR="00730EF0">
                  <w:rPr>
                    <w:webHidden/>
                  </w:rPr>
                  <w:fldChar w:fldCharType="begin"/>
                </w:r>
                <w:r w:rsidR="00730EF0">
                  <w:rPr>
                    <w:webHidden/>
                  </w:rPr>
                  <w:instrText xml:space="preserve"> PAGEREF _Toc46143599 \h </w:instrText>
                </w:r>
                <w:r w:rsidR="00730EF0">
                  <w:rPr>
                    <w:webHidden/>
                  </w:rPr>
                </w:r>
                <w:r w:rsidR="00730EF0">
                  <w:rPr>
                    <w:webHidden/>
                  </w:rPr>
                  <w:fldChar w:fldCharType="separate"/>
                </w:r>
                <w:r w:rsidR="00730EF0">
                  <w:rPr>
                    <w:webHidden/>
                  </w:rPr>
                  <w:t>6</w:t>
                </w:r>
                <w:r w:rsidR="00730EF0">
                  <w:rPr>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00" w:history="1">
                <w:r w:rsidR="00730EF0">
                  <w:rPr>
                    <w:rStyle w:val="Hyperlink"/>
                    <w:noProof/>
                  </w:rPr>
                  <w:t>A.1 Celní formality a</w:t>
                </w:r>
                <w:r w:rsidR="00730EF0">
                  <w:rPr>
                    <w:rStyle w:val="Hyperlink"/>
                    <w:rFonts w:ascii="Calibri" w:hAnsi="Calibri" w:cs="Calibri"/>
                    <w:noProof/>
                  </w:rPr>
                  <w:t> </w:t>
                </w:r>
                <w:r w:rsidR="00730EF0">
                  <w:rPr>
                    <w:rStyle w:val="Hyperlink"/>
                    <w:noProof/>
                  </w:rPr>
                  <w:t>kontroly</w:t>
                </w:r>
                <w:r w:rsidR="00730EF0">
                  <w:rPr>
                    <w:noProof/>
                    <w:webHidden/>
                  </w:rPr>
                  <w:tab/>
                </w:r>
                <w:r w:rsidR="00730EF0">
                  <w:rPr>
                    <w:noProof/>
                    <w:webHidden/>
                  </w:rPr>
                  <w:fldChar w:fldCharType="begin"/>
                </w:r>
                <w:r w:rsidR="00730EF0">
                  <w:rPr>
                    <w:noProof/>
                    <w:webHidden/>
                  </w:rPr>
                  <w:instrText xml:space="preserve"> PAGEREF _Toc46143600 \h </w:instrText>
                </w:r>
                <w:r w:rsidR="00730EF0">
                  <w:rPr>
                    <w:noProof/>
                    <w:webHidden/>
                  </w:rPr>
                </w:r>
                <w:r w:rsidR="00730EF0">
                  <w:rPr>
                    <w:noProof/>
                    <w:webHidden/>
                  </w:rPr>
                  <w:fldChar w:fldCharType="separate"/>
                </w:r>
                <w:r w:rsidR="00730EF0">
                  <w:rPr>
                    <w:noProof/>
                    <w:webHidden/>
                  </w:rPr>
                  <w:t>6</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01" w:history="1">
                <w:r w:rsidR="00730EF0">
                  <w:rPr>
                    <w:rStyle w:val="Hyperlink"/>
                    <w:noProof/>
                  </w:rPr>
                  <w:t>A.2 Celní a</w:t>
                </w:r>
                <w:r w:rsidR="00730EF0">
                  <w:rPr>
                    <w:rStyle w:val="Hyperlink"/>
                    <w:rFonts w:ascii="Calibri" w:hAnsi="Calibri" w:cs="Calibri"/>
                    <w:noProof/>
                  </w:rPr>
                  <w:t> </w:t>
                </w:r>
                <w:r w:rsidR="00730EF0">
                  <w:rPr>
                    <w:rStyle w:val="Hyperlink"/>
                    <w:noProof/>
                  </w:rPr>
                  <w:t>da</w:t>
                </w:r>
                <w:r w:rsidR="00730EF0">
                  <w:rPr>
                    <w:rStyle w:val="Hyperlink"/>
                    <w:rFonts w:cs="EC Square Sans Pro"/>
                    <w:noProof/>
                  </w:rPr>
                  <w:t>ň</w:t>
                </w:r>
                <w:r w:rsidR="00730EF0">
                  <w:rPr>
                    <w:rStyle w:val="Hyperlink"/>
                    <w:noProof/>
                  </w:rPr>
                  <w:t>ov</w:t>
                </w:r>
                <w:r w:rsidR="00730EF0">
                  <w:rPr>
                    <w:rStyle w:val="Hyperlink"/>
                    <w:rFonts w:cs="EC Square Sans Pro"/>
                    <w:noProof/>
                  </w:rPr>
                  <w:t>á</w:t>
                </w:r>
                <w:r w:rsidR="00730EF0">
                  <w:rPr>
                    <w:rStyle w:val="Hyperlink"/>
                    <w:noProof/>
                  </w:rPr>
                  <w:t xml:space="preserve"> pravidla pro dovoz a</w:t>
                </w:r>
                <w:r w:rsidR="00730EF0">
                  <w:rPr>
                    <w:rStyle w:val="Hyperlink"/>
                    <w:rFonts w:ascii="Calibri" w:hAnsi="Calibri" w:cs="Calibri"/>
                    <w:noProof/>
                  </w:rPr>
                  <w:t> </w:t>
                </w:r>
                <w:r w:rsidR="00730EF0">
                  <w:rPr>
                    <w:rStyle w:val="Hyperlink"/>
                    <w:noProof/>
                  </w:rPr>
                  <w:t>v</w:t>
                </w:r>
                <w:r w:rsidR="00730EF0">
                  <w:rPr>
                    <w:rStyle w:val="Hyperlink"/>
                    <w:rFonts w:cs="EC Square Sans Pro"/>
                    <w:noProof/>
                  </w:rPr>
                  <w:t>ý</w:t>
                </w:r>
                <w:r w:rsidR="00730EF0">
                  <w:rPr>
                    <w:rStyle w:val="Hyperlink"/>
                    <w:noProof/>
                  </w:rPr>
                  <w:t>voz zbo</w:t>
                </w:r>
                <w:r w:rsidR="00730EF0">
                  <w:rPr>
                    <w:rStyle w:val="Hyperlink"/>
                    <w:rFonts w:cs="EC Square Sans Pro"/>
                    <w:noProof/>
                  </w:rPr>
                  <w:t>ží</w:t>
                </w:r>
                <w:r w:rsidR="00730EF0">
                  <w:rPr>
                    <w:rStyle w:val="Hyperlink"/>
                    <w:noProof/>
                  </w:rPr>
                  <w:t xml:space="preserve"> (cla, DPH, spot</w:t>
                </w:r>
                <w:r w:rsidR="00730EF0">
                  <w:rPr>
                    <w:rStyle w:val="Hyperlink"/>
                    <w:rFonts w:cs="EC Square Sans Pro"/>
                    <w:noProof/>
                  </w:rPr>
                  <w:t>ř</w:t>
                </w:r>
                <w:r w:rsidR="00730EF0">
                  <w:rPr>
                    <w:rStyle w:val="Hyperlink"/>
                    <w:noProof/>
                  </w:rPr>
                  <w:t>ebn</w:t>
                </w:r>
                <w:r w:rsidR="00730EF0">
                  <w:rPr>
                    <w:rStyle w:val="Hyperlink"/>
                    <w:rFonts w:cs="EC Square Sans Pro"/>
                    <w:noProof/>
                  </w:rPr>
                  <w:t>í</w:t>
                </w:r>
                <w:r w:rsidR="00730EF0">
                  <w:rPr>
                    <w:rStyle w:val="Hyperlink"/>
                    <w:noProof/>
                  </w:rPr>
                  <w:t xml:space="preserve"> da</w:t>
                </w:r>
                <w:r w:rsidR="00730EF0">
                  <w:rPr>
                    <w:rStyle w:val="Hyperlink"/>
                    <w:rFonts w:cs="EC Square Sans Pro"/>
                    <w:noProof/>
                  </w:rPr>
                  <w:t>ň</w:t>
                </w:r>
                <w:r w:rsidR="00730EF0">
                  <w:rPr>
                    <w:rStyle w:val="Hyperlink"/>
                    <w:noProof/>
                  </w:rPr>
                  <w:t>)</w:t>
                </w:r>
                <w:r w:rsidR="00730EF0">
                  <w:rPr>
                    <w:noProof/>
                    <w:webHidden/>
                  </w:rPr>
                  <w:tab/>
                </w:r>
                <w:r w:rsidR="00730EF0">
                  <w:rPr>
                    <w:noProof/>
                    <w:webHidden/>
                  </w:rPr>
                  <w:fldChar w:fldCharType="begin"/>
                </w:r>
                <w:r w:rsidR="00730EF0">
                  <w:rPr>
                    <w:noProof/>
                    <w:webHidden/>
                  </w:rPr>
                  <w:instrText xml:space="preserve"> PAGEREF _Toc46143601 \h </w:instrText>
                </w:r>
                <w:r w:rsidR="00730EF0">
                  <w:rPr>
                    <w:noProof/>
                    <w:webHidden/>
                  </w:rPr>
                </w:r>
                <w:r w:rsidR="00730EF0">
                  <w:rPr>
                    <w:noProof/>
                    <w:webHidden/>
                  </w:rPr>
                  <w:fldChar w:fldCharType="separate"/>
                </w:r>
                <w:r w:rsidR="00730EF0">
                  <w:rPr>
                    <w:noProof/>
                    <w:webHidden/>
                  </w:rPr>
                  <w:t>7</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02" w:history="1">
                <w:r w:rsidR="00730EF0">
                  <w:rPr>
                    <w:rStyle w:val="Hyperlink"/>
                    <w:noProof/>
                  </w:rPr>
                  <w:t>A.3 Osvědčení a</w:t>
                </w:r>
                <w:r w:rsidR="00730EF0">
                  <w:rPr>
                    <w:rStyle w:val="Hyperlink"/>
                    <w:rFonts w:ascii="Calibri" w:hAnsi="Calibri" w:cs="Calibri"/>
                    <w:noProof/>
                  </w:rPr>
                  <w:t> </w:t>
                </w:r>
                <w:r w:rsidR="00730EF0">
                  <w:rPr>
                    <w:rStyle w:val="Hyperlink"/>
                    <w:noProof/>
                  </w:rPr>
                  <w:t>povolen</w:t>
                </w:r>
                <w:r w:rsidR="00730EF0">
                  <w:rPr>
                    <w:rStyle w:val="Hyperlink"/>
                    <w:rFonts w:cs="EC Square Sans Pro"/>
                    <w:noProof/>
                  </w:rPr>
                  <w:t>í</w:t>
                </w:r>
                <w:r w:rsidR="00730EF0">
                  <w:rPr>
                    <w:rStyle w:val="Hyperlink"/>
                    <w:noProof/>
                  </w:rPr>
                  <w:t xml:space="preserve"> v</w:t>
                </w:r>
                <w:r w:rsidR="00730EF0">
                  <w:rPr>
                    <w:rStyle w:val="Hyperlink"/>
                    <w:rFonts w:cs="EC Square Sans Pro"/>
                    <w:noProof/>
                  </w:rPr>
                  <w:t>ý</w:t>
                </w:r>
                <w:r w:rsidR="00730EF0">
                  <w:rPr>
                    <w:rStyle w:val="Hyperlink"/>
                    <w:noProof/>
                  </w:rPr>
                  <w:t>robk</w:t>
                </w:r>
                <w:r w:rsidR="00730EF0">
                  <w:rPr>
                    <w:rStyle w:val="Hyperlink"/>
                    <w:rFonts w:cs="EC Square Sans Pro"/>
                    <w:noProof/>
                  </w:rPr>
                  <w:t>ů</w:t>
                </w:r>
                <w:r w:rsidR="00730EF0">
                  <w:rPr>
                    <w:rStyle w:val="Hyperlink"/>
                    <w:noProof/>
                  </w:rPr>
                  <w:t>, po</w:t>
                </w:r>
                <w:r w:rsidR="00730EF0">
                  <w:rPr>
                    <w:rStyle w:val="Hyperlink"/>
                    <w:rFonts w:cs="EC Square Sans Pro"/>
                    <w:noProof/>
                  </w:rPr>
                  <w:t>ž</w:t>
                </w:r>
                <w:r w:rsidR="00730EF0">
                  <w:rPr>
                    <w:rStyle w:val="Hyperlink"/>
                    <w:noProof/>
                  </w:rPr>
                  <w:t>adavky na usazen</w:t>
                </w:r>
                <w:r w:rsidR="00730EF0">
                  <w:rPr>
                    <w:rStyle w:val="Hyperlink"/>
                    <w:rFonts w:cs="EC Square Sans Pro"/>
                    <w:noProof/>
                  </w:rPr>
                  <w:t>í</w:t>
                </w:r>
                <w:r w:rsidR="00730EF0">
                  <w:rPr>
                    <w:rStyle w:val="Hyperlink"/>
                    <w:noProof/>
                  </w:rPr>
                  <w:t>, ozna</w:t>
                </w:r>
                <w:r w:rsidR="00730EF0">
                  <w:rPr>
                    <w:rStyle w:val="Hyperlink"/>
                    <w:rFonts w:cs="EC Square Sans Pro"/>
                    <w:noProof/>
                  </w:rPr>
                  <w:t>č</w:t>
                </w:r>
                <w:r w:rsidR="00730EF0">
                  <w:rPr>
                    <w:rStyle w:val="Hyperlink"/>
                    <w:noProof/>
                  </w:rPr>
                  <w:t>ov</w:t>
                </w:r>
                <w:r w:rsidR="00730EF0">
                  <w:rPr>
                    <w:rStyle w:val="Hyperlink"/>
                    <w:rFonts w:cs="EC Square Sans Pro"/>
                    <w:noProof/>
                  </w:rPr>
                  <w:t>á</w:t>
                </w:r>
                <w:r w:rsidR="00730EF0">
                  <w:rPr>
                    <w:rStyle w:val="Hyperlink"/>
                    <w:noProof/>
                  </w:rPr>
                  <w:t>n</w:t>
                </w:r>
                <w:r w:rsidR="00730EF0">
                  <w:rPr>
                    <w:rStyle w:val="Hyperlink"/>
                    <w:rFonts w:cs="EC Square Sans Pro"/>
                    <w:noProof/>
                  </w:rPr>
                  <w:t>í</w:t>
                </w:r>
                <w:r w:rsidR="00730EF0">
                  <w:rPr>
                    <w:noProof/>
                    <w:webHidden/>
                  </w:rPr>
                  <w:tab/>
                </w:r>
                <w:r w:rsidR="00730EF0">
                  <w:rPr>
                    <w:noProof/>
                    <w:webHidden/>
                  </w:rPr>
                  <w:fldChar w:fldCharType="begin"/>
                </w:r>
                <w:r w:rsidR="00730EF0">
                  <w:rPr>
                    <w:noProof/>
                    <w:webHidden/>
                  </w:rPr>
                  <w:instrText xml:space="preserve"> PAGEREF _Toc46143602 \h </w:instrText>
                </w:r>
                <w:r w:rsidR="00730EF0">
                  <w:rPr>
                    <w:noProof/>
                    <w:webHidden/>
                  </w:rPr>
                </w:r>
                <w:r w:rsidR="00730EF0">
                  <w:rPr>
                    <w:noProof/>
                    <w:webHidden/>
                  </w:rPr>
                  <w:fldChar w:fldCharType="separate"/>
                </w:r>
                <w:r w:rsidR="00730EF0">
                  <w:rPr>
                    <w:noProof/>
                    <w:webHidden/>
                  </w:rPr>
                  <w:t>9</w:t>
                </w:r>
                <w:r w:rsidR="00730EF0">
                  <w:rPr>
                    <w:noProof/>
                    <w:webHidden/>
                  </w:rPr>
                  <w:fldChar w:fldCharType="end"/>
                </w:r>
              </w:hyperlink>
            </w:p>
            <w:p w:rsidR="00FF41BC" w:rsidRDefault="003A51CD">
              <w:pPr>
                <w:pStyle w:val="TOC4"/>
                <w:tabs>
                  <w:tab w:val="right" w:leader="dot" w:pos="9062"/>
                </w:tabs>
                <w:rPr>
                  <w:rFonts w:asciiTheme="minorHAnsi" w:eastAsiaTheme="minorEastAsia" w:hAnsiTheme="minorHAnsi"/>
                  <w:noProof/>
                  <w:lang w:val="en-US"/>
                </w:rPr>
              </w:pPr>
              <w:hyperlink w:anchor="_Toc46143603" w:history="1">
                <w:r w:rsidR="00730EF0">
                  <w:rPr>
                    <w:rStyle w:val="Hyperlink"/>
                    <w:noProof/>
                  </w:rPr>
                  <w:t>Příklady plnění požadavků v</w:t>
                </w:r>
                <w:r w:rsidR="00730EF0">
                  <w:rPr>
                    <w:rStyle w:val="Hyperlink"/>
                    <w:rFonts w:ascii="Calibri" w:hAnsi="Calibri" w:cs="Calibri"/>
                    <w:noProof/>
                  </w:rPr>
                  <w:t> </w:t>
                </w:r>
                <w:r w:rsidR="00730EF0">
                  <w:rPr>
                    <w:rStyle w:val="Hyperlink"/>
                    <w:noProof/>
                  </w:rPr>
                  <w:t>konkr</w:t>
                </w:r>
                <w:r w:rsidR="00730EF0">
                  <w:rPr>
                    <w:rStyle w:val="Hyperlink"/>
                    <w:rFonts w:cs="EC Square Sans Pro"/>
                    <w:noProof/>
                  </w:rPr>
                  <w:t>é</w:t>
                </w:r>
                <w:r w:rsidR="00730EF0">
                  <w:rPr>
                    <w:rStyle w:val="Hyperlink"/>
                    <w:noProof/>
                  </w:rPr>
                  <w:t>tn</w:t>
                </w:r>
                <w:r w:rsidR="00730EF0">
                  <w:rPr>
                    <w:rStyle w:val="Hyperlink"/>
                    <w:rFonts w:cs="EC Square Sans Pro"/>
                    <w:noProof/>
                  </w:rPr>
                  <w:t>í</w:t>
                </w:r>
                <w:r w:rsidR="00730EF0">
                  <w:rPr>
                    <w:rStyle w:val="Hyperlink"/>
                    <w:noProof/>
                  </w:rPr>
                  <w:t>ch odv</w:t>
                </w:r>
                <w:r w:rsidR="00730EF0">
                  <w:rPr>
                    <w:rStyle w:val="Hyperlink"/>
                    <w:rFonts w:cs="EC Square Sans Pro"/>
                    <w:noProof/>
                  </w:rPr>
                  <w:t>ě</w:t>
                </w:r>
                <w:r w:rsidR="00730EF0">
                  <w:rPr>
                    <w:rStyle w:val="Hyperlink"/>
                    <w:noProof/>
                  </w:rPr>
                  <w:t>tv</w:t>
                </w:r>
                <w:r w:rsidR="00730EF0">
                  <w:rPr>
                    <w:rStyle w:val="Hyperlink"/>
                    <w:rFonts w:cs="EC Square Sans Pro"/>
                    <w:noProof/>
                  </w:rPr>
                  <w:t>í</w:t>
                </w:r>
                <w:r w:rsidR="00730EF0">
                  <w:rPr>
                    <w:rStyle w:val="Hyperlink"/>
                    <w:noProof/>
                  </w:rPr>
                  <w:t>ch</w:t>
                </w:r>
                <w:r w:rsidR="00730EF0">
                  <w:rPr>
                    <w:noProof/>
                    <w:webHidden/>
                  </w:rPr>
                  <w:tab/>
                </w:r>
                <w:r w:rsidR="00730EF0">
                  <w:rPr>
                    <w:noProof/>
                    <w:webHidden/>
                  </w:rPr>
                  <w:fldChar w:fldCharType="begin"/>
                </w:r>
                <w:r w:rsidR="00730EF0">
                  <w:rPr>
                    <w:noProof/>
                    <w:webHidden/>
                  </w:rPr>
                  <w:instrText xml:space="preserve"> PAGEREF _Toc46143603 \h </w:instrText>
                </w:r>
                <w:r w:rsidR="00730EF0">
                  <w:rPr>
                    <w:noProof/>
                    <w:webHidden/>
                  </w:rPr>
                </w:r>
                <w:r w:rsidR="00730EF0">
                  <w:rPr>
                    <w:noProof/>
                    <w:webHidden/>
                  </w:rPr>
                  <w:fldChar w:fldCharType="separate"/>
                </w:r>
                <w:r w:rsidR="00730EF0">
                  <w:rPr>
                    <w:noProof/>
                    <w:webHidden/>
                  </w:rPr>
                  <w:t>10</w:t>
                </w:r>
                <w:r w:rsidR="00730EF0">
                  <w:rPr>
                    <w:noProof/>
                    <w:webHidden/>
                  </w:rPr>
                  <w:fldChar w:fldCharType="end"/>
                </w:r>
              </w:hyperlink>
            </w:p>
            <w:p w:rsidR="00FF41BC" w:rsidRDefault="003A51CD">
              <w:pPr>
                <w:pStyle w:val="TOC2"/>
                <w:rPr>
                  <w:rFonts w:asciiTheme="minorHAnsi" w:eastAsiaTheme="minorEastAsia" w:hAnsiTheme="minorHAnsi" w:cstheme="minorBidi"/>
                  <w:b w:val="0"/>
                  <w:lang w:val="en-US"/>
                </w:rPr>
              </w:pPr>
              <w:hyperlink w:anchor="_Toc46143604" w:history="1">
                <w:r w:rsidR="00730EF0">
                  <w:rPr>
                    <w:rStyle w:val="Hyperlink"/>
                  </w:rPr>
                  <w:t>B.</w:t>
                </w:r>
                <w:r w:rsidR="00730EF0">
                  <w:rPr>
                    <w:rFonts w:asciiTheme="minorHAnsi" w:eastAsiaTheme="minorEastAsia" w:hAnsiTheme="minorHAnsi" w:cstheme="minorBidi"/>
                    <w:b w:val="0"/>
                    <w:lang w:val="en-US"/>
                  </w:rPr>
                  <w:tab/>
                </w:r>
                <w:r w:rsidR="00730EF0">
                  <w:rPr>
                    <w:rStyle w:val="Hyperlink"/>
                  </w:rPr>
                  <w:t>Obchod se službami</w:t>
                </w:r>
                <w:r w:rsidR="00730EF0">
                  <w:rPr>
                    <w:webHidden/>
                  </w:rPr>
                  <w:tab/>
                </w:r>
                <w:r w:rsidR="00730EF0">
                  <w:rPr>
                    <w:webHidden/>
                  </w:rPr>
                  <w:fldChar w:fldCharType="begin"/>
                </w:r>
                <w:r w:rsidR="00730EF0">
                  <w:rPr>
                    <w:webHidden/>
                  </w:rPr>
                  <w:instrText xml:space="preserve"> PAGEREF _Toc46143604 \h </w:instrText>
                </w:r>
                <w:r w:rsidR="00730EF0">
                  <w:rPr>
                    <w:webHidden/>
                  </w:rPr>
                </w:r>
                <w:r w:rsidR="00730EF0">
                  <w:rPr>
                    <w:webHidden/>
                  </w:rPr>
                  <w:fldChar w:fldCharType="separate"/>
                </w:r>
                <w:r w:rsidR="00730EF0">
                  <w:rPr>
                    <w:webHidden/>
                  </w:rPr>
                  <w:t>11</w:t>
                </w:r>
                <w:r w:rsidR="00730EF0">
                  <w:rPr>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05" w:history="1">
                <w:r w:rsidR="00730EF0">
                  <w:rPr>
                    <w:rStyle w:val="Hyperlink"/>
                    <w:noProof/>
                  </w:rPr>
                  <w:t>B.1 Finanční služby</w:t>
                </w:r>
                <w:r w:rsidR="00730EF0">
                  <w:rPr>
                    <w:noProof/>
                    <w:webHidden/>
                  </w:rPr>
                  <w:tab/>
                </w:r>
                <w:r w:rsidR="00730EF0">
                  <w:rPr>
                    <w:noProof/>
                    <w:webHidden/>
                  </w:rPr>
                  <w:fldChar w:fldCharType="begin"/>
                </w:r>
                <w:r w:rsidR="00730EF0">
                  <w:rPr>
                    <w:noProof/>
                    <w:webHidden/>
                  </w:rPr>
                  <w:instrText xml:space="preserve"> PAGEREF _Toc46143605 \h </w:instrText>
                </w:r>
                <w:r w:rsidR="00730EF0">
                  <w:rPr>
                    <w:noProof/>
                    <w:webHidden/>
                  </w:rPr>
                </w:r>
                <w:r w:rsidR="00730EF0">
                  <w:rPr>
                    <w:noProof/>
                    <w:webHidden/>
                  </w:rPr>
                  <w:fldChar w:fldCharType="separate"/>
                </w:r>
                <w:r w:rsidR="00730EF0">
                  <w:rPr>
                    <w:noProof/>
                    <w:webHidden/>
                  </w:rPr>
                  <w:t>12</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06" w:history="1">
                <w:r w:rsidR="00730EF0">
                  <w:rPr>
                    <w:rStyle w:val="Hyperlink"/>
                    <w:noProof/>
                  </w:rPr>
                  <w:t>B.2 Dopravní služby</w:t>
                </w:r>
                <w:r w:rsidR="00730EF0">
                  <w:rPr>
                    <w:noProof/>
                    <w:webHidden/>
                  </w:rPr>
                  <w:tab/>
                </w:r>
                <w:r w:rsidR="00730EF0">
                  <w:rPr>
                    <w:noProof/>
                    <w:webHidden/>
                  </w:rPr>
                  <w:fldChar w:fldCharType="begin"/>
                </w:r>
                <w:r w:rsidR="00730EF0">
                  <w:rPr>
                    <w:noProof/>
                    <w:webHidden/>
                  </w:rPr>
                  <w:instrText xml:space="preserve"> PAGEREF _Toc46143606 \h </w:instrText>
                </w:r>
                <w:r w:rsidR="00730EF0">
                  <w:rPr>
                    <w:noProof/>
                    <w:webHidden/>
                  </w:rPr>
                </w:r>
                <w:r w:rsidR="00730EF0">
                  <w:rPr>
                    <w:noProof/>
                    <w:webHidden/>
                  </w:rPr>
                  <w:fldChar w:fldCharType="separate"/>
                </w:r>
                <w:r w:rsidR="00730EF0">
                  <w:rPr>
                    <w:noProof/>
                    <w:webHidden/>
                  </w:rPr>
                  <w:t>15</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07" w:history="1">
                <w:r w:rsidR="00730EF0">
                  <w:rPr>
                    <w:rStyle w:val="Hyperlink"/>
                    <w:noProof/>
                  </w:rPr>
                  <w:t>B.3 Audiovizuální služby</w:t>
                </w:r>
                <w:r w:rsidR="00730EF0">
                  <w:rPr>
                    <w:noProof/>
                    <w:webHidden/>
                  </w:rPr>
                  <w:tab/>
                </w:r>
                <w:r w:rsidR="00730EF0">
                  <w:rPr>
                    <w:noProof/>
                    <w:webHidden/>
                  </w:rPr>
                  <w:fldChar w:fldCharType="begin"/>
                </w:r>
                <w:r w:rsidR="00730EF0">
                  <w:rPr>
                    <w:noProof/>
                    <w:webHidden/>
                  </w:rPr>
                  <w:instrText xml:space="preserve"> PAGEREF _Toc46143607 \h </w:instrText>
                </w:r>
                <w:r w:rsidR="00730EF0">
                  <w:rPr>
                    <w:noProof/>
                    <w:webHidden/>
                  </w:rPr>
                </w:r>
                <w:r w:rsidR="00730EF0">
                  <w:rPr>
                    <w:noProof/>
                    <w:webHidden/>
                  </w:rPr>
                  <w:fldChar w:fldCharType="separate"/>
                </w:r>
                <w:r w:rsidR="00730EF0">
                  <w:rPr>
                    <w:noProof/>
                    <w:webHidden/>
                  </w:rPr>
                  <w:t>17</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08" w:history="1">
                <w:r w:rsidR="00730EF0">
                  <w:rPr>
                    <w:rStyle w:val="Hyperlink"/>
                    <w:noProof/>
                  </w:rPr>
                  <w:t>B.4 Uznávání odborných kvalifikací</w:t>
                </w:r>
                <w:r w:rsidR="00730EF0">
                  <w:rPr>
                    <w:noProof/>
                    <w:webHidden/>
                  </w:rPr>
                  <w:tab/>
                </w:r>
                <w:r w:rsidR="00730EF0">
                  <w:rPr>
                    <w:noProof/>
                    <w:webHidden/>
                  </w:rPr>
                  <w:fldChar w:fldCharType="begin"/>
                </w:r>
                <w:r w:rsidR="00730EF0">
                  <w:rPr>
                    <w:noProof/>
                    <w:webHidden/>
                  </w:rPr>
                  <w:instrText xml:space="preserve"> PAGEREF _Toc46143608 \h </w:instrText>
                </w:r>
                <w:r w:rsidR="00730EF0">
                  <w:rPr>
                    <w:noProof/>
                    <w:webHidden/>
                  </w:rPr>
                </w:r>
                <w:r w:rsidR="00730EF0">
                  <w:rPr>
                    <w:noProof/>
                    <w:webHidden/>
                  </w:rPr>
                  <w:fldChar w:fldCharType="separate"/>
                </w:r>
                <w:r w:rsidR="00730EF0">
                  <w:rPr>
                    <w:noProof/>
                    <w:webHidden/>
                  </w:rPr>
                  <w:t>17</w:t>
                </w:r>
                <w:r w:rsidR="00730EF0">
                  <w:rPr>
                    <w:noProof/>
                    <w:webHidden/>
                  </w:rPr>
                  <w:fldChar w:fldCharType="end"/>
                </w:r>
              </w:hyperlink>
            </w:p>
            <w:p w:rsidR="00FF41BC" w:rsidRDefault="003A51CD">
              <w:pPr>
                <w:pStyle w:val="TOC2"/>
                <w:rPr>
                  <w:rFonts w:asciiTheme="minorHAnsi" w:eastAsiaTheme="minorEastAsia" w:hAnsiTheme="minorHAnsi" w:cstheme="minorBidi"/>
                  <w:b w:val="0"/>
                  <w:lang w:val="en-US"/>
                </w:rPr>
              </w:pPr>
              <w:hyperlink w:anchor="_Toc46143609" w:history="1">
                <w:r w:rsidR="00730EF0">
                  <w:rPr>
                    <w:rStyle w:val="Hyperlink"/>
                  </w:rPr>
                  <w:t>C.</w:t>
                </w:r>
                <w:r w:rsidR="00730EF0">
                  <w:rPr>
                    <w:rFonts w:asciiTheme="minorHAnsi" w:eastAsiaTheme="minorEastAsia" w:hAnsiTheme="minorHAnsi" w:cstheme="minorBidi"/>
                    <w:b w:val="0"/>
                    <w:lang w:val="en-US"/>
                  </w:rPr>
                  <w:tab/>
                </w:r>
                <w:r w:rsidR="00730EF0">
                  <w:rPr>
                    <w:rStyle w:val="Hyperlink"/>
                  </w:rPr>
                  <w:t>Energie</w:t>
                </w:r>
                <w:r w:rsidR="00730EF0">
                  <w:rPr>
                    <w:webHidden/>
                  </w:rPr>
                  <w:tab/>
                </w:r>
                <w:r w:rsidR="00730EF0">
                  <w:rPr>
                    <w:webHidden/>
                  </w:rPr>
                  <w:fldChar w:fldCharType="begin"/>
                </w:r>
                <w:r w:rsidR="00730EF0">
                  <w:rPr>
                    <w:webHidden/>
                  </w:rPr>
                  <w:instrText xml:space="preserve"> PAGEREF _Toc46143609 \h </w:instrText>
                </w:r>
                <w:r w:rsidR="00730EF0">
                  <w:rPr>
                    <w:webHidden/>
                  </w:rPr>
                </w:r>
                <w:r w:rsidR="00730EF0">
                  <w:rPr>
                    <w:webHidden/>
                  </w:rPr>
                  <w:fldChar w:fldCharType="separate"/>
                </w:r>
                <w:r w:rsidR="00730EF0">
                  <w:rPr>
                    <w:webHidden/>
                  </w:rPr>
                  <w:t>18</w:t>
                </w:r>
                <w:r w:rsidR="00730EF0">
                  <w:rPr>
                    <w:webHidden/>
                  </w:rPr>
                  <w:fldChar w:fldCharType="end"/>
                </w:r>
              </w:hyperlink>
            </w:p>
            <w:p w:rsidR="00FF41BC" w:rsidRDefault="003A51CD">
              <w:pPr>
                <w:pStyle w:val="TOC2"/>
                <w:rPr>
                  <w:rFonts w:asciiTheme="minorHAnsi" w:eastAsiaTheme="minorEastAsia" w:hAnsiTheme="minorHAnsi" w:cstheme="minorBidi"/>
                  <w:b w:val="0"/>
                  <w:lang w:val="en-US"/>
                </w:rPr>
              </w:pPr>
              <w:hyperlink w:anchor="_Toc46143610" w:history="1">
                <w:r w:rsidR="00730EF0">
                  <w:rPr>
                    <w:rStyle w:val="Hyperlink"/>
                  </w:rPr>
                  <w:t>D.</w:t>
                </w:r>
                <w:r w:rsidR="00730EF0">
                  <w:rPr>
                    <w:rFonts w:asciiTheme="minorHAnsi" w:eastAsiaTheme="minorEastAsia" w:hAnsiTheme="minorHAnsi" w:cstheme="minorBidi"/>
                    <w:b w:val="0"/>
                    <w:lang w:val="en-US"/>
                  </w:rPr>
                  <w:tab/>
                </w:r>
                <w:r w:rsidR="00730EF0">
                  <w:rPr>
                    <w:rStyle w:val="Hyperlink"/>
                  </w:rPr>
                  <w:t>Cestování a cestovní ruch</w:t>
                </w:r>
                <w:r w:rsidR="00730EF0">
                  <w:rPr>
                    <w:webHidden/>
                  </w:rPr>
                  <w:tab/>
                </w:r>
                <w:r w:rsidR="00730EF0">
                  <w:rPr>
                    <w:webHidden/>
                  </w:rPr>
                  <w:fldChar w:fldCharType="begin"/>
                </w:r>
                <w:r w:rsidR="00730EF0">
                  <w:rPr>
                    <w:webHidden/>
                  </w:rPr>
                  <w:instrText xml:space="preserve"> PAGEREF _Toc46143610 \h </w:instrText>
                </w:r>
                <w:r w:rsidR="00730EF0">
                  <w:rPr>
                    <w:webHidden/>
                  </w:rPr>
                </w:r>
                <w:r w:rsidR="00730EF0">
                  <w:rPr>
                    <w:webHidden/>
                  </w:rPr>
                  <w:fldChar w:fldCharType="separate"/>
                </w:r>
                <w:r w:rsidR="00730EF0">
                  <w:rPr>
                    <w:webHidden/>
                  </w:rPr>
                  <w:t>19</w:t>
                </w:r>
                <w:r w:rsidR="00730EF0">
                  <w:rPr>
                    <w:webHidden/>
                  </w:rPr>
                  <w:fldChar w:fldCharType="end"/>
                </w:r>
              </w:hyperlink>
            </w:p>
            <w:p w:rsidR="00FF41BC" w:rsidRDefault="003A51CD">
              <w:pPr>
                <w:pStyle w:val="TOC4"/>
                <w:tabs>
                  <w:tab w:val="right" w:leader="dot" w:pos="9062"/>
                </w:tabs>
                <w:rPr>
                  <w:rFonts w:asciiTheme="minorHAnsi" w:eastAsiaTheme="minorEastAsia" w:hAnsiTheme="minorHAnsi"/>
                  <w:noProof/>
                  <w:lang w:val="en-US"/>
                </w:rPr>
              </w:pPr>
              <w:hyperlink w:anchor="_Toc46143611" w:history="1">
                <w:r w:rsidR="00730EF0">
                  <w:rPr>
                    <w:rStyle w:val="Hyperlink"/>
                    <w:noProof/>
                  </w:rPr>
                  <w:t>Kontroly osob</w:t>
                </w:r>
                <w:r w:rsidR="00730EF0">
                  <w:rPr>
                    <w:noProof/>
                    <w:webHidden/>
                  </w:rPr>
                  <w:tab/>
                </w:r>
                <w:r w:rsidR="00730EF0">
                  <w:rPr>
                    <w:noProof/>
                    <w:webHidden/>
                  </w:rPr>
                  <w:fldChar w:fldCharType="begin"/>
                </w:r>
                <w:r w:rsidR="00730EF0">
                  <w:rPr>
                    <w:noProof/>
                    <w:webHidden/>
                  </w:rPr>
                  <w:instrText xml:space="preserve"> PAGEREF _Toc46143611 \h </w:instrText>
                </w:r>
                <w:r w:rsidR="00730EF0">
                  <w:rPr>
                    <w:noProof/>
                    <w:webHidden/>
                  </w:rPr>
                </w:r>
                <w:r w:rsidR="00730EF0">
                  <w:rPr>
                    <w:noProof/>
                    <w:webHidden/>
                  </w:rPr>
                  <w:fldChar w:fldCharType="separate"/>
                </w:r>
                <w:r w:rsidR="00730EF0">
                  <w:rPr>
                    <w:noProof/>
                    <w:webHidden/>
                  </w:rPr>
                  <w:t>19</w:t>
                </w:r>
                <w:r w:rsidR="00730EF0">
                  <w:rPr>
                    <w:noProof/>
                    <w:webHidden/>
                  </w:rPr>
                  <w:fldChar w:fldCharType="end"/>
                </w:r>
              </w:hyperlink>
            </w:p>
            <w:p w:rsidR="00FF41BC" w:rsidRDefault="003A51CD">
              <w:pPr>
                <w:pStyle w:val="TOC4"/>
                <w:tabs>
                  <w:tab w:val="right" w:leader="dot" w:pos="9062"/>
                </w:tabs>
                <w:rPr>
                  <w:rFonts w:asciiTheme="minorHAnsi" w:eastAsiaTheme="minorEastAsia" w:hAnsiTheme="minorHAnsi"/>
                  <w:noProof/>
                  <w:lang w:val="en-US"/>
                </w:rPr>
              </w:pPr>
              <w:hyperlink w:anchor="_Toc46143612" w:history="1">
                <w:r w:rsidR="00730EF0">
                  <w:rPr>
                    <w:rStyle w:val="Hyperlink"/>
                    <w:noProof/>
                  </w:rPr>
                  <w:t>Řidičské průkazy</w:t>
                </w:r>
                <w:r w:rsidR="00730EF0">
                  <w:rPr>
                    <w:noProof/>
                    <w:webHidden/>
                  </w:rPr>
                  <w:tab/>
                </w:r>
                <w:r w:rsidR="00730EF0">
                  <w:rPr>
                    <w:noProof/>
                    <w:webHidden/>
                  </w:rPr>
                  <w:fldChar w:fldCharType="begin"/>
                </w:r>
                <w:r w:rsidR="00730EF0">
                  <w:rPr>
                    <w:noProof/>
                    <w:webHidden/>
                  </w:rPr>
                  <w:instrText xml:space="preserve"> PAGEREF _Toc46143612 \h </w:instrText>
                </w:r>
                <w:r w:rsidR="00730EF0">
                  <w:rPr>
                    <w:noProof/>
                    <w:webHidden/>
                  </w:rPr>
                </w:r>
                <w:r w:rsidR="00730EF0">
                  <w:rPr>
                    <w:noProof/>
                    <w:webHidden/>
                  </w:rPr>
                  <w:fldChar w:fldCharType="separate"/>
                </w:r>
                <w:r w:rsidR="00730EF0">
                  <w:rPr>
                    <w:noProof/>
                    <w:webHidden/>
                  </w:rPr>
                  <w:t>20</w:t>
                </w:r>
                <w:r w:rsidR="00730EF0">
                  <w:rPr>
                    <w:noProof/>
                    <w:webHidden/>
                  </w:rPr>
                  <w:fldChar w:fldCharType="end"/>
                </w:r>
              </w:hyperlink>
            </w:p>
            <w:p w:rsidR="00FF41BC" w:rsidRDefault="003A51CD">
              <w:pPr>
                <w:pStyle w:val="TOC4"/>
                <w:tabs>
                  <w:tab w:val="right" w:leader="dot" w:pos="9062"/>
                </w:tabs>
                <w:rPr>
                  <w:rFonts w:asciiTheme="minorHAnsi" w:eastAsiaTheme="minorEastAsia" w:hAnsiTheme="minorHAnsi"/>
                  <w:noProof/>
                  <w:lang w:val="en-US"/>
                </w:rPr>
              </w:pPr>
              <w:hyperlink w:anchor="_Toc46143613" w:history="1">
                <w:r w:rsidR="00730EF0">
                  <w:rPr>
                    <w:rStyle w:val="Hyperlink"/>
                    <w:noProof/>
                  </w:rPr>
                  <w:t>Roaming</w:t>
                </w:r>
                <w:r w:rsidR="00730EF0">
                  <w:rPr>
                    <w:noProof/>
                    <w:webHidden/>
                  </w:rPr>
                  <w:tab/>
                </w:r>
                <w:r w:rsidR="00730EF0">
                  <w:rPr>
                    <w:noProof/>
                    <w:webHidden/>
                  </w:rPr>
                  <w:fldChar w:fldCharType="begin"/>
                </w:r>
                <w:r w:rsidR="00730EF0">
                  <w:rPr>
                    <w:noProof/>
                    <w:webHidden/>
                  </w:rPr>
                  <w:instrText xml:space="preserve"> PAGEREF _Toc46143613 \h </w:instrText>
                </w:r>
                <w:r w:rsidR="00730EF0">
                  <w:rPr>
                    <w:noProof/>
                    <w:webHidden/>
                  </w:rPr>
                </w:r>
                <w:r w:rsidR="00730EF0">
                  <w:rPr>
                    <w:noProof/>
                    <w:webHidden/>
                  </w:rPr>
                  <w:fldChar w:fldCharType="separate"/>
                </w:r>
                <w:r w:rsidR="00730EF0">
                  <w:rPr>
                    <w:noProof/>
                    <w:webHidden/>
                  </w:rPr>
                  <w:t>20</w:t>
                </w:r>
                <w:r w:rsidR="00730EF0">
                  <w:rPr>
                    <w:noProof/>
                    <w:webHidden/>
                  </w:rPr>
                  <w:fldChar w:fldCharType="end"/>
                </w:r>
              </w:hyperlink>
            </w:p>
            <w:p w:rsidR="00FF41BC" w:rsidRDefault="003A51CD">
              <w:pPr>
                <w:pStyle w:val="TOC4"/>
                <w:tabs>
                  <w:tab w:val="right" w:leader="dot" w:pos="9062"/>
                </w:tabs>
                <w:rPr>
                  <w:rFonts w:asciiTheme="minorHAnsi" w:eastAsiaTheme="minorEastAsia" w:hAnsiTheme="minorHAnsi"/>
                  <w:noProof/>
                  <w:lang w:val="en-US"/>
                </w:rPr>
              </w:pPr>
              <w:hyperlink w:anchor="_Toc46143614" w:history="1">
                <w:r w:rsidR="00730EF0">
                  <w:rPr>
                    <w:rStyle w:val="Hyperlink"/>
                    <w:noProof/>
                  </w:rPr>
                  <w:t>Práva cestujících</w:t>
                </w:r>
                <w:r w:rsidR="00730EF0">
                  <w:rPr>
                    <w:noProof/>
                    <w:webHidden/>
                  </w:rPr>
                  <w:tab/>
                </w:r>
                <w:r w:rsidR="00730EF0">
                  <w:rPr>
                    <w:noProof/>
                    <w:webHidden/>
                  </w:rPr>
                  <w:fldChar w:fldCharType="begin"/>
                </w:r>
                <w:r w:rsidR="00730EF0">
                  <w:rPr>
                    <w:noProof/>
                    <w:webHidden/>
                  </w:rPr>
                  <w:instrText xml:space="preserve"> PAGEREF _Toc46143614 \h </w:instrText>
                </w:r>
                <w:r w:rsidR="00730EF0">
                  <w:rPr>
                    <w:noProof/>
                    <w:webHidden/>
                  </w:rPr>
                </w:r>
                <w:r w:rsidR="00730EF0">
                  <w:rPr>
                    <w:noProof/>
                    <w:webHidden/>
                  </w:rPr>
                  <w:fldChar w:fldCharType="separate"/>
                </w:r>
                <w:r w:rsidR="00730EF0">
                  <w:rPr>
                    <w:noProof/>
                    <w:webHidden/>
                  </w:rPr>
                  <w:t>20</w:t>
                </w:r>
                <w:r w:rsidR="00730EF0">
                  <w:rPr>
                    <w:noProof/>
                    <w:webHidden/>
                  </w:rPr>
                  <w:fldChar w:fldCharType="end"/>
                </w:r>
              </w:hyperlink>
            </w:p>
            <w:p w:rsidR="00FF41BC" w:rsidRDefault="003A51CD">
              <w:pPr>
                <w:pStyle w:val="TOC2"/>
                <w:rPr>
                  <w:rFonts w:asciiTheme="minorHAnsi" w:eastAsiaTheme="minorEastAsia" w:hAnsiTheme="minorHAnsi" w:cstheme="minorBidi"/>
                  <w:b w:val="0"/>
                  <w:lang w:val="en-US"/>
                </w:rPr>
              </w:pPr>
              <w:hyperlink w:anchor="_Toc46143615" w:history="1">
                <w:r w:rsidR="00730EF0">
                  <w:rPr>
                    <w:rStyle w:val="Hyperlink"/>
                  </w:rPr>
                  <w:t>E.</w:t>
                </w:r>
                <w:r w:rsidR="00730EF0">
                  <w:rPr>
                    <w:rFonts w:asciiTheme="minorHAnsi" w:eastAsiaTheme="minorEastAsia" w:hAnsiTheme="minorHAnsi" w:cstheme="minorBidi"/>
                    <w:b w:val="0"/>
                    <w:lang w:val="en-US"/>
                  </w:rPr>
                  <w:tab/>
                </w:r>
                <w:r w:rsidR="00730EF0">
                  <w:rPr>
                    <w:rStyle w:val="Hyperlink"/>
                  </w:rPr>
                  <w:t>Koordinace mobility a sociálního zabezpečení</w:t>
                </w:r>
                <w:r w:rsidR="00730EF0">
                  <w:rPr>
                    <w:webHidden/>
                  </w:rPr>
                  <w:tab/>
                </w:r>
                <w:r w:rsidR="00730EF0">
                  <w:rPr>
                    <w:webHidden/>
                  </w:rPr>
                  <w:fldChar w:fldCharType="begin"/>
                </w:r>
                <w:r w:rsidR="00730EF0">
                  <w:rPr>
                    <w:webHidden/>
                  </w:rPr>
                  <w:instrText xml:space="preserve"> PAGEREF _Toc46143615 \h </w:instrText>
                </w:r>
                <w:r w:rsidR="00730EF0">
                  <w:rPr>
                    <w:webHidden/>
                  </w:rPr>
                </w:r>
                <w:r w:rsidR="00730EF0">
                  <w:rPr>
                    <w:webHidden/>
                  </w:rPr>
                  <w:fldChar w:fldCharType="separate"/>
                </w:r>
                <w:r w:rsidR="00730EF0">
                  <w:rPr>
                    <w:webHidden/>
                  </w:rPr>
                  <w:t>21</w:t>
                </w:r>
                <w:r w:rsidR="00730EF0">
                  <w:rPr>
                    <w:webHidden/>
                  </w:rPr>
                  <w:fldChar w:fldCharType="end"/>
                </w:r>
              </w:hyperlink>
            </w:p>
            <w:p w:rsidR="00FF41BC" w:rsidRDefault="003A51CD">
              <w:pPr>
                <w:pStyle w:val="TOC2"/>
                <w:rPr>
                  <w:rFonts w:asciiTheme="minorHAnsi" w:eastAsiaTheme="minorEastAsia" w:hAnsiTheme="minorHAnsi" w:cstheme="minorBidi"/>
                  <w:b w:val="0"/>
                  <w:lang w:val="en-US"/>
                </w:rPr>
              </w:pPr>
              <w:hyperlink w:anchor="_Toc46143616" w:history="1">
                <w:r w:rsidR="00730EF0">
                  <w:rPr>
                    <w:rStyle w:val="Hyperlink"/>
                  </w:rPr>
                  <w:t>F.</w:t>
                </w:r>
                <w:r w:rsidR="00730EF0">
                  <w:rPr>
                    <w:rFonts w:asciiTheme="minorHAnsi" w:eastAsiaTheme="minorEastAsia" w:hAnsiTheme="minorHAnsi" w:cstheme="minorBidi"/>
                    <w:b w:val="0"/>
                    <w:lang w:val="en-US"/>
                  </w:rPr>
                  <w:tab/>
                </w:r>
                <w:r w:rsidR="00730EF0">
                  <w:rPr>
                    <w:rStyle w:val="Hyperlink"/>
                  </w:rPr>
                  <w:t>Právo obchodních společností a občanské právo</w:t>
                </w:r>
                <w:r w:rsidR="00730EF0">
                  <w:rPr>
                    <w:webHidden/>
                  </w:rPr>
                  <w:tab/>
                </w:r>
                <w:r w:rsidR="00730EF0">
                  <w:rPr>
                    <w:webHidden/>
                  </w:rPr>
                  <w:fldChar w:fldCharType="begin"/>
                </w:r>
                <w:r w:rsidR="00730EF0">
                  <w:rPr>
                    <w:webHidden/>
                  </w:rPr>
                  <w:instrText xml:space="preserve"> PAGEREF _Toc46143616 \h </w:instrText>
                </w:r>
                <w:r w:rsidR="00730EF0">
                  <w:rPr>
                    <w:webHidden/>
                  </w:rPr>
                </w:r>
                <w:r w:rsidR="00730EF0">
                  <w:rPr>
                    <w:webHidden/>
                  </w:rPr>
                  <w:fldChar w:fldCharType="separate"/>
                </w:r>
                <w:r w:rsidR="00730EF0">
                  <w:rPr>
                    <w:webHidden/>
                  </w:rPr>
                  <w:t>22</w:t>
                </w:r>
                <w:r w:rsidR="00730EF0">
                  <w:rPr>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17" w:history="1">
                <w:r w:rsidR="00730EF0">
                  <w:rPr>
                    <w:rStyle w:val="Hyperlink"/>
                    <w:noProof/>
                  </w:rPr>
                  <w:t>F.1 Společnosti zaregistrované ve Spojeném království</w:t>
                </w:r>
                <w:r w:rsidR="00730EF0">
                  <w:rPr>
                    <w:noProof/>
                    <w:webHidden/>
                  </w:rPr>
                  <w:tab/>
                </w:r>
                <w:r w:rsidR="00730EF0">
                  <w:rPr>
                    <w:noProof/>
                    <w:webHidden/>
                  </w:rPr>
                  <w:fldChar w:fldCharType="begin"/>
                </w:r>
                <w:r w:rsidR="00730EF0">
                  <w:rPr>
                    <w:noProof/>
                    <w:webHidden/>
                  </w:rPr>
                  <w:instrText xml:space="preserve"> PAGEREF _Toc46143617 \h </w:instrText>
                </w:r>
                <w:r w:rsidR="00730EF0">
                  <w:rPr>
                    <w:noProof/>
                    <w:webHidden/>
                  </w:rPr>
                </w:r>
                <w:r w:rsidR="00730EF0">
                  <w:rPr>
                    <w:noProof/>
                    <w:webHidden/>
                  </w:rPr>
                  <w:fldChar w:fldCharType="separate"/>
                </w:r>
                <w:r w:rsidR="00730EF0">
                  <w:rPr>
                    <w:noProof/>
                    <w:webHidden/>
                  </w:rPr>
                  <w:t>22</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18" w:history="1">
                <w:r w:rsidR="00730EF0">
                  <w:rPr>
                    <w:rStyle w:val="Hyperlink"/>
                    <w:noProof/>
                  </w:rPr>
                  <w:t>F.2 Smluvní volba soudní příslušnosti</w:t>
                </w:r>
                <w:r w:rsidR="00730EF0">
                  <w:rPr>
                    <w:noProof/>
                    <w:webHidden/>
                  </w:rPr>
                  <w:tab/>
                </w:r>
                <w:r w:rsidR="00730EF0">
                  <w:rPr>
                    <w:noProof/>
                    <w:webHidden/>
                  </w:rPr>
                  <w:fldChar w:fldCharType="begin"/>
                </w:r>
                <w:r w:rsidR="00730EF0">
                  <w:rPr>
                    <w:noProof/>
                    <w:webHidden/>
                  </w:rPr>
                  <w:instrText xml:space="preserve"> PAGEREF _Toc46143618 \h </w:instrText>
                </w:r>
                <w:r w:rsidR="00730EF0">
                  <w:rPr>
                    <w:noProof/>
                    <w:webHidden/>
                  </w:rPr>
                </w:r>
                <w:r w:rsidR="00730EF0">
                  <w:rPr>
                    <w:noProof/>
                    <w:webHidden/>
                  </w:rPr>
                  <w:fldChar w:fldCharType="separate"/>
                </w:r>
                <w:r w:rsidR="00730EF0">
                  <w:rPr>
                    <w:noProof/>
                    <w:webHidden/>
                  </w:rPr>
                  <w:t>22</w:t>
                </w:r>
                <w:r w:rsidR="00730EF0">
                  <w:rPr>
                    <w:noProof/>
                    <w:webHidden/>
                  </w:rPr>
                  <w:fldChar w:fldCharType="end"/>
                </w:r>
              </w:hyperlink>
            </w:p>
            <w:p w:rsidR="00FF41BC" w:rsidRDefault="003A51CD">
              <w:pPr>
                <w:pStyle w:val="TOC2"/>
                <w:rPr>
                  <w:rFonts w:asciiTheme="minorHAnsi" w:eastAsiaTheme="minorEastAsia" w:hAnsiTheme="minorHAnsi" w:cstheme="minorBidi"/>
                  <w:b w:val="0"/>
                  <w:lang w:val="en-US"/>
                </w:rPr>
              </w:pPr>
              <w:hyperlink w:anchor="_Toc46143619" w:history="1">
                <w:r w:rsidR="00730EF0">
                  <w:rPr>
                    <w:rStyle w:val="Hyperlink"/>
                  </w:rPr>
                  <w:t>G.</w:t>
                </w:r>
                <w:r w:rsidR="00730EF0">
                  <w:rPr>
                    <w:rFonts w:asciiTheme="minorHAnsi" w:eastAsiaTheme="minorEastAsia" w:hAnsiTheme="minorHAnsi" w:cstheme="minorBidi"/>
                    <w:b w:val="0"/>
                    <w:lang w:val="en-US"/>
                  </w:rPr>
                  <w:tab/>
                </w:r>
                <w:r w:rsidR="00730EF0">
                  <w:rPr>
                    <w:rStyle w:val="Hyperlink"/>
                  </w:rPr>
                  <w:t>Ostatní aspekty: osobní údaje, digitální práva a práva duševního vlastnictví</w:t>
                </w:r>
                <w:r w:rsidR="00730EF0">
                  <w:rPr>
                    <w:webHidden/>
                  </w:rPr>
                  <w:tab/>
                </w:r>
                <w:r w:rsidR="00730EF0">
                  <w:rPr>
                    <w:webHidden/>
                  </w:rPr>
                  <w:fldChar w:fldCharType="begin"/>
                </w:r>
                <w:r w:rsidR="00730EF0">
                  <w:rPr>
                    <w:webHidden/>
                  </w:rPr>
                  <w:instrText xml:space="preserve"> PAGEREF _Toc46143619 \h </w:instrText>
                </w:r>
                <w:r w:rsidR="00730EF0">
                  <w:rPr>
                    <w:webHidden/>
                  </w:rPr>
                </w:r>
                <w:r w:rsidR="00730EF0">
                  <w:rPr>
                    <w:webHidden/>
                  </w:rPr>
                  <w:fldChar w:fldCharType="separate"/>
                </w:r>
                <w:r w:rsidR="00730EF0">
                  <w:rPr>
                    <w:webHidden/>
                  </w:rPr>
                  <w:t>23</w:t>
                </w:r>
                <w:r w:rsidR="00730EF0">
                  <w:rPr>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20" w:history="1">
                <w:r w:rsidR="00730EF0">
                  <w:rPr>
                    <w:rStyle w:val="Hyperlink"/>
                    <w:noProof/>
                  </w:rPr>
                  <w:t>G.1 Duševní vlastnictví</w:t>
                </w:r>
                <w:r w:rsidR="00730EF0">
                  <w:rPr>
                    <w:noProof/>
                    <w:webHidden/>
                  </w:rPr>
                  <w:tab/>
                </w:r>
                <w:r w:rsidR="00730EF0">
                  <w:rPr>
                    <w:noProof/>
                    <w:webHidden/>
                  </w:rPr>
                  <w:fldChar w:fldCharType="begin"/>
                </w:r>
                <w:r w:rsidR="00730EF0">
                  <w:rPr>
                    <w:noProof/>
                    <w:webHidden/>
                  </w:rPr>
                  <w:instrText xml:space="preserve"> PAGEREF _Toc46143620 \h </w:instrText>
                </w:r>
                <w:r w:rsidR="00730EF0">
                  <w:rPr>
                    <w:noProof/>
                    <w:webHidden/>
                  </w:rPr>
                </w:r>
                <w:r w:rsidR="00730EF0">
                  <w:rPr>
                    <w:noProof/>
                    <w:webHidden/>
                  </w:rPr>
                  <w:fldChar w:fldCharType="separate"/>
                </w:r>
                <w:r w:rsidR="00730EF0">
                  <w:rPr>
                    <w:noProof/>
                    <w:webHidden/>
                  </w:rPr>
                  <w:t>23</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21" w:history="1">
                <w:r w:rsidR="00730EF0">
                  <w:rPr>
                    <w:rStyle w:val="Hyperlink"/>
                    <w:noProof/>
                  </w:rPr>
                  <w:t>G.2 Předávání a ochrana údajů</w:t>
                </w:r>
                <w:r w:rsidR="00730EF0">
                  <w:rPr>
                    <w:noProof/>
                    <w:webHidden/>
                  </w:rPr>
                  <w:tab/>
                </w:r>
                <w:r w:rsidR="00730EF0">
                  <w:rPr>
                    <w:noProof/>
                    <w:webHidden/>
                  </w:rPr>
                  <w:fldChar w:fldCharType="begin"/>
                </w:r>
                <w:r w:rsidR="00730EF0">
                  <w:rPr>
                    <w:noProof/>
                    <w:webHidden/>
                  </w:rPr>
                  <w:instrText xml:space="preserve"> PAGEREF _Toc46143621 \h </w:instrText>
                </w:r>
                <w:r w:rsidR="00730EF0">
                  <w:rPr>
                    <w:noProof/>
                    <w:webHidden/>
                  </w:rPr>
                </w:r>
                <w:r w:rsidR="00730EF0">
                  <w:rPr>
                    <w:noProof/>
                    <w:webHidden/>
                  </w:rPr>
                  <w:fldChar w:fldCharType="separate"/>
                </w:r>
                <w:r w:rsidR="00730EF0">
                  <w:rPr>
                    <w:noProof/>
                    <w:webHidden/>
                  </w:rPr>
                  <w:t>24</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22" w:history="1">
                <w:r w:rsidR="00730EF0">
                  <w:rPr>
                    <w:rStyle w:val="Hyperlink"/>
                    <w:noProof/>
                  </w:rPr>
                  <w:t>G.3 Doménové jméno .eu</w:t>
                </w:r>
                <w:r w:rsidR="00730EF0">
                  <w:rPr>
                    <w:noProof/>
                    <w:webHidden/>
                  </w:rPr>
                  <w:tab/>
                </w:r>
                <w:r w:rsidR="00730EF0">
                  <w:rPr>
                    <w:noProof/>
                    <w:webHidden/>
                  </w:rPr>
                  <w:fldChar w:fldCharType="begin"/>
                </w:r>
                <w:r w:rsidR="00730EF0">
                  <w:rPr>
                    <w:noProof/>
                    <w:webHidden/>
                  </w:rPr>
                  <w:instrText xml:space="preserve"> PAGEREF _Toc46143622 \h </w:instrText>
                </w:r>
                <w:r w:rsidR="00730EF0">
                  <w:rPr>
                    <w:noProof/>
                    <w:webHidden/>
                  </w:rPr>
                </w:r>
                <w:r w:rsidR="00730EF0">
                  <w:rPr>
                    <w:noProof/>
                    <w:webHidden/>
                  </w:rPr>
                  <w:fldChar w:fldCharType="separate"/>
                </w:r>
                <w:r w:rsidR="00730EF0">
                  <w:rPr>
                    <w:noProof/>
                    <w:webHidden/>
                  </w:rPr>
                  <w:t>25</w:t>
                </w:r>
                <w:r w:rsidR="00730EF0">
                  <w:rPr>
                    <w:noProof/>
                    <w:webHidden/>
                  </w:rPr>
                  <w:fldChar w:fldCharType="end"/>
                </w:r>
              </w:hyperlink>
            </w:p>
            <w:p w:rsidR="00FF41BC" w:rsidRDefault="003A51CD">
              <w:pPr>
                <w:pStyle w:val="TOC2"/>
                <w:rPr>
                  <w:rFonts w:asciiTheme="minorHAnsi" w:eastAsiaTheme="minorEastAsia" w:hAnsiTheme="minorHAnsi" w:cstheme="minorBidi"/>
                  <w:b w:val="0"/>
                  <w:lang w:val="en-US"/>
                </w:rPr>
              </w:pPr>
              <w:hyperlink w:anchor="_Toc46143623" w:history="1">
                <w:r w:rsidR="00730EF0">
                  <w:rPr>
                    <w:rStyle w:val="Hyperlink"/>
                  </w:rPr>
                  <w:t>H.</w:t>
                </w:r>
                <w:r w:rsidR="00730EF0">
                  <w:rPr>
                    <w:rFonts w:asciiTheme="minorHAnsi" w:eastAsiaTheme="minorEastAsia" w:hAnsiTheme="minorHAnsi" w:cstheme="minorBidi"/>
                    <w:b w:val="0"/>
                    <w:lang w:val="en-US"/>
                  </w:rPr>
                  <w:tab/>
                </w:r>
                <w:r w:rsidR="00730EF0">
                  <w:rPr>
                    <w:rStyle w:val="Hyperlink"/>
                  </w:rPr>
                  <w:t>Mezinárodní dohody Evropské unie</w:t>
                </w:r>
                <w:r w:rsidR="00730EF0">
                  <w:rPr>
                    <w:webHidden/>
                  </w:rPr>
                  <w:tab/>
                </w:r>
                <w:r w:rsidR="00730EF0">
                  <w:rPr>
                    <w:webHidden/>
                  </w:rPr>
                  <w:fldChar w:fldCharType="begin"/>
                </w:r>
                <w:r w:rsidR="00730EF0">
                  <w:rPr>
                    <w:webHidden/>
                  </w:rPr>
                  <w:instrText xml:space="preserve"> PAGEREF _Toc46143623 \h </w:instrText>
                </w:r>
                <w:r w:rsidR="00730EF0">
                  <w:rPr>
                    <w:webHidden/>
                  </w:rPr>
                </w:r>
                <w:r w:rsidR="00730EF0">
                  <w:rPr>
                    <w:webHidden/>
                  </w:rPr>
                  <w:fldChar w:fldCharType="separate"/>
                </w:r>
                <w:r w:rsidR="00730EF0">
                  <w:rPr>
                    <w:webHidden/>
                  </w:rPr>
                  <w:t>25</w:t>
                </w:r>
                <w:r w:rsidR="00730EF0">
                  <w:rPr>
                    <w:webHidden/>
                  </w:rPr>
                  <w:fldChar w:fldCharType="end"/>
                </w:r>
              </w:hyperlink>
            </w:p>
            <w:p w:rsidR="00FF41BC" w:rsidRDefault="003A51CD">
              <w:pPr>
                <w:pStyle w:val="TOC1"/>
                <w:tabs>
                  <w:tab w:val="left" w:pos="440"/>
                  <w:tab w:val="right" w:leader="dot" w:pos="9062"/>
                </w:tabs>
                <w:rPr>
                  <w:rFonts w:asciiTheme="minorHAnsi" w:eastAsiaTheme="minorEastAsia" w:hAnsiTheme="minorHAnsi"/>
                  <w:noProof/>
                  <w:lang w:val="en-US"/>
                </w:rPr>
              </w:pPr>
              <w:hyperlink w:anchor="_Toc46143624" w:history="1">
                <w:r w:rsidR="00730EF0">
                  <w:rPr>
                    <w:rStyle w:val="Hyperlink"/>
                    <w:rFonts w:cstheme="minorHAnsi"/>
                    <w:noProof/>
                    <w:lang w:val="fr-BE"/>
                  </w:rPr>
                  <w:t>III.</w:t>
                </w:r>
                <w:r w:rsidR="00730EF0">
                  <w:rPr>
                    <w:rFonts w:asciiTheme="minorHAnsi" w:eastAsiaTheme="minorEastAsia" w:hAnsiTheme="minorHAnsi"/>
                    <w:noProof/>
                    <w:lang w:val="en-US"/>
                  </w:rPr>
                  <w:tab/>
                </w:r>
                <w:r w:rsidR="00730EF0">
                  <w:rPr>
                    <w:rStyle w:val="Hyperlink"/>
                    <w:noProof/>
                  </w:rPr>
                  <w:t>Příprava na všechny scénáře</w:t>
                </w:r>
                <w:r w:rsidR="00730EF0">
                  <w:rPr>
                    <w:noProof/>
                    <w:webHidden/>
                  </w:rPr>
                  <w:tab/>
                </w:r>
                <w:r w:rsidR="00730EF0">
                  <w:rPr>
                    <w:noProof/>
                    <w:webHidden/>
                  </w:rPr>
                  <w:fldChar w:fldCharType="begin"/>
                </w:r>
                <w:r w:rsidR="00730EF0">
                  <w:rPr>
                    <w:noProof/>
                    <w:webHidden/>
                  </w:rPr>
                  <w:instrText xml:space="preserve"> PAGEREF _Toc46143624 \h </w:instrText>
                </w:r>
                <w:r w:rsidR="00730EF0">
                  <w:rPr>
                    <w:noProof/>
                    <w:webHidden/>
                  </w:rPr>
                </w:r>
                <w:r w:rsidR="00730EF0">
                  <w:rPr>
                    <w:noProof/>
                    <w:webHidden/>
                  </w:rPr>
                  <w:fldChar w:fldCharType="separate"/>
                </w:r>
                <w:r w:rsidR="00730EF0">
                  <w:rPr>
                    <w:noProof/>
                    <w:webHidden/>
                  </w:rPr>
                  <w:t>27</w:t>
                </w:r>
                <w:r w:rsidR="00730EF0">
                  <w:rPr>
                    <w:noProof/>
                    <w:webHidden/>
                  </w:rPr>
                  <w:fldChar w:fldCharType="end"/>
                </w:r>
              </w:hyperlink>
            </w:p>
            <w:p w:rsidR="00FF41BC" w:rsidRDefault="003A51CD">
              <w:pPr>
                <w:pStyle w:val="TOC3"/>
                <w:tabs>
                  <w:tab w:val="right" w:leader="dot" w:pos="9062"/>
                </w:tabs>
                <w:rPr>
                  <w:rFonts w:asciiTheme="minorHAnsi" w:eastAsiaTheme="minorEastAsia" w:hAnsiTheme="minorHAnsi"/>
                  <w:noProof/>
                  <w:lang w:val="en-US"/>
                </w:rPr>
              </w:pPr>
              <w:hyperlink w:anchor="_Toc46143625" w:history="1">
                <w:r w:rsidR="00730EF0">
                  <w:rPr>
                    <w:rStyle w:val="Hyperlink"/>
                    <w:noProof/>
                  </w:rPr>
                  <w:t>RÁMEČEK: Dohoda o vystoupení včetně protokolu o Irsku a Severním Irsku</w:t>
                </w:r>
                <w:r w:rsidR="00730EF0">
                  <w:rPr>
                    <w:noProof/>
                    <w:webHidden/>
                  </w:rPr>
                  <w:tab/>
                </w:r>
                <w:r w:rsidR="00730EF0">
                  <w:rPr>
                    <w:noProof/>
                    <w:webHidden/>
                  </w:rPr>
                  <w:fldChar w:fldCharType="begin"/>
                </w:r>
                <w:r w:rsidR="00730EF0">
                  <w:rPr>
                    <w:noProof/>
                    <w:webHidden/>
                  </w:rPr>
                  <w:instrText xml:space="preserve"> PAGEREF _Toc46143625 \h </w:instrText>
                </w:r>
                <w:r w:rsidR="00730EF0">
                  <w:rPr>
                    <w:noProof/>
                    <w:webHidden/>
                  </w:rPr>
                </w:r>
                <w:r w:rsidR="00730EF0">
                  <w:rPr>
                    <w:noProof/>
                    <w:webHidden/>
                  </w:rPr>
                  <w:fldChar w:fldCharType="separate"/>
                </w:r>
                <w:r w:rsidR="00730EF0">
                  <w:rPr>
                    <w:noProof/>
                    <w:webHidden/>
                  </w:rPr>
                  <w:t>28</w:t>
                </w:r>
                <w:r w:rsidR="00730EF0">
                  <w:rPr>
                    <w:noProof/>
                    <w:webHidden/>
                  </w:rPr>
                  <w:fldChar w:fldCharType="end"/>
                </w:r>
              </w:hyperlink>
            </w:p>
            <w:p w:rsidR="00FF41BC" w:rsidRDefault="003A51CD">
              <w:pPr>
                <w:pStyle w:val="TOC1"/>
                <w:tabs>
                  <w:tab w:val="left" w:pos="660"/>
                  <w:tab w:val="right" w:leader="dot" w:pos="9062"/>
                </w:tabs>
                <w:rPr>
                  <w:rFonts w:asciiTheme="minorHAnsi" w:eastAsiaTheme="minorEastAsia" w:hAnsiTheme="minorHAnsi"/>
                  <w:noProof/>
                  <w:lang w:val="en-US"/>
                </w:rPr>
              </w:pPr>
              <w:hyperlink w:anchor="_Toc46143626" w:history="1">
                <w:r w:rsidR="00730EF0">
                  <w:rPr>
                    <w:rStyle w:val="Hyperlink"/>
                    <w:noProof/>
                    <w:lang w:val="fr-BE"/>
                  </w:rPr>
                  <w:t>IV.</w:t>
                </w:r>
                <w:r w:rsidR="00730EF0">
                  <w:rPr>
                    <w:rFonts w:asciiTheme="minorHAnsi" w:eastAsiaTheme="minorEastAsia" w:hAnsiTheme="minorHAnsi"/>
                    <w:noProof/>
                    <w:lang w:val="en-US"/>
                  </w:rPr>
                  <w:tab/>
                </w:r>
                <w:r w:rsidR="00730EF0">
                  <w:rPr>
                    <w:rStyle w:val="Hyperlink"/>
                    <w:noProof/>
                  </w:rPr>
                  <w:t>Závěr: Připravenost je zásadní</w:t>
                </w:r>
                <w:r w:rsidR="00730EF0">
                  <w:rPr>
                    <w:noProof/>
                    <w:webHidden/>
                  </w:rPr>
                  <w:tab/>
                </w:r>
                <w:r w:rsidR="00730EF0">
                  <w:rPr>
                    <w:noProof/>
                    <w:webHidden/>
                  </w:rPr>
                  <w:fldChar w:fldCharType="begin"/>
                </w:r>
                <w:r w:rsidR="00730EF0">
                  <w:rPr>
                    <w:noProof/>
                    <w:webHidden/>
                  </w:rPr>
                  <w:instrText xml:space="preserve"> PAGEREF _Toc46143626 \h </w:instrText>
                </w:r>
                <w:r w:rsidR="00730EF0">
                  <w:rPr>
                    <w:noProof/>
                    <w:webHidden/>
                  </w:rPr>
                </w:r>
                <w:r w:rsidR="00730EF0">
                  <w:rPr>
                    <w:noProof/>
                    <w:webHidden/>
                  </w:rPr>
                  <w:fldChar w:fldCharType="separate"/>
                </w:r>
                <w:r w:rsidR="00730EF0">
                  <w:rPr>
                    <w:noProof/>
                    <w:webHidden/>
                  </w:rPr>
                  <w:t>31</w:t>
                </w:r>
                <w:r w:rsidR="00730EF0">
                  <w:rPr>
                    <w:noProof/>
                    <w:webHidden/>
                  </w:rPr>
                  <w:fldChar w:fldCharType="end"/>
                </w:r>
              </w:hyperlink>
            </w:p>
            <w:p w:rsidR="00FF41BC" w:rsidRDefault="00730EF0">
              <w:pPr>
                <w:rPr>
                  <w:noProof/>
                </w:rPr>
              </w:pPr>
              <w:r>
                <w:rPr>
                  <w:b/>
                  <w:bCs/>
                  <w:noProof/>
                </w:rPr>
                <w:fldChar w:fldCharType="end"/>
              </w:r>
            </w:p>
          </w:sdtContent>
        </w:sdt>
      </w:sdtContent>
    </w:sdt>
    <w:p w:rsidR="00FF41BC" w:rsidRDefault="00730EF0">
      <w:pPr>
        <w:pStyle w:val="Heading1"/>
        <w:pageBreakBefore/>
        <w:rPr>
          <w:rFonts w:cstheme="minorHAnsi"/>
          <w:noProof/>
        </w:rPr>
      </w:pPr>
      <w:bookmarkStart w:id="2" w:name="_Toc45099903"/>
      <w:bookmarkStart w:id="3" w:name="_Toc46143597"/>
      <w:r>
        <w:rPr>
          <w:noProof/>
        </w:rPr>
        <w:lastRenderedPageBreak/>
        <w:t>ÚVOD</w:t>
      </w:r>
      <w:bookmarkEnd w:id="2"/>
      <w:bookmarkEnd w:id="3"/>
      <w:r>
        <w:rPr>
          <w:noProof/>
        </w:rPr>
        <w:t xml:space="preserve">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Spojené království Velké Británie a Severního Irska (dále jen „Spojené království“) vystoupilo z Evropské unie (dále jen „EU“) a Evropského společenství pro atomovou energii (dále jen „Euratom“) – dále společně jen „Unie“ – dne 1. února 2020. Téhož dne vstoupila v platnost dohoda o vystoupení</w:t>
      </w:r>
      <w:r>
        <w:rPr>
          <w:rStyle w:val="FootnoteReference"/>
          <w:rFonts w:asciiTheme="minorHAnsi" w:hAnsiTheme="minorHAnsi" w:cstheme="minorHAnsi"/>
          <w:noProof/>
          <w:sz w:val="24"/>
          <w:szCs w:val="24"/>
        </w:rPr>
        <w:footnoteReference w:id="1"/>
      </w:r>
      <w:r>
        <w:rPr>
          <w:rFonts w:asciiTheme="minorHAnsi" w:hAnsiTheme="minorHAnsi"/>
          <w:noProof/>
          <w:sz w:val="24"/>
          <w:szCs w:val="24"/>
        </w:rPr>
        <w:t xml:space="preserve"> uzavřená mezi Unií a Spojeným královstvím, jež zajistí spořádané vystoupení Spojeného království z Unie, poskytne právní jistotu v důležitých oblastech, včetně práv občanů, a finanční vyrovnání a dále zamezí vytvoření „tvrdé“ hranice na ostrově Irsko (viz rámeček v části III).</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Spojené království se jakožto třetí země již neúčastní rozhodovacího procesu Unie. Není zastoupeno v orgánech, institucích či jiných subjektech Unie.</w:t>
      </w:r>
    </w:p>
    <w:p w:rsidR="00FF41BC" w:rsidRDefault="00730EF0">
      <w:pPr>
        <w:jc w:val="both"/>
        <w:rPr>
          <w:rFonts w:asciiTheme="minorHAnsi" w:hAnsiTheme="minorHAnsi" w:cstheme="minorHAnsi"/>
          <w:noProof/>
          <w:sz w:val="24"/>
          <w:szCs w:val="24"/>
        </w:rPr>
      </w:pPr>
      <w:r>
        <w:rPr>
          <w:rFonts w:asciiTheme="minorHAnsi" w:hAnsiTheme="minorHAnsi" w:cstheme="minorHAnsi"/>
          <w:noProof/>
          <w:sz w:val="24"/>
          <w:szCs w:val="24"/>
        </w:rPr>
        <w:t>V souladu s dohodou o vystoupení se ovšem po dobu „přechodného období“, jež skončí dne 31. prosince 2020</w:t>
      </w:r>
      <w:r>
        <w:rPr>
          <w:rStyle w:val="FootnoteReference"/>
          <w:rFonts w:asciiTheme="minorHAnsi" w:hAnsiTheme="minorHAnsi" w:cstheme="minorHAnsi"/>
          <w:noProof/>
          <w:sz w:val="24"/>
          <w:szCs w:val="24"/>
        </w:rPr>
        <w:footnoteReference w:id="2"/>
      </w:r>
      <w:r>
        <w:rPr>
          <w:rFonts w:asciiTheme="minorHAnsi" w:hAnsiTheme="minorHAnsi" w:cstheme="minorHAnsi"/>
          <w:noProof/>
          <w:sz w:val="24"/>
          <w:szCs w:val="24"/>
        </w:rPr>
        <w:t>, na Spojené království a ve Spojeném království nadále používá právo Unie</w:t>
      </w:r>
      <w:r>
        <w:rPr>
          <w:rFonts w:asciiTheme="minorHAnsi" w:hAnsiTheme="minorHAnsi" w:cstheme="minorHAnsi"/>
          <w:noProof/>
          <w:sz w:val="24"/>
          <w:szCs w:val="24"/>
          <w:vertAlign w:val="superscript"/>
        </w:rPr>
        <w:footnoteReference w:id="3"/>
      </w:r>
      <w:r>
        <w:rPr>
          <w:rFonts w:asciiTheme="minorHAnsi" w:hAnsiTheme="minorHAnsi" w:cstheme="minorHAnsi"/>
          <w:noProof/>
          <w:sz w:val="24"/>
          <w:szCs w:val="24"/>
        </w:rPr>
        <w:t xml:space="preserve">.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Během přechodného období se Spojené království nadále podílí na jednotném trhu a celní unii EU, využívá politik a programů Unie a musí nadále plnit povinnosti vyplývající z mezinárodních dohod, jichž je Unie smluvní stranou. Přechodné období proto představuje období kontinuity, které Unie využívá k tomu, aby:</w:t>
      </w:r>
    </w:p>
    <w:p w:rsidR="00FF41BC" w:rsidRDefault="00730EF0">
      <w:pPr>
        <w:pStyle w:val="ListParagraph"/>
        <w:numPr>
          <w:ilvl w:val="0"/>
          <w:numId w:val="42"/>
        </w:numPr>
        <w:contextualSpacing w:val="0"/>
        <w:jc w:val="both"/>
        <w:rPr>
          <w:rFonts w:asciiTheme="minorHAnsi" w:hAnsiTheme="minorHAnsi" w:cstheme="minorHAnsi"/>
          <w:noProof/>
          <w:sz w:val="24"/>
          <w:szCs w:val="24"/>
        </w:rPr>
      </w:pPr>
      <w:r>
        <w:rPr>
          <w:rFonts w:asciiTheme="minorHAnsi" w:hAnsiTheme="minorHAnsi"/>
          <w:noProof/>
          <w:sz w:val="24"/>
          <w:szCs w:val="24"/>
        </w:rPr>
        <w:t>zajistila, že k 1. lednu 2021 budou realizována všechna opatření a ujednání nezbytná k provedení dohody o vystoupení;</w:t>
      </w:r>
    </w:p>
    <w:p w:rsidR="00FF41BC" w:rsidRDefault="00730EF0">
      <w:pPr>
        <w:pStyle w:val="ListParagraph"/>
        <w:numPr>
          <w:ilvl w:val="0"/>
          <w:numId w:val="42"/>
        </w:numPr>
        <w:contextualSpacing w:val="0"/>
        <w:jc w:val="both"/>
        <w:rPr>
          <w:rFonts w:asciiTheme="minorHAnsi" w:hAnsiTheme="minorHAnsi" w:cstheme="minorHAnsi"/>
          <w:noProof/>
          <w:sz w:val="24"/>
          <w:szCs w:val="24"/>
        </w:rPr>
      </w:pPr>
      <w:r>
        <w:rPr>
          <w:rFonts w:asciiTheme="minorHAnsi" w:hAnsiTheme="minorHAnsi"/>
          <w:noProof/>
          <w:sz w:val="24"/>
          <w:szCs w:val="24"/>
        </w:rPr>
        <w:t>vyjednala dohodu o novém partnerství se Spojeným královstvím a</w:t>
      </w:r>
    </w:p>
    <w:p w:rsidR="00FF41BC" w:rsidRDefault="00730EF0">
      <w:pPr>
        <w:pStyle w:val="ListParagraph"/>
        <w:numPr>
          <w:ilvl w:val="0"/>
          <w:numId w:val="42"/>
        </w:numPr>
        <w:contextualSpacing w:val="0"/>
        <w:jc w:val="both"/>
        <w:rPr>
          <w:rFonts w:asciiTheme="minorHAnsi" w:hAnsiTheme="minorHAnsi" w:cstheme="minorHAnsi"/>
          <w:noProof/>
          <w:sz w:val="24"/>
          <w:szCs w:val="24"/>
        </w:rPr>
      </w:pPr>
      <w:r>
        <w:rPr>
          <w:rFonts w:asciiTheme="minorHAnsi" w:hAnsiTheme="minorHAnsi"/>
          <w:noProof/>
          <w:sz w:val="24"/>
          <w:szCs w:val="24"/>
        </w:rPr>
        <w:t>zajistila připravenost na konec přechodného období, po němž se dne 1. ledna 2021 Spojené království přestane podílet na jednotném trhu a celní unii EU, jakož i na politikách a programech Unie</w:t>
      </w:r>
      <w:r>
        <w:rPr>
          <w:rStyle w:val="FootnoteReference"/>
          <w:rFonts w:asciiTheme="minorHAnsi" w:hAnsiTheme="minorHAnsi" w:cstheme="minorHAnsi"/>
          <w:noProof/>
          <w:sz w:val="24"/>
          <w:szCs w:val="24"/>
        </w:rPr>
        <w:footnoteReference w:id="4"/>
      </w:r>
      <w:r>
        <w:rPr>
          <w:rFonts w:asciiTheme="minorHAnsi" w:hAnsiTheme="minorHAnsi"/>
          <w:noProof/>
          <w:sz w:val="24"/>
          <w:szCs w:val="24"/>
        </w:rPr>
        <w:t xml:space="preserve"> a přestane požívat výhod plynoucích z mezinárodních </w:t>
      </w:r>
      <w:r>
        <w:rPr>
          <w:rFonts w:asciiTheme="minorHAnsi" w:hAnsiTheme="minorHAnsi" w:cstheme="minorHAnsi"/>
          <w:noProof/>
          <w:sz w:val="24"/>
          <w:szCs w:val="24"/>
        </w:rPr>
        <w:t xml:space="preserve">dohod Unie. Vláda Spojeného království své rozhodnutí o neúčasti na uvedených uskupeních a programech potvrdila v dokumentu o svém přístupu k jednání o budoucích </w:t>
      </w:r>
      <w:r>
        <w:rPr>
          <w:rFonts w:asciiTheme="minorHAnsi" w:hAnsiTheme="minorHAnsi" w:cstheme="minorHAnsi"/>
          <w:noProof/>
          <w:sz w:val="24"/>
          <w:szCs w:val="24"/>
        </w:rPr>
        <w:lastRenderedPageBreak/>
        <w:t>vztazích s Evropskou unií, který zveřejnila dne 27. února 2020, i ve svých pozdějších prohlášeních</w:t>
      </w:r>
      <w:r>
        <w:rPr>
          <w:rStyle w:val="FootnoteReference"/>
          <w:rFonts w:asciiTheme="minorHAnsi" w:hAnsiTheme="minorHAnsi" w:cstheme="minorHAnsi"/>
          <w:noProof/>
          <w:sz w:val="24"/>
          <w:szCs w:val="24"/>
        </w:rPr>
        <w:footnoteReference w:id="5"/>
      </w:r>
      <w:r>
        <w:rPr>
          <w:rFonts w:asciiTheme="minorHAnsi" w:hAnsiTheme="minorHAnsi" w:cstheme="minorHAnsi"/>
          <w:noProof/>
          <w:sz w:val="24"/>
          <w:szCs w:val="24"/>
        </w:rPr>
        <w:t xml:space="preserve">. </w:t>
      </w:r>
    </w:p>
    <w:p w:rsidR="00FF41BC" w:rsidRDefault="00FF41BC">
      <w:pPr>
        <w:jc w:val="both"/>
        <w:rPr>
          <w:rFonts w:asciiTheme="minorHAnsi" w:hAnsiTheme="minorHAnsi" w:cstheme="minorHAnsi"/>
          <w:noProof/>
          <w:sz w:val="24"/>
          <w:szCs w:val="24"/>
        </w:rPr>
      </w:pP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Pokud jde o jednání o novém partnerství se Spojeným královstvím, musela se za mimořádné situace, jež vyvstala kvůli pandemii koronaviru, tři kola s výjimkou toho prvního konat formou videokonference. Ze stejného důvodu uběhla mezi prvním a druhým kolem delší doba, než bylo původně zamýšleno.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Při jednáních bylo zatím dosaženo jen malého pokroku. Jednání jsou nyní v létě intenzivnější, přičemž jejich další kola anebo specializované schůzky jsou naplánovány na každý týden od 29. června 2020.</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Komise bude pokračovat v jednáních na základě mandátu, který jí v únoru 2020 udělila Rada a který podpořil Evropský parlament. </w:t>
      </w:r>
      <w:r>
        <w:rPr>
          <w:rFonts w:asciiTheme="minorHAnsi" w:hAnsiTheme="minorHAnsi"/>
          <w:noProof/>
          <w:sz w:val="24"/>
        </w:rPr>
        <w:t xml:space="preserve">Útvary Komise v souladu s tímto mandátem </w:t>
      </w:r>
      <w:r>
        <w:rPr>
          <w:rFonts w:asciiTheme="minorHAnsi" w:hAnsiTheme="minorHAnsi"/>
          <w:noProof/>
          <w:sz w:val="24"/>
          <w:szCs w:val="24"/>
        </w:rPr>
        <w:t xml:space="preserve">zveřejnily podrobný </w:t>
      </w:r>
      <w:r>
        <w:rPr>
          <w:rFonts w:asciiTheme="minorHAnsi" w:hAnsiTheme="minorHAnsi"/>
          <w:noProof/>
          <w:sz w:val="24"/>
        </w:rPr>
        <w:t>návrh právního dokumentu</w:t>
      </w:r>
      <w:r>
        <w:rPr>
          <w:rStyle w:val="FootnoteReference"/>
          <w:rFonts w:asciiTheme="minorHAnsi" w:hAnsiTheme="minorHAnsi" w:cstheme="minorHAnsi"/>
          <w:noProof/>
          <w:sz w:val="24"/>
        </w:rPr>
        <w:footnoteReference w:id="6"/>
      </w:r>
      <w:r>
        <w:rPr>
          <w:rFonts w:asciiTheme="minorHAnsi" w:hAnsiTheme="minorHAnsi"/>
          <w:noProof/>
          <w:sz w:val="24"/>
        </w:rPr>
        <w:t xml:space="preserve">. Cílem Komise je do konce roku 2020 </w:t>
      </w:r>
      <w:r>
        <w:rPr>
          <w:rFonts w:asciiTheme="minorHAnsi" w:hAnsiTheme="minorHAnsi"/>
          <w:noProof/>
          <w:sz w:val="24"/>
          <w:szCs w:val="24"/>
        </w:rPr>
        <w:t>uzavřít ambiciózní partnerství zahrnující všechny oblasti, na nichž se Evropská unie dohodla se Spojeným královstvím v politickém prohlášení</w:t>
      </w:r>
      <w:r>
        <w:rPr>
          <w:noProof/>
          <w:vertAlign w:val="superscript"/>
        </w:rPr>
        <w:footnoteReference w:id="7"/>
      </w:r>
      <w:r>
        <w:rPr>
          <w:rFonts w:asciiTheme="minorHAnsi" w:hAnsiTheme="minorHAnsi"/>
          <w:noProof/>
          <w:sz w:val="24"/>
          <w:szCs w:val="24"/>
        </w:rPr>
        <w:t xml:space="preserve">. Toto prohlášení dne 17. října 2019 schválili všichni vedoucí představitelé EU a premiér Johnson.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I kdyby však Evropská unie a Spojené království do konce roku 2020 uzavřely ambiciózní partnerství zahrnující všechny oblasti, na nichž se dohodly v politickém prohlášení, vznikl by na základě této dohody vztah, jenž by se velmi lišil od účasti Spojeného království na jednotném trhu</w:t>
      </w:r>
      <w:r>
        <w:rPr>
          <w:noProof/>
          <w:vertAlign w:val="superscript"/>
        </w:rPr>
        <w:footnoteReference w:id="8"/>
      </w:r>
      <w:r>
        <w:rPr>
          <w:rFonts w:asciiTheme="minorHAnsi" w:hAnsiTheme="minorHAnsi"/>
          <w:noProof/>
          <w:sz w:val="24"/>
          <w:szCs w:val="24"/>
        </w:rPr>
        <w:t>, v celní unii EU a v prostoru DPH a spotřební daně.</w:t>
      </w:r>
      <w:r>
        <w:rPr>
          <w:rFonts w:asciiTheme="minorHAnsi" w:hAnsiTheme="minorHAnsi"/>
          <w:noProof/>
          <w:sz w:val="24"/>
        </w:rPr>
        <w:t xml:space="preserve"> </w:t>
      </w:r>
    </w:p>
    <w:p w:rsidR="00FF41BC" w:rsidRDefault="00730EF0">
      <w:pPr>
        <w:jc w:val="both"/>
        <w:rPr>
          <w:rFonts w:asciiTheme="minorHAnsi" w:hAnsiTheme="minorHAnsi" w:cstheme="minorHAnsi"/>
          <w:noProof/>
          <w:sz w:val="24"/>
        </w:rPr>
      </w:pPr>
      <w:r>
        <w:rPr>
          <w:rFonts w:asciiTheme="minorHAnsi" w:hAnsiTheme="minorHAnsi"/>
          <w:noProof/>
          <w:sz w:val="24"/>
        </w:rPr>
        <w:t xml:space="preserve">Skutečnost, že Spojené království se po skončení přechodného období přestane zapojovat do politik Unie, nevyhnutelně povede ke vzniku v současnosti neexistujících překážek obchodu se zbožím a službami i přeshraniční mobility a přeshraničních výměn. Budou bránit pohybu v obou směrech, tedy ze Spojeného království do Unie i z Unie do Spojeného království. Budou tím zasaženy orgány veřejné správy, podniky, občané a zúčastněné strany na obou stranách, a proto se musí připravit. </w:t>
      </w:r>
    </w:p>
    <w:p w:rsidR="00FF41BC" w:rsidRDefault="00730EF0">
      <w:pPr>
        <w:jc w:val="both"/>
        <w:rPr>
          <w:rFonts w:asciiTheme="minorHAnsi" w:hAnsiTheme="minorHAnsi" w:cstheme="minorHAnsi"/>
          <w:noProof/>
          <w:sz w:val="24"/>
        </w:rPr>
      </w:pPr>
      <w:r>
        <w:rPr>
          <w:rFonts w:asciiTheme="minorHAnsi" w:hAnsiTheme="minorHAnsi"/>
          <w:noProof/>
          <w:sz w:val="24"/>
          <w:szCs w:val="24"/>
        </w:rPr>
        <w:t xml:space="preserve">V důsledku rozhodnutí vlády Spojeného království ohledně budoucích vztahů a neprodloužení přechodného období dojde k těmto nevyhnutelným narušením již od </w:t>
      </w:r>
      <w:r>
        <w:rPr>
          <w:rFonts w:asciiTheme="minorHAnsi" w:hAnsiTheme="minorHAnsi"/>
          <w:noProof/>
          <w:sz w:val="24"/>
          <w:szCs w:val="24"/>
        </w:rPr>
        <w:lastRenderedPageBreak/>
        <w:t xml:space="preserve">1. ledna 2021 a hrozí, že podniky se dostanou do ještě složitější situace, než ve které se právě nacházejí kvůli rozšíření onemocnění COVID-19. </w:t>
      </w:r>
    </w:p>
    <w:p w:rsidR="00FF41BC" w:rsidRDefault="00730EF0">
      <w:pPr>
        <w:jc w:val="both"/>
        <w:rPr>
          <w:rFonts w:asciiTheme="minorHAnsi" w:hAnsiTheme="minorHAnsi" w:cstheme="minorHAnsi"/>
          <w:noProof/>
          <w:sz w:val="24"/>
          <w:szCs w:val="24"/>
        </w:rPr>
      </w:pPr>
      <w:r>
        <w:rPr>
          <w:rFonts w:asciiTheme="minorHAnsi" w:hAnsiTheme="minorHAnsi"/>
          <w:noProof/>
          <w:sz w:val="24"/>
        </w:rPr>
        <w:t xml:space="preserve">Je zásadní, aby na tyto skutečnosti byly upozorněny všechny zúčastněné strany a aby zajistily, že na tyto výrazné a rozsáhlé změny, jež nastanou </w:t>
      </w:r>
      <w:r>
        <w:rPr>
          <w:rFonts w:asciiTheme="minorHAnsi" w:hAnsiTheme="minorHAnsi"/>
          <w:i/>
          <w:noProof/>
          <w:sz w:val="24"/>
        </w:rPr>
        <w:t>bez ohledu na konkrétní scénář</w:t>
      </w:r>
      <w:r>
        <w:rPr>
          <w:rFonts w:asciiTheme="minorHAnsi" w:hAnsiTheme="minorHAnsi"/>
          <w:noProof/>
          <w:sz w:val="24"/>
        </w:rPr>
        <w:t>, a tedy na výsledky jednání Evropské unie a Spojeného království, budou připraveny</w:t>
      </w:r>
      <w:r>
        <w:rPr>
          <w:rFonts w:asciiTheme="minorHAnsi" w:hAnsiTheme="minorHAnsi"/>
          <w:noProof/>
          <w:sz w:val="24"/>
          <w:szCs w:val="24"/>
        </w:rPr>
        <w:t xml:space="preserve">. Není zde žádný prostor pro nečinnost či odkládání přípravných a adaptačních opatření v očekávání toho, že se dohodou zajistí kontinuita, jelikož velké množství změn bude nevyhnutelné.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Smyslem tohoto sdělení není předjímat výsledek jednání ani zkoumat možné důsledky neuzavření dohody o budoucím partnerství. Jeho cílem je vyzdvihnout hlavní oblasti, v nichž dojde k nevyhnutelným změnám, a umožnit občanům, orgánům veřejné správy, podnikům i všem ostatním zúčastněným stranám, aby se na tato neodvratná narušení připravili.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Zejména se to týká podniků, které by měly zvážit přezkum svých stávajících plánů připravenosti. Ačkoli tyto plány byly vypracovány s ohledem na riziko vystoupení Spojeného království z Unie bez dohody o vystoupení – a tento scénář se neuskutečnil –, část této přípravy bude stále ve velké míře relevantní ve vztahu ke změnám na konci přechodného období.</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Komise v tomto duchu rovněž přezkoumává všech 102 oznámení zúčastněným stranám, která zveřejnila během fáze jednání o vystoupení a z nichž většina zůstává ve vztahu ke konci přechodného období relevantní. Zatím byly změny, jež nastanou na konci přechodného období, zapracovány do 51 oznámení a brzy budou zveřejněna další aktualizovaná oznámení. Seznam aktualizovaných oznámení je uveden v příloze I tohoto sdělení.</w:t>
      </w:r>
    </w:p>
    <w:p w:rsidR="00FF41BC" w:rsidRDefault="00FF41BC">
      <w:pPr>
        <w:jc w:val="both"/>
        <w:rPr>
          <w:rFonts w:asciiTheme="minorHAnsi" w:hAnsiTheme="minorHAnsi" w:cstheme="minorHAnsi"/>
          <w:noProof/>
          <w:sz w:val="24"/>
          <w:szCs w:val="24"/>
        </w:rPr>
      </w:pPr>
    </w:p>
    <w:p w:rsidR="00FF41BC" w:rsidRDefault="00730EF0">
      <w:pPr>
        <w:pStyle w:val="Heading1"/>
        <w:rPr>
          <w:rFonts w:cstheme="minorHAnsi"/>
          <w:noProof/>
        </w:rPr>
      </w:pPr>
      <w:bookmarkStart w:id="4" w:name="_Toc33711662"/>
      <w:bookmarkStart w:id="5" w:name="_Toc45099904"/>
      <w:bookmarkStart w:id="6" w:name="_Toc46143598"/>
      <w:r>
        <w:rPr>
          <w:noProof/>
        </w:rPr>
        <w:t>ZMĚNY, JEŽ NASTANOU BEZ OHLEDU NA KONKRÉTNÍ SCÉNÁŘ</w:t>
      </w:r>
      <w:bookmarkEnd w:id="4"/>
      <w:bookmarkEnd w:id="5"/>
      <w:bookmarkEnd w:id="6"/>
    </w:p>
    <w:p w:rsidR="00FF41BC" w:rsidRDefault="00730EF0">
      <w:pPr>
        <w:jc w:val="both"/>
        <w:rPr>
          <w:rFonts w:asciiTheme="minorHAnsi" w:hAnsiTheme="minorHAnsi" w:cstheme="minorHAnsi"/>
          <w:noProof/>
          <w:sz w:val="24"/>
          <w:szCs w:val="24"/>
        </w:rPr>
      </w:pPr>
      <w:r>
        <w:rPr>
          <w:rFonts w:asciiTheme="minorHAnsi" w:hAnsiTheme="minorHAnsi"/>
          <w:noProof/>
          <w:sz w:val="24"/>
        </w:rPr>
        <w:t xml:space="preserve">Tento oddíl poskytuje přehled hlavních oblastí, v nichž po skončení přechodného období nastanou změny </w:t>
      </w:r>
      <w:r>
        <w:rPr>
          <w:rFonts w:asciiTheme="minorHAnsi" w:hAnsiTheme="minorHAnsi"/>
          <w:b/>
          <w:noProof/>
          <w:sz w:val="24"/>
        </w:rPr>
        <w:t>za všech okolností</w:t>
      </w:r>
      <w:r>
        <w:rPr>
          <w:rFonts w:asciiTheme="minorHAnsi" w:hAnsiTheme="minorHAnsi"/>
          <w:noProof/>
          <w:sz w:val="24"/>
        </w:rPr>
        <w:t>, ať již mezi Evropskou unií a Spojeným královstvím bude uzavřena dohoda o budoucím partnerství, či nikoli</w:t>
      </w:r>
      <w:r>
        <w:rPr>
          <w:rFonts w:asciiTheme="minorHAnsi" w:hAnsiTheme="minorHAnsi"/>
          <w:noProof/>
          <w:sz w:val="24"/>
          <w:szCs w:val="24"/>
        </w:rPr>
        <w:t xml:space="preserve">. </w:t>
      </w:r>
    </w:p>
    <w:p w:rsidR="00FF41BC" w:rsidRDefault="00730EF0">
      <w:pPr>
        <w:jc w:val="both"/>
        <w:rPr>
          <w:rFonts w:asciiTheme="minorHAnsi" w:hAnsiTheme="minorHAnsi" w:cstheme="minorHAnsi"/>
          <w:noProof/>
          <w:sz w:val="24"/>
          <w:szCs w:val="24"/>
        </w:rPr>
      </w:pPr>
      <w:r>
        <w:rPr>
          <w:rFonts w:asciiTheme="minorHAnsi" w:hAnsiTheme="minorHAnsi"/>
          <w:noProof/>
          <w:sz w:val="24"/>
        </w:rPr>
        <w:t>Popsané změny automaticky vyplynou ze skutečnosti, že dne 1. ledna 2021 již nebude platit přechodné období, jež umožňuje dočasnou účast Spojeného království na jednotném trhu a v celní unii EU, a tím bude ukončen volný pohyb osob, zboží a služeb</w:t>
      </w:r>
      <w:r>
        <w:rPr>
          <w:rFonts w:asciiTheme="minorHAnsi" w:hAnsiTheme="minorHAnsi"/>
          <w:noProof/>
          <w:sz w:val="24"/>
          <w:szCs w:val="24"/>
        </w:rPr>
        <w:t xml:space="preserve">. </w:t>
      </w:r>
      <w:r>
        <w:rPr>
          <w:rFonts w:asciiTheme="minorHAnsi" w:hAnsiTheme="minorHAnsi"/>
          <w:noProof/>
          <w:sz w:val="24"/>
        </w:rPr>
        <w:t xml:space="preserve">Odchod z jednotného trhu a celní unie povede </w:t>
      </w:r>
      <w:r>
        <w:rPr>
          <w:rFonts w:asciiTheme="minorHAnsi" w:hAnsiTheme="minorHAnsi"/>
          <w:noProof/>
          <w:sz w:val="24"/>
          <w:szCs w:val="24"/>
        </w:rPr>
        <w:t>k dalším překážkám obchodu a </w:t>
      </w:r>
      <w:r>
        <w:rPr>
          <w:rFonts w:asciiTheme="minorHAnsi" w:hAnsiTheme="minorHAnsi"/>
          <w:noProof/>
          <w:sz w:val="24"/>
        </w:rPr>
        <w:t xml:space="preserve">přeshraniční mobility osob a bude zapotřebí úprav jak na straně Unie, tak na straně Spojeného království. Vystoupením z Unie se na Spojené království automaticky </w:t>
      </w:r>
      <w:r>
        <w:rPr>
          <w:rFonts w:asciiTheme="minorHAnsi" w:hAnsiTheme="minorHAnsi"/>
          <w:noProof/>
          <w:sz w:val="24"/>
          <w:szCs w:val="24"/>
        </w:rPr>
        <w:t>a v souladu s právními předpisy rovněž přestávají vztahovat veškeré mezinárodní dohody Unie.</w:t>
      </w:r>
    </w:p>
    <w:p w:rsidR="00FF41BC" w:rsidRDefault="00730EF0">
      <w:pPr>
        <w:jc w:val="both"/>
        <w:rPr>
          <w:rFonts w:asciiTheme="minorHAnsi" w:hAnsiTheme="minorHAnsi" w:cstheme="minorHAnsi"/>
          <w:noProof/>
          <w:sz w:val="24"/>
        </w:rPr>
      </w:pPr>
      <w:r>
        <w:rPr>
          <w:rFonts w:asciiTheme="minorHAnsi" w:hAnsiTheme="minorHAnsi"/>
          <w:noProof/>
          <w:sz w:val="24"/>
        </w:rPr>
        <w:t xml:space="preserve">Orgány veřejné správy, podniky a občané v Unii musí, jestliže tak dosud neučinili, neodkladně přijmout všechna nezbytná opatření, aby se na tyto změny připravili s cílem snížit ztráty vyplývající z narušení na minimum. </w:t>
      </w:r>
    </w:p>
    <w:p w:rsidR="00FF41BC" w:rsidRDefault="00730EF0">
      <w:pPr>
        <w:pStyle w:val="Heading2"/>
        <w:rPr>
          <w:rFonts w:cstheme="minorHAnsi"/>
          <w:noProof/>
        </w:rPr>
      </w:pPr>
      <w:bookmarkStart w:id="7" w:name="_Toc45099905"/>
      <w:bookmarkStart w:id="8" w:name="_Toc46143599"/>
      <w:r>
        <w:rPr>
          <w:noProof/>
        </w:rPr>
        <w:lastRenderedPageBreak/>
        <w:t>Obchod se zbožím</w:t>
      </w:r>
      <w:r>
        <w:rPr>
          <w:rStyle w:val="FootnoteReference"/>
          <w:rFonts w:cstheme="minorHAnsi"/>
          <w:noProof/>
        </w:rPr>
        <w:footnoteReference w:id="9"/>
      </w:r>
      <w:bookmarkEnd w:id="7"/>
      <w:bookmarkEnd w:id="8"/>
      <w:r>
        <w:rPr>
          <w:noProof/>
        </w:rPr>
        <w:t xml:space="preserve"> </w:t>
      </w:r>
    </w:p>
    <w:p w:rsidR="00FF41BC" w:rsidRDefault="00730EF0">
      <w:pPr>
        <w:jc w:val="both"/>
        <w:rPr>
          <w:rFonts w:asciiTheme="minorHAnsi" w:hAnsiTheme="minorHAnsi" w:cstheme="minorHAnsi"/>
          <w:noProof/>
          <w:sz w:val="24"/>
          <w:szCs w:val="24"/>
        </w:rPr>
      </w:pPr>
      <w:r>
        <w:rPr>
          <w:rFonts w:asciiTheme="minorHAnsi" w:hAnsiTheme="minorHAnsi" w:cstheme="minorHAnsi"/>
          <w:noProof/>
          <w:sz w:val="24"/>
          <w:szCs w:val="24"/>
        </w:rPr>
        <w:t>Změny popsané v následujících pododdílech nebudou platit v souvislosti s obchodem mezi EU a Severním Irskem, na nějž se po skončení přechodného období vedle případné dohody o budoucím partnerství bude uplatňovat protokol o Irsku a Severním Irsku, který je nedílnou součástí dohody o vystoupení</w:t>
      </w:r>
      <w:r>
        <w:rPr>
          <w:rStyle w:val="FootnoteReference"/>
          <w:rFonts w:asciiTheme="minorHAnsi" w:hAnsiTheme="minorHAnsi" w:cstheme="minorHAnsi"/>
          <w:noProof/>
          <w:sz w:val="24"/>
          <w:szCs w:val="24"/>
        </w:rPr>
        <w:footnoteReference w:id="10"/>
      </w:r>
      <w:r>
        <w:rPr>
          <w:rFonts w:asciiTheme="minorHAnsi" w:hAnsiTheme="minorHAnsi" w:cstheme="minorHAnsi"/>
          <w:noProof/>
          <w:sz w:val="24"/>
          <w:szCs w:val="24"/>
        </w:rPr>
        <w:t>.</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V souladu s tímto protokolem se na Severní Irsko a v Severním Irsku dále budou používat pravidla Unie týkající se zboží (včetně fiskálních pravidel, tj. nepřímého zdanění, i jiných než fiskálních pravidel) a celní kodex Unie (více informací viz rámeček v části III).</w:t>
      </w:r>
    </w:p>
    <w:p w:rsidR="00FF41BC" w:rsidRDefault="00730EF0">
      <w:pPr>
        <w:pStyle w:val="Heading3"/>
        <w:rPr>
          <w:noProof/>
        </w:rPr>
      </w:pPr>
      <w:bookmarkStart w:id="9" w:name="_Toc45099906"/>
      <w:bookmarkStart w:id="10" w:name="_Toc46143600"/>
      <w:r>
        <w:rPr>
          <w:noProof/>
        </w:rPr>
        <w:t>A.1 Celní formality a kontroly</w:t>
      </w:r>
      <w:bookmarkEnd w:id="9"/>
      <w:bookmarkEnd w:id="10"/>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Během přechodného období je Spojené království součástí jednotného trhu a celní unie EU. </w:t>
      </w:r>
      <w:r>
        <w:rPr>
          <w:rFonts w:asciiTheme="minorHAnsi" w:hAnsiTheme="minorHAnsi"/>
          <w:noProof/>
          <w:sz w:val="24"/>
        </w:rPr>
        <w:t xml:space="preserve">Proto v současnosti pro zboží přepravované mezi </w:t>
      </w:r>
      <w:r>
        <w:rPr>
          <w:rFonts w:asciiTheme="minorHAnsi" w:hAnsiTheme="minorHAnsi"/>
          <w:noProof/>
          <w:sz w:val="24"/>
          <w:szCs w:val="24"/>
        </w:rPr>
        <w:t>Spojeným královstvím a Unií neplatí žádné celní formality.</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již Spojené království nebude součástí celní unie EU. Na veškeré zboží vstupující na celní území Unie ze Spojeného království nebo přepravované z tohoto celního území do Spojeného království se proto použijí celní formality požadované podle práva Unie. </w:t>
      </w:r>
    </w:p>
    <w:p w:rsidR="00FF41BC" w:rsidRDefault="00730EF0">
      <w:pPr>
        <w:spacing w:after="120"/>
        <w:jc w:val="both"/>
        <w:rPr>
          <w:rFonts w:asciiTheme="minorHAnsi" w:hAnsiTheme="minorHAnsi" w:cstheme="minorHAnsi"/>
          <w:b/>
          <w:noProof/>
          <w:sz w:val="24"/>
          <w:szCs w:val="24"/>
        </w:rPr>
      </w:pPr>
      <w:r>
        <w:rPr>
          <w:rFonts w:asciiTheme="minorHAnsi" w:hAnsiTheme="minorHAnsi"/>
          <w:b/>
          <w:noProof/>
          <w:sz w:val="24"/>
          <w:szCs w:val="24"/>
        </w:rPr>
        <w:t xml:space="preserve">To nastane i v případě, že bude se Spojeným královstvím vytvořena ambiciózní zóna volného obchodu, v níž bude zavedeno nulové clo a nulové kvóty na zboží a v níž bude probíhat spolupráce v oblasti cel a regulace. </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Na straně EU budou celní orgány na základě celního kodexu Unie provádět kontroly podle společného systému vycházejícího z rizik, jenž se u přepravy zboží v souvislosti s třetími zeměmi používá na všechny ostatní vnější hranice Unie. Tyto kontroly zřejmě povedou ke zvýšené administrativní zátěži podniků a delším dodacím lhůtám v logistických dodavatelských řetězcích.</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Od 1. ledna 2021 budou podniky z EU, které hodlají dovážet zboží ze Spojeného království nebo je do Spojeného království vyvážet, muset mít registrační a identifikační číslo hospodářských subjektů (číslo EORI)</w:t>
      </w:r>
      <w:r>
        <w:rPr>
          <w:rStyle w:val="FootnoteReference"/>
          <w:rFonts w:asciiTheme="minorHAnsi" w:hAnsiTheme="minorHAnsi" w:cstheme="minorHAnsi"/>
          <w:noProof/>
          <w:sz w:val="24"/>
          <w:szCs w:val="24"/>
        </w:rPr>
        <w:footnoteReference w:id="11"/>
      </w:r>
      <w:r>
        <w:rPr>
          <w:rFonts w:asciiTheme="minorHAnsi" w:hAnsiTheme="minorHAnsi"/>
          <w:noProof/>
          <w:sz w:val="24"/>
          <w:szCs w:val="24"/>
        </w:rPr>
        <w:t xml:space="preserve">, jež je zapotřebí k vyřízení celních formalit. Čísla EORI vydaná Spojeným královstvím přitom již nebudou v Unii platná. Podniky se sídlem ve Spojeném království hodlající dovážet zboží do Unie si budou muset nechat přidělit číslo EORI v EU nebo případně jmenovat celního zástupce v Unii. Dne 1. ledna 2021 kromě toho v Unii přestanou být platná oprávnění oprávněných hospodářských subjektů či jiná oprávnění </w:t>
      </w:r>
      <w:r>
        <w:rPr>
          <w:rFonts w:asciiTheme="minorHAnsi" w:hAnsiTheme="minorHAnsi"/>
          <w:noProof/>
          <w:sz w:val="24"/>
          <w:szCs w:val="24"/>
        </w:rPr>
        <w:lastRenderedPageBreak/>
        <w:t>vydaná Spojeným královstvím.</w:t>
      </w:r>
      <w:r>
        <w:rPr>
          <w:noProof/>
        </w:rPr>
        <w:t xml:space="preserve"> </w:t>
      </w:r>
      <w:r>
        <w:rPr>
          <w:rFonts w:asciiTheme="minorHAnsi" w:hAnsiTheme="minorHAnsi"/>
          <w:noProof/>
          <w:sz w:val="24"/>
          <w:szCs w:val="24"/>
        </w:rPr>
        <w:t>Jestliže hospodářské subjekty chtějí získat oprávnění EU, musí o ně zažádat v členském státě EU.</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Podniky z EU se musí seznámit s formalitami a postupy pro obchodování se Spojeným královstvím jakožto třetí zemí platnými od 1. ledna 2021. Rovněž by měly zohlednit zvýšené administrativní požadavky a případné delší lhůty, jež z těchto formalit a postupů vyplývají. Bude proto možná zapotřebí provést podstatné změny v organizaci stávajících dodavatelských řetězců. Je úkolem podniků, aby posoudily, jaké kroky je v jejich individuální situaci s ohledem na uvedené změny potřeba podniknout.</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 xml:space="preserve">Správní orgány členských států EU připravily hlavní hraniční přechody a navrhly řešení, aby v této situaci zajistily používání celního kodexu </w:t>
      </w:r>
      <w:r>
        <w:rPr>
          <w:rFonts w:asciiTheme="minorHAnsi" w:hAnsiTheme="minorHAnsi" w:cstheme="minorHAnsi"/>
          <w:noProof/>
          <w:sz w:val="24"/>
          <w:szCs w:val="24"/>
        </w:rPr>
        <w:t>Unie. Bude-li zapotřebí, měly by pokračovat v provádění a zlepšování těchto opatření a ve snaze zvyšovat informovanost podniků, zejména těch malých a středních</w:t>
      </w:r>
      <w:r>
        <w:rPr>
          <w:rStyle w:val="FootnoteReference"/>
          <w:rFonts w:asciiTheme="minorHAnsi" w:hAnsiTheme="minorHAnsi" w:cstheme="minorHAnsi"/>
          <w:noProof/>
          <w:sz w:val="24"/>
          <w:szCs w:val="24"/>
        </w:rPr>
        <w:footnoteReference w:id="12"/>
      </w:r>
      <w:r>
        <w:rPr>
          <w:rFonts w:asciiTheme="minorHAnsi" w:hAnsiTheme="minorHAnsi" w:cstheme="minorHAnsi"/>
          <w:noProof/>
          <w:sz w:val="24"/>
          <w:szCs w:val="24"/>
        </w:rPr>
        <w:t>.</w:t>
      </w:r>
    </w:p>
    <w:p w:rsidR="00FF41BC" w:rsidRDefault="00730EF0">
      <w:pPr>
        <w:pStyle w:val="Heading3"/>
        <w:rPr>
          <w:noProof/>
        </w:rPr>
      </w:pPr>
      <w:bookmarkStart w:id="11" w:name="_Toc45099907"/>
      <w:bookmarkStart w:id="12" w:name="_Toc46143601"/>
      <w:r>
        <w:rPr>
          <w:noProof/>
        </w:rPr>
        <w:t>A.2 Celní a daňová pravidla pro dovoz a vývoz zboží (cla, DPH, spotřební daň)</w:t>
      </w:r>
      <w:bookmarkEnd w:id="11"/>
      <w:bookmarkEnd w:id="12"/>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Během přechodného období je Spojené království součástí celní unie EU a součástí území EU pro účely DPH a spotřební daně. </w:t>
      </w:r>
    </w:p>
    <w:p w:rsidR="00FF41BC" w:rsidRDefault="00730EF0">
      <w:pPr>
        <w:jc w:val="both"/>
        <w:rPr>
          <w:rFonts w:asciiTheme="minorHAnsi" w:hAnsiTheme="minorHAnsi" w:cstheme="minorHAnsi"/>
          <w:noProof/>
          <w:sz w:val="24"/>
          <w:szCs w:val="24"/>
        </w:rPr>
      </w:pPr>
      <w:r>
        <w:rPr>
          <w:rFonts w:asciiTheme="minorHAnsi" w:hAnsiTheme="minorHAnsi"/>
          <w:noProof/>
          <w:sz w:val="24"/>
        </w:rPr>
        <w:t xml:space="preserve">Na zboží obchodované mezi Evropskou unií a Spojeným královstvím se proto neuplatňují žádná </w:t>
      </w:r>
      <w:r>
        <w:rPr>
          <w:rFonts w:asciiTheme="minorHAnsi" w:hAnsiTheme="minorHAnsi"/>
          <w:noProof/>
          <w:sz w:val="24"/>
          <w:szCs w:val="24"/>
        </w:rPr>
        <w:t xml:space="preserve">cla či kvóty a nemusí se prokazovat původ obchodovaného zboží. </w:t>
      </w:r>
    </w:p>
    <w:p w:rsidR="00FF41BC" w:rsidRDefault="00730EF0">
      <w:pPr>
        <w:jc w:val="both"/>
        <w:rPr>
          <w:rFonts w:asciiTheme="minorHAnsi" w:hAnsiTheme="minorHAnsi" w:cstheme="minorHAnsi"/>
          <w:noProof/>
          <w:sz w:val="24"/>
          <w:szCs w:val="24"/>
        </w:rPr>
      </w:pPr>
      <w:r>
        <w:rPr>
          <w:rFonts w:asciiTheme="minorHAnsi" w:hAnsiTheme="minorHAnsi"/>
          <w:noProof/>
          <w:sz w:val="24"/>
        </w:rPr>
        <w:t xml:space="preserve">V případě daní (DPH, spotřební daně) se navíc používá režim </w:t>
      </w:r>
      <w:r>
        <w:rPr>
          <w:rFonts w:asciiTheme="minorHAnsi" w:hAnsiTheme="minorHAnsi"/>
          <w:noProof/>
          <w:sz w:val="24"/>
          <w:szCs w:val="24"/>
        </w:rPr>
        <w:t>uplatňovaný na obchod uvnitř Unie, a tudíž se na hranici mezi Spojeným královstvím a Unií nemusí provádět příslušné kontroly.</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bude nutné prokázat status původu obchodovaného zboží, aby u něj vznikl nárok na preferenční zacházení podle možné budoucí dohody mezi Evropskou unií a Spojeným královstvím. Zboží, které nesplní požadavky týkající se původu, bude podléhat clu, i kdyby byla uzavřena obchodní dohoda mezi Evropskou unií a Spojeným královstvím, jež by zahrnovala nulové clo a nulové kvóty. Stejně tak bude dotčen obchod mezi EU a jejími preferenčními partnery, neboť složky pocházející ze Spojeného království (ve vztahu k materiálu i zpracování) budou podle preferenčních dohod Unie při určování preferenčního původu zboží, které složky ze Spojeného království obsahuje, klasifikovány jako „nepůvodní“. V praxi to znamená, že vývozci z EU musí provést nové posouzení svých dodavatelských řetězců. Někteří budou muset přesunout výrobu jinam nebo změnit dodavatele určitých vstupů, aby mohli nadále využívat preferenční dohody Unie s jejími současnými preferenčními partnery. Unijní dovozci požadující preferenční zacházení v EU budou po </w:t>
      </w:r>
      <w:r>
        <w:rPr>
          <w:rFonts w:asciiTheme="minorHAnsi" w:hAnsiTheme="minorHAnsi"/>
          <w:noProof/>
          <w:sz w:val="24"/>
          <w:szCs w:val="24"/>
        </w:rPr>
        <w:lastRenderedPageBreak/>
        <w:t>uplynutí přechodného období také muset zajistit, aby byl vývozce z třetí země schopen doložit, že zboží splňuje požadavky týkající se preferenčního původu. Je rovněž třeba uvést, že pro udržení statusu preferenčního původu při přepravě přes území Spojeného království nebo zastávce na tomto území bude zboží muset splňovat podmínky týkající se přímé přepravy nebo zákazu manipulace, které jsou obsaženy v preferenčních obchodních dohodách EU.</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Daň z přidané hodnoty (DPH) bude uvalena při dovozu zboží přepravovaného ze Spojeného království na území Evropské unie vymezeného pro účely DPH, přičemž se použije stejná sazba jako v případě dodávek téhož zboží v rámci Unie. </w:t>
      </w:r>
      <w:r>
        <w:rPr>
          <w:rFonts w:asciiTheme="minorHAnsi" w:hAnsiTheme="minorHAnsi"/>
          <w:noProof/>
          <w:sz w:val="24"/>
        </w:rPr>
        <w:t xml:space="preserve">Zboží vyvážené z Unie do Spojeného království </w:t>
      </w:r>
      <w:r>
        <w:rPr>
          <w:rFonts w:asciiTheme="minorHAnsi" w:hAnsiTheme="minorHAnsi"/>
          <w:noProof/>
          <w:sz w:val="24"/>
          <w:szCs w:val="24"/>
        </w:rPr>
        <w:t>bude od DPH osvobozeno, pokud bude do Spojeného království odesláno nebo přepraveno, stejně jako je tomu u jakéhokoli jiného místa určení mimo Evropskou unii. V takovém případě musí být dodavatel vyváženého zboží schopen doložit, že zboží opustilo Unii.</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Obdobně jako u veškerého dovozu do Unie z třetích zemí bude při dovozu zboží podléhajícího spotřební dani (alkoholické nápoje, tabákové výrobky atd.) do Unie tato daň uvalena a bude splatná při uvedení zboží na trh. V budoucnu by zboží dovážené ze Spojeného království mohlo být také předmětem antidumpingových, vyrovnávacích či ochranných opatření v rámci politiky Evropské unie v oblasti ochrany obchodu.</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Obchodníci musí být schopni prokázat status původu obchodovaného zboží, aby mohli mít nárok na preferenční zacházení podle možné budoucí dohody mezi Evropskou unií a Spojeným královstvím. U zboží, které požadavky týkající se původu nesplní, nebude možné čerpat výhody plynoucí z preferenčních dohod.</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cstheme="minorHAnsi"/>
          <w:noProof/>
          <w:sz w:val="24"/>
          <w:szCs w:val="24"/>
        </w:rPr>
        <w:t>Podniky z EU by také měly být připraveny začít v souvislosti s obchodováním se současnými preferenčními partnerskými zeměmi Unie nakládat se složkami pocházejícími ze Spojeného království (vstupy a postupy) jako s „nepůvodními“, aby si mohly být jisté, že u zboží, které vyvážejí, budou moci i po skončení přechodného období za všech okolností nadále požívat preferenčního zacházení přiznaného dohodami Unie o volném obchodu</w:t>
      </w:r>
      <w:r>
        <w:rPr>
          <w:rStyle w:val="FootnoteReference"/>
          <w:rFonts w:asciiTheme="minorHAnsi" w:hAnsiTheme="minorHAnsi" w:cstheme="minorHAnsi"/>
          <w:noProof/>
          <w:sz w:val="24"/>
          <w:szCs w:val="24"/>
        </w:rPr>
        <w:footnoteReference w:id="13"/>
      </w:r>
      <w:r>
        <w:rPr>
          <w:rFonts w:asciiTheme="minorHAnsi" w:hAnsiTheme="minorHAnsi" w:cstheme="minorHAnsi"/>
          <w:noProof/>
          <w:sz w:val="24"/>
          <w:szCs w:val="24"/>
        </w:rPr>
        <w:t xml:space="preserve">. </w:t>
      </w:r>
      <w:r>
        <w:rPr>
          <w:rFonts w:asciiTheme="minorHAnsi" w:hAnsiTheme="minorHAnsi"/>
          <w:noProof/>
          <w:sz w:val="24"/>
          <w:szCs w:val="24"/>
        </w:rPr>
        <w:t>Složky pocházející ze Spojeného království, jež jsou obsaženy ve zboží získaném ve třetích zemích, s nimiž má Unie preferenční dohody, a dováženém do Unie, budou také klasifikovány jako „nepůvodní“. Spojené království nyní bude pro účely pravidel o přímé přepravě a zákazu manipulace třetí zemí a podniky by podle toho měly upravit logistiku.</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 xml:space="preserve">Podniky z EU by se rovněž měly obeznámit s příslušnými postupy v oblasti DPH a připravit se na jejich používání. V příslušných případech by měly zohlednit zvýšené administrativní </w:t>
      </w:r>
      <w:r>
        <w:rPr>
          <w:rFonts w:asciiTheme="minorHAnsi" w:hAnsiTheme="minorHAnsi"/>
          <w:noProof/>
          <w:sz w:val="24"/>
          <w:szCs w:val="24"/>
        </w:rPr>
        <w:lastRenderedPageBreak/>
        <w:t xml:space="preserve">požadavky a případná zdržení. Eventuálně bude nutné provést podstatné změny organizace stávajících dodavatelských řetězců a účetních postupů. </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Správní orgány členských států EU by se měly připravit na další zátěž pramenící z uvedených změn, pokud jde o počet pracovníků a školení, a zintenzivnit poskytování informací zejména malým a středním podnikům.</w:t>
      </w:r>
    </w:p>
    <w:p w:rsidR="00FF41BC" w:rsidRDefault="00730EF0">
      <w:pPr>
        <w:pStyle w:val="Heading3"/>
        <w:rPr>
          <w:noProof/>
        </w:rPr>
      </w:pPr>
      <w:bookmarkStart w:id="13" w:name="_Toc45099908"/>
      <w:bookmarkStart w:id="14" w:name="_Toc46143602"/>
      <w:r>
        <w:rPr>
          <w:noProof/>
        </w:rPr>
        <w:t>A.3 Osvědčení a povolení výrobků, požadavky na usazení, označování</w:t>
      </w:r>
      <w:bookmarkEnd w:id="13"/>
      <w:bookmarkEnd w:id="14"/>
    </w:p>
    <w:p w:rsidR="00FF41BC" w:rsidRDefault="00730EF0">
      <w:pPr>
        <w:jc w:val="both"/>
        <w:rPr>
          <w:rFonts w:asciiTheme="minorHAnsi" w:hAnsiTheme="minorHAnsi" w:cstheme="minorHAnsi"/>
          <w:noProof/>
          <w:sz w:val="24"/>
          <w:szCs w:val="24"/>
        </w:rPr>
      </w:pPr>
      <w:r>
        <w:rPr>
          <w:rFonts w:asciiTheme="minorHAnsi" w:hAnsiTheme="minorHAnsi"/>
          <w:noProof/>
          <w:sz w:val="24"/>
        </w:rPr>
        <w:t>Během přechodného období se Spojené království podílí na jednotném trhu</w:t>
      </w:r>
      <w:r>
        <w:rPr>
          <w:rFonts w:asciiTheme="minorHAnsi" w:hAnsiTheme="minorHAnsi"/>
          <w:noProof/>
          <w:sz w:val="24"/>
          <w:szCs w:val="24"/>
        </w:rPr>
        <w:t xml:space="preserve">, včetně jednotného trhu zboží. </w:t>
      </w:r>
      <w:r>
        <w:rPr>
          <w:rFonts w:asciiTheme="minorHAnsi" w:hAnsiTheme="minorHAnsi"/>
          <w:noProof/>
          <w:sz w:val="24"/>
        </w:rPr>
        <w:t xml:space="preserve">Mezi Evropskou unií a Spojeným královstvím může probíhat volný obchod se zbožím bez </w:t>
      </w:r>
      <w:r>
        <w:rPr>
          <w:rFonts w:asciiTheme="minorHAnsi" w:hAnsiTheme="minorHAnsi"/>
          <w:noProof/>
          <w:sz w:val="24"/>
          <w:szCs w:val="24"/>
        </w:rPr>
        <w:t>kontrol, a to díky existenci jediného regulačního rámce Unie pro uvádění zboží na trh, zahrnujícího harmonizovaná technická pravidla, normy pro oblast bezpečnosti a životního prostředí a vzájemné uznávání. Na správné fungování tohoto rámce dohlížejí orgány a instituce EU, např. agentury EU.</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budou Unie a Spojené království tvořit dva oddělené regulační a právní prostory. </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To znamená, že všechny výrobky vyvážené z Unie do Spojeného království budou muset splňovat pravidla a normy Spojeného království a budou podrobovány veškerým kontrolám vztahujícím se na dovážené zboží, při nichž se ověřuje dodržování právních předpisů. </w:t>
      </w:r>
      <w:r>
        <w:rPr>
          <w:rFonts w:asciiTheme="minorHAnsi" w:hAnsiTheme="minorHAnsi"/>
          <w:noProof/>
          <w:sz w:val="24"/>
        </w:rPr>
        <w:t xml:space="preserve">Obdobně budou muset všechny výrobky </w:t>
      </w:r>
      <w:r>
        <w:rPr>
          <w:rFonts w:asciiTheme="minorHAnsi" w:hAnsiTheme="minorHAnsi"/>
          <w:noProof/>
          <w:sz w:val="24"/>
          <w:szCs w:val="24"/>
        </w:rPr>
        <w:t>dovážené ze Spojeného království do Unie splňovat pravidla a normy Unie a budou podrobovány veškerým kontrolám vztahujícím se na dovážené zboží, při nichž se ověřuje dodržování právních předpisů v oblasti bezpečnosti, zdraví a dalších oblastech veřejného pořádku.</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Podniky z EU, které v současnosti provozují distribuci výrobků pocházejících ze Spojeného království, se stanou vývozci či dovozci výrobků, jež uvádějí na trh Unie. Budou tedy muset splňovat povinnosti vývozce či dovozce podle použitelných pravidel Unie.</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Pokud jde o povolování a osvědčování výrobků, platí na straně Unie toto:</w:t>
      </w:r>
    </w:p>
    <w:p w:rsidR="00FF41BC" w:rsidRDefault="00730EF0">
      <w:pPr>
        <w:pStyle w:val="ListParagraph"/>
        <w:numPr>
          <w:ilvl w:val="0"/>
          <w:numId w:val="40"/>
        </w:numPr>
        <w:spacing w:after="120"/>
        <w:ind w:left="357" w:hanging="357"/>
        <w:contextualSpacing w:val="0"/>
        <w:jc w:val="both"/>
        <w:rPr>
          <w:rFonts w:asciiTheme="minorHAnsi" w:hAnsiTheme="minorHAnsi" w:cstheme="minorHAnsi"/>
          <w:noProof/>
          <w:sz w:val="24"/>
          <w:szCs w:val="24"/>
        </w:rPr>
      </w:pPr>
      <w:r>
        <w:rPr>
          <w:rFonts w:asciiTheme="minorHAnsi" w:hAnsiTheme="minorHAnsi"/>
          <w:noProof/>
          <w:sz w:val="24"/>
        </w:rPr>
        <w:t xml:space="preserve">Osvědčení nebo povolení vydaná orgány Spojeného království </w:t>
      </w:r>
      <w:r>
        <w:rPr>
          <w:rFonts w:asciiTheme="minorHAnsi" w:hAnsiTheme="minorHAnsi"/>
          <w:noProof/>
          <w:sz w:val="24"/>
          <w:szCs w:val="24"/>
        </w:rPr>
        <w:t xml:space="preserve">nebo subjekty se sídlem ve Spojeném království již nebudou platná pro uvádění výrobků na trh Unie. </w:t>
      </w:r>
      <w:r>
        <w:rPr>
          <w:rFonts w:asciiTheme="minorHAnsi" w:hAnsiTheme="minorHAnsi"/>
          <w:noProof/>
          <w:sz w:val="24"/>
        </w:rPr>
        <w:t xml:space="preserve">To znamená, že například motorové vozidlo </w:t>
      </w:r>
      <w:r>
        <w:rPr>
          <w:rFonts w:asciiTheme="minorHAnsi" w:hAnsiTheme="minorHAnsi"/>
          <w:noProof/>
          <w:sz w:val="24"/>
          <w:szCs w:val="24"/>
        </w:rPr>
        <w:t xml:space="preserve">se schválením typu vydaným ve Spojeném království již nemůže být uvedeno na trh Unie. Pokud je podle právních předpisů Unie požadováno osvědčení vydané oznámeným subjektem EU (např. u některých zdravotnických prostředků, strojních zařízení, osobních ochranných prostředků nebo stavebních výrobků), nebudou již výrobky, jejichž osvědčení bylo vydáno subjektem se sídlem ve Spojeném království, moci být uvedeny na trh Unie. </w:t>
      </w:r>
    </w:p>
    <w:p w:rsidR="00FF41BC" w:rsidRDefault="00730EF0">
      <w:pPr>
        <w:pStyle w:val="ListParagraph"/>
        <w:numPr>
          <w:ilvl w:val="0"/>
          <w:numId w:val="40"/>
        </w:numPr>
        <w:spacing w:after="120"/>
        <w:ind w:left="284" w:hanging="284"/>
        <w:contextualSpacing w:val="0"/>
        <w:jc w:val="both"/>
        <w:rPr>
          <w:rFonts w:asciiTheme="minorHAnsi" w:hAnsiTheme="minorHAnsi" w:cstheme="minorHAnsi"/>
          <w:noProof/>
          <w:sz w:val="24"/>
          <w:szCs w:val="24"/>
        </w:rPr>
      </w:pPr>
      <w:r>
        <w:rPr>
          <w:rFonts w:asciiTheme="minorHAnsi" w:hAnsiTheme="minorHAnsi"/>
          <w:noProof/>
          <w:sz w:val="24"/>
          <w:szCs w:val="24"/>
        </w:rPr>
        <w:lastRenderedPageBreak/>
        <w:t>Požadují-li právní předpisy Unie zápis výrobků do databází, provede zápis dovozce v Unii nebo zplnomocněný zástupce výrobce ze Spojeného království</w:t>
      </w:r>
      <w:r>
        <w:rPr>
          <w:rStyle w:val="FootnoteReference"/>
          <w:rFonts w:asciiTheme="minorHAnsi" w:hAnsiTheme="minorHAnsi" w:cstheme="minorHAnsi"/>
          <w:noProof/>
          <w:sz w:val="24"/>
          <w:szCs w:val="24"/>
        </w:rPr>
        <w:footnoteReference w:id="14"/>
      </w:r>
      <w:r>
        <w:rPr>
          <w:rFonts w:asciiTheme="minorHAnsi" w:hAnsiTheme="minorHAnsi"/>
          <w:noProof/>
          <w:sz w:val="24"/>
          <w:szCs w:val="24"/>
        </w:rPr>
        <w:t>.</w:t>
      </w:r>
    </w:p>
    <w:p w:rsidR="00FF41BC" w:rsidRDefault="00730EF0">
      <w:pPr>
        <w:pStyle w:val="ListParagraph"/>
        <w:numPr>
          <w:ilvl w:val="0"/>
          <w:numId w:val="40"/>
        </w:numPr>
        <w:spacing w:after="120"/>
        <w:ind w:left="357" w:hanging="357"/>
        <w:contextualSpacing w:val="0"/>
        <w:jc w:val="both"/>
        <w:rPr>
          <w:rFonts w:asciiTheme="minorHAnsi" w:hAnsiTheme="minorHAnsi" w:cstheme="minorHAnsi"/>
          <w:noProof/>
          <w:sz w:val="24"/>
          <w:szCs w:val="24"/>
        </w:rPr>
      </w:pPr>
      <w:r>
        <w:rPr>
          <w:rFonts w:asciiTheme="minorHAnsi" w:hAnsiTheme="minorHAnsi"/>
          <w:noProof/>
          <w:sz w:val="24"/>
        </w:rPr>
        <w:t>Je-li v právních předpisech Unie pro určité hospodářské subjekty nebo jiné fyzické či právnické osoby (např. zplnomocnění zástupci výrobců z třetích zemí nebo „osoby odpovědné“ za dodržování právních předpisů) stanoven požadavek, že musí být usazeny v Unii</w:t>
      </w:r>
      <w:r>
        <w:rPr>
          <w:rFonts w:asciiTheme="minorHAnsi" w:hAnsiTheme="minorHAnsi"/>
          <w:noProof/>
          <w:sz w:val="24"/>
          <w:szCs w:val="24"/>
        </w:rPr>
        <w:t xml:space="preserve">, nebude již v Unii usazení ve Spojeném království uznáno. </w:t>
      </w:r>
      <w:r>
        <w:rPr>
          <w:rFonts w:asciiTheme="minorHAnsi" w:hAnsiTheme="minorHAnsi"/>
          <w:noProof/>
          <w:sz w:val="24"/>
        </w:rPr>
        <w:t xml:space="preserve">V takovém případě bude nezbytné, aby </w:t>
      </w:r>
      <w:r>
        <w:rPr>
          <w:rFonts w:asciiTheme="minorHAnsi" w:hAnsiTheme="minorHAnsi"/>
          <w:noProof/>
          <w:sz w:val="24"/>
          <w:szCs w:val="24"/>
        </w:rPr>
        <w:t xml:space="preserve">se zplnomocněný zástupce, příp. odpovědná osoba, přesunul ze Spojeného království do Unie nebo aby byl určen nový zplnomocněný zástupce, příp. odpovědná osoba, usazený v Evropské unii. </w:t>
      </w:r>
    </w:p>
    <w:p w:rsidR="00FF41BC" w:rsidRDefault="00730EF0">
      <w:pPr>
        <w:pStyle w:val="ListParagraph"/>
        <w:numPr>
          <w:ilvl w:val="0"/>
          <w:numId w:val="40"/>
        </w:numPr>
        <w:spacing w:after="120"/>
        <w:ind w:left="357" w:hanging="357"/>
        <w:contextualSpacing w:val="0"/>
        <w:jc w:val="both"/>
        <w:rPr>
          <w:rFonts w:asciiTheme="minorHAnsi" w:hAnsiTheme="minorHAnsi" w:cstheme="minorHAnsi"/>
          <w:noProof/>
          <w:sz w:val="24"/>
          <w:szCs w:val="24"/>
        </w:rPr>
      </w:pPr>
      <w:r>
        <w:rPr>
          <w:rFonts w:asciiTheme="minorHAnsi" w:hAnsiTheme="minorHAnsi"/>
          <w:noProof/>
          <w:sz w:val="24"/>
        </w:rPr>
        <w:t xml:space="preserve">Označení </w:t>
      </w:r>
      <w:r>
        <w:rPr>
          <w:rFonts w:asciiTheme="minorHAnsi" w:hAnsiTheme="minorHAnsi"/>
          <w:noProof/>
          <w:sz w:val="24"/>
          <w:szCs w:val="24"/>
        </w:rPr>
        <w:t>zboží uváděného na trh Unie, na němž jsou uvedeny subjekty nebo osoby usazené ve Spojeném království, již nebude splňovat požadavky Unie týkající se označování.</w:t>
      </w:r>
    </w:p>
    <w:p w:rsidR="00FF41BC" w:rsidRDefault="00730EF0">
      <w:pPr>
        <w:spacing w:after="180"/>
        <w:jc w:val="both"/>
        <w:rPr>
          <w:rFonts w:asciiTheme="minorHAnsi" w:hAnsiTheme="minorHAnsi" w:cstheme="minorHAnsi"/>
          <w:iCs/>
          <w:noProof/>
          <w:sz w:val="24"/>
          <w:szCs w:val="24"/>
        </w:rPr>
      </w:pPr>
      <w:r>
        <w:rPr>
          <w:rFonts w:asciiTheme="minorHAnsi" w:hAnsiTheme="minorHAnsi"/>
          <w:iCs/>
          <w:noProof/>
          <w:sz w:val="24"/>
          <w:szCs w:val="24"/>
        </w:rPr>
        <w:t>A konečně se stejně jako na obchod s jakoukoli jinou třetí zemí budou na obchod se Spojeným královstvím vztahovat pravidla Unie zakazující či omezující dovoz nebo vývoz určitého zboží</w:t>
      </w:r>
      <w:r>
        <w:rPr>
          <w:noProof/>
          <w:vertAlign w:val="superscript"/>
        </w:rPr>
        <w:footnoteReference w:id="15"/>
      </w:r>
      <w:r>
        <w:rPr>
          <w:rFonts w:asciiTheme="minorHAnsi" w:hAnsiTheme="minorHAnsi"/>
          <w:iCs/>
          <w:noProof/>
          <w:sz w:val="24"/>
          <w:szCs w:val="24"/>
        </w:rPr>
        <w:t xml:space="preserve"> z důvodů veřejného pořádku, jako je ochrana zdraví, bezpečnosti a životního prostředí.</w:t>
      </w:r>
    </w:p>
    <w:tbl>
      <w:tblPr>
        <w:tblStyle w:val="TableGrid"/>
        <w:tblW w:w="0" w:type="auto"/>
        <w:tblLook w:val="04A0" w:firstRow="1" w:lastRow="0" w:firstColumn="1" w:lastColumn="0" w:noHBand="0" w:noVBand="1"/>
      </w:tblPr>
      <w:tblGrid>
        <w:gridCol w:w="4644"/>
        <w:gridCol w:w="4644"/>
      </w:tblGrid>
      <w:tr w:rsidR="00FF41BC">
        <w:tc>
          <w:tcPr>
            <w:tcW w:w="9288" w:type="dxa"/>
            <w:gridSpan w:val="2"/>
          </w:tcPr>
          <w:p w:rsidR="00FF41BC" w:rsidRDefault="00730EF0">
            <w:pPr>
              <w:pStyle w:val="Heading4"/>
              <w:outlineLvl w:val="3"/>
              <w:rPr>
                <w:noProof/>
              </w:rPr>
            </w:pPr>
            <w:bookmarkStart w:id="15" w:name="_Toc45099909"/>
            <w:bookmarkStart w:id="16" w:name="_Toc46143603"/>
            <w:r>
              <w:rPr>
                <w:noProof/>
              </w:rPr>
              <w:t>Příklady plnění požadavků v konkrétních odvětvích</w:t>
            </w:r>
            <w:bookmarkEnd w:id="15"/>
            <w:bookmarkEnd w:id="16"/>
            <w:r>
              <w:rPr>
                <w:noProof/>
              </w:rPr>
              <w:t xml:space="preserve"> </w:t>
            </w:r>
          </w:p>
        </w:tc>
      </w:tr>
      <w:tr w:rsidR="00FF41BC">
        <w:tc>
          <w:tcPr>
            <w:tcW w:w="4644" w:type="dxa"/>
          </w:tcPr>
          <w:p w:rsidR="00FF41BC" w:rsidRDefault="00730EF0">
            <w:pPr>
              <w:spacing w:after="180"/>
              <w:jc w:val="both"/>
              <w:rPr>
                <w:rFonts w:asciiTheme="minorHAnsi" w:hAnsiTheme="minorHAnsi" w:cstheme="minorHAnsi"/>
                <w:i/>
                <w:noProof/>
                <w:sz w:val="24"/>
                <w:szCs w:val="24"/>
              </w:rPr>
            </w:pPr>
            <w:r>
              <w:rPr>
                <w:rFonts w:asciiTheme="minorHAnsi" w:hAnsiTheme="minorHAnsi"/>
                <w:i/>
                <w:noProof/>
                <w:sz w:val="24"/>
                <w:szCs w:val="24"/>
              </w:rPr>
              <w:t>Chemické výrobky</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Od 1. ledna 2021 se již ve Spojeném království nebudou používat pravidla Unie týkající se registrace, hodnocení, povolování a omezování chemických látek (REACH)</w:t>
            </w:r>
            <w:r>
              <w:rPr>
                <w:rFonts w:asciiTheme="minorHAnsi" w:hAnsiTheme="minorHAnsi" w:cstheme="minorHAnsi"/>
                <w:noProof/>
                <w:sz w:val="24"/>
                <w:szCs w:val="24"/>
                <w:vertAlign w:val="superscript"/>
              </w:rPr>
              <w:footnoteReference w:id="16"/>
            </w:r>
            <w:r>
              <w:rPr>
                <w:rFonts w:asciiTheme="minorHAnsi" w:hAnsiTheme="minorHAnsi"/>
                <w:noProof/>
                <w:sz w:val="24"/>
                <w:szCs w:val="24"/>
              </w:rPr>
              <w:t>.</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rPr>
              <w:t>Registrace, jejichž držiteli jsou výrobci usazení ve Spojeném království,</w:t>
            </w:r>
            <w:r>
              <w:rPr>
                <w:rFonts w:asciiTheme="minorHAnsi" w:hAnsiTheme="minorHAnsi"/>
                <w:noProof/>
                <w:sz w:val="24"/>
                <w:szCs w:val="24"/>
              </w:rPr>
              <w:t xml:space="preserve"> již v Evropské unii nebudou platné. Tyto subjekty budou muset zajistit, aby jejich látky byly zaregistrovány u výrobce nebo dovozce v Evropské unii, nebo určit „výhradního zástupce“ v Evropské unii jako žadatele o registraci dané látky.</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Následní uživatelé si budou muset ověřit, zda látky, které používají, byly zaregistrovány žadatelem o registraci usazeným v Evropské </w:t>
            </w:r>
            <w:r>
              <w:rPr>
                <w:rFonts w:asciiTheme="minorHAnsi" w:hAnsiTheme="minorHAnsi"/>
                <w:noProof/>
                <w:sz w:val="24"/>
                <w:szCs w:val="24"/>
              </w:rPr>
              <w:lastRenderedPageBreak/>
              <w:t>unii. Pokud tomu tak není, měli by:</w:t>
            </w:r>
          </w:p>
          <w:p w:rsidR="00FF41BC" w:rsidRDefault="00730EF0">
            <w:pPr>
              <w:numPr>
                <w:ilvl w:val="0"/>
                <w:numId w:val="43"/>
              </w:numPr>
              <w:spacing w:after="120"/>
              <w:jc w:val="both"/>
              <w:rPr>
                <w:rFonts w:asciiTheme="minorHAnsi" w:hAnsiTheme="minorHAnsi" w:cstheme="minorHAnsi"/>
                <w:noProof/>
                <w:sz w:val="24"/>
                <w:szCs w:val="24"/>
              </w:rPr>
            </w:pPr>
            <w:r>
              <w:rPr>
                <w:rFonts w:asciiTheme="minorHAnsi" w:hAnsiTheme="minorHAnsi"/>
                <w:noProof/>
                <w:sz w:val="24"/>
                <w:szCs w:val="24"/>
              </w:rPr>
              <w:t>odpovídajícím způsobem přizpůsobit dodavatelský řetězec (tj. najít náhradního dodavatele),</w:t>
            </w:r>
          </w:p>
          <w:p w:rsidR="00FF41BC" w:rsidRDefault="00730EF0">
            <w:pPr>
              <w:numPr>
                <w:ilvl w:val="0"/>
                <w:numId w:val="43"/>
              </w:numPr>
              <w:spacing w:after="120"/>
              <w:jc w:val="both"/>
              <w:rPr>
                <w:rFonts w:asciiTheme="minorHAnsi" w:hAnsiTheme="minorHAnsi" w:cstheme="minorHAnsi"/>
                <w:noProof/>
                <w:sz w:val="24"/>
                <w:szCs w:val="24"/>
              </w:rPr>
            </w:pPr>
            <w:r>
              <w:rPr>
                <w:rFonts w:asciiTheme="minorHAnsi" w:hAnsiTheme="minorHAnsi"/>
                <w:noProof/>
                <w:sz w:val="24"/>
                <w:szCs w:val="24"/>
              </w:rPr>
              <w:t>zjistit, zda daný žadatel o registraci ze Spojeného království hodlá určit „výhradního zástupce“ v Evropské unii, nebo</w:t>
            </w:r>
          </w:p>
          <w:p w:rsidR="00FF41BC" w:rsidRDefault="00730EF0">
            <w:pPr>
              <w:numPr>
                <w:ilvl w:val="0"/>
                <w:numId w:val="43"/>
              </w:numPr>
              <w:spacing w:after="120"/>
              <w:jc w:val="both"/>
              <w:rPr>
                <w:rFonts w:asciiTheme="minorHAnsi" w:hAnsiTheme="minorHAnsi" w:cstheme="minorHAnsi"/>
                <w:iCs/>
                <w:noProof/>
                <w:sz w:val="24"/>
                <w:szCs w:val="24"/>
              </w:rPr>
            </w:pPr>
            <w:r>
              <w:rPr>
                <w:rFonts w:asciiTheme="minorHAnsi" w:hAnsiTheme="minorHAnsi"/>
                <w:noProof/>
                <w:sz w:val="24"/>
                <w:szCs w:val="24"/>
              </w:rPr>
              <w:t>zaregistrovat látku jakožto dovozci.</w:t>
            </w:r>
          </w:p>
        </w:tc>
        <w:tc>
          <w:tcPr>
            <w:tcW w:w="4644" w:type="dxa"/>
          </w:tcPr>
          <w:p w:rsidR="00FF41BC" w:rsidRDefault="00730EF0">
            <w:pPr>
              <w:spacing w:after="180"/>
              <w:jc w:val="both"/>
              <w:rPr>
                <w:rFonts w:asciiTheme="minorHAnsi" w:hAnsiTheme="minorHAnsi" w:cstheme="minorHAnsi"/>
                <w:i/>
                <w:noProof/>
                <w:sz w:val="24"/>
                <w:szCs w:val="24"/>
              </w:rPr>
            </w:pPr>
            <w:r>
              <w:rPr>
                <w:rFonts w:asciiTheme="minorHAnsi" w:hAnsiTheme="minorHAnsi"/>
                <w:i/>
                <w:noProof/>
                <w:sz w:val="24"/>
                <w:szCs w:val="24"/>
              </w:rPr>
              <w:lastRenderedPageBreak/>
              <w:t>Zdravotnické výrobky (zdravotnické prostředky a léčivé přípravky k humánnímu nebo veterinárnímu použití)</w:t>
            </w:r>
          </w:p>
          <w:p w:rsidR="00FF41BC" w:rsidRDefault="00730EF0">
            <w:pPr>
              <w:spacing w:after="180"/>
              <w:jc w:val="both"/>
              <w:rPr>
                <w:rFonts w:asciiTheme="minorHAnsi" w:hAnsiTheme="minorHAnsi" w:cstheme="minorHAnsi"/>
                <w:noProof/>
                <w:sz w:val="24"/>
                <w:szCs w:val="24"/>
              </w:rPr>
            </w:pPr>
            <w:r>
              <w:rPr>
                <w:rFonts w:asciiTheme="minorHAnsi" w:hAnsiTheme="minorHAnsi"/>
                <w:noProof/>
                <w:sz w:val="24"/>
              </w:rPr>
              <w:t xml:space="preserve">Dne </w:t>
            </w:r>
            <w:r>
              <w:rPr>
                <w:rFonts w:asciiTheme="minorHAnsi" w:hAnsiTheme="minorHAnsi"/>
                <w:noProof/>
                <w:sz w:val="24"/>
                <w:szCs w:val="24"/>
              </w:rPr>
              <w:t>1. ledna 2021 Spojené království vystoupí z </w:t>
            </w:r>
            <w:r>
              <w:rPr>
                <w:rFonts w:asciiTheme="minorHAnsi" w:hAnsiTheme="minorHAnsi"/>
                <w:noProof/>
                <w:sz w:val="24"/>
              </w:rPr>
              <w:t>regulačního systému Unie pro léčivé přípravky a zdravotnické prostředky</w:t>
            </w:r>
            <w:r>
              <w:rPr>
                <w:rFonts w:asciiTheme="minorHAnsi" w:hAnsiTheme="minorHAnsi"/>
                <w:noProof/>
                <w:sz w:val="24"/>
                <w:szCs w:val="24"/>
              </w:rPr>
              <w:t>.</w:t>
            </w:r>
          </w:p>
          <w:p w:rsidR="00FF41BC" w:rsidRDefault="00730EF0">
            <w:pPr>
              <w:spacing w:after="180"/>
              <w:jc w:val="both"/>
              <w:rPr>
                <w:rFonts w:asciiTheme="minorHAnsi" w:hAnsiTheme="minorHAnsi" w:cstheme="minorHAnsi"/>
                <w:noProof/>
                <w:sz w:val="24"/>
                <w:szCs w:val="24"/>
              </w:rPr>
            </w:pPr>
            <w:r>
              <w:rPr>
                <w:rFonts w:asciiTheme="minorHAnsi" w:hAnsiTheme="minorHAnsi"/>
                <w:noProof/>
                <w:sz w:val="24"/>
                <w:szCs w:val="24"/>
              </w:rPr>
              <w:t>Výsledkem je, že:</w:t>
            </w:r>
          </w:p>
          <w:p w:rsidR="00FF41BC" w:rsidRDefault="00730EF0">
            <w:pPr>
              <w:pStyle w:val="ListParagraph"/>
              <w:numPr>
                <w:ilvl w:val="0"/>
                <w:numId w:val="44"/>
              </w:numPr>
              <w:spacing w:after="180"/>
              <w:jc w:val="both"/>
              <w:rPr>
                <w:rFonts w:asciiTheme="minorHAnsi" w:hAnsiTheme="minorHAnsi" w:cstheme="minorHAnsi"/>
                <w:noProof/>
                <w:sz w:val="24"/>
                <w:szCs w:val="24"/>
              </w:rPr>
            </w:pPr>
            <w:r>
              <w:rPr>
                <w:rFonts w:asciiTheme="minorHAnsi" w:hAnsiTheme="minorHAnsi"/>
                <w:noProof/>
                <w:sz w:val="24"/>
                <w:szCs w:val="24"/>
              </w:rPr>
              <w:t>všichni držitelé registrace budou muset být usazeni v Evropské unii,</w:t>
            </w:r>
          </w:p>
          <w:p w:rsidR="00FF41BC" w:rsidRDefault="00730EF0">
            <w:pPr>
              <w:pStyle w:val="ListParagraph"/>
              <w:numPr>
                <w:ilvl w:val="0"/>
                <w:numId w:val="44"/>
              </w:numPr>
              <w:spacing w:after="180"/>
              <w:jc w:val="both"/>
              <w:rPr>
                <w:rFonts w:asciiTheme="minorHAnsi" w:hAnsiTheme="minorHAnsi" w:cstheme="minorHAnsi"/>
                <w:noProof/>
                <w:sz w:val="24"/>
                <w:szCs w:val="24"/>
              </w:rPr>
            </w:pPr>
            <w:r>
              <w:rPr>
                <w:rFonts w:asciiTheme="minorHAnsi" w:hAnsiTheme="minorHAnsi"/>
                <w:noProof/>
                <w:sz w:val="24"/>
                <w:szCs w:val="24"/>
              </w:rPr>
              <w:t xml:space="preserve">místa pro provádění zkoušek a propouštění šarží budou muset ležet v Evropské unii, </w:t>
            </w:r>
          </w:p>
          <w:p w:rsidR="00FF41BC" w:rsidRDefault="00730EF0">
            <w:pPr>
              <w:pStyle w:val="ListParagraph"/>
              <w:numPr>
                <w:ilvl w:val="0"/>
                <w:numId w:val="44"/>
              </w:numPr>
              <w:spacing w:after="180"/>
              <w:jc w:val="both"/>
              <w:rPr>
                <w:rFonts w:asciiTheme="minorHAnsi" w:hAnsiTheme="minorHAnsi" w:cstheme="minorHAnsi"/>
                <w:noProof/>
                <w:sz w:val="24"/>
                <w:szCs w:val="24"/>
              </w:rPr>
            </w:pPr>
            <w:r>
              <w:rPr>
                <w:rFonts w:asciiTheme="minorHAnsi" w:hAnsiTheme="minorHAnsi"/>
                <w:noProof/>
                <w:sz w:val="24"/>
                <w:szCs w:val="24"/>
              </w:rPr>
              <w:t xml:space="preserve">kvalifikované osoby odpovědné za farmakovigilanci a propouštění šarží (mimo jiné i hodnocených léčivých přípravků) budou muset být usazeny </w:t>
            </w:r>
            <w:r>
              <w:rPr>
                <w:rFonts w:asciiTheme="minorHAnsi" w:hAnsiTheme="minorHAnsi"/>
                <w:noProof/>
                <w:sz w:val="24"/>
                <w:szCs w:val="24"/>
              </w:rPr>
              <w:lastRenderedPageBreak/>
              <w:t>v Evropské unii,</w:t>
            </w:r>
          </w:p>
          <w:p w:rsidR="00FF41BC" w:rsidRDefault="00730EF0">
            <w:pPr>
              <w:pStyle w:val="ListParagraph"/>
              <w:numPr>
                <w:ilvl w:val="0"/>
                <w:numId w:val="44"/>
              </w:numPr>
              <w:spacing w:after="180"/>
              <w:jc w:val="both"/>
              <w:rPr>
                <w:rFonts w:asciiTheme="minorHAnsi" w:hAnsiTheme="minorHAnsi" w:cstheme="minorHAnsi"/>
                <w:noProof/>
                <w:sz w:val="24"/>
                <w:szCs w:val="24"/>
              </w:rPr>
            </w:pPr>
            <w:r>
              <w:rPr>
                <w:rFonts w:asciiTheme="minorHAnsi" w:hAnsiTheme="minorHAnsi"/>
                <w:noProof/>
                <w:sz w:val="24"/>
                <w:szCs w:val="24"/>
              </w:rPr>
              <w:t>klinická hodnocení povolená v Unii budou muset mít zadavatele nebo zákonného zástupce usazeného v Evropské unii,</w:t>
            </w:r>
          </w:p>
          <w:p w:rsidR="00FF41BC" w:rsidRDefault="00730EF0">
            <w:pPr>
              <w:pStyle w:val="ListParagraph"/>
              <w:numPr>
                <w:ilvl w:val="0"/>
                <w:numId w:val="44"/>
              </w:numPr>
              <w:spacing w:after="180"/>
              <w:jc w:val="both"/>
              <w:rPr>
                <w:rFonts w:asciiTheme="minorHAnsi" w:hAnsiTheme="minorHAnsi" w:cstheme="minorHAnsi"/>
                <w:noProof/>
                <w:sz w:val="24"/>
                <w:szCs w:val="24"/>
              </w:rPr>
            </w:pPr>
            <w:r>
              <w:rPr>
                <w:rFonts w:asciiTheme="minorHAnsi" w:hAnsiTheme="minorHAnsi"/>
                <w:noProof/>
                <w:sz w:val="24"/>
                <w:szCs w:val="24"/>
              </w:rPr>
              <w:t>informace o přípravku a jejich označení budou muset splňovat požadavky Unie, a to i pokud jde o druhé označení léčivých přípravků podle podmínek dané registrace udělené ve Spojeném království,</w:t>
            </w:r>
          </w:p>
          <w:p w:rsidR="00FF41BC" w:rsidRDefault="00730EF0">
            <w:pPr>
              <w:pStyle w:val="ListParagraph"/>
              <w:numPr>
                <w:ilvl w:val="0"/>
                <w:numId w:val="44"/>
              </w:numPr>
              <w:spacing w:after="180"/>
              <w:jc w:val="both"/>
              <w:rPr>
                <w:rFonts w:asciiTheme="minorHAnsi" w:hAnsiTheme="minorHAnsi" w:cstheme="minorHAnsi"/>
                <w:noProof/>
                <w:sz w:val="24"/>
                <w:szCs w:val="24"/>
              </w:rPr>
            </w:pPr>
            <w:r>
              <w:rPr>
                <w:rFonts w:asciiTheme="minorHAnsi" w:hAnsiTheme="minorHAnsi"/>
                <w:noProof/>
                <w:sz w:val="24"/>
                <w:szCs w:val="24"/>
              </w:rPr>
              <w:t>osvědčování zdravotnických prostředků budou muset provádět oznámené subjekty usazené v Evropské unii.</w:t>
            </w:r>
          </w:p>
        </w:tc>
      </w:tr>
    </w:tbl>
    <w:p w:rsidR="00FF41BC" w:rsidRDefault="00FF41BC">
      <w:pPr>
        <w:spacing w:after="180"/>
        <w:jc w:val="both"/>
        <w:rPr>
          <w:rFonts w:asciiTheme="minorHAnsi" w:hAnsiTheme="minorHAnsi" w:cstheme="minorHAnsi"/>
          <w:iCs/>
          <w:noProof/>
          <w:sz w:val="24"/>
          <w:szCs w:val="24"/>
        </w:rPr>
      </w:pP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Podniky z EU uvádějící zboží na trh Spojeného království si musí ověřit, že k 1. lednu 2021 budou splňovat všechna příslušná pravidla Spojeného království.</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 xml:space="preserve">Pokud jde o postupy povolování a osvědčování, podniky z EU by i přes to, že přípravná opatření měla být přijata již v roce 2019, měly s dostatečným předstihem před 1. lednem 2021 řádně zkontrolovat, že tyto postupy dodržují. </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Správní orgány členských států EU by měly zintenzivnit poskytování informací zejména malým a středním podnikům.</w:t>
      </w:r>
    </w:p>
    <w:p w:rsidR="00FF41BC" w:rsidRDefault="00730EF0">
      <w:pPr>
        <w:pStyle w:val="Heading2"/>
        <w:rPr>
          <w:rFonts w:cstheme="minorHAnsi"/>
          <w:noProof/>
        </w:rPr>
      </w:pPr>
      <w:bookmarkStart w:id="17" w:name="_Toc45099910"/>
      <w:bookmarkStart w:id="18" w:name="_Toc46143604"/>
      <w:r>
        <w:rPr>
          <w:noProof/>
        </w:rPr>
        <w:t>Obchod se službami</w:t>
      </w:r>
      <w:bookmarkEnd w:id="17"/>
      <w:bookmarkEnd w:id="18"/>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Během přechodného období se Spojené království podílí na jednotném trhu EU, včetně jednotného trhu služeb. Podniky ze Spojeného království tudíž využívají svobody usazování a možnosti poskytovat služby ve všech členských státech EU. Mají výhody plynoucí ze společného regulačního a dohledového prostředí, které poskytuje rámec pro možná opatření, jež mohou přijmout vnitrostátní orgány. Toto prostředí rovněž umožňuje poskytovatelům služeb, aby využívali propracovaný systém uznávání odborných kvalifikací.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V některých oblastech regulovaných na úrovni Unie kromě toho přeshraniční výměna služeb využívá přístupu země původu či konceptu „pasportizace“, což znamená, že povolení vydané jedním členským státem na základě pravidel Unie je díky harmonizaci norem, technických pravidel a regulačních i dohledových rámců dostačující pro přístup na celý jednotný trh EU. Tyto principy tvoří pilíř volného pohybu některých služeb mezi zeměmi EU, například ve finanční a audiovizuální oblasti či v oblasti dopravy.</w:t>
      </w:r>
    </w:p>
    <w:p w:rsidR="00FF41BC" w:rsidRDefault="00730EF0">
      <w:pPr>
        <w:jc w:val="both"/>
        <w:rPr>
          <w:rFonts w:asciiTheme="minorHAnsi" w:hAnsiTheme="minorHAnsi" w:cstheme="minorHAnsi"/>
          <w:noProof/>
          <w:sz w:val="24"/>
        </w:rPr>
      </w:pPr>
      <w:r>
        <w:rPr>
          <w:rFonts w:asciiTheme="minorHAnsi" w:hAnsiTheme="minorHAnsi"/>
          <w:b/>
          <w:noProof/>
          <w:sz w:val="24"/>
        </w:rPr>
        <w:t>Od 1. ledna 2021</w:t>
      </w:r>
      <w:r>
        <w:rPr>
          <w:rFonts w:asciiTheme="minorHAnsi" w:hAnsiTheme="minorHAnsi"/>
          <w:noProof/>
          <w:sz w:val="24"/>
        </w:rPr>
        <w:t xml:space="preserve"> již svoboda usazování a volný pohyb služeb, které jsou zakotveny ve Smlouvách Unie, nebudou moci využívat osoby a podniky ze Spojeného království působící v Evropské unii ani osoby a podniky z EU působící ve Spojeném království. </w:t>
      </w:r>
    </w:p>
    <w:p w:rsidR="00FF41BC" w:rsidRDefault="00730EF0">
      <w:pPr>
        <w:jc w:val="both"/>
        <w:rPr>
          <w:rFonts w:asciiTheme="minorHAnsi" w:hAnsiTheme="minorHAnsi" w:cstheme="minorHAnsi"/>
          <w:noProof/>
          <w:sz w:val="24"/>
          <w:szCs w:val="24"/>
        </w:rPr>
      </w:pPr>
      <w:r>
        <w:rPr>
          <w:rFonts w:asciiTheme="minorHAnsi" w:hAnsiTheme="minorHAnsi"/>
          <w:noProof/>
          <w:sz w:val="24"/>
        </w:rPr>
        <w:lastRenderedPageBreak/>
        <w:t xml:space="preserve">Povolení udělená orgány Spojeného království podle rámce jednotného trhu EU nebudou od 1. ledna 2021 v Unii platná. To má význam zvláště </w:t>
      </w:r>
      <w:r>
        <w:rPr>
          <w:rFonts w:asciiTheme="minorHAnsi" w:hAnsiTheme="minorHAnsi"/>
          <w:noProof/>
          <w:sz w:val="24"/>
          <w:szCs w:val="24"/>
        </w:rPr>
        <w:t xml:space="preserve">pro oblasti finančních služeb, dopravy, audiovizuálních mediálních služeb a energetických služeb.  </w:t>
      </w:r>
    </w:p>
    <w:p w:rsidR="00FF41BC" w:rsidRDefault="00730EF0">
      <w:pPr>
        <w:jc w:val="both"/>
        <w:rPr>
          <w:rFonts w:asciiTheme="minorHAnsi" w:hAnsiTheme="minorHAnsi" w:cstheme="minorHAnsi"/>
          <w:noProof/>
          <w:sz w:val="24"/>
        </w:rPr>
      </w:pPr>
      <w:r>
        <w:rPr>
          <w:rFonts w:asciiTheme="minorHAnsi" w:hAnsiTheme="minorHAnsi"/>
          <w:noProof/>
          <w:sz w:val="24"/>
        </w:rPr>
        <w:t>Aby mohli poskytovatelé služeb ze Spojeného království a odborní pracovníci usazení ve Spojeném království vstoupit na trh Unie, budou muset prokázat, že splňují požadavky týkající se pravidel, postupů anebo povolení, které jsou podmínkou pro to, aby cizinci anebo společnosti, již jsou usazení mimo Unii, mohli poskytovat služby v Evropské unii</w:t>
      </w:r>
      <w:r>
        <w:rPr>
          <w:rStyle w:val="FootnoteReference"/>
          <w:rFonts w:asciiTheme="minorHAnsi" w:hAnsiTheme="minorHAnsi" w:cstheme="minorHAnsi"/>
          <w:noProof/>
          <w:sz w:val="24"/>
        </w:rPr>
        <w:footnoteReference w:id="17"/>
      </w:r>
      <w:r>
        <w:rPr>
          <w:rFonts w:asciiTheme="minorHAnsi" w:hAnsiTheme="minorHAnsi"/>
          <w:noProof/>
          <w:sz w:val="24"/>
        </w:rPr>
        <w:t xml:space="preserve">. Některé tyto požadavky jsou stanoveny právem Unie nebo častěji vnitrostátními režimy, avšak budou podmíněny závazky přijatými Evropskou unií v rámci Všeobecné dohody o obchodu službami pod hlavičkou Světové obchodní organizace a dále v rámci dohody se Spojeným královstvím o budoucích vztazích.  </w:t>
      </w:r>
    </w:p>
    <w:p w:rsidR="00FF41BC" w:rsidRDefault="00730EF0">
      <w:pPr>
        <w:jc w:val="both"/>
        <w:rPr>
          <w:rFonts w:asciiTheme="minorHAnsi" w:hAnsiTheme="minorHAnsi" w:cstheme="minorHAnsi"/>
          <w:noProof/>
          <w:sz w:val="24"/>
        </w:rPr>
      </w:pPr>
      <w:r>
        <w:rPr>
          <w:rFonts w:asciiTheme="minorHAnsi" w:hAnsiTheme="minorHAnsi"/>
          <w:noProof/>
          <w:sz w:val="24"/>
        </w:rPr>
        <w:t>Obdobně budou muset poskytovatelé služeb z EU a odborní pracovníci usazení v Unii a působící ve Spojeném království prokázat, že dodržují všechna příslušná pravidla Spojeného království.</w:t>
      </w:r>
    </w:p>
    <w:p w:rsidR="00FF41BC" w:rsidRDefault="00730EF0">
      <w:pPr>
        <w:pStyle w:val="Heading3"/>
        <w:rPr>
          <w:noProof/>
        </w:rPr>
      </w:pPr>
      <w:bookmarkStart w:id="19" w:name="_Toc45099911"/>
      <w:bookmarkStart w:id="20" w:name="_Toc46143605"/>
      <w:r>
        <w:rPr>
          <w:noProof/>
        </w:rPr>
        <w:t>B.1 Finanční služby</w:t>
      </w:r>
      <w:bookmarkEnd w:id="19"/>
      <w:bookmarkEnd w:id="20"/>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Během přechodného období se Spojené království podílí na jednotném trhu EU, včetně jednotného trhu finančních služeb. V současné době tudíž mohou být finanční služby poskytovány ze Spojeného království do Evropské unie s jediným povolením nebo „pasem“ pro příslušnou oblast finančních služeb vydaným orgány Spojeného království. Subjekty z Unie zase mohou používat „pasy“ svého domovského státu k poskytování finančních služeb do Spojeného království a ve Spojeném království.</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Dne 1. ledna 2021</w:t>
      </w:r>
      <w:r>
        <w:rPr>
          <w:rFonts w:asciiTheme="minorHAnsi" w:hAnsiTheme="minorHAnsi"/>
          <w:noProof/>
          <w:sz w:val="24"/>
          <w:szCs w:val="24"/>
        </w:rPr>
        <w:t xml:space="preserve"> přestanou platit povolení k poskytování služeb ze Spojeného království do celé EU. Poskytování finančních služeb ze Spojeného království do EU bude možné podle příslušných pravidel pro třetí země, která se používají v dotčeném členském státě. Podniky, banky či investoři z Unie, kteří nyní na tyto služby spoléhají, by o této změně měli vědět a náležitě se na ni připravit. Poskytovatelé finančních služeb z EU vykonávající činnost ve Spojeném království by se rovněž měli připravit tak, aby dodrželi všechna příslušná pravidla Spojeného království.</w:t>
      </w:r>
      <w:r>
        <w:rPr>
          <w:noProof/>
        </w:rPr>
        <w:t xml:space="preserve">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Za použití rámců rovnocennosti, s nimiž počítají některé právní akty Unie, má Evropská unie možnost zprostředkovat zvláštní součinnost finančních systémů Unie a Spojeného království tím, že uzná příslušné režimy Spojeného království v oblasti regulace a dohledu rovnocennými s odpovídajícími právními předpisy a požadavky Unie. Pouze omezené množství těchto rovnocenných vztahů umožňuje společnostem z třetích zemí, aby poskytovaly své služby zákazníkům z EU. Jako příklady jmenujme oblasti centrálních depozitářů cenných papírů a ústředních protistran. Konkrétně pro investiční podniky vstoupí </w:t>
      </w:r>
      <w:r>
        <w:rPr>
          <w:rFonts w:asciiTheme="minorHAnsi" w:hAnsiTheme="minorHAnsi"/>
          <w:noProof/>
          <w:sz w:val="24"/>
          <w:szCs w:val="24"/>
        </w:rPr>
        <w:lastRenderedPageBreak/>
        <w:t xml:space="preserve">v platnost nový, lepší rámec rovnocennosti v polovině roku 2021. Ve většině oblastí, k nimž patří i pojištění, úvěry komerčních bank nebo vklady, rovnocennost neumožňuje společnostem z třetích zemí poskytovat služby v EU, ale společnostem z EU ulehčí v oblasti obezřetnostních pravidel a předkládání zpráv.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Rozhodnutí Unie o rovnocennosti Spojenému království nenahradí výhody jednotného trhu, jelikož se ve Spojeném království přestanou uplatňovat povinnosti a ochranná opatření existující v ekosystému jednotného trhu EU. Rozhodnutí o rovnocennosti mohou být kdykoli jednostranně zrušena, a to zejména pokud se rámce třetích zemí liší a již nejsou splněny podmínky rovnocennosti.</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Jelikož jsou rámce rovnocennosti Unie jednostranné, nejsou posuzování rovnocennosti ani případná rozhodnutí o přiznání rovnocennosti zahrnuta do jednání se Spojeným královstvím. Současné propojení trhu EU a Spojeného království vyžaduje, aby se Komise při posuzování rovnocennosti zaměřila zejména na rizika, která pro EU vyvstávají v oblasti finanční stability, transparentnosti trhu, integrity trhu, ochrany investorů a rovných podmínek. V návaznosti na to, že vláda Spojeného království vyjádřila záměr odklonit se po přechodném období od regulačních a dohledových rámců Unie v oblasti finančních služeb, navíc musí Komise posoudit rovnocennost Spojeného království v každé oblasti s přihlédnutím k budoucímu vývoji.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V politickém prohlášení o budoucích vztazích</w:t>
      </w:r>
      <w:r>
        <w:rPr>
          <w:rStyle w:val="FootnoteReference"/>
          <w:rFonts w:asciiTheme="minorHAnsi" w:hAnsiTheme="minorHAnsi" w:cstheme="minorHAnsi"/>
          <w:noProof/>
          <w:sz w:val="24"/>
          <w:szCs w:val="24"/>
        </w:rPr>
        <w:footnoteReference w:id="18"/>
      </w:r>
      <w:r>
        <w:rPr>
          <w:rFonts w:asciiTheme="minorHAnsi" w:hAnsiTheme="minorHAnsi"/>
          <w:noProof/>
          <w:sz w:val="24"/>
          <w:szCs w:val="24"/>
        </w:rPr>
        <w:t xml:space="preserve"> je uvedeno, že Evropská unie i Spojené království chtějí dokončit vzájemné posuzování rovnocennosti do konce června roku 2020</w:t>
      </w:r>
      <w:r>
        <w:rPr>
          <w:rStyle w:val="FootnoteReference"/>
          <w:rFonts w:asciiTheme="minorHAnsi" w:hAnsiTheme="minorHAnsi" w:cstheme="minorHAnsi"/>
          <w:noProof/>
          <w:sz w:val="24"/>
          <w:szCs w:val="24"/>
        </w:rPr>
        <w:footnoteReference w:id="19"/>
      </w:r>
      <w:r>
        <w:rPr>
          <w:rFonts w:asciiTheme="minorHAnsi" w:hAnsiTheme="minorHAnsi"/>
          <w:noProof/>
          <w:sz w:val="24"/>
          <w:szCs w:val="24"/>
        </w:rPr>
        <w:t xml:space="preserve">. Komise předala Spojenému království dotazníky k 28 oblastem rovnocennosti. Do konce června obdržela pouze čtyři vyplněné dotazníky. Kvůli tomu nemohla posouzení rovnocennosti do konce června dokončit. Komise bude v posuzování pokračovat na základě dalších odpovědí, které jsou jí nyní doručovány. V každé oblasti může posouzení vést k rozhodnutí o rovnocennosti nebo o zamítnutí rovnocennosti. Komise bude přijímat rozhodnutí na základě komplexního posouzení, do něhož zahrne i zájmy EU.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V řadě oblastí Komise posuzování nezahájila z toho důvodu, že buď již rozhodnutí o rovnocennosti byla vydána</w:t>
      </w:r>
      <w:r>
        <w:rPr>
          <w:rStyle w:val="FootnoteReference"/>
          <w:rFonts w:asciiTheme="minorHAnsi" w:hAnsiTheme="minorHAnsi" w:cstheme="minorHAnsi"/>
          <w:noProof/>
          <w:sz w:val="24"/>
          <w:szCs w:val="24"/>
        </w:rPr>
        <w:footnoteReference w:id="20"/>
      </w:r>
      <w:r>
        <w:rPr>
          <w:rFonts w:asciiTheme="minorHAnsi" w:hAnsiTheme="minorHAnsi"/>
          <w:noProof/>
          <w:sz w:val="24"/>
          <w:szCs w:val="24"/>
        </w:rPr>
        <w:t xml:space="preserve">, nebo ještě například není plně zaveden právní rámec EU. </w:t>
      </w:r>
      <w:r>
        <w:rPr>
          <w:rFonts w:asciiTheme="minorHAnsi" w:hAnsiTheme="minorHAnsi"/>
          <w:noProof/>
          <w:sz w:val="24"/>
          <w:szCs w:val="24"/>
        </w:rPr>
        <w:lastRenderedPageBreak/>
        <w:t>Pokud jde o oblasti v druhém případě</w:t>
      </w:r>
      <w:r>
        <w:rPr>
          <w:rStyle w:val="FootnoteReference"/>
          <w:rFonts w:asciiTheme="minorHAnsi" w:hAnsiTheme="minorHAnsi" w:cstheme="minorHAnsi"/>
          <w:noProof/>
          <w:sz w:val="24"/>
          <w:szCs w:val="24"/>
        </w:rPr>
        <w:footnoteReference w:id="21"/>
      </w:r>
      <w:r>
        <w:rPr>
          <w:rFonts w:asciiTheme="minorHAnsi" w:hAnsiTheme="minorHAnsi"/>
          <w:noProof/>
          <w:sz w:val="24"/>
          <w:szCs w:val="24"/>
        </w:rPr>
        <w:t>, nepřijme Komise rozhodnutí o rovnocennosti v krátkodobém ani střednědobém horizontu.</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Na základě analýzy vypracované společně s Evropskou centrální bankou, Jednotným výborem pro řešení krizí a evropskými orgány dohledu a na základě přípravy provedené podniky z odvětví finančních služeb Komise určila pouze jednu oblast, v níž by mohla vzniknout rizika týkající se finanční stability, a tou je oblast ústředních protistran provádějících clearing derivátů. Aby Komise v krátkodobém horizontu předešla možným rizikům v oblasti finanční stability, zvažuje proto, že pro tuto oblast ve vztahu ke Spojenému království přijme rozhodnutí o rovnocennosti s omezenou dobou platnosti.</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Časově omezené rozhodnutí by umožnilo ústředním protistranám se sídlem v EU, aby v krátkodobém a střednědobém výhledu rozvinuly své možnosti provádět clearing příslušných obchodů, a členům clearingových systémů z EU, aby podnikli nezbytné kroky, například omezili své systémové napojení na infrastrukturu trhu Spojeného království.</w:t>
      </w:r>
    </w:p>
    <w:p w:rsidR="00FF41BC" w:rsidRDefault="00730EF0">
      <w:pPr>
        <w:jc w:val="both"/>
        <w:rPr>
          <w:noProof/>
        </w:rPr>
      </w:pPr>
      <w:r>
        <w:rPr>
          <w:rFonts w:asciiTheme="minorHAnsi" w:hAnsiTheme="minorHAnsi"/>
          <w:noProof/>
          <w:sz w:val="24"/>
          <w:szCs w:val="24"/>
        </w:rPr>
        <w:t xml:space="preserve">Za účelem zlepšení dohledu nad činnostmi v oblasti clearingu, jež mají pro Unii systémový význam, a jejich regulace EU v současnosti provádí nařízení „EMIR 2.2“. Komise přijímá prováděcí opatření, která určí stupeň systémového rizika představovaného ústředními protistranami z třetích zemí, nezbytná opatření k posílení dohledu nad těmito protistranami a případnou potřebu přijmout další opatření ke snížení těchto rizik. </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 xml:space="preserve">Pojišťovací subjekty, banky, investiční podniky, obchodní systémy i ostatní poskytovatelé finančních služeb by měli dokončit a provést přípravná opatření nejpozději do dne 31. prosince 2020, aby byli připraveni na změny, které nastanou bez ohledu na daný scénář, a to i v případě, že Evropská unie ani Spojené království nepřijme rozhodnutí o rovnocennosti pro danou oblast. </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lastRenderedPageBreak/>
        <w:t xml:space="preserve">Podniky, banky či investoři z Unie, kteří nyní spoléhají na poskytovatele služeb ze Spojeného království, by měli posoudit, jak tato situace může ovlivnit jejich činnost, a podniknout všechny nezbytné kroky, aby se připravili na všechny možné scénáře. Poskytovatelé finančních služeb z EU vykonávající činnost ve Spojeném království by se rovněž měli připravit tak, aby dodrželi všechna příslušná pravidla Spojeného království. Členové clearingových systémů z EU, kteří jsou účastníky ústředních protistran ze Spojeného království, a jejich zákazníci by měli podniknout aktivní kroky, aby se připravili na všechny scénáře, například omezit své systémové napojení na infrastrukturu trhu Spojeného království. </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Unijní a vnitrostátní orgány dohledu i regulační orgány musí pokračovat v dialogu se zúčastněnými stranami s cílem zajistit, aby všechna nezbytná opatření týkající se připravenosti byla přijata do konce roku 2020.</w:t>
      </w:r>
    </w:p>
    <w:p w:rsidR="00FF41BC" w:rsidRDefault="00730EF0">
      <w:pPr>
        <w:pStyle w:val="Heading3"/>
        <w:rPr>
          <w:noProof/>
        </w:rPr>
      </w:pPr>
      <w:bookmarkStart w:id="21" w:name="_Toc45099912"/>
      <w:bookmarkStart w:id="22" w:name="_Toc46143606"/>
      <w:r>
        <w:rPr>
          <w:noProof/>
        </w:rPr>
        <w:t>B.2 Dopravní služby</w:t>
      </w:r>
      <w:bookmarkEnd w:id="21"/>
      <w:bookmarkEnd w:id="22"/>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Během přechodného období se Spojené království podílí na jednotném trhu, včetně jednotného trhu dopravních služeb. Proto lze v současnosti provozovat služby železniční dopravy, služby letecké dopravy a silniční nákladní přepravu v celé Evropské unii s jedinou licencí vydanou jedním členským státem. To během přechodného období přináší výhody i dopravcům z EU působícím ve Spojeném království.</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již společnosti ze Spojeného království nebudou moci provozovat dopravní služby v Unii v rámci jednotného trhu. Možnosti a podmínky provozování služeb mezi Evropskou unií a Spojeným královstvím budou v případě podnikatelů v dopravě z EU a ze Spojeného království ve velké míře záviset na jednáních o budoucích vztazích mezi EU a Spojeným královstvím v oblasti dopravy.</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V každém případě však </w:t>
      </w:r>
      <w:r>
        <w:rPr>
          <w:rFonts w:asciiTheme="minorHAnsi" w:hAnsiTheme="minorHAnsi"/>
          <w:b/>
          <w:noProof/>
          <w:sz w:val="24"/>
          <w:szCs w:val="24"/>
        </w:rPr>
        <w:t>od 1. ledna 2021</w:t>
      </w:r>
      <w:r>
        <w:rPr>
          <w:rFonts w:asciiTheme="minorHAnsi" w:hAnsiTheme="minorHAnsi"/>
          <w:noProof/>
          <w:sz w:val="24"/>
          <w:szCs w:val="24"/>
        </w:rPr>
        <w:t xml:space="preserve"> již nebudou v Evropské unii platné licence pro </w:t>
      </w:r>
      <w:r>
        <w:rPr>
          <w:rFonts w:asciiTheme="minorHAnsi" w:hAnsiTheme="minorHAnsi"/>
          <w:noProof/>
          <w:sz w:val="24"/>
          <w:szCs w:val="24"/>
          <w:u w:val="single"/>
        </w:rPr>
        <w:t>železniční</w:t>
      </w:r>
      <w:r>
        <w:rPr>
          <w:rFonts w:asciiTheme="minorHAnsi" w:hAnsiTheme="minorHAnsi"/>
          <w:noProof/>
          <w:sz w:val="24"/>
          <w:szCs w:val="24"/>
        </w:rPr>
        <w:t xml:space="preserve"> podniky vydané Spojeným královstvím a osvědčení nebo licence vydané ve Spojeném království strojvedoucím již nebudou platné pro obsluhu hnacích vozidel a vlaků v železničním systému EU.</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Železniční podniky z Evropské unie nebo ze Spojeného království, které poskytují služby přes hranice mezi Spojeným královstvím a Evropskou unií, budou muset splňovat právní požadavky použitelné jak v Evropské unii, tak ve Spojeném království. To se týká licencí a osvědčení o bezpečnosti vydávaných železničním podnikům, povolení pro kolejová vozidla a licencí personálu (strojvedoucích). Dotčené zúčastněné strany proto musí zajistit, aby měly licence platné v Evropské unii pro úseky přeshraničních služeb ležící na území Evropské unie a licence platné ve Spojeném království pro úseky přeshraničních služeb ležící na území Spojeného království. </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w:t>
      </w:r>
      <w:r>
        <w:rPr>
          <w:rFonts w:asciiTheme="minorHAnsi" w:hAnsiTheme="minorHAnsi"/>
          <w:noProof/>
          <w:sz w:val="24"/>
          <w:szCs w:val="24"/>
          <w:u w:val="single"/>
        </w:rPr>
        <w:t>letečtí dopravci,</w:t>
      </w:r>
      <w:r>
        <w:rPr>
          <w:rFonts w:asciiTheme="minorHAnsi" w:hAnsiTheme="minorHAnsi"/>
          <w:noProof/>
          <w:sz w:val="24"/>
          <w:szCs w:val="24"/>
        </w:rPr>
        <w:t xml:space="preserve"> kteří jsou držiteli provozních licencí pro komerční leteckou přepravu cestujících, pošty a/nebo nákladu udělených orgánem Spojeného království </w:t>
      </w:r>
      <w:r>
        <w:rPr>
          <w:rFonts w:asciiTheme="minorHAnsi" w:hAnsiTheme="minorHAnsi"/>
          <w:noProof/>
          <w:sz w:val="24"/>
          <w:szCs w:val="24"/>
        </w:rPr>
        <w:lastRenderedPageBreak/>
        <w:t>vydávajícím licence, v každém případě již nebudou moci poskytovat služby letecké dopravy v Evropské unii.</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Letečtí dopravci EU a držitelé osvědčení o bezpečnosti v letectví z EU musí zajistit a udržovat splňování požadavků Unie, které mimo jiné zahrnují požadavek na hlavní místo obchodní činnosti a požadavek většinového vlastnictví a kontroly subjektem z EU, jež musí dodržovat letecké společnosti, a dále </w:t>
      </w:r>
      <w:r>
        <w:rPr>
          <w:rFonts w:asciiTheme="minorHAnsi" w:hAnsiTheme="minorHAnsi"/>
          <w:i/>
          <w:noProof/>
          <w:sz w:val="24"/>
          <w:szCs w:val="24"/>
        </w:rPr>
        <w:t>acquis</w:t>
      </w:r>
      <w:r>
        <w:rPr>
          <w:rFonts w:asciiTheme="minorHAnsi" w:hAnsiTheme="minorHAnsi"/>
          <w:noProof/>
          <w:sz w:val="24"/>
          <w:szCs w:val="24"/>
        </w:rPr>
        <w:t xml:space="preserve"> Unie týkající se bezpečnosti letectví. </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A konečně </w:t>
      </w:r>
      <w:r>
        <w:rPr>
          <w:rFonts w:asciiTheme="minorHAnsi" w:hAnsiTheme="minorHAnsi"/>
          <w:b/>
          <w:noProof/>
          <w:sz w:val="24"/>
          <w:szCs w:val="24"/>
        </w:rPr>
        <w:t>od 1. ledna 2021</w:t>
      </w:r>
      <w:r>
        <w:rPr>
          <w:rFonts w:asciiTheme="minorHAnsi" w:hAnsiTheme="minorHAnsi"/>
          <w:noProof/>
          <w:sz w:val="24"/>
          <w:szCs w:val="24"/>
        </w:rPr>
        <w:t xml:space="preserve"> již v každém případě nebudou </w:t>
      </w:r>
      <w:r>
        <w:rPr>
          <w:rFonts w:asciiTheme="minorHAnsi" w:hAnsiTheme="minorHAnsi"/>
          <w:noProof/>
          <w:sz w:val="24"/>
          <w:szCs w:val="24"/>
          <w:u w:val="single"/>
        </w:rPr>
        <w:t>podnikatelé v silniční dopravě</w:t>
      </w:r>
      <w:r>
        <w:rPr>
          <w:rFonts w:asciiTheme="minorHAnsi" w:hAnsiTheme="minorHAnsi"/>
          <w:noProof/>
          <w:sz w:val="24"/>
          <w:szCs w:val="24"/>
        </w:rPr>
        <w:t xml:space="preserve">, kteří jsou usazeni ve Spojeném království, držiteli licence Společenství. V důsledku toho již nebudou moci využívat automatických práv na přístup na jednotný trh, která tato licence propůjčuje, a zejména práva dopravců z EU uskutečňovat jízdy a přepravovat zboží v celé Unii. </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To, jaká přístupová práva budou dopravcům z EU přiznána ve vztahu k trhu Spojeného království a dopravcům ze Spojeného království ve vztahu k trhu EU, bude záležet na výsledku jednání mezi EU a Spojeným královstvím. Nebude-li dosaženo žádné dohody, budou dopravcům z EU pro jízdy do Spojeného království a dopravcům ze Spojeného království pro jízdy do EU k dispozici omezené kvóty, které jsou již nyní dostupné v rámci mechanismu Evropské konference ministrů dopravy (ECMT). </w:t>
      </w:r>
    </w:p>
    <w:p w:rsidR="00FF41BC" w:rsidRDefault="00FF41BC">
      <w:pPr>
        <w:spacing w:after="120"/>
        <w:jc w:val="both"/>
        <w:rPr>
          <w:rFonts w:asciiTheme="minorHAnsi" w:hAnsiTheme="minorHAnsi" w:cstheme="minorHAnsi"/>
          <w:noProof/>
          <w:sz w:val="24"/>
          <w:szCs w:val="24"/>
        </w:rPr>
      </w:pP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Všechny dopravní podniky provozující přepravu mezi Evropskou unií a Spojeným královstvím musí zajistit, aby od 1. ledna 2021 splňovaly příslušné požadavky EU a Spojeného království týkající se osvědčení.</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noProof/>
          <w:sz w:val="24"/>
          <w:szCs w:val="24"/>
        </w:rPr>
        <w:t xml:space="preserve">Přístupová práva pro leteckou a silniční dopravu mezi Unií a Spojeným královstvím budou ve velké míře záviset na výsledku jednání se Spojeným královstvím. </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V každém případě však na podnikatele v dopravě dolehnou změny formalit požadovaných při překračování hranice mezi Spojeným královstvím a EU</w:t>
      </w:r>
      <w:r>
        <w:rPr>
          <w:rStyle w:val="FootnoteReference"/>
          <w:rFonts w:asciiTheme="minorHAnsi" w:hAnsiTheme="minorHAnsi" w:cstheme="minorHAnsi"/>
          <w:noProof/>
          <w:sz w:val="24"/>
          <w:szCs w:val="24"/>
        </w:rPr>
        <w:footnoteReference w:id="22"/>
      </w:r>
      <w:r>
        <w:rPr>
          <w:rFonts w:asciiTheme="minorHAnsi" w:hAnsiTheme="minorHAnsi"/>
          <w:noProof/>
          <w:sz w:val="24"/>
          <w:szCs w:val="24"/>
        </w:rPr>
        <w:t>. Správní orgány členských států EU by měly zintenzivnit poskytování informací zejména malým a středním podnikům nejen o pravidlech v oblasti dopravy pro jednotlivá odvětví, ale i o tom, jaký budou mít formality na hranicích v budoucnu dopad na podnikatele v dopravě a v logistice, cestující i přeshraniční pracovníky. To se týká také hraničních kontrol osob – zde je třeba ověřit případné podmínky vstupu na území a pobytu na něm, vyznačování razítek do cestovních pasů a vízovou povinnost.</w:t>
      </w:r>
    </w:p>
    <w:p w:rsidR="00FF41BC" w:rsidRDefault="00730EF0">
      <w:pPr>
        <w:pStyle w:val="Heading3"/>
        <w:rPr>
          <w:noProof/>
        </w:rPr>
      </w:pPr>
      <w:bookmarkStart w:id="23" w:name="_Toc45099913"/>
      <w:bookmarkStart w:id="24" w:name="_Toc46143607"/>
      <w:r>
        <w:rPr>
          <w:noProof/>
        </w:rPr>
        <w:lastRenderedPageBreak/>
        <w:t>B.3 Audiovizuální služby</w:t>
      </w:r>
      <w:bookmarkEnd w:id="23"/>
      <w:bookmarkEnd w:id="24"/>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Během přechodného období se Spojené království účastní jednotného trhu audiovizuálních služeb. V současné době se proto uplatňuje zásada země původu, podle níž každý poskytovatel služeb usazený v určitém členském státě, který dodržuje pravidla vnitrostátního regulačního orgánu tohoto státu, může využívat pravidlo svobody příjmu a může vysílat obsah do jakéhokoli jiného členského státu, aniž by musel žádat o souhlas tohoto jiného členského státu.</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již nebudou podniky usazené ve Spojeném království moci nadále využívat zásady země původu podle směrnice o audiovizuálních mediálních službách.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Poskytovatelé audiovizuálních mediálních služeb se sídlem ve Spojeném království proto budou muset dodržovat všechna pravidla příslušného členského státu, ve kterém by chtěli poskytovat své služby.</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 xml:space="preserve">Poskytovatelé audiovizuálních mediálních služeb usazení ve Spojeném království, kteří dodávají audiovizuální mediální služby do Evropské unie, by měli přijmout opatření nezbytná k zajištění souladu s vnitrostátními režimy jednotlivých států, v nichž hodlají poskytovat služby. Poskytovatelé z EU, kteří mají v úmyslu poskytovat služby ve Spojeném království, budou povinni se řídit pravidly Spojeného království.  </w:t>
      </w:r>
    </w:p>
    <w:p w:rsidR="00FF41BC" w:rsidRDefault="00730EF0">
      <w:pPr>
        <w:pStyle w:val="Heading3"/>
        <w:rPr>
          <w:noProof/>
        </w:rPr>
      </w:pPr>
      <w:bookmarkStart w:id="25" w:name="_Toc45099914"/>
      <w:bookmarkStart w:id="26" w:name="_Toc46143608"/>
      <w:r>
        <w:rPr>
          <w:noProof/>
        </w:rPr>
        <w:t>B.4 Uznávání odborných kvalifikací</w:t>
      </w:r>
      <w:bookmarkEnd w:id="25"/>
      <w:bookmarkEnd w:id="26"/>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Během přechodného období se Spojené království účastní jednotného trhu EU včetně svobody usazování, volného pohybu osob a volného poskytování služeb. V současné době se tedy na státní příslušníky Spojeného království a na občany EU, kteří jsou držiteli kvalifikace ve Spojeném království, vztahuje zjednodušený – a v některých případech automatický – režim uznávání v jiných zemích EU, který umožňuje odborníkům, jako jsou například lékaři, zdravotní sestry, zubní lékaři, lékárníci, veterinární lékaři, právníci, architekti nebo inženýři, aby se během přechodného období pohybovali a poskytovali služby v celé Evropské unii i ve Spojeném království.</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se na Spojené království již nebudou vztahovat pravidla Unie o uznávání odborných kvalifikací a uznávání kvalifikací získaných v členských státech EU Spojeným královstvím bude předmětem britského práva.</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Státní příslušníci Spojeného království bez ohledu na to, kde svou kvalifikaci získali, a občané EU, kteří získali kvalifikaci ve Spojeném království, si po skončení přechodného období budou </w:t>
      </w:r>
      <w:r>
        <w:rPr>
          <w:rFonts w:asciiTheme="minorHAnsi" w:hAnsiTheme="minorHAnsi"/>
          <w:noProof/>
          <w:sz w:val="24"/>
          <w:szCs w:val="24"/>
        </w:rPr>
        <w:lastRenderedPageBreak/>
        <w:t>muset zajistit její uznání v příslušném členském státě na základě pravidel dané země pro státní příslušníky třetích zemí a/nebo pro kvalifikace ze třetích zemí</w:t>
      </w:r>
      <w:r>
        <w:rPr>
          <w:rStyle w:val="FootnoteReference"/>
          <w:rFonts w:asciiTheme="minorHAnsi" w:hAnsiTheme="minorHAnsi" w:cstheme="minorHAnsi"/>
          <w:noProof/>
          <w:sz w:val="24"/>
          <w:szCs w:val="24"/>
        </w:rPr>
        <w:footnoteReference w:id="23"/>
      </w:r>
      <w:r>
        <w:rPr>
          <w:rFonts w:asciiTheme="minorHAnsi" w:hAnsiTheme="minorHAnsi"/>
          <w:noProof/>
          <w:sz w:val="24"/>
          <w:szCs w:val="24"/>
        </w:rPr>
        <w:t>.</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osobám,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noProof/>
          <w:sz w:val="24"/>
          <w:szCs w:val="24"/>
        </w:rPr>
        <w:t>Dotčené osoby by se měly snažit dosáhnout uznání své kvalifikace ze Spojeného království v Evropské unii přede dnem 1. ledna 2021, aby byly připraveny na konec přechodného období. Podnikatelská rozhodnutí by měla brát v úvahu, že od ledna 2021, po skončení přechodného období, bude takové uznávání probíhat v příslušném členském státě na základě pravidel dané země platných pro státní příslušníky třetích zemí a/nebo pro kvalifikace ze třetích zemí.</w:t>
      </w:r>
    </w:p>
    <w:p w:rsidR="00FF41BC" w:rsidRDefault="00730EF0">
      <w:pPr>
        <w:pStyle w:val="Heading2"/>
        <w:rPr>
          <w:rFonts w:cstheme="minorHAnsi"/>
          <w:noProof/>
        </w:rPr>
      </w:pPr>
      <w:bookmarkStart w:id="27" w:name="_Toc35520660"/>
      <w:bookmarkStart w:id="28" w:name="_Toc35520693"/>
      <w:bookmarkStart w:id="29" w:name="_Toc35520661"/>
      <w:bookmarkStart w:id="30" w:name="_Toc35520694"/>
      <w:bookmarkStart w:id="31" w:name="_Toc35520662"/>
      <w:bookmarkStart w:id="32" w:name="_Toc35520695"/>
      <w:bookmarkStart w:id="33" w:name="_Toc35520663"/>
      <w:bookmarkStart w:id="34" w:name="_Toc35520696"/>
      <w:bookmarkStart w:id="35" w:name="_Toc35520664"/>
      <w:bookmarkStart w:id="36" w:name="_Toc35520697"/>
      <w:bookmarkStart w:id="37" w:name="_Toc45099915"/>
      <w:bookmarkStart w:id="38" w:name="_Toc46143609"/>
      <w:bookmarkEnd w:id="27"/>
      <w:bookmarkEnd w:id="28"/>
      <w:bookmarkEnd w:id="29"/>
      <w:bookmarkEnd w:id="30"/>
      <w:bookmarkEnd w:id="31"/>
      <w:bookmarkEnd w:id="32"/>
      <w:bookmarkEnd w:id="33"/>
      <w:bookmarkEnd w:id="34"/>
      <w:bookmarkEnd w:id="35"/>
      <w:bookmarkEnd w:id="36"/>
      <w:r>
        <w:rPr>
          <w:noProof/>
        </w:rPr>
        <w:t>Energie</w:t>
      </w:r>
      <w:bookmarkEnd w:id="37"/>
      <w:bookmarkEnd w:id="38"/>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Během přechodného období se Spojené království účastní integrovaného trhu Unie s energií. Obchodování s energetickými produkty mezi EU a Spojeným královstvím prostřednictvím propojovacího vedení elektřiny a plynu je proto v současné době řízeno prostřednictvím specializovaných platforem Unie.</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sice bude propojovací vedení elektřiny a plynu samozřejmě možné využívat i nadále, avšak Spojené království se již nebude účastnit specializovaných platforem Unie. Namísto toho budou pro účely obchodu s elektřinou na propojovacím vedení s Velkou Británií využívána alternativní náhradní řešení</w:t>
      </w:r>
      <w:r>
        <w:rPr>
          <w:rStyle w:val="FootnoteReference"/>
          <w:rFonts w:asciiTheme="minorHAnsi" w:hAnsiTheme="minorHAnsi" w:cstheme="minorHAnsi"/>
          <w:noProof/>
          <w:sz w:val="24"/>
          <w:szCs w:val="24"/>
        </w:rPr>
        <w:footnoteReference w:id="24"/>
      </w:r>
      <w:r>
        <w:rPr>
          <w:rFonts w:asciiTheme="minorHAnsi" w:hAnsiTheme="minorHAnsi"/>
          <w:noProof/>
          <w:sz w:val="24"/>
          <w:szCs w:val="24"/>
        </w:rPr>
        <w:t>. To by mělo umožnit pokračování obchodu s elektřinou, i když ne na stejné úrovni účinnosti, které je dosahováno v současné době v rámci jednotného trhu.</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Podniky a správní orgány členských států by měly vzít v úvahu, že od ledna 2021 nebudou obchody s Velkou Británií přes elektrická propojovací vedení řízeny prostřednictvím platforem Unie a stanou se energetickými toky třetích zemí. Zúčastněné strany by měly zvážit nezbytná opatření s cílem přizpůsobit se novému regulačnímu prostředí.</w:t>
      </w:r>
    </w:p>
    <w:p w:rsidR="00FF41BC" w:rsidRDefault="00730EF0">
      <w:pPr>
        <w:pStyle w:val="Heading2"/>
        <w:rPr>
          <w:rFonts w:cstheme="minorHAnsi"/>
          <w:noProof/>
        </w:rPr>
      </w:pPr>
      <w:bookmarkStart w:id="39" w:name="_Toc45099916"/>
      <w:bookmarkStart w:id="40" w:name="_Toc46143610"/>
      <w:r>
        <w:rPr>
          <w:noProof/>
        </w:rPr>
        <w:lastRenderedPageBreak/>
        <w:t>Cestování a cestovní ruch</w:t>
      </w:r>
      <w:bookmarkEnd w:id="39"/>
      <w:bookmarkEnd w:id="40"/>
    </w:p>
    <w:p w:rsidR="00FF41BC" w:rsidRDefault="00730EF0">
      <w:pPr>
        <w:pStyle w:val="Heading4"/>
        <w:rPr>
          <w:noProof/>
        </w:rPr>
      </w:pPr>
      <w:bookmarkStart w:id="41" w:name="_Toc45099917"/>
      <w:bookmarkStart w:id="42" w:name="_Toc46143611"/>
      <w:r>
        <w:rPr>
          <w:noProof/>
        </w:rPr>
        <w:t>Kontroly osob</w:t>
      </w:r>
      <w:r>
        <w:rPr>
          <w:rStyle w:val="FootnoteReference"/>
          <w:noProof/>
        </w:rPr>
        <w:footnoteReference w:id="25"/>
      </w:r>
      <w:bookmarkEnd w:id="41"/>
      <w:bookmarkEnd w:id="42"/>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Během přechodného období se se státními příslušníky Spojeného království zachází jako s občany Unie. Na státní příslušníky Spojeného království se proto v současné době při vstupu do Evropské unie a do schengenského prostoru vztahuje svoboda pohybu.</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bude se státními příslušníky Spojeného království cestujícími do Evropské unie a do schengenského prostoru zacházeno jako se státními příslušníky třetích zemí, a proto budou na hranici schengenského prostoru podrobeni důkladné kontrole.</w:t>
      </w:r>
      <w:r>
        <w:rPr>
          <w:noProof/>
        </w:rPr>
        <w:t xml:space="preserve"> </w:t>
      </w:r>
      <w:r>
        <w:rPr>
          <w:rFonts w:asciiTheme="minorHAnsi" w:hAnsiTheme="minorHAnsi"/>
          <w:noProof/>
          <w:sz w:val="24"/>
          <w:szCs w:val="24"/>
        </w:rPr>
        <w:t xml:space="preserve">To znamená, že doba trvání zamýšlených pobytů na území členských států EU nesmí během jakéhokoli období 180 dnů přesáhnout 90 dnů a státní příslušníci Spojeného království budou muset splňovat podmínky vstupu státních příslušníků třetích zemí. Rovněž nebudou nadále moci při překračování hranic využívat pruhy označené EU/EHP/CH, které jsou vyhrazeny pro osoby požívající právo na volný pohyb.  </w:t>
      </w:r>
    </w:p>
    <w:p w:rsidR="00FF41BC" w:rsidRDefault="00730EF0">
      <w:pPr>
        <w:spacing w:after="120"/>
        <w:jc w:val="both"/>
        <w:rPr>
          <w:rFonts w:asciiTheme="minorHAnsi" w:hAnsiTheme="minorHAnsi" w:cstheme="minorHAnsi"/>
          <w:i/>
          <w:noProof/>
          <w:sz w:val="24"/>
        </w:rPr>
      </w:pPr>
      <w:r>
        <w:rPr>
          <w:rFonts w:asciiTheme="minorHAnsi" w:hAnsiTheme="minorHAnsi"/>
          <w:i/>
          <w:noProof/>
          <w:sz w:val="24"/>
        </w:rPr>
        <w:t>Požadavky na víza</w:t>
      </w:r>
    </w:p>
    <w:p w:rsidR="00FF41BC" w:rsidRDefault="00730EF0">
      <w:pPr>
        <w:pStyle w:val="FootnoteText"/>
        <w:spacing w:after="200"/>
        <w:jc w:val="both"/>
        <w:rPr>
          <w:noProof/>
          <w:sz w:val="18"/>
          <w:szCs w:val="18"/>
        </w:rPr>
      </w:pPr>
      <w:r>
        <w:rPr>
          <w:rFonts w:asciiTheme="minorHAnsi" w:hAnsiTheme="minorHAnsi"/>
          <w:noProof/>
          <w:sz w:val="24"/>
        </w:rPr>
        <w:t>Během přechodného období se se státními příslušníky Spojeného království zachází jako s občany Unie. Proto se na ně nevztahují žádné vízové povinnosti v Evropské unii, což se týká zejména překračování hranic schengenského prostoru.</w:t>
      </w:r>
    </w:p>
    <w:p w:rsidR="00FF41BC" w:rsidRDefault="00730EF0">
      <w:pPr>
        <w:spacing w:after="120"/>
        <w:jc w:val="both"/>
        <w:rPr>
          <w:rFonts w:asciiTheme="minorHAnsi" w:hAnsiTheme="minorHAnsi" w:cstheme="minorHAnsi"/>
          <w:noProof/>
          <w:sz w:val="24"/>
        </w:rPr>
      </w:pPr>
      <w:r>
        <w:rPr>
          <w:rFonts w:asciiTheme="minorHAnsi" w:hAnsiTheme="minorHAnsi"/>
          <w:noProof/>
          <w:sz w:val="24"/>
        </w:rPr>
        <w:t xml:space="preserve">Nedávná legislativní opatření EU v oblasti připravenosti zajistila, že </w:t>
      </w:r>
      <w:r>
        <w:rPr>
          <w:rFonts w:asciiTheme="minorHAnsi" w:hAnsiTheme="minorHAnsi"/>
          <w:b/>
          <w:noProof/>
          <w:sz w:val="24"/>
        </w:rPr>
        <w:t>od 1. ledna 2021</w:t>
      </w:r>
      <w:r>
        <w:rPr>
          <w:rFonts w:asciiTheme="minorHAnsi" w:hAnsiTheme="minorHAnsi"/>
          <w:noProof/>
          <w:sz w:val="24"/>
        </w:rPr>
        <w:t xml:space="preserve"> budou státní příslušníci Spojeného království i nadále osvobozeni od povinnosti mít vízum při překračování vnějších hranic Evropské unie za účelem krátkodobých pobytů (nejvýše 90 dní během jakéhokoli období 180 dnů). Toto osvobození od vízové povinnosti nezakládá právo pracovat v Unii a podléhá mechanismu vzájemnosti vztahujícímu se na třetí země, tj. mohlo by být pozastaveno, pokud by občanům Unie přestal být poskytován bezvízový vstup do Spojeného království pro účely krátkodobých pobytů.</w:t>
      </w:r>
    </w:p>
    <w:p w:rsidR="00FF41BC" w:rsidRDefault="00730EF0">
      <w:pPr>
        <w:spacing w:after="120"/>
        <w:jc w:val="both"/>
        <w:rPr>
          <w:rFonts w:asciiTheme="minorHAnsi" w:hAnsiTheme="minorHAnsi" w:cstheme="minorHAnsi"/>
          <w:noProof/>
          <w:sz w:val="24"/>
        </w:rPr>
      </w:pPr>
      <w:r>
        <w:rPr>
          <w:rFonts w:asciiTheme="minorHAnsi" w:hAnsiTheme="minorHAnsi"/>
          <w:noProof/>
          <w:sz w:val="24"/>
        </w:rPr>
        <w:t xml:space="preserve">Změní se rovněž vízová pravidla pro některé státní příslušníky třetích zemí s bydlištěm ve Spojeném království, kteří cestují do Unie. Například od 1. ledna 2021 již nebudou držitelé dokladů o pobytu ve Spojeném království osvobozeni od požadavků na letištní průjezdní víza v Unii a žákům s bydlištěm ve Spojeném království již nebude při vstupu do Unie v rámci školních výletů automaticky umožněn bezvízový styk s Unií.  </w:t>
      </w:r>
    </w:p>
    <w:p w:rsidR="00FF41BC" w:rsidRDefault="00730EF0">
      <w:pPr>
        <w:spacing w:after="120"/>
        <w:jc w:val="both"/>
        <w:rPr>
          <w:rFonts w:asciiTheme="minorHAnsi" w:hAnsiTheme="minorHAnsi" w:cstheme="minorHAnsi"/>
          <w:i/>
          <w:noProof/>
          <w:sz w:val="24"/>
        </w:rPr>
      </w:pPr>
      <w:r>
        <w:rPr>
          <w:rFonts w:asciiTheme="minorHAnsi" w:hAnsiTheme="minorHAnsi"/>
          <w:i/>
          <w:noProof/>
          <w:sz w:val="24"/>
        </w:rPr>
        <w:t>Cestování se zvířaty v zájmovém chovu</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Během přechodného období mohou majitelé zvířat v zájmovém chovu mající bydliště ve Spojeném království používat „cestovní doklad EU pro zvířata v zájmovém chovu“ s cílem usnadnit cestování se zvířaty v zájmovém chovu v </w:t>
      </w:r>
      <w:r>
        <w:rPr>
          <w:rFonts w:asciiTheme="minorHAnsi" w:hAnsiTheme="minorHAnsi"/>
          <w:noProof/>
          <w:sz w:val="24"/>
        </w:rPr>
        <w:t>Evropské unii</w:t>
      </w:r>
      <w:r>
        <w:rPr>
          <w:rFonts w:asciiTheme="minorHAnsi" w:hAnsiTheme="minorHAnsi"/>
          <w:noProof/>
          <w:sz w:val="24"/>
          <w:szCs w:val="24"/>
        </w:rPr>
        <w:t xml:space="preserve">. </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lastRenderedPageBreak/>
        <w:t>Od 1. ledna 2021</w:t>
      </w:r>
      <w:r>
        <w:rPr>
          <w:rFonts w:asciiTheme="minorHAnsi" w:hAnsiTheme="minorHAnsi"/>
          <w:noProof/>
          <w:sz w:val="24"/>
          <w:szCs w:val="24"/>
        </w:rPr>
        <w:t xml:space="preserve"> přestane být cestovní doklad EU pro zvířata v zájmovém chovu, vydaný majiteli zvířete v zájmovém chovu majícímu bydliště ve Spojeném království, platným dokladem pro cestování se zvířaty v zájmovém chovu ze Spojeného království do kteréhokoli z členských států EU. V budoucnosti bude požadavky týkající se zvířat v zájmovém chovu doprovázejících osoby cestující ze Spojeného království určovat Unie. </w:t>
      </w:r>
    </w:p>
    <w:p w:rsidR="00FF41BC" w:rsidRDefault="00730EF0">
      <w:pPr>
        <w:pStyle w:val="Heading4"/>
        <w:rPr>
          <w:noProof/>
        </w:rPr>
      </w:pPr>
      <w:bookmarkStart w:id="43" w:name="_Toc45099918"/>
      <w:bookmarkStart w:id="44" w:name="_Toc46143612"/>
      <w:r>
        <w:rPr>
          <w:noProof/>
        </w:rPr>
        <w:t>Řidičské průkazy</w:t>
      </w:r>
      <w:bookmarkEnd w:id="43"/>
      <w:bookmarkEnd w:id="44"/>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Během přechodného období se v celé </w:t>
      </w:r>
      <w:r>
        <w:rPr>
          <w:rFonts w:asciiTheme="minorHAnsi" w:hAnsiTheme="minorHAnsi"/>
          <w:noProof/>
          <w:sz w:val="24"/>
        </w:rPr>
        <w:t>Evropské unii</w:t>
      </w:r>
      <w:r>
        <w:rPr>
          <w:rFonts w:asciiTheme="minorHAnsi" w:hAnsiTheme="minorHAnsi"/>
          <w:noProof/>
          <w:sz w:val="24"/>
          <w:szCs w:val="24"/>
        </w:rPr>
        <w:t xml:space="preserve"> uplatňují právní předpisy Unie o uznávání řidičských průkazů. V současné době tedy mohou držitelé řidičských průkazů vydaných Spojeným královstvím i nadále řídit vozidlo v EU bez další dokumentace. </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již nebudou řidičské průkazy vydané Spojeným královstvím předmětem vzájemného uznávání podle práva Unie. Uznávání řidičských průkazů vydaných Spojeným královstvím bude upraveno na úrovni členských států. V členských státech, které jsou smluvními stranami Ženevské úmluvy o silničním provozu z roku 1949, se použije tato úmluva. Pro účely dalších informací by měl být konzultován odpovědný orgán příslušného členského státu. </w:t>
      </w:r>
    </w:p>
    <w:p w:rsidR="00FF41BC" w:rsidRDefault="00730EF0">
      <w:pPr>
        <w:pStyle w:val="Heading4"/>
        <w:rPr>
          <w:noProof/>
        </w:rPr>
      </w:pPr>
      <w:bookmarkStart w:id="45" w:name="_Toc45099919"/>
      <w:bookmarkStart w:id="46" w:name="_Toc46143613"/>
      <w:r>
        <w:rPr>
          <w:noProof/>
        </w:rPr>
        <w:t>Roaming</w:t>
      </w:r>
      <w:bookmarkEnd w:id="45"/>
      <w:bookmarkEnd w:id="46"/>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Během přechodného období se ve vztahu ke Spojenému království použije právo Unie týkající se roamingu. V současné době se tedy uplatňuje nařízení zajišťující roaming bez dodatečných poplatků jak vůči Spojenému království, tak v rámci Spojeného království.</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již nebude právo Unie zaručovat spotřebitelům ze Spojeného království přístup k „roamingu za domácích podmínek“</w:t>
      </w:r>
      <w:r>
        <w:rPr>
          <w:rFonts w:asciiTheme="minorHAnsi" w:hAnsiTheme="minorHAnsi"/>
          <w:noProof/>
          <w:sz w:val="24"/>
        </w:rPr>
        <w:t xml:space="preserve"> </w:t>
      </w:r>
      <w:r>
        <w:rPr>
          <w:rFonts w:asciiTheme="minorHAnsi" w:hAnsiTheme="minorHAnsi"/>
          <w:noProof/>
          <w:sz w:val="24"/>
          <w:szCs w:val="24"/>
        </w:rPr>
        <w:t xml:space="preserve">v Evropské unii a nebude jej zaručovat ani spotřebitelům z Unie cestujícím do Spojeného království. </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Mobilní operátoři ve Spojeném království i v EU tak budou moci roamingovým zákazníkům účtovat příplatek.</w:t>
      </w:r>
    </w:p>
    <w:p w:rsidR="00FF41BC" w:rsidRDefault="00730EF0">
      <w:pPr>
        <w:pStyle w:val="Heading4"/>
        <w:rPr>
          <w:noProof/>
        </w:rPr>
      </w:pPr>
      <w:bookmarkStart w:id="47" w:name="_Toc45099920"/>
      <w:bookmarkStart w:id="48" w:name="_Toc46143614"/>
      <w:r>
        <w:rPr>
          <w:noProof/>
        </w:rPr>
        <w:t>Práva cestujících</w:t>
      </w:r>
      <w:bookmarkEnd w:id="47"/>
      <w:bookmarkEnd w:id="48"/>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Během přechodného období se právo Unie týkající se práv cestujících v letecké, železniční, autobusové, autokarové a lodní dopravě včetně pomoci cestujícím se zdravotním postižením nebo sníženou pohyblivostí i nadále vztahuje na cestující odjíždějící ze Spojeného království do některého z členských států EU bez ohledu na to, zda je dopravce dopravcem Spojeného království nebo dopravcem Unie. </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bude ovlivněna úroveň ochrany cestujících mezi EU a Spojeným královstvím. V závislosti na druhu dopravy může dojít k tomu, že se na cestující při cestě do Spojeného království nebo z něj již nebude vztahovat ochrana práv cestujících v EU. </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osobám,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lastRenderedPageBreak/>
        <w:t>Osoby cestující do Spojeného království a ze Spojeného království by měly vzít v úvahu změny týkající se hraničních kontrol, vízových povinností, cestovních dokladů zvířat v zájmovém chovu, řidičských průkazů a poplatků za roaming.</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 xml:space="preserve">Podniky poskytující cestovní služby by se měly s těmito změnami seznámit a je možné, že jim budou muset příslušným způsobem přizpůsobit své postupy. </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Vnitrostátní orgány se musí ujistit, že na hraničních přechodech je k dispozici dostatečný počet zaměstnanců, a v případě potřeby upravit infrastrukturu. Rovněž by se měly ujistit, že cestující a cestovatelé jsou dobře informováni o všech změnách svých práv a povinností.</w:t>
      </w:r>
    </w:p>
    <w:p w:rsidR="00FF41BC" w:rsidRDefault="00730EF0">
      <w:pPr>
        <w:pStyle w:val="Heading2"/>
        <w:rPr>
          <w:noProof/>
        </w:rPr>
      </w:pPr>
      <w:bookmarkStart w:id="49" w:name="_Toc45099921"/>
      <w:bookmarkStart w:id="50" w:name="_Toc46143615"/>
      <w:r>
        <w:rPr>
          <w:noProof/>
        </w:rPr>
        <w:t>Koordinace mobility a sociálního zabezpečení</w:t>
      </w:r>
      <w:bookmarkEnd w:id="49"/>
      <w:bookmarkEnd w:id="50"/>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Během přechodného období mohou státní příslušníci Spojeného království i nadále využívat volný pohyb osob v Unii. Občané EU mohou rovněž i nadále využívat svá práva na volný pohyb k tomu, aby cestovali, pracovali, studovali, zahájili podnikatelskou činnost nebo žili ve Spojeném království. Veškerá pravidla Unie týkající se koordinace systémů sociálního zabezpečení se rovněž vztahují, a v souladu s podmínkami dohody o vystoupení se budou vztahovat i nadále,</w:t>
      </w:r>
      <w:r>
        <w:rPr>
          <w:noProof/>
        </w:rPr>
        <w:t xml:space="preserve"> </w:t>
      </w:r>
      <w:r>
        <w:rPr>
          <w:rFonts w:asciiTheme="minorHAnsi" w:hAnsiTheme="minorHAnsi"/>
          <w:noProof/>
          <w:sz w:val="24"/>
          <w:szCs w:val="24"/>
        </w:rPr>
        <w:t xml:space="preserve">a to i po skončení přechodného období, na osoby, které se před ukončením přechodného období nacházely v přeshraniční situaci týkající se Spojeného království a </w:t>
      </w:r>
      <w:r>
        <w:rPr>
          <w:rFonts w:asciiTheme="minorHAnsi" w:hAnsiTheme="minorHAnsi"/>
          <w:noProof/>
          <w:sz w:val="24"/>
        </w:rPr>
        <w:t>Evropské unie</w:t>
      </w:r>
      <w:r>
        <w:rPr>
          <w:rFonts w:asciiTheme="minorHAnsi" w:hAnsiTheme="minorHAnsi"/>
          <w:noProof/>
          <w:sz w:val="24"/>
          <w:szCs w:val="24"/>
        </w:rPr>
        <w:t xml:space="preserve">. </w:t>
      </w:r>
      <w:r>
        <w:rPr>
          <w:rFonts w:asciiTheme="minorHAnsi" w:hAnsiTheme="minorHAnsi"/>
          <w:noProof/>
          <w:sz w:val="24"/>
        </w:rPr>
        <w:t>Dohoda o vystoupení rovněž chrání právo pobytu a právo na práci občanů EU oprávněně pobývajících ve Spojeném království a státních příslušníků Spojeného království oprávněně pobývajících v některém z členských států EU na konci přechodného období a jejich rodinných příslušníků</w:t>
      </w:r>
      <w:r>
        <w:rPr>
          <w:rStyle w:val="FootnoteReference"/>
          <w:rFonts w:asciiTheme="minorHAnsi" w:hAnsiTheme="minorHAnsi" w:cstheme="minorHAnsi"/>
          <w:noProof/>
          <w:sz w:val="24"/>
          <w:szCs w:val="24"/>
        </w:rPr>
        <w:footnoteReference w:id="26"/>
      </w:r>
      <w:r>
        <w:rPr>
          <w:rFonts w:asciiTheme="minorHAnsi" w:hAnsiTheme="minorHAnsi"/>
          <w:noProof/>
          <w:sz w:val="24"/>
        </w:rPr>
        <w:t>.</w:t>
      </w:r>
      <w:r>
        <w:rPr>
          <w:rFonts w:asciiTheme="minorHAnsi" w:hAnsiTheme="minorHAnsi"/>
          <w:noProof/>
          <w:sz w:val="24"/>
          <w:szCs w:val="24"/>
        </w:rPr>
        <w:t xml:space="preserve"> </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Dne 1. ledna 2021</w:t>
      </w:r>
      <w:r>
        <w:rPr>
          <w:rFonts w:asciiTheme="minorHAnsi" w:hAnsiTheme="minorHAnsi"/>
          <w:noProof/>
          <w:sz w:val="24"/>
          <w:szCs w:val="24"/>
        </w:rPr>
        <w:t xml:space="preserve"> končí volný pohyb mezi Evropskou unií a Spojeným královstvím. To bude mít dopad na snadnost mobility pro všechny občany EU, kteří nepožívají výhod dohody o vystoupení a kteří chtějí zůstat ve Spojeném království po delší dobu, ať již se jedná o studenty, pracovníky, důchodce nebo jejich rodinné příslušníky. Veškeré jejich přesuny do Spojeného království se budou řídit imigračními zákony Spojeného království. Společnosti ze Spojeného království, které budou mít zájem zaměstnat občany EU, budou muset dodržovat pravidla Spojeného království, která se v současné době v režimu Unie neuplatňují. Veškeré přesuny státních příslušníků Spojeného království do EU, na které se nevztahuje dohoda o vystoupení, se budou řídit pravidly migrace Unie a členských států. Společnosti z EU, které budou mít zájem zaměstnat státní příslušníky Spojeného království, budou povinny dodržovat příslušná pravidla Unie a jejích jednotlivých členských států pro státní příslušníky třetích zemí. </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Pro občany EU, kteří budou využívat některou z forem mobility v rámci nového režimu Spojeného království, přestane existovat stávající koordinace systémů sociálního zabezpečení stanovená v předpisech Unie. Totéž platí pro státní příslušníky Spojeného </w:t>
      </w:r>
      <w:r>
        <w:rPr>
          <w:rFonts w:asciiTheme="minorHAnsi" w:hAnsiTheme="minorHAnsi"/>
          <w:noProof/>
          <w:sz w:val="24"/>
          <w:szCs w:val="24"/>
        </w:rPr>
        <w:lastRenderedPageBreak/>
        <w:t>království v EU, pokud se na ně nevztahují zvláštní pravidla Unie týkající se státních příslušníků třetích zemí. Nebude existovat stejná rozsáhlá přeshraniční ochrana sociálního zabezpečení, jaká existuje podle současných pravidel Unie, protože pravidla Unie se již nebudou uplatňovat. Dokonce i na základě případné budoucí dohody se Spojeným královstvím by mohly být potenciálně zajištěny pouze některé nároky na sociální zabezpečení. Přesné podmínky, které se budou uplatňovat, závisejí na výsledku jednání mezi Evropskou unií a Spojeným královstvím o budoucím partnerství, například o nákladech na zdravotní péči nebo o nárocích na důchod.</w:t>
      </w:r>
    </w:p>
    <w:p w:rsidR="00FF41BC" w:rsidRDefault="00730EF0">
      <w:pPr>
        <w:pStyle w:val="Heading2"/>
        <w:rPr>
          <w:rFonts w:cstheme="minorHAnsi"/>
          <w:noProof/>
        </w:rPr>
      </w:pPr>
      <w:bookmarkStart w:id="51" w:name="_Toc45099922"/>
      <w:bookmarkStart w:id="52" w:name="_Toc46143616"/>
      <w:r>
        <w:rPr>
          <w:noProof/>
        </w:rPr>
        <w:t>Právo obchodních společností a občanské právo</w:t>
      </w:r>
      <w:bookmarkEnd w:id="51"/>
      <w:bookmarkEnd w:id="52"/>
    </w:p>
    <w:p w:rsidR="00FF41BC" w:rsidRDefault="00730EF0">
      <w:pPr>
        <w:pStyle w:val="Heading3"/>
        <w:spacing w:before="240"/>
        <w:rPr>
          <w:noProof/>
        </w:rPr>
      </w:pPr>
      <w:bookmarkStart w:id="53" w:name="_Toc45099923"/>
      <w:bookmarkStart w:id="54" w:name="_Toc46143617"/>
      <w:r>
        <w:rPr>
          <w:noProof/>
        </w:rPr>
        <w:t>F.1 Společnosti zaregistrované ve Spojeném království</w:t>
      </w:r>
      <w:bookmarkEnd w:id="53"/>
      <w:bookmarkEnd w:id="54"/>
      <w:r>
        <w:rPr>
          <w:noProof/>
        </w:rPr>
        <w:t xml:space="preserve">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Během přechodného období se Spojené království podílí na jednotném trhu, což zahrnuje i základní svobodu usazování. V současné době proto může být společnost zaregistrována ve Spojeném království, a přitom mít ústřední správu nebo hlavní místo podnikání v některém z členských států EU.</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budou společnosti zaregistrované ve Spojeném království společnostmi ze třetích zemí a nebudou automaticky uznávány podle článku 54 SFEU. Jejich uznávání začne podléhat vnitrostátním právním předpisům pro společnosti zapsané ve třetích zemích.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Pobočky společností zaregistrovaných ve Spojeném království nacházející se v členských státech EU budou pobočkami společností ze třetích zemí. Dceřiné společnosti společností ze Spojeného království v Unii jsou v zásadě společnostmi EU a i nadále se na ně budou vztahovat všechny příslušné právní předpisy Unie a vnitrostátní právní předpisy.</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 xml:space="preserve">V případě, že společnosti zaregistrované ve Spojeném království mají zájem stát se společnostmi EU, měly by podniknout všechny nezbytné kroky k tomu, aby se nechaly zaregistrovat v některém z členských států EU. </w:t>
      </w:r>
    </w:p>
    <w:p w:rsidR="00FF41BC" w:rsidRDefault="00730EF0">
      <w:pPr>
        <w:pStyle w:val="Heading3"/>
        <w:rPr>
          <w:noProof/>
          <w:highlight w:val="yellow"/>
        </w:rPr>
      </w:pPr>
      <w:bookmarkStart w:id="55" w:name="_Toc45099924"/>
      <w:bookmarkStart w:id="56" w:name="_Toc46143618"/>
      <w:r>
        <w:rPr>
          <w:noProof/>
        </w:rPr>
        <w:t>F.2 Smluvní volba soudní příslušnosti</w:t>
      </w:r>
      <w:bookmarkEnd w:id="55"/>
      <w:bookmarkEnd w:id="56"/>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Během přechodného období se Spojené království účastní některých prvků evropského soudního prostoru pro věci občanské</w:t>
      </w:r>
      <w:r>
        <w:rPr>
          <w:rStyle w:val="FootnoteReference"/>
          <w:rFonts w:asciiTheme="minorHAnsi" w:hAnsiTheme="minorHAnsi" w:cstheme="minorHAnsi"/>
          <w:noProof/>
          <w:sz w:val="24"/>
          <w:szCs w:val="24"/>
        </w:rPr>
        <w:footnoteReference w:id="27"/>
      </w:r>
      <w:r>
        <w:rPr>
          <w:rFonts w:asciiTheme="minorHAnsi" w:hAnsiTheme="minorHAnsi"/>
          <w:noProof/>
          <w:sz w:val="24"/>
          <w:szCs w:val="24"/>
        </w:rPr>
        <w:t>. V současné době jsou tedy rozsudky v občanských i obchodních věcech vydané soudem Spojeného království v Evropské unii rychle vymahatelné. Obchodní smlouvy v praxi často zakládají soudní příslušnost pro spory ve Spojeném království.</w:t>
      </w:r>
    </w:p>
    <w:p w:rsidR="00FF41BC" w:rsidRDefault="00730EF0">
      <w:pPr>
        <w:jc w:val="both"/>
        <w:rPr>
          <w:rFonts w:asciiTheme="minorHAnsi" w:hAnsiTheme="minorHAnsi" w:cstheme="minorHAnsi"/>
          <w:b/>
          <w:noProof/>
          <w:sz w:val="24"/>
          <w:szCs w:val="24"/>
        </w:rPr>
      </w:pPr>
      <w:r>
        <w:rPr>
          <w:rFonts w:asciiTheme="minorHAnsi" w:hAnsiTheme="minorHAnsi"/>
          <w:b/>
          <w:noProof/>
          <w:sz w:val="24"/>
          <w:szCs w:val="24"/>
        </w:rPr>
        <w:lastRenderedPageBreak/>
        <w:t>Od 1. ledna 2021</w:t>
      </w:r>
      <w:r>
        <w:rPr>
          <w:rFonts w:asciiTheme="minorHAnsi" w:hAnsiTheme="minorHAnsi"/>
          <w:noProof/>
          <w:sz w:val="24"/>
          <w:szCs w:val="24"/>
        </w:rPr>
        <w:t xml:space="preserve"> již nebudou platit pravidla Unie usnadňující přeshraniční uznávání a výkon soudních rozhodnutí v EU a ve Spojeném království během přechodného období</w:t>
      </w:r>
      <w:r>
        <w:rPr>
          <w:rStyle w:val="FootnoteReference"/>
          <w:rFonts w:asciiTheme="minorHAnsi" w:hAnsiTheme="minorHAnsi" w:cstheme="minorHAnsi"/>
          <w:noProof/>
          <w:sz w:val="24"/>
          <w:szCs w:val="24"/>
        </w:rPr>
        <w:footnoteReference w:id="28"/>
      </w:r>
      <w:r>
        <w:rPr>
          <w:rFonts w:asciiTheme="minorHAnsi" w:hAnsiTheme="minorHAnsi"/>
          <w:noProof/>
          <w:sz w:val="24"/>
          <w:szCs w:val="24"/>
        </w:rPr>
        <w:t>. Pokud Spojené království po skončení přechodného období samo za sebe přistoupí k Haagské úmluvě o dohodách o volbě soudu z roku 2005, bude se tato úmluva vztahovat pouze na uznávání a výkon soudních rozhodnutí vydaných soudy určenými v dohodách o výlučné soudní příslušnosti, které budou uzavřeny až poté, co se Spojené království stane smluvní stranou této úmluvy. Prozatím se tedy uznávání a výkon soudních rozhodnutí Spojeného království bude řídit vnitrostátními předpisy členského státu, v němž se o uznání/výkon žádá.</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Všem podnikům se doporučuje zohlednit tuto situaci při posuzování volby mezinárodní soudní příslušnosti ve smlouvách.</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Podniky by si měly být vědomy toho, že oproti současné situaci již nemusí být v Evropské unii rozsudky vynesené soudem Spojeného království rychle vykonatelné.</w:t>
      </w:r>
    </w:p>
    <w:p w:rsidR="00FF41BC" w:rsidRDefault="00730EF0">
      <w:pPr>
        <w:pStyle w:val="Heading2"/>
        <w:rPr>
          <w:noProof/>
        </w:rPr>
      </w:pPr>
      <w:bookmarkStart w:id="57" w:name="_Toc45099925"/>
      <w:bookmarkStart w:id="58" w:name="_Toc46143619"/>
      <w:r>
        <w:rPr>
          <w:noProof/>
        </w:rPr>
        <w:t>Ostatní aspekty: osobní údaje, digitální práva a práva duševního vlastnictví</w:t>
      </w:r>
      <w:bookmarkEnd w:id="57"/>
      <w:bookmarkEnd w:id="58"/>
    </w:p>
    <w:p w:rsidR="00FF41BC" w:rsidRDefault="00730EF0">
      <w:pPr>
        <w:pStyle w:val="Heading3"/>
        <w:spacing w:before="240"/>
        <w:rPr>
          <w:rFonts w:cstheme="minorHAnsi"/>
          <w:noProof/>
        </w:rPr>
      </w:pPr>
      <w:bookmarkStart w:id="59" w:name="_Toc45099926"/>
      <w:bookmarkStart w:id="60" w:name="_Toc46143620"/>
      <w:r>
        <w:rPr>
          <w:noProof/>
        </w:rPr>
        <w:t>G.1 Duševní vlastnictví</w:t>
      </w:r>
      <w:bookmarkEnd w:id="59"/>
      <w:bookmarkEnd w:id="60"/>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Během přechodného období se Spojené království účastní jednotného trhu EU. Držitel práva duševního vlastnictví, jako je například ochranná známka EU, se proto v současné době nemůže této ochranné známky dovolávat za účelem vznesení námitky proti přepravě zboží ze Spojeného království do Evropské unie, pokud bylo toto zboží uvedeno na trh Spojeného království pod touto ochrannou známkou držitelem tohoto práva nebo s jeho souhlasem (zásada vyčerpání práv přiznaných právem duševního vlastnictví) a naopak.  </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se již obchodníci v Evropské unii při získávání výrobků ze Spojeného království nemohou dovolávat zásady vyčerpání práv vůči držitelům práv.</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t>Podniky, které provozují paralelní obchod pocházející ze Spojeného království, by měly revidovat své obchodní dohody.</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Navíc platí, že </w:t>
      </w:r>
      <w:r>
        <w:rPr>
          <w:rFonts w:asciiTheme="minorHAnsi" w:hAnsiTheme="minorHAnsi"/>
          <w:b/>
          <w:noProof/>
          <w:sz w:val="24"/>
          <w:szCs w:val="24"/>
        </w:rPr>
        <w:t>od 1. ledna 2021</w:t>
      </w:r>
      <w:r>
        <w:rPr>
          <w:rFonts w:asciiTheme="minorHAnsi" w:hAnsiTheme="minorHAnsi"/>
          <w:noProof/>
          <w:sz w:val="24"/>
          <w:szCs w:val="24"/>
        </w:rPr>
        <w:t xml:space="preserve"> budou sice stávající jednotná práva duševního vlastnictví EU (ochranné známky EU, (průmyslové) vzory Společenství, odrůdová práva Společenství a zeměpisná označení) v souladu s dohodou o vystoupení i nadále chráněna, avšak veškerá </w:t>
      </w:r>
      <w:r>
        <w:rPr>
          <w:rFonts w:asciiTheme="minorHAnsi" w:hAnsiTheme="minorHAnsi"/>
          <w:noProof/>
          <w:sz w:val="24"/>
          <w:szCs w:val="24"/>
        </w:rPr>
        <w:lastRenderedPageBreak/>
        <w:t>nová jednotná práva EU budou mít omezenou územní působnost vzhledem k tomu, že ve Spojeném království pozbydou platnosti</w:t>
      </w:r>
      <w:r>
        <w:rPr>
          <w:rStyle w:val="FootnoteReference"/>
          <w:rFonts w:asciiTheme="minorHAnsi" w:hAnsiTheme="minorHAnsi" w:cstheme="minorHAnsi"/>
          <w:noProof/>
          <w:sz w:val="24"/>
          <w:szCs w:val="24"/>
        </w:rPr>
        <w:footnoteReference w:id="29"/>
      </w:r>
      <w:r>
        <w:rPr>
          <w:rFonts w:asciiTheme="minorHAnsi" w:hAnsiTheme="minorHAnsi"/>
          <w:noProof/>
          <w:sz w:val="24"/>
          <w:szCs w:val="24"/>
        </w:rPr>
        <w:t xml:space="preserve">. </w:t>
      </w:r>
    </w:p>
    <w:p w:rsidR="00FF41BC" w:rsidRDefault="00730EF0">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HAnsi"/>
          <w:noProof/>
          <w:sz w:val="24"/>
          <w:szCs w:val="24"/>
        </w:rPr>
      </w:pPr>
      <w:r>
        <w:rPr>
          <w:rFonts w:asciiTheme="minorHAnsi" w:hAnsiTheme="minorHAnsi"/>
          <w:noProof/>
          <w:sz w:val="24"/>
          <w:szCs w:val="24"/>
        </w:rPr>
        <w:t xml:space="preserve">Dotčené zúčastněné strany by v případě potřeby měly přijmout nezbytná opatření k zajištění ochrany budoucích práv duševního vlastnictví ve Spojeném království. </w:t>
      </w:r>
    </w:p>
    <w:p w:rsidR="00FF41BC" w:rsidRDefault="00730EF0">
      <w:pPr>
        <w:pStyle w:val="Heading3"/>
        <w:rPr>
          <w:noProof/>
        </w:rPr>
      </w:pPr>
      <w:bookmarkStart w:id="61" w:name="_Toc45099927"/>
      <w:bookmarkStart w:id="62" w:name="_Toc46143621"/>
      <w:r>
        <w:rPr>
          <w:noProof/>
        </w:rPr>
        <w:t>G.2 Předávání a ochrana údajů</w:t>
      </w:r>
      <w:bookmarkEnd w:id="61"/>
      <w:bookmarkEnd w:id="62"/>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Během přechodného období je Spojené království vázáno právními předpisy Unie o ochraně údajů. V současnosti proto lze předávat osobní údaje z Evropské unie do Spojeného království bez jakýchkoli omezení.</w:t>
      </w:r>
    </w:p>
    <w:p w:rsidR="00FF41BC" w:rsidRDefault="00730EF0">
      <w:pPr>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může předávání osobních údajů do Spojeného království pokračovat, ale bude nutno, aby bylo v souladu se zvláštními pravidly a zárukami Unie týkajícími se předávání osobních údajů do třetích zemí, stanovenými v obecném nařízení EU o ochraně osobních údajů (GDPR)</w:t>
      </w:r>
      <w:r>
        <w:rPr>
          <w:rStyle w:val="FootnoteReference"/>
          <w:rFonts w:asciiTheme="minorHAnsi" w:hAnsiTheme="minorHAnsi" w:cstheme="minorHAnsi"/>
          <w:noProof/>
          <w:sz w:val="24"/>
          <w:szCs w:val="24"/>
        </w:rPr>
        <w:footnoteReference w:id="30"/>
      </w:r>
      <w:r>
        <w:rPr>
          <w:rFonts w:asciiTheme="minorHAnsi" w:hAnsiTheme="minorHAnsi"/>
          <w:noProof/>
          <w:sz w:val="24"/>
          <w:szCs w:val="24"/>
        </w:rPr>
        <w:t xml:space="preserve"> nebo ve směrnici o prosazování práva</w:t>
      </w:r>
      <w:r>
        <w:rPr>
          <w:rStyle w:val="FootnoteReference"/>
          <w:rFonts w:asciiTheme="minorHAnsi" w:hAnsiTheme="minorHAnsi" w:cstheme="minorHAnsi"/>
          <w:noProof/>
          <w:sz w:val="24"/>
          <w:szCs w:val="24"/>
        </w:rPr>
        <w:footnoteReference w:id="31"/>
      </w:r>
      <w:r>
        <w:rPr>
          <w:rFonts w:asciiTheme="minorHAnsi" w:hAnsiTheme="minorHAnsi"/>
          <w:noProof/>
          <w:sz w:val="24"/>
          <w:szCs w:val="24"/>
        </w:rPr>
        <w:t xml:space="preserve">.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Zejména kapitola V nařízení o ochraně osobních údajů stanoví řadu nástrojů, které zajistí, aby při předávání osobních údajů do třetích zemí nebyla oslabena úroveň ochrany fyzických osob zaručená v Unii. V rámci těchto nástrojů může Evropská unie na základě článku 45 obecného nařízení o ochraně osobních údajů přijmout jednostranné rozhodnutí o odpovídající ochraně, pokud má za to, že daná třetí země poskytuje odpovídající úroveň ochrany údajů.</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Jak je zdůrazněno v politickém prohlášení,</w:t>
      </w:r>
      <w:r>
        <w:rPr>
          <w:rStyle w:val="FootnoteReference"/>
          <w:rFonts w:asciiTheme="minorHAnsi" w:hAnsiTheme="minorHAnsi" w:cstheme="minorHAnsi"/>
          <w:noProof/>
          <w:sz w:val="24"/>
          <w:szCs w:val="24"/>
        </w:rPr>
        <w:footnoteReference w:id="32"/>
      </w:r>
      <w:r>
        <w:rPr>
          <w:rFonts w:asciiTheme="minorHAnsi" w:hAnsiTheme="minorHAnsi"/>
          <w:noProof/>
          <w:sz w:val="24"/>
          <w:szCs w:val="24"/>
        </w:rPr>
        <w:t xml:space="preserve"> EU vynaloží maximální úsilí na to, aby ukončila posuzování režimu Spojeného království do konce roku 2020 s cílem případně přijmout rozhodnutí, pokud Spojené království splní příslušné podmínky. Komise v současné době provádí toto posuzování a již uspořádala řadu technických schůzek se Spojeným královstvím s cílem shromáždit informace pro účely tohoto procesu. Pokud jde o Spojené království, jeho zákon o ochraně údajů (Data Protection Act) přiznal členským státům EU odpovídající ochranu do konce roku 2024, přičemž k tomuto datu bude potřeba ji znovu přezkoumat.</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b/>
          <w:noProof/>
          <w:sz w:val="24"/>
          <w:szCs w:val="24"/>
          <w:u w:val="single"/>
        </w:rPr>
      </w:pPr>
      <w:r>
        <w:rPr>
          <w:rFonts w:asciiTheme="minorHAnsi" w:hAnsiTheme="minorHAnsi"/>
          <w:b/>
          <w:noProof/>
          <w:sz w:val="24"/>
          <w:szCs w:val="24"/>
          <w:u w:val="single"/>
        </w:rPr>
        <w:t>Doporučení podnikům a správním orgánům členských států</w:t>
      </w:r>
    </w:p>
    <w:p w:rsidR="00FF41BC" w:rsidRDefault="00730EF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4"/>
          <w:szCs w:val="24"/>
        </w:rPr>
      </w:pPr>
      <w:r>
        <w:rPr>
          <w:rFonts w:asciiTheme="minorHAnsi" w:hAnsiTheme="minorHAnsi"/>
          <w:noProof/>
          <w:sz w:val="24"/>
          <w:szCs w:val="24"/>
        </w:rPr>
        <w:lastRenderedPageBreak/>
        <w:t xml:space="preserve">Podniky a orgány veřejné správy by měly přijmout nezbytná opatření k zajištění souladu veškerého předávání osobních údajů do Spojeného království s právem Unie v oblasti ochrany údajů bez ohledu na scénář, ve kterém bude přijato rozhodnutí EU o odpovídající ochraně ve vztahu ke Spojenému království. Tohoto souladu lze dosáhnout zavedením vhodných záruk stanovených v obecném nařízení o ochraně osobních údajů, včetně závazných podnikových pravidel, nebo prostřednictvím zvláštních výjimek. </w:t>
      </w:r>
    </w:p>
    <w:p w:rsidR="00FF41BC" w:rsidRDefault="00730EF0">
      <w:pPr>
        <w:pStyle w:val="Heading3"/>
        <w:rPr>
          <w:noProof/>
        </w:rPr>
      </w:pPr>
      <w:bookmarkStart w:id="63" w:name="_Toc45099928"/>
      <w:bookmarkStart w:id="64" w:name="_Toc46143622"/>
      <w:r>
        <w:rPr>
          <w:noProof/>
        </w:rPr>
        <w:t>G.3 Doménové jméno .eu</w:t>
      </w:r>
      <w:bookmarkEnd w:id="63"/>
      <w:bookmarkEnd w:id="64"/>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Během přechodného období se ve vztahu k Spojenému království použije právo Unie týkající se internetových domén nejvyšší úrovně .eu. Podniky usazené ve Spojeném království a občané a obyvatelé Spojeného království jsou i nadále způsobilí k registraci a držení doménových jmen .eu.</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nebudou podniky usazené ve Spojeném království, ale nikoli v Evropské unii, a rezidenti</w:t>
      </w:r>
      <w:r>
        <w:rPr>
          <w:rFonts w:asciiTheme="minorHAnsi" w:hAnsiTheme="minorHAnsi"/>
          <w:noProof/>
        </w:rPr>
        <w:t xml:space="preserve"> </w:t>
      </w:r>
      <w:r>
        <w:rPr>
          <w:rFonts w:asciiTheme="minorHAnsi" w:hAnsiTheme="minorHAnsi"/>
          <w:noProof/>
          <w:sz w:val="24"/>
          <w:szCs w:val="24"/>
        </w:rPr>
        <w:t xml:space="preserve">Spojeného království, kteří nejsou občany EU, již nadále způsobilí k registraci nebo držení doménových jmen .eu. </w:t>
      </w:r>
    </w:p>
    <w:p w:rsidR="00FF41BC" w:rsidRDefault="00730EF0">
      <w:pPr>
        <w:jc w:val="both"/>
        <w:rPr>
          <w:rFonts w:asciiTheme="minorHAnsi" w:hAnsiTheme="minorHAnsi" w:cstheme="minorHAnsi"/>
          <w:noProof/>
          <w:sz w:val="24"/>
        </w:rPr>
      </w:pPr>
      <w:r>
        <w:rPr>
          <w:rFonts w:asciiTheme="minorHAnsi" w:hAnsiTheme="minorHAnsi"/>
          <w:noProof/>
          <w:sz w:val="24"/>
        </w:rPr>
        <w:t>Pokud tyto osoby nebudou schopny prokázat, že jsou i nadále způsobilé k držení doménových jmen .eu, budou jejich doménová jména po konci přechodného období stažena</w:t>
      </w:r>
      <w:r>
        <w:rPr>
          <w:rFonts w:asciiTheme="minorHAnsi" w:hAnsiTheme="minorHAnsi" w:cstheme="minorHAnsi"/>
          <w:noProof/>
          <w:sz w:val="24"/>
          <w:vertAlign w:val="superscript"/>
        </w:rPr>
        <w:footnoteReference w:id="33"/>
      </w:r>
      <w:r>
        <w:rPr>
          <w:rFonts w:asciiTheme="minorHAnsi" w:hAnsiTheme="minorHAnsi"/>
          <w:noProof/>
          <w:sz w:val="24"/>
        </w:rPr>
        <w:t>. Občané EU s bydlištěm ve Spojeném království však budou moci doménová jména .eu držet nebo si zaregistrovat jména nová i po skončení přechodného období.</w:t>
      </w:r>
    </w:p>
    <w:p w:rsidR="00FF41BC" w:rsidRDefault="00730EF0">
      <w:pPr>
        <w:pStyle w:val="Heading2"/>
        <w:rPr>
          <w:rFonts w:cstheme="minorHAnsi"/>
          <w:noProof/>
        </w:rPr>
      </w:pPr>
      <w:bookmarkStart w:id="65" w:name="_Toc45099929"/>
      <w:bookmarkStart w:id="66" w:name="_Toc46143623"/>
      <w:r>
        <w:rPr>
          <w:noProof/>
        </w:rPr>
        <w:t>Mezinárodní dohody Evropské unie</w:t>
      </w:r>
      <w:bookmarkEnd w:id="65"/>
      <w:bookmarkEnd w:id="66"/>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Během přechodného období je Spojené království i nadále vázáno mezinárodními dohodami uzavřenými Evropskou unií. Evropská unie kromě toho informovala své mezinárodní partnery, že pro účely těchto dohod se se Spojeným královstvím během přechodného období zachází jako s členským státem.</w:t>
      </w:r>
    </w:p>
    <w:p w:rsidR="00FF41BC" w:rsidRDefault="00730EF0">
      <w:pPr>
        <w:spacing w:after="120"/>
        <w:jc w:val="both"/>
        <w:rPr>
          <w:rFonts w:asciiTheme="minorHAnsi" w:hAnsiTheme="minorHAnsi" w:cstheme="minorHAnsi"/>
          <w:noProof/>
          <w:sz w:val="24"/>
          <w:szCs w:val="24"/>
        </w:rPr>
      </w:pPr>
      <w:r>
        <w:rPr>
          <w:rFonts w:asciiTheme="minorHAnsi" w:hAnsiTheme="minorHAnsi"/>
          <w:b/>
          <w:noProof/>
          <w:sz w:val="24"/>
          <w:szCs w:val="24"/>
        </w:rPr>
        <w:t>Od 1. ledna 2021</w:t>
      </w:r>
      <w:r>
        <w:rPr>
          <w:rFonts w:asciiTheme="minorHAnsi" w:hAnsiTheme="minorHAnsi"/>
          <w:noProof/>
          <w:sz w:val="24"/>
          <w:szCs w:val="24"/>
        </w:rPr>
        <w:t xml:space="preserve"> se na Spojené království již nebudou vztahovat dohody uzavřené Unií nebo členskými státy jednajícími jménem Unie ani dohody uzavřené Unií a jejími členskými státy jednajícími společně. Evropská unie informovala své mezinárodní partnery o důsledcích vystoupení Spojeného království z Unie prostřednictvím „verbální nóty“ zaslané po podpisu dohody o vystoupení</w:t>
      </w:r>
      <w:r>
        <w:rPr>
          <w:rStyle w:val="FootnoteReference"/>
          <w:rFonts w:asciiTheme="minorHAnsi" w:hAnsiTheme="minorHAnsi" w:cstheme="minorHAnsi"/>
          <w:noProof/>
          <w:sz w:val="24"/>
          <w:szCs w:val="24"/>
        </w:rPr>
        <w:footnoteReference w:id="34"/>
      </w:r>
      <w:r>
        <w:rPr>
          <w:rFonts w:asciiTheme="minorHAnsi" w:hAnsiTheme="minorHAnsi"/>
          <w:noProof/>
          <w:sz w:val="24"/>
          <w:szCs w:val="24"/>
        </w:rPr>
        <w:t>.</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V důsledku toho se již nebude na Spojené království včetně státních příslušníků a hospodářských subjektů Spojeného království vztahovat několik stovek mezinárodních dohod Unie, jako jsou například dohody o volném obchodu, dohody o vzájemném uznávání, veterinární dohody nebo dvoustranné dohody týkající se letecké dopravy nebo bezpečnosti </w:t>
      </w:r>
      <w:r>
        <w:rPr>
          <w:rFonts w:asciiTheme="minorHAnsi" w:hAnsiTheme="minorHAnsi"/>
          <w:noProof/>
          <w:sz w:val="24"/>
          <w:szCs w:val="24"/>
        </w:rPr>
        <w:lastRenderedPageBreak/>
        <w:t xml:space="preserve">letectví. Na podniky usazené v Unii se budou samozřejmě i nadále vztahovat všechny stávající mezinárodní dohody Unie. </w:t>
      </w:r>
    </w:p>
    <w:p w:rsidR="00FF41BC" w:rsidRDefault="00730EF0">
      <w:pPr>
        <w:spacing w:after="120"/>
        <w:jc w:val="both"/>
        <w:rPr>
          <w:rFonts w:asciiTheme="minorHAnsi" w:hAnsiTheme="minorHAnsi" w:cstheme="minorHAnsi"/>
          <w:noProof/>
          <w:sz w:val="24"/>
          <w:szCs w:val="24"/>
        </w:rPr>
      </w:pPr>
      <w:r>
        <w:rPr>
          <w:rFonts w:asciiTheme="minorHAnsi" w:hAnsiTheme="minorHAnsi"/>
          <w:noProof/>
          <w:sz w:val="24"/>
          <w:szCs w:val="24"/>
        </w:rPr>
        <w:t xml:space="preserve">Tím není dotčeno postavení Spojeného království ve vztahu k mnohostranným dohodám, jichž je Spojené království samostatnou smluvní stranou. Spojené království bude například i nadále samostatným členem Světové obchodní organizace a budou se na něj vztahovat příslušné dohody Světové obchodní organizace týkající se zejména jeho koncesí a závazků v oblasti obchodu se zbožím, službami nebo právy duševního vlastnictví. </w:t>
      </w:r>
    </w:p>
    <w:p w:rsidR="00FF41BC" w:rsidRDefault="00730EF0">
      <w:pPr>
        <w:spacing w:after="0"/>
        <w:rPr>
          <w:rFonts w:asciiTheme="minorHAnsi" w:eastAsiaTheme="majorEastAsia" w:hAnsiTheme="minorHAnsi" w:cstheme="minorHAnsi"/>
          <w:b/>
          <w:noProof/>
          <w:sz w:val="32"/>
          <w:szCs w:val="32"/>
        </w:rPr>
      </w:pPr>
      <w:bookmarkStart w:id="67" w:name="_Ref34385102"/>
      <w:bookmarkStart w:id="68" w:name="_Ref34385782"/>
      <w:r>
        <w:rPr>
          <w:noProof/>
        </w:rPr>
        <w:br w:type="page"/>
      </w:r>
    </w:p>
    <w:p w:rsidR="00FF41BC" w:rsidRDefault="00730EF0">
      <w:pPr>
        <w:pStyle w:val="Heading1"/>
        <w:rPr>
          <w:rFonts w:cstheme="minorHAnsi"/>
          <w:noProof/>
        </w:rPr>
      </w:pPr>
      <w:r>
        <w:rPr>
          <w:noProof/>
        </w:rPr>
        <w:lastRenderedPageBreak/>
        <w:t xml:space="preserve"> </w:t>
      </w:r>
      <w:bookmarkStart w:id="69" w:name="_Toc45099930"/>
      <w:bookmarkStart w:id="70" w:name="_Toc46143624"/>
      <w:bookmarkEnd w:id="67"/>
      <w:bookmarkEnd w:id="68"/>
      <w:r>
        <w:rPr>
          <w:noProof/>
        </w:rPr>
        <w:t>Příprava na všechny scénáře</w:t>
      </w:r>
      <w:bookmarkEnd w:id="69"/>
      <w:bookmarkEnd w:id="70"/>
    </w:p>
    <w:p w:rsidR="00FF41BC" w:rsidRDefault="00730EF0">
      <w:pPr>
        <w:jc w:val="both"/>
        <w:rPr>
          <w:rFonts w:asciiTheme="minorHAnsi" w:hAnsiTheme="minorHAnsi" w:cstheme="minorHAnsi"/>
          <w:noProof/>
          <w:sz w:val="24"/>
        </w:rPr>
      </w:pPr>
      <w:r>
        <w:rPr>
          <w:rFonts w:asciiTheme="minorHAnsi" w:hAnsiTheme="minorHAnsi"/>
          <w:b/>
          <w:noProof/>
          <w:sz w:val="24"/>
        </w:rPr>
        <w:t>Ke změnám popsaným v části II tohoto sdělení dojde v každém případě</w:t>
      </w:r>
      <w:r>
        <w:rPr>
          <w:rFonts w:asciiTheme="minorHAnsi" w:hAnsiTheme="minorHAnsi"/>
          <w:noProof/>
          <w:sz w:val="24"/>
        </w:rPr>
        <w:t xml:space="preserve">, ať již se Evropská unie a </w:t>
      </w:r>
      <w:r>
        <w:rPr>
          <w:rFonts w:asciiTheme="minorHAnsi" w:hAnsiTheme="minorHAnsi"/>
          <w:noProof/>
          <w:sz w:val="24"/>
          <w:szCs w:val="24"/>
        </w:rPr>
        <w:t xml:space="preserve">Spojené království </w:t>
      </w:r>
      <w:r>
        <w:rPr>
          <w:rFonts w:asciiTheme="minorHAnsi" w:hAnsiTheme="minorHAnsi"/>
          <w:noProof/>
          <w:sz w:val="24"/>
        </w:rPr>
        <w:t xml:space="preserve">dohodnou na ambiciózním novém partnerství do 31. prosince 2020, či nikoli. </w:t>
      </w:r>
    </w:p>
    <w:p w:rsidR="00FF41BC" w:rsidRDefault="00730EF0">
      <w:pPr>
        <w:jc w:val="both"/>
        <w:rPr>
          <w:rFonts w:asciiTheme="minorHAnsi" w:hAnsiTheme="minorHAnsi" w:cstheme="minorHAnsi"/>
          <w:noProof/>
          <w:sz w:val="24"/>
        </w:rPr>
      </w:pPr>
      <w:r>
        <w:rPr>
          <w:rFonts w:asciiTheme="minorHAnsi" w:hAnsiTheme="minorHAnsi"/>
          <w:noProof/>
          <w:sz w:val="24"/>
        </w:rPr>
        <w:t xml:space="preserve">Je však zřejmé, že pokud by k dosažení dohody nedošlo, vedlo by to k narušením, která by byla mnohem dalekosáhlejší než změny uvedené v části II. Pokud by se nepodařilo dosáhnout dohody, </w:t>
      </w:r>
      <w:r>
        <w:rPr>
          <w:rFonts w:asciiTheme="minorHAnsi" w:hAnsiTheme="minorHAnsi" w:cstheme="minorHAnsi"/>
          <w:noProof/>
          <w:sz w:val="24"/>
          <w:szCs w:val="24"/>
        </w:rPr>
        <w:t>vztahovaly by se na vývoz každé ze stran celní sazby podle doložky nejvyšších výhod druhé strany. To znamená, že na zboží dovážené ze Spojeného království do Unie by se vztahoval společný celní sazebník EU, zatímco zboží dovážené z Unie do Spojeného království by podléhalo clům Spojeného království.</w:t>
      </w:r>
      <w:r>
        <w:rPr>
          <w:rStyle w:val="FootnoteReference"/>
          <w:rFonts w:asciiTheme="minorHAnsi" w:hAnsiTheme="minorHAnsi" w:cstheme="minorHAnsi"/>
          <w:noProof/>
          <w:sz w:val="24"/>
          <w:szCs w:val="24"/>
        </w:rPr>
        <w:footnoteReference w:id="35"/>
      </w:r>
      <w:r>
        <w:rPr>
          <w:rFonts w:asciiTheme="minorHAnsi" w:hAnsiTheme="minorHAnsi" w:cstheme="minorHAnsi"/>
          <w:noProof/>
          <w:sz w:val="24"/>
          <w:szCs w:val="24"/>
        </w:rPr>
        <w:t xml:space="preserve"> </w:t>
      </w:r>
    </w:p>
    <w:p w:rsidR="00FF41BC" w:rsidRDefault="00730EF0">
      <w:pPr>
        <w:jc w:val="both"/>
        <w:rPr>
          <w:rFonts w:asciiTheme="minorHAnsi" w:hAnsiTheme="minorHAnsi" w:cstheme="minorHAnsi"/>
          <w:noProof/>
          <w:sz w:val="24"/>
        </w:rPr>
      </w:pPr>
      <w:r>
        <w:rPr>
          <w:rFonts w:asciiTheme="minorHAnsi" w:hAnsiTheme="minorHAnsi"/>
          <w:noProof/>
          <w:sz w:val="24"/>
        </w:rPr>
        <w:t xml:space="preserve">Cílem tohoto sdělení není předjímat výsledek probíhajících jednání mezi Evropskou unií a Spojeným královstvím. V tomto ohledu je sdělení zaměřeno především na </w:t>
      </w:r>
      <w:r>
        <w:rPr>
          <w:rFonts w:asciiTheme="minorHAnsi" w:hAnsiTheme="minorHAnsi"/>
          <w:noProof/>
          <w:sz w:val="24"/>
          <w:szCs w:val="24"/>
        </w:rPr>
        <w:t xml:space="preserve">otázky, které v současné době nejsou předmětem jednání. </w:t>
      </w:r>
      <w:r>
        <w:rPr>
          <w:rFonts w:asciiTheme="minorHAnsi" w:hAnsiTheme="minorHAnsi"/>
          <w:noProof/>
          <w:sz w:val="24"/>
        </w:rPr>
        <w:t xml:space="preserve">Komise uznává, že to ponechává značnou nejistotu pro orgány státní správy, občany, podniky a další zúčastněné strany v rámci celé ekonomiky i společnosti. Jako jeden z příkladů takové nejistoty je budoucí osud potenciální účasti Spojeného království v programech Erasmus+ a Horizont Evropa od ledna 2021. Tuto nejistotu může rozptýlit pouze výsledek probíhajících jednání. </w:t>
      </w:r>
    </w:p>
    <w:p w:rsidR="00FF41BC" w:rsidRDefault="00730EF0">
      <w:pPr>
        <w:jc w:val="both"/>
        <w:rPr>
          <w:rFonts w:asciiTheme="minorHAnsi" w:hAnsiTheme="minorHAnsi" w:cstheme="minorHAnsi"/>
          <w:noProof/>
          <w:sz w:val="24"/>
          <w:szCs w:val="24"/>
        </w:rPr>
      </w:pPr>
      <w:r>
        <w:rPr>
          <w:rFonts w:asciiTheme="minorHAnsi" w:hAnsiTheme="minorHAnsi"/>
          <w:noProof/>
          <w:sz w:val="24"/>
        </w:rPr>
        <w:t>Pokud by se do 31. prosince 2020 nepodařilo dohodnout na novém partnerství, mělo by to významné důsledky. Komise nicméně konstatuje, že scénář „bez dohody“ ohledně budoucího vztahu by byl odlišný od scénáře „bez dohody“ v průběhu jednání o vystoupení Spojeného království z Evropské unie, a to z několika důvodů:</w:t>
      </w:r>
    </w:p>
    <w:p w:rsidR="00FF41BC" w:rsidRDefault="00730EF0">
      <w:pPr>
        <w:pStyle w:val="ListParagraph"/>
        <w:numPr>
          <w:ilvl w:val="0"/>
          <w:numId w:val="34"/>
        </w:numPr>
        <w:contextualSpacing w:val="0"/>
        <w:jc w:val="both"/>
        <w:rPr>
          <w:rFonts w:asciiTheme="minorHAnsi" w:hAnsiTheme="minorHAnsi" w:cstheme="minorHAnsi"/>
          <w:b/>
          <w:noProof/>
          <w:sz w:val="24"/>
          <w:szCs w:val="24"/>
        </w:rPr>
      </w:pPr>
      <w:r>
        <w:rPr>
          <w:rFonts w:asciiTheme="minorHAnsi" w:hAnsiTheme="minorHAnsi"/>
          <w:noProof/>
          <w:sz w:val="24"/>
          <w:szCs w:val="24"/>
        </w:rPr>
        <w:t xml:space="preserve">Zaprvé, </w:t>
      </w:r>
      <w:r>
        <w:rPr>
          <w:rFonts w:asciiTheme="minorHAnsi" w:hAnsiTheme="minorHAnsi"/>
          <w:b/>
          <w:noProof/>
          <w:sz w:val="24"/>
          <w:szCs w:val="24"/>
        </w:rPr>
        <w:t xml:space="preserve">dohoda o vystoupení </w:t>
      </w:r>
      <w:r>
        <w:rPr>
          <w:rFonts w:asciiTheme="minorHAnsi" w:hAnsiTheme="minorHAnsi"/>
          <w:b/>
          <w:noProof/>
          <w:sz w:val="24"/>
        </w:rPr>
        <w:t>poskytuje právní jistotu</w:t>
      </w:r>
      <w:r>
        <w:rPr>
          <w:rFonts w:asciiTheme="minorHAnsi" w:hAnsiTheme="minorHAnsi"/>
          <w:noProof/>
          <w:sz w:val="24"/>
        </w:rPr>
        <w:t xml:space="preserve"> v celé řadě důležitých oblastí, v nichž vystoupení Spojeného království z Unie vyvolalo nejistotu. Patří sem ochrana práv občanů, finanční vypořádání, vytvoření právně funkčního řešení s cílem zamezit vytvoření „tvrdé“ hranice na ostrově Irsko, pokračující ochrana souboru jednotných práv duševního vlastnictví EU (včetně stávajících zeměpisných označení) a ustanovení pro řádné ukončení všech probíhajících postupů mezi EU a Spojeným královstvím </w:t>
      </w:r>
      <w:r>
        <w:rPr>
          <w:rFonts w:asciiTheme="minorHAnsi" w:hAnsiTheme="minorHAnsi"/>
          <w:noProof/>
          <w:sz w:val="24"/>
          <w:szCs w:val="24"/>
        </w:rPr>
        <w:t xml:space="preserve">(viz rámeček). </w:t>
      </w:r>
    </w:p>
    <w:p w:rsidR="00FF41BC" w:rsidRDefault="00730EF0">
      <w:pPr>
        <w:pStyle w:val="ListParagraph"/>
        <w:numPr>
          <w:ilvl w:val="0"/>
          <w:numId w:val="34"/>
        </w:numPr>
        <w:contextualSpacing w:val="0"/>
        <w:jc w:val="both"/>
        <w:rPr>
          <w:rFonts w:asciiTheme="minorHAnsi" w:hAnsiTheme="minorHAnsi" w:cstheme="minorHAnsi"/>
          <w:b/>
          <w:noProof/>
          <w:sz w:val="24"/>
          <w:szCs w:val="24"/>
        </w:rPr>
      </w:pPr>
      <w:r>
        <w:rPr>
          <w:rFonts w:asciiTheme="minorHAnsi" w:hAnsiTheme="minorHAnsi"/>
          <w:noProof/>
          <w:sz w:val="24"/>
        </w:rPr>
        <w:t xml:space="preserve">Zadruhé, </w:t>
      </w:r>
      <w:r>
        <w:rPr>
          <w:rFonts w:asciiTheme="minorHAnsi" w:hAnsiTheme="minorHAnsi"/>
          <w:b/>
          <w:noProof/>
          <w:sz w:val="24"/>
        </w:rPr>
        <w:t>přechodné období stanovené v dohodě o vystoupení poskytuje zúčastněným stranám další – byť omezený – čas, aby se připravily</w:t>
      </w:r>
      <w:r>
        <w:rPr>
          <w:rFonts w:asciiTheme="minorHAnsi" w:hAnsiTheme="minorHAnsi"/>
          <w:noProof/>
          <w:sz w:val="24"/>
        </w:rPr>
        <w:t xml:space="preserve"> na jakýkoli scénář, včetně takového, kdy do 1. ledna 2021 nebude uzavřena dohoda o budoucím partnerství.</w:t>
      </w:r>
    </w:p>
    <w:p w:rsidR="00FF41BC" w:rsidRDefault="00730EF0">
      <w:pPr>
        <w:pStyle w:val="ListParagraph"/>
        <w:numPr>
          <w:ilvl w:val="0"/>
          <w:numId w:val="34"/>
        </w:numPr>
        <w:contextualSpacing w:val="0"/>
        <w:jc w:val="both"/>
        <w:rPr>
          <w:rFonts w:asciiTheme="minorHAnsi" w:hAnsiTheme="minorHAnsi" w:cstheme="minorHAnsi"/>
          <w:noProof/>
          <w:sz w:val="24"/>
        </w:rPr>
      </w:pPr>
      <w:r>
        <w:rPr>
          <w:rFonts w:asciiTheme="minorHAnsi" w:hAnsiTheme="minorHAnsi"/>
          <w:noProof/>
          <w:sz w:val="24"/>
          <w:szCs w:val="24"/>
        </w:rPr>
        <w:lastRenderedPageBreak/>
        <w:t>Zatřetí,</w:t>
      </w:r>
      <w:r>
        <w:rPr>
          <w:rFonts w:asciiTheme="minorHAnsi" w:hAnsiTheme="minorHAnsi"/>
          <w:b/>
          <w:noProof/>
          <w:sz w:val="24"/>
          <w:szCs w:val="24"/>
        </w:rPr>
        <w:t xml:space="preserve"> na konci přechodného období zůstane v platnosti nebo se stane použitelným jen omezený počet </w:t>
      </w:r>
      <w:r>
        <w:rPr>
          <w:rFonts w:asciiTheme="minorHAnsi" w:hAnsiTheme="minorHAnsi"/>
          <w:b/>
          <w:noProof/>
          <w:sz w:val="24"/>
        </w:rPr>
        <w:t>legislativních opatření Unie přijatých v roce 2019 pro účely připravenosti na jakýkoli scénář, pokud jde o vystoupení Spojeného království z EU.</w:t>
      </w:r>
      <w:r>
        <w:rPr>
          <w:rFonts w:asciiTheme="minorHAnsi" w:hAnsiTheme="minorHAnsi"/>
          <w:noProof/>
          <w:sz w:val="24"/>
        </w:rPr>
        <w:t xml:space="preserve"> Patří mezi ně například zařazení Spojeného království na seznam třetích zemí, jejichž státní příslušníci jsou při krátkodobých pobytech osvobozeni od vízové povinnosti, jakož i rozdělení celních kvót WTO pro EU mezi Evropskou unii a </w:t>
      </w:r>
      <w:r>
        <w:rPr>
          <w:rFonts w:asciiTheme="minorHAnsi" w:hAnsiTheme="minorHAnsi"/>
          <w:noProof/>
          <w:sz w:val="24"/>
          <w:szCs w:val="24"/>
        </w:rPr>
        <w:t>Spojené království</w:t>
      </w:r>
      <w:r>
        <w:rPr>
          <w:rFonts w:asciiTheme="minorHAnsi" w:hAnsiTheme="minorHAnsi"/>
          <w:noProof/>
          <w:sz w:val="24"/>
        </w:rPr>
        <w:t>.</w:t>
      </w:r>
      <w:r>
        <w:rPr>
          <w:rStyle w:val="FootnoteReference"/>
          <w:rFonts w:asciiTheme="minorHAnsi" w:hAnsiTheme="minorHAnsi"/>
          <w:noProof/>
          <w:sz w:val="24"/>
        </w:rPr>
        <w:t xml:space="preserve"> </w:t>
      </w:r>
      <w:r>
        <w:rPr>
          <w:rFonts w:asciiTheme="minorHAnsi" w:hAnsiTheme="minorHAnsi"/>
          <w:noProof/>
          <w:sz w:val="24"/>
        </w:rPr>
        <w:t xml:space="preserve"> </w:t>
      </w:r>
    </w:p>
    <w:p w:rsidR="00FF41BC" w:rsidRDefault="00730EF0">
      <w:pPr>
        <w:jc w:val="both"/>
        <w:rPr>
          <w:rFonts w:asciiTheme="minorHAnsi" w:hAnsiTheme="minorHAnsi" w:cstheme="minorHAnsi"/>
          <w:noProof/>
          <w:sz w:val="24"/>
        </w:rPr>
      </w:pPr>
      <w:r>
        <w:rPr>
          <w:rFonts w:asciiTheme="minorHAnsi" w:hAnsiTheme="minorHAnsi"/>
          <w:noProof/>
          <w:sz w:val="24"/>
        </w:rPr>
        <w:t xml:space="preserve">S přihlédnutím k výše uvedeným skutečnostem bude Komise i nadále bedlivě sledovat situaci a bude se v případě jakéhokoli scénáře snažit chránit zájmy Evropské unie, jejích občanů a jejího hospodářství. </w:t>
      </w:r>
    </w:p>
    <w:tbl>
      <w:tblPr>
        <w:tblStyle w:val="TableGrid"/>
        <w:tblpPr w:leftFromText="180" w:rightFromText="180" w:vertAnchor="text" w:horzAnchor="margin" w:tblpXSpec="center" w:tblpY="706"/>
        <w:tblW w:w="0" w:type="auto"/>
        <w:tblLook w:val="04A0" w:firstRow="1" w:lastRow="0" w:firstColumn="1" w:lastColumn="0" w:noHBand="0" w:noVBand="1"/>
      </w:tblPr>
      <w:tblGrid>
        <w:gridCol w:w="9288"/>
      </w:tblGrid>
      <w:tr w:rsidR="00FF41BC">
        <w:tc>
          <w:tcPr>
            <w:tcW w:w="9288" w:type="dxa"/>
          </w:tcPr>
          <w:p w:rsidR="00FF41BC" w:rsidRDefault="00730EF0">
            <w:pPr>
              <w:pStyle w:val="Heading3"/>
              <w:jc w:val="both"/>
              <w:outlineLvl w:val="2"/>
              <w:rPr>
                <w:noProof/>
              </w:rPr>
            </w:pPr>
            <w:bookmarkStart w:id="71" w:name="_Toc33711661"/>
            <w:bookmarkStart w:id="72" w:name="_Toc45099931"/>
            <w:bookmarkStart w:id="73" w:name="_Toc46143625"/>
            <w:r>
              <w:rPr>
                <w:noProof/>
              </w:rPr>
              <w:t>RÁMEČEK: Dohoda o vystoupení včetně protokolu o Irsku a Severním Irsku</w:t>
            </w:r>
            <w:bookmarkEnd w:id="71"/>
            <w:bookmarkEnd w:id="72"/>
            <w:bookmarkEnd w:id="73"/>
          </w:p>
          <w:p w:rsidR="00FF41BC" w:rsidRDefault="00730EF0">
            <w:pPr>
              <w:keepNext/>
              <w:keepLines/>
              <w:jc w:val="both"/>
              <w:rPr>
                <w:rFonts w:asciiTheme="minorHAnsi" w:hAnsiTheme="minorHAnsi" w:cstheme="minorHAnsi"/>
                <w:noProof/>
                <w:sz w:val="24"/>
                <w:szCs w:val="24"/>
              </w:rPr>
            </w:pPr>
            <w:r>
              <w:rPr>
                <w:rFonts w:asciiTheme="minorHAnsi" w:hAnsiTheme="minorHAnsi"/>
                <w:noProof/>
                <w:sz w:val="24"/>
                <w:szCs w:val="24"/>
              </w:rPr>
              <w:t xml:space="preserve">Dohoda o vystoupení uzavřená mezi Evropskou unií a Spojeným královstvím vstoupila v platnost dne 1. února 2020. </w:t>
            </w:r>
          </w:p>
          <w:p w:rsidR="00FF41BC" w:rsidRDefault="00730EF0">
            <w:pPr>
              <w:keepNext/>
              <w:keepLines/>
              <w:jc w:val="both"/>
              <w:rPr>
                <w:rFonts w:asciiTheme="minorHAnsi" w:hAnsiTheme="minorHAnsi" w:cstheme="minorHAnsi"/>
                <w:noProof/>
                <w:sz w:val="24"/>
                <w:szCs w:val="24"/>
              </w:rPr>
            </w:pPr>
            <w:r>
              <w:rPr>
                <w:rFonts w:asciiTheme="minorHAnsi" w:hAnsiTheme="minorHAnsi"/>
                <w:noProof/>
                <w:sz w:val="24"/>
                <w:szCs w:val="24"/>
              </w:rPr>
              <w:t>Obsahuje podrobná ustanovení, jejichž cílem je omezit dopad vystoupení Spojeného království z Evropské unie a jejího jednotného trhu a celní unie, a to zejména v těchto oblastech:</w:t>
            </w:r>
          </w:p>
          <w:p w:rsidR="00FF41BC" w:rsidRDefault="00730EF0">
            <w:pPr>
              <w:keepNext/>
              <w:keepLines/>
              <w:jc w:val="both"/>
              <w:rPr>
                <w:rFonts w:asciiTheme="minorHAnsi" w:hAnsiTheme="minorHAnsi" w:cstheme="minorHAnsi"/>
                <w:noProof/>
                <w:sz w:val="24"/>
                <w:szCs w:val="24"/>
              </w:rPr>
            </w:pPr>
            <w:r>
              <w:rPr>
                <w:rFonts w:asciiTheme="minorHAnsi" w:hAnsiTheme="minorHAnsi"/>
                <w:b/>
                <w:noProof/>
                <w:sz w:val="24"/>
                <w:szCs w:val="24"/>
              </w:rPr>
              <w:t xml:space="preserve">Práva občanů: </w:t>
            </w:r>
            <w:r>
              <w:rPr>
                <w:rFonts w:asciiTheme="minorHAnsi" w:hAnsiTheme="minorHAnsi"/>
                <w:noProof/>
                <w:sz w:val="24"/>
                <w:szCs w:val="24"/>
              </w:rPr>
              <w:t>Dohoda o vystoupení chrání práva občanů EU, kteří na konci přechodného období oprávněně pobývají ve Spojeném království na základě práva Unie, jakož i státních příslušníků Spojeného království, kteří ve stejném okamžiku oprávněně pobývají v jednom z členských států EU na základě práva Unie, včetně jejich rodinných příslušníků, na to, aby nadále žili, studovali a pracovali v příslušných hostitelských státech</w:t>
            </w:r>
            <w:r>
              <w:rPr>
                <w:rStyle w:val="FootnoteReference"/>
                <w:rFonts w:asciiTheme="minorHAnsi" w:hAnsiTheme="minorHAnsi" w:cstheme="minorHAnsi"/>
                <w:noProof/>
                <w:sz w:val="24"/>
                <w:szCs w:val="24"/>
              </w:rPr>
              <w:footnoteReference w:id="36"/>
            </w:r>
            <w:r>
              <w:rPr>
                <w:rFonts w:asciiTheme="minorHAnsi" w:hAnsiTheme="minorHAnsi"/>
                <w:noProof/>
                <w:sz w:val="24"/>
                <w:szCs w:val="24"/>
              </w:rPr>
              <w:t>.</w:t>
            </w:r>
          </w:p>
          <w:p w:rsidR="00FF41BC" w:rsidRDefault="00730EF0">
            <w:pPr>
              <w:keepNext/>
              <w:keepLines/>
              <w:jc w:val="both"/>
              <w:rPr>
                <w:rFonts w:asciiTheme="minorHAnsi" w:hAnsiTheme="minorHAnsi" w:cstheme="minorHAnsi"/>
                <w:b/>
                <w:bCs/>
                <w:noProof/>
                <w:sz w:val="24"/>
                <w:szCs w:val="24"/>
              </w:rPr>
            </w:pPr>
            <w:r>
              <w:rPr>
                <w:rFonts w:asciiTheme="minorHAnsi" w:hAnsiTheme="minorHAnsi"/>
                <w:b/>
                <w:bCs/>
                <w:noProof/>
                <w:sz w:val="24"/>
                <w:szCs w:val="24"/>
              </w:rPr>
              <w:t xml:space="preserve">Finanční vyrovnání: </w:t>
            </w:r>
            <w:r>
              <w:rPr>
                <w:rFonts w:asciiTheme="minorHAnsi" w:hAnsiTheme="minorHAnsi"/>
                <w:bCs/>
                <w:noProof/>
                <w:sz w:val="24"/>
                <w:szCs w:val="24"/>
              </w:rPr>
              <w:t xml:space="preserve">Dohoda o vystoupení stanoví, že Spojené království i </w:t>
            </w:r>
            <w:r>
              <w:rPr>
                <w:rFonts w:asciiTheme="minorHAnsi" w:hAnsiTheme="minorHAnsi"/>
                <w:noProof/>
                <w:sz w:val="24"/>
                <w:szCs w:val="24"/>
              </w:rPr>
              <w:t>Evropská unie</w:t>
            </w:r>
            <w:r>
              <w:rPr>
                <w:rFonts w:asciiTheme="minorHAnsi" w:hAnsiTheme="minorHAnsi"/>
                <w:bCs/>
                <w:noProof/>
                <w:sz w:val="24"/>
                <w:szCs w:val="24"/>
              </w:rPr>
              <w:t xml:space="preserve"> splní všechny finanční závazky přijaté v době, kdy Spojené království bylo členem </w:t>
            </w:r>
            <w:r>
              <w:rPr>
                <w:rFonts w:asciiTheme="minorHAnsi" w:hAnsiTheme="minorHAnsi"/>
                <w:noProof/>
                <w:sz w:val="24"/>
                <w:szCs w:val="24"/>
              </w:rPr>
              <w:t>Evropské unie</w:t>
            </w:r>
            <w:r>
              <w:rPr>
                <w:rFonts w:asciiTheme="minorHAnsi" w:hAnsiTheme="minorHAnsi"/>
                <w:bCs/>
                <w:noProof/>
                <w:sz w:val="24"/>
                <w:szCs w:val="24"/>
              </w:rPr>
              <w:t>, a to i závazky, které povedou ke skutečným výdajům vynaloženým po roce 2020</w:t>
            </w:r>
            <w:r>
              <w:rPr>
                <w:rStyle w:val="FootnoteReference"/>
                <w:rFonts w:asciiTheme="minorHAnsi" w:hAnsiTheme="minorHAnsi" w:cstheme="minorHAnsi"/>
                <w:bCs/>
                <w:noProof/>
                <w:sz w:val="24"/>
                <w:szCs w:val="24"/>
              </w:rPr>
              <w:footnoteReference w:id="37"/>
            </w:r>
            <w:r>
              <w:rPr>
                <w:rFonts w:asciiTheme="minorHAnsi" w:hAnsiTheme="minorHAnsi"/>
                <w:bCs/>
                <w:noProof/>
                <w:sz w:val="24"/>
                <w:szCs w:val="24"/>
              </w:rPr>
              <w:t xml:space="preserve">. </w:t>
            </w:r>
          </w:p>
          <w:p w:rsidR="00FF41BC" w:rsidRDefault="00730EF0">
            <w:pPr>
              <w:keepNext/>
              <w:keepLines/>
              <w:jc w:val="both"/>
              <w:rPr>
                <w:rFonts w:asciiTheme="minorHAnsi" w:hAnsiTheme="minorHAnsi" w:cstheme="minorHAnsi"/>
                <w:noProof/>
                <w:sz w:val="24"/>
                <w:szCs w:val="24"/>
              </w:rPr>
            </w:pPr>
            <w:r>
              <w:rPr>
                <w:rFonts w:asciiTheme="minorHAnsi" w:hAnsiTheme="minorHAnsi"/>
                <w:b/>
                <w:noProof/>
                <w:sz w:val="24"/>
                <w:szCs w:val="24"/>
              </w:rPr>
              <w:t>Protokol o Irsku a Severním Irsku:</w:t>
            </w:r>
            <w:r>
              <w:rPr>
                <w:rFonts w:asciiTheme="minorHAnsi" w:hAnsiTheme="minorHAnsi"/>
                <w:noProof/>
                <w:sz w:val="24"/>
                <w:szCs w:val="24"/>
              </w:rPr>
              <w:t xml:space="preserve"> Protokol o Irsku a Severním Irsku se stane použitelným na konci přechodného období a představuje stabilní řešení, které se bude i nadále uplatňovat společně s jakoukoli dohodou o budoucím partnerství, s výhradou budoucího souhlasu Shromáždění Severního Irska s jeho dalším uplatňováním.</w:t>
            </w:r>
          </w:p>
          <w:p w:rsidR="00FF41BC" w:rsidRDefault="00730EF0">
            <w:pPr>
              <w:keepNext/>
              <w:keepLines/>
              <w:jc w:val="both"/>
              <w:rPr>
                <w:rFonts w:asciiTheme="minorHAnsi" w:hAnsiTheme="minorHAnsi" w:cstheme="minorHAnsi"/>
                <w:noProof/>
                <w:sz w:val="24"/>
                <w:szCs w:val="24"/>
              </w:rPr>
            </w:pPr>
            <w:r>
              <w:rPr>
                <w:rFonts w:asciiTheme="minorHAnsi" w:hAnsiTheme="minorHAnsi"/>
                <w:noProof/>
                <w:sz w:val="24"/>
                <w:szCs w:val="24"/>
              </w:rPr>
              <w:lastRenderedPageBreak/>
              <w:t>Poskytuje právně operativní řešení, které zamezuje vytvoření „tvrdé“ hranice na ostrově Irsko, chrání celoostrovní hospodářství a Velkopáteční (Belfastskou) dohodu ve všech jejích aspektech a zajišťuje integritu jednotného trhu EU i vnitřního trhu Spojeného království.</w:t>
            </w:r>
          </w:p>
          <w:p w:rsidR="00FF41BC" w:rsidRDefault="00730EF0">
            <w:pPr>
              <w:keepNext/>
              <w:keepLines/>
              <w:jc w:val="both"/>
              <w:rPr>
                <w:rFonts w:asciiTheme="minorHAnsi" w:hAnsiTheme="minorHAnsi" w:cstheme="minorHAnsi"/>
                <w:noProof/>
                <w:sz w:val="24"/>
                <w:szCs w:val="24"/>
              </w:rPr>
            </w:pPr>
            <w:r>
              <w:rPr>
                <w:rFonts w:asciiTheme="minorHAnsi" w:hAnsiTheme="minorHAnsi"/>
                <w:noProof/>
                <w:sz w:val="24"/>
                <w:szCs w:val="24"/>
              </w:rPr>
              <w:t xml:space="preserve">V souladu s tímto protokolem bude Severní Irsko i nadále dodržovat omezený soubor pravidel Unie, zejména těch, která se týkají zboží, a na veškeré zboží vstupující do Severního Irska nebo je opouštějící se budou vztahovat pravidla týkající se celního kodexu Unie, DPH a spotřebních daní. Tím se zabrání veškerým celním kontrolám na ostrově Irsko. </w:t>
            </w:r>
          </w:p>
          <w:p w:rsidR="00FF41BC" w:rsidRDefault="00730EF0">
            <w:pPr>
              <w:keepNext/>
              <w:keepLines/>
              <w:jc w:val="both"/>
              <w:rPr>
                <w:rFonts w:asciiTheme="minorHAnsi" w:hAnsiTheme="minorHAnsi" w:cstheme="minorHAnsi"/>
                <w:noProof/>
                <w:sz w:val="24"/>
                <w:szCs w:val="24"/>
              </w:rPr>
            </w:pPr>
            <w:r>
              <w:rPr>
                <w:rFonts w:asciiTheme="minorHAnsi" w:hAnsiTheme="minorHAnsi"/>
                <w:b/>
                <w:bCs/>
                <w:noProof/>
                <w:sz w:val="24"/>
                <w:szCs w:val="24"/>
              </w:rPr>
              <w:t>Kontroly</w:t>
            </w:r>
            <w:r>
              <w:rPr>
                <w:rFonts w:asciiTheme="minorHAnsi" w:hAnsiTheme="minorHAnsi"/>
                <w:noProof/>
                <w:sz w:val="24"/>
                <w:szCs w:val="24"/>
              </w:rPr>
              <w:t> se budou provádět u zboží vstupujícího do Severního Irska ze zbývající části Spojeného království, například u potravin a živých zvířat, aby se zajistilo dodržování sanitárních a rostlinolékařských požadavků. Veškeré zboží vstupující do Severního Irska nebo je opouštějící musí být plně v souladu s příslušnými pravidly a normami Unie.</w:t>
            </w:r>
          </w:p>
          <w:p w:rsidR="00FF41BC" w:rsidRDefault="00730EF0">
            <w:pPr>
              <w:keepNext/>
              <w:keepLines/>
              <w:jc w:val="both"/>
              <w:rPr>
                <w:rFonts w:asciiTheme="minorHAnsi" w:hAnsiTheme="minorHAnsi" w:cstheme="minorHAnsi"/>
                <w:noProof/>
                <w:sz w:val="24"/>
                <w:szCs w:val="24"/>
              </w:rPr>
            </w:pPr>
            <w:r>
              <w:rPr>
                <w:rFonts w:asciiTheme="minorHAnsi" w:hAnsiTheme="minorHAnsi"/>
                <w:b/>
                <w:bCs/>
                <w:noProof/>
                <w:sz w:val="24"/>
                <w:szCs w:val="24"/>
              </w:rPr>
              <w:t>Cla EU</w:t>
            </w:r>
            <w:r>
              <w:rPr>
                <w:rFonts w:asciiTheme="minorHAnsi" w:hAnsiTheme="minorHAnsi"/>
                <w:noProof/>
                <w:sz w:val="24"/>
                <w:szCs w:val="24"/>
              </w:rPr>
              <w:t xml:space="preserve"> se budou vztahovat na zboží vstupující do Severního Irska, pokud smíšený výbor nestanoví rámec podmínek, za kterých se má za to, že u tohoto zboží nehrozí riziko vstupu na jednotný trh EU. Na základě takového rámce se nebude vybírat clo, pokud lze prokázat, že u zboží vstupujícího do Severního Irska ze zbývající části Spojeného království nehrozí riziko vstupu na jednotný trh EU.</w:t>
            </w:r>
          </w:p>
          <w:p w:rsidR="00FF41BC" w:rsidRDefault="00730EF0">
            <w:pPr>
              <w:keepNext/>
              <w:keepLines/>
              <w:jc w:val="both"/>
              <w:rPr>
                <w:rFonts w:asciiTheme="minorHAnsi" w:hAnsiTheme="minorHAnsi" w:cstheme="minorHAnsi"/>
                <w:noProof/>
                <w:sz w:val="24"/>
                <w:szCs w:val="24"/>
              </w:rPr>
            </w:pPr>
            <w:r>
              <w:rPr>
                <w:rFonts w:asciiTheme="minorHAnsi" w:hAnsiTheme="minorHAnsi"/>
                <w:noProof/>
                <w:sz w:val="24"/>
                <w:szCs w:val="24"/>
              </w:rPr>
              <w:t>Na zboží dovážené do Severního Irska</w:t>
            </w:r>
            <w:r>
              <w:rPr>
                <w:noProof/>
              </w:rPr>
              <w:t xml:space="preserve"> </w:t>
            </w:r>
            <w:r>
              <w:rPr>
                <w:rFonts w:asciiTheme="minorHAnsi" w:hAnsiTheme="minorHAnsi"/>
                <w:noProof/>
                <w:sz w:val="24"/>
                <w:szCs w:val="24"/>
              </w:rPr>
              <w:t>ze zemí mimo EU nebo vyvážené ze Severního Irska se budou vztahovat celní formality a postupy Unie.</w:t>
            </w:r>
          </w:p>
          <w:p w:rsidR="00FF41BC" w:rsidRDefault="00730EF0">
            <w:pPr>
              <w:keepNext/>
              <w:keepLines/>
              <w:jc w:val="both"/>
              <w:rPr>
                <w:rFonts w:asciiTheme="minorHAnsi" w:hAnsiTheme="minorHAnsi" w:cstheme="minorHAnsi"/>
                <w:noProof/>
                <w:sz w:val="24"/>
                <w:szCs w:val="24"/>
              </w:rPr>
            </w:pPr>
            <w:r>
              <w:rPr>
                <w:rFonts w:asciiTheme="minorHAnsi" w:hAnsiTheme="minorHAnsi"/>
                <w:noProof/>
                <w:sz w:val="24"/>
                <w:szCs w:val="24"/>
              </w:rPr>
              <w:t>Na zboží vstupující do Severního Irska ze zbývající části Spojeného království (nebo je opouštějící směrem do zbývající části Spojeného království) se vztahují pravidla EU týkající se DPH a spotřebních daní.</w:t>
            </w:r>
          </w:p>
          <w:p w:rsidR="00FF41BC" w:rsidRDefault="00730EF0">
            <w:pPr>
              <w:keepNext/>
              <w:keepLines/>
              <w:jc w:val="both"/>
              <w:rPr>
                <w:rFonts w:asciiTheme="minorHAnsi" w:hAnsiTheme="minorHAnsi" w:cstheme="minorHAnsi"/>
                <w:noProof/>
                <w:sz w:val="24"/>
                <w:szCs w:val="24"/>
              </w:rPr>
            </w:pPr>
            <w:r>
              <w:rPr>
                <w:rFonts w:asciiTheme="minorHAnsi" w:hAnsiTheme="minorHAnsi"/>
                <w:b/>
                <w:noProof/>
                <w:sz w:val="24"/>
                <w:szCs w:val="24"/>
              </w:rPr>
              <w:t xml:space="preserve">Ustanovení o rozluce: </w:t>
            </w:r>
            <w:r>
              <w:rPr>
                <w:rFonts w:asciiTheme="minorHAnsi" w:hAnsiTheme="minorHAnsi"/>
                <w:noProof/>
                <w:sz w:val="24"/>
                <w:szCs w:val="24"/>
              </w:rPr>
              <w:t>Dohoda o vystoupení rovněž zabezpečuje řádné zrušení stávajících opatření s ohledem na záležitosti probíhající v době vystoupení:</w:t>
            </w:r>
          </w:p>
          <w:p w:rsidR="00FF41BC" w:rsidRDefault="00730EF0">
            <w:pPr>
              <w:keepNext/>
              <w:keepLines/>
              <w:numPr>
                <w:ilvl w:val="0"/>
                <w:numId w:val="12"/>
              </w:numPr>
              <w:jc w:val="both"/>
              <w:rPr>
                <w:rFonts w:asciiTheme="minorHAnsi" w:hAnsiTheme="minorHAnsi" w:cstheme="minorHAnsi"/>
                <w:noProof/>
                <w:sz w:val="24"/>
                <w:szCs w:val="24"/>
              </w:rPr>
            </w:pPr>
            <w:r>
              <w:rPr>
                <w:rFonts w:asciiTheme="minorHAnsi" w:hAnsiTheme="minorHAnsi"/>
                <w:noProof/>
                <w:sz w:val="24"/>
                <w:szCs w:val="24"/>
              </w:rPr>
              <w:t>umožňuje, aby zboží, které bylo uvedeno na trh před koncem přechodného období, bylo dále dodáváno na trh EU nebo Spojeného království, než se dostane ke koncovému uživateli, aniž by musela být provedena nová certifikace, nové označení nebo úpravy výrobku,</w:t>
            </w:r>
          </w:p>
          <w:p w:rsidR="00FF41BC" w:rsidRDefault="00730EF0">
            <w:pPr>
              <w:keepNext/>
              <w:keepLines/>
              <w:numPr>
                <w:ilvl w:val="0"/>
                <w:numId w:val="12"/>
              </w:numPr>
              <w:jc w:val="both"/>
              <w:rPr>
                <w:rFonts w:asciiTheme="minorHAnsi" w:hAnsiTheme="minorHAnsi" w:cstheme="minorHAnsi"/>
                <w:noProof/>
                <w:sz w:val="24"/>
                <w:szCs w:val="24"/>
              </w:rPr>
            </w:pPr>
            <w:r>
              <w:rPr>
                <w:rFonts w:asciiTheme="minorHAnsi" w:hAnsiTheme="minorHAnsi"/>
                <w:noProof/>
                <w:sz w:val="24"/>
                <w:szCs w:val="24"/>
              </w:rPr>
              <w:t>stanoví postupy pro řízení a ukončení probíhající přepravy zboží uvnitř Unie, probíhajících celních postupů, jakož i záležitostí v oblasti DPH a spotřební daně,</w:t>
            </w:r>
          </w:p>
          <w:p w:rsidR="00FF41BC" w:rsidRDefault="00730EF0">
            <w:pPr>
              <w:keepNext/>
              <w:keepLines/>
              <w:numPr>
                <w:ilvl w:val="0"/>
                <w:numId w:val="12"/>
              </w:numPr>
              <w:jc w:val="both"/>
              <w:rPr>
                <w:rFonts w:asciiTheme="minorHAnsi" w:hAnsiTheme="minorHAnsi" w:cstheme="minorHAnsi"/>
                <w:noProof/>
                <w:sz w:val="24"/>
                <w:szCs w:val="24"/>
              </w:rPr>
            </w:pPr>
            <w:r>
              <w:rPr>
                <w:rFonts w:asciiTheme="minorHAnsi" w:hAnsiTheme="minorHAnsi"/>
                <w:noProof/>
                <w:sz w:val="24"/>
                <w:szCs w:val="24"/>
              </w:rPr>
              <w:t>chrání stávající jednotná práva duševního vlastnictví, včetně stávajícího souboru zeměpisných označení EU,</w:t>
            </w:r>
          </w:p>
          <w:p w:rsidR="00FF41BC" w:rsidRDefault="00730EF0">
            <w:pPr>
              <w:keepNext/>
              <w:keepLines/>
              <w:numPr>
                <w:ilvl w:val="0"/>
                <w:numId w:val="12"/>
              </w:numPr>
              <w:jc w:val="both"/>
              <w:rPr>
                <w:rFonts w:asciiTheme="minorHAnsi" w:hAnsiTheme="minorHAnsi" w:cstheme="minorHAnsi"/>
                <w:noProof/>
                <w:sz w:val="24"/>
                <w:szCs w:val="24"/>
              </w:rPr>
            </w:pPr>
            <w:r>
              <w:rPr>
                <w:rFonts w:asciiTheme="minorHAnsi" w:hAnsiTheme="minorHAnsi"/>
                <w:noProof/>
                <w:sz w:val="24"/>
                <w:szCs w:val="24"/>
              </w:rPr>
              <w:t>ukončuje zadávací řízení probíhající v době ukončení přechodného období a zaručuje práva stran, kterých se tato řízení týkají, podle práva Unie,</w:t>
            </w:r>
          </w:p>
          <w:p w:rsidR="00FF41BC" w:rsidRDefault="00730EF0">
            <w:pPr>
              <w:keepNext/>
              <w:keepLines/>
              <w:numPr>
                <w:ilvl w:val="0"/>
                <w:numId w:val="12"/>
              </w:numPr>
              <w:jc w:val="both"/>
              <w:rPr>
                <w:rFonts w:asciiTheme="minorHAnsi" w:hAnsiTheme="minorHAnsi" w:cstheme="minorHAnsi"/>
                <w:noProof/>
                <w:sz w:val="24"/>
                <w:szCs w:val="24"/>
              </w:rPr>
            </w:pPr>
            <w:r>
              <w:rPr>
                <w:rFonts w:asciiTheme="minorHAnsi" w:hAnsiTheme="minorHAnsi"/>
                <w:noProof/>
                <w:sz w:val="24"/>
                <w:szCs w:val="24"/>
              </w:rPr>
              <w:t xml:space="preserve">zahrnuje předpisy pro ukončení probíhající policejní a justiční spolupráce v trestních věcech, </w:t>
            </w:r>
          </w:p>
          <w:p w:rsidR="00FF41BC" w:rsidRDefault="00730EF0">
            <w:pPr>
              <w:keepNext/>
              <w:keepLines/>
              <w:numPr>
                <w:ilvl w:val="0"/>
                <w:numId w:val="12"/>
              </w:numPr>
              <w:jc w:val="both"/>
              <w:rPr>
                <w:rFonts w:asciiTheme="minorHAnsi" w:hAnsiTheme="minorHAnsi" w:cstheme="minorHAnsi"/>
                <w:noProof/>
                <w:sz w:val="24"/>
                <w:szCs w:val="24"/>
              </w:rPr>
            </w:pPr>
            <w:r>
              <w:rPr>
                <w:rFonts w:asciiTheme="minorHAnsi" w:hAnsiTheme="minorHAnsi"/>
                <w:noProof/>
                <w:sz w:val="24"/>
                <w:szCs w:val="24"/>
              </w:rPr>
              <w:t>zahrnuje předpisy pro ukončení správních a soudních řízení (např. případy státní podpory a porušení povinností),</w:t>
            </w:r>
          </w:p>
          <w:p w:rsidR="00FF41BC" w:rsidRDefault="00730EF0">
            <w:pPr>
              <w:keepNext/>
              <w:keepLines/>
              <w:numPr>
                <w:ilvl w:val="0"/>
                <w:numId w:val="12"/>
              </w:numPr>
              <w:jc w:val="both"/>
              <w:rPr>
                <w:rFonts w:asciiTheme="minorHAnsi" w:hAnsiTheme="minorHAnsi" w:cstheme="minorHAnsi"/>
                <w:noProof/>
                <w:sz w:val="24"/>
                <w:szCs w:val="24"/>
              </w:rPr>
            </w:pPr>
            <w:r>
              <w:rPr>
                <w:rFonts w:asciiTheme="minorHAnsi" w:hAnsiTheme="minorHAnsi"/>
                <w:noProof/>
                <w:sz w:val="24"/>
                <w:szCs w:val="24"/>
              </w:rPr>
              <w:t xml:space="preserve">řeší používání údajů a informací vyměněných před koncem přechodného období a zajišťuje, aby údaje předané před koncem přechodného období byly i nadále </w:t>
            </w:r>
            <w:r>
              <w:rPr>
                <w:rFonts w:asciiTheme="minorHAnsi" w:hAnsiTheme="minorHAnsi"/>
                <w:noProof/>
                <w:sz w:val="24"/>
                <w:szCs w:val="24"/>
              </w:rPr>
              <w:lastRenderedPageBreak/>
              <w:t>chráněny podle zásad a ustanovení stanovených právem Unie,</w:t>
            </w:r>
          </w:p>
          <w:p w:rsidR="00FF41BC" w:rsidRDefault="00730EF0">
            <w:pPr>
              <w:pStyle w:val="ListParagraph"/>
              <w:numPr>
                <w:ilvl w:val="0"/>
                <w:numId w:val="12"/>
              </w:numPr>
              <w:rPr>
                <w:rFonts w:asciiTheme="minorHAnsi" w:hAnsiTheme="minorHAnsi" w:cstheme="minorHAnsi"/>
                <w:noProof/>
                <w:sz w:val="24"/>
                <w:szCs w:val="24"/>
              </w:rPr>
            </w:pPr>
            <w:r>
              <w:rPr>
                <w:rFonts w:asciiTheme="minorHAnsi" w:hAnsiTheme="minorHAnsi"/>
                <w:noProof/>
                <w:sz w:val="24"/>
                <w:szCs w:val="24"/>
              </w:rPr>
              <w:t>upravuje odpojení Spojeného království od sítí, informačních systémů a databází zřízených na základě práva Unie na konci přechodného období, zejména od sítí, které jsou přístupné pouze členským státům Unie nebo zemím přidruženým k schengenskému prostoru,</w:t>
            </w:r>
          </w:p>
          <w:p w:rsidR="00FF41BC" w:rsidRDefault="00730EF0">
            <w:pPr>
              <w:keepNext/>
              <w:keepLines/>
              <w:numPr>
                <w:ilvl w:val="0"/>
                <w:numId w:val="12"/>
              </w:numPr>
              <w:jc w:val="both"/>
              <w:rPr>
                <w:rFonts w:asciiTheme="minorHAnsi" w:hAnsiTheme="minorHAnsi" w:cstheme="minorHAnsi"/>
                <w:noProof/>
                <w:sz w:val="24"/>
                <w:szCs w:val="24"/>
              </w:rPr>
            </w:pPr>
            <w:r>
              <w:rPr>
                <w:rFonts w:asciiTheme="minorHAnsi" w:hAnsiTheme="minorHAnsi"/>
                <w:noProof/>
                <w:sz w:val="24"/>
                <w:szCs w:val="24"/>
              </w:rPr>
              <w:t>zabývá se probíhající soudní spoluprací v obchodních záležitostech s cílem zajistit spolehlivost soudních rozhodnutí,</w:t>
            </w:r>
          </w:p>
          <w:p w:rsidR="00FF41BC" w:rsidRDefault="00730EF0">
            <w:pPr>
              <w:keepNext/>
              <w:keepLines/>
              <w:numPr>
                <w:ilvl w:val="0"/>
                <w:numId w:val="12"/>
              </w:numPr>
              <w:jc w:val="both"/>
              <w:rPr>
                <w:rFonts w:asciiTheme="minorHAnsi" w:hAnsiTheme="minorHAnsi" w:cstheme="minorHAnsi"/>
                <w:noProof/>
              </w:rPr>
            </w:pPr>
            <w:r>
              <w:rPr>
                <w:rFonts w:asciiTheme="minorHAnsi" w:hAnsiTheme="minorHAnsi"/>
                <w:noProof/>
                <w:sz w:val="24"/>
                <w:szCs w:val="24"/>
              </w:rPr>
              <w:t>řeší všechny problémy související s vystoupením Spojeného království z Euratomu.</w:t>
            </w:r>
          </w:p>
          <w:p w:rsidR="00FF41BC" w:rsidRDefault="00730EF0">
            <w:pPr>
              <w:keepNext/>
              <w:keepLines/>
              <w:jc w:val="both"/>
              <w:rPr>
                <w:rFonts w:asciiTheme="minorHAnsi" w:hAnsiTheme="minorHAnsi" w:cstheme="minorHAnsi"/>
                <w:noProof/>
              </w:rPr>
            </w:pPr>
            <w:r>
              <w:rPr>
                <w:rFonts w:asciiTheme="minorHAnsi" w:hAnsiTheme="minorHAnsi"/>
                <w:noProof/>
                <w:sz w:val="24"/>
                <w:szCs w:val="24"/>
              </w:rPr>
              <w:t>Pokud jde o provádění dohody o vystoupení, byl zřízen smíšený výbor, který dohlíží na uplatňování dohody o vystoupení. Spolupředsedají mu místopředseda Evropské komise Maroš Šefčovič a kancléř Lancasterského vévodství ve Spojeném království Michael Gove a zasedal dvakrát (formou telekonference), a to 30. března a 12. června 2020. Svou činnost zahájily specializované výbory pro Gibraltar, pro práva občanů, pro finanční ustanovení, pro výsostné oblasti na Kypru a pro protokol o Irsku a Severním Irsku.</w:t>
            </w:r>
          </w:p>
        </w:tc>
      </w:tr>
    </w:tbl>
    <w:p w:rsidR="00FF41BC" w:rsidRDefault="00FF41BC">
      <w:pPr>
        <w:rPr>
          <w:noProof/>
        </w:rPr>
      </w:pPr>
    </w:p>
    <w:p w:rsidR="00FF41BC" w:rsidRDefault="00FF41BC">
      <w:pPr>
        <w:rPr>
          <w:noProof/>
        </w:rPr>
      </w:pPr>
    </w:p>
    <w:p w:rsidR="00FF41BC" w:rsidRDefault="00730EF0">
      <w:pPr>
        <w:spacing w:after="0"/>
        <w:rPr>
          <w:rFonts w:asciiTheme="minorHAnsi" w:eastAsiaTheme="majorEastAsia" w:hAnsiTheme="minorHAnsi" w:cstheme="majorBidi"/>
          <w:b/>
          <w:noProof/>
          <w:sz w:val="32"/>
          <w:szCs w:val="32"/>
        </w:rPr>
      </w:pPr>
      <w:r>
        <w:rPr>
          <w:noProof/>
        </w:rPr>
        <w:br w:type="page"/>
      </w:r>
    </w:p>
    <w:p w:rsidR="00FF41BC" w:rsidRDefault="00730EF0">
      <w:pPr>
        <w:pStyle w:val="Heading1"/>
        <w:rPr>
          <w:noProof/>
        </w:rPr>
      </w:pPr>
      <w:bookmarkStart w:id="74" w:name="_Toc45099932"/>
      <w:bookmarkStart w:id="75" w:name="_Toc46143626"/>
      <w:r>
        <w:rPr>
          <w:noProof/>
        </w:rPr>
        <w:lastRenderedPageBreak/>
        <w:t>Závěr: Připravenost je zásadní</w:t>
      </w:r>
      <w:bookmarkEnd w:id="74"/>
      <w:bookmarkEnd w:id="75"/>
    </w:p>
    <w:p w:rsidR="00FF41BC" w:rsidRDefault="00730EF0">
      <w:pPr>
        <w:jc w:val="both"/>
        <w:rPr>
          <w:rFonts w:asciiTheme="minorHAnsi" w:hAnsiTheme="minorHAnsi" w:cstheme="minorHAnsi"/>
          <w:noProof/>
          <w:sz w:val="24"/>
        </w:rPr>
      </w:pPr>
      <w:r>
        <w:rPr>
          <w:rFonts w:asciiTheme="minorHAnsi" w:hAnsiTheme="minorHAnsi"/>
          <w:noProof/>
          <w:sz w:val="24"/>
        </w:rPr>
        <w:t xml:space="preserve">Evropská unie vynaloží maximální úsilí k tomu, aby v budoucnu dosáhla ambiciózní dohody se Spojeným královstvím. </w:t>
      </w:r>
    </w:p>
    <w:p w:rsidR="00FF41BC" w:rsidRDefault="00730EF0">
      <w:pPr>
        <w:jc w:val="both"/>
        <w:rPr>
          <w:rFonts w:asciiTheme="minorHAnsi" w:hAnsiTheme="minorHAnsi" w:cstheme="minorHAnsi"/>
          <w:noProof/>
          <w:sz w:val="24"/>
          <w:szCs w:val="24"/>
        </w:rPr>
      </w:pPr>
      <w:r>
        <w:rPr>
          <w:rFonts w:asciiTheme="minorHAnsi" w:hAnsiTheme="minorHAnsi"/>
          <w:noProof/>
          <w:sz w:val="24"/>
        </w:rPr>
        <w:t>Z tohoto sdělení však vyplývá, že i v případě toho nejambicióznějšího budoucího partnerství – založeného na směrnicích Evropské unie pro jednání o novém partnerství se Spojeným královstvím</w:t>
      </w:r>
      <w:r>
        <w:rPr>
          <w:rStyle w:val="FootnoteReference"/>
          <w:rFonts w:asciiTheme="minorHAnsi" w:hAnsiTheme="minorHAnsi" w:cstheme="minorHAnsi"/>
          <w:noProof/>
          <w:sz w:val="24"/>
        </w:rPr>
        <w:footnoteReference w:id="38"/>
      </w:r>
      <w:r>
        <w:rPr>
          <w:rFonts w:asciiTheme="minorHAnsi" w:hAnsiTheme="minorHAnsi"/>
          <w:noProof/>
          <w:sz w:val="24"/>
        </w:rPr>
        <w:t>, přijatých dne 25. února 2020, a na návrhu znění dohody o novém partnerství mezi Evropskou unií a Spojeným královstvím,</w:t>
      </w:r>
      <w:r>
        <w:rPr>
          <w:rFonts w:asciiTheme="minorHAnsi" w:hAnsiTheme="minorHAnsi" w:cstheme="minorHAnsi"/>
          <w:noProof/>
          <w:sz w:val="24"/>
          <w:vertAlign w:val="superscript"/>
        </w:rPr>
        <w:footnoteReference w:id="39"/>
      </w:r>
      <w:r>
        <w:rPr>
          <w:rFonts w:asciiTheme="minorHAnsi" w:hAnsiTheme="minorHAnsi"/>
          <w:noProof/>
          <w:sz w:val="24"/>
        </w:rPr>
        <w:t xml:space="preserve"> zveřejněném dne 17. března 2020 – </w:t>
      </w:r>
      <w:r>
        <w:rPr>
          <w:rFonts w:asciiTheme="minorHAnsi" w:hAnsiTheme="minorHAnsi"/>
          <w:b/>
          <w:noProof/>
          <w:sz w:val="24"/>
        </w:rPr>
        <w:t xml:space="preserve">dojde k 1. lednu 2021 k dalekosáhlým </w:t>
      </w:r>
      <w:r>
        <w:rPr>
          <w:rFonts w:asciiTheme="minorHAnsi" w:hAnsiTheme="minorHAnsi"/>
          <w:b/>
          <w:noProof/>
          <w:sz w:val="24"/>
          <w:szCs w:val="24"/>
        </w:rPr>
        <w:t>a automatickým změnám a důsledkům pro občany, spotřebitele, podniky, orgány veřejné správy, investory, studenty a výzkumné pracovníky</w:t>
      </w:r>
      <w:r>
        <w:rPr>
          <w:rFonts w:asciiTheme="minorHAnsi" w:hAnsiTheme="minorHAnsi"/>
          <w:noProof/>
          <w:sz w:val="24"/>
          <w:szCs w:val="24"/>
        </w:rPr>
        <w:t xml:space="preserve">. </w:t>
      </w:r>
    </w:p>
    <w:p w:rsidR="00FF41BC" w:rsidRDefault="00730EF0">
      <w:pPr>
        <w:jc w:val="both"/>
        <w:rPr>
          <w:rFonts w:asciiTheme="minorHAnsi" w:hAnsiTheme="minorHAnsi" w:cstheme="minorHAnsi"/>
          <w:noProof/>
          <w:sz w:val="24"/>
          <w:szCs w:val="24"/>
        </w:rPr>
      </w:pPr>
      <w:r>
        <w:rPr>
          <w:rFonts w:asciiTheme="minorHAnsi" w:hAnsiTheme="minorHAnsi"/>
          <w:noProof/>
          <w:sz w:val="24"/>
          <w:szCs w:val="24"/>
        </w:rPr>
        <w:t xml:space="preserve">Tyto změny jsou bez ohledu na výsledek probíhajících jednání nevyhnutelné vzhledem k rozhodnutí Spojeného království vystoupit z </w:t>
      </w:r>
      <w:r>
        <w:rPr>
          <w:rFonts w:asciiTheme="minorHAnsi" w:hAnsiTheme="minorHAnsi"/>
          <w:noProof/>
          <w:sz w:val="24"/>
        </w:rPr>
        <w:t>Evropské unie</w:t>
      </w:r>
      <w:r>
        <w:rPr>
          <w:rFonts w:asciiTheme="minorHAnsi" w:hAnsiTheme="minorHAnsi"/>
          <w:noProof/>
          <w:sz w:val="24"/>
          <w:szCs w:val="24"/>
        </w:rPr>
        <w:t xml:space="preserve">, jejího jednotného trhu a celní unie. </w:t>
      </w:r>
      <w:r>
        <w:rPr>
          <w:rFonts w:asciiTheme="minorHAnsi" w:hAnsiTheme="minorHAnsi"/>
          <w:noProof/>
          <w:sz w:val="24"/>
        </w:rPr>
        <w:t xml:space="preserve">Na konci přechodného období se přestane uplatňovat volný pohyb osob, zboží a služeb podle práva Unie. To bude mít dalekosáhlé účinky zejména na přeshraniční obchod se zbožím a službami, jakož i na mobilitu osob. </w:t>
      </w:r>
    </w:p>
    <w:p w:rsidR="00FF41BC" w:rsidRDefault="00730EF0">
      <w:pPr>
        <w:jc w:val="both"/>
        <w:rPr>
          <w:rFonts w:asciiTheme="minorHAnsi" w:hAnsiTheme="minorHAnsi" w:cstheme="minorHAnsi"/>
          <w:noProof/>
          <w:sz w:val="24"/>
        </w:rPr>
      </w:pPr>
      <w:r>
        <w:rPr>
          <w:rFonts w:asciiTheme="minorHAnsi" w:hAnsiTheme="minorHAnsi"/>
          <w:noProof/>
          <w:sz w:val="24"/>
        </w:rPr>
        <w:t xml:space="preserve">Komise proto vyzývá všechny orgány veřejné správy, občany, podniky a další zúčastněné strany, aby zajistili, že budou na tyto nevyhnutelné změny připraveni. Pokud takováto přípravná opatření nepřijmou, zvýší se na konci přechodného období negativní dopady a náklady na jejich provoz. </w:t>
      </w:r>
    </w:p>
    <w:p w:rsidR="00FF41BC" w:rsidRDefault="00730EF0">
      <w:pPr>
        <w:jc w:val="both"/>
        <w:rPr>
          <w:rFonts w:asciiTheme="minorHAnsi" w:hAnsiTheme="minorHAnsi" w:cstheme="minorHAnsi"/>
          <w:noProof/>
          <w:sz w:val="24"/>
        </w:rPr>
      </w:pPr>
      <w:r>
        <w:rPr>
          <w:rFonts w:asciiTheme="minorHAnsi" w:hAnsiTheme="minorHAnsi"/>
          <w:noProof/>
          <w:sz w:val="24"/>
        </w:rPr>
        <w:t>V konečném důsledku je věcí podniků a jiných zúčastněných stran, aby provedly vlastní posouzení rizik a zavedly vlastní kroky pro zajištění připravenosti s ohledem na svou individuální situaci, nikdo by však neměl podceňovat logistické problémy, které nastanou od 1. ledna 2021, vedle právních změn popsaných v tomto sdělení.</w:t>
      </w:r>
    </w:p>
    <w:p w:rsidR="00FF41BC" w:rsidRDefault="00730EF0">
      <w:pPr>
        <w:jc w:val="both"/>
        <w:rPr>
          <w:rFonts w:asciiTheme="minorHAnsi" w:hAnsiTheme="minorHAnsi" w:cstheme="minorHAnsi"/>
          <w:noProof/>
          <w:sz w:val="24"/>
        </w:rPr>
      </w:pPr>
      <w:r>
        <w:rPr>
          <w:rFonts w:asciiTheme="minorHAnsi" w:hAnsiTheme="minorHAnsi"/>
          <w:noProof/>
          <w:sz w:val="24"/>
        </w:rPr>
        <w:t>Komise</w:t>
      </w:r>
      <w:r>
        <w:rPr>
          <w:rFonts w:asciiTheme="minorHAnsi" w:hAnsiTheme="minorHAnsi"/>
          <w:b/>
          <w:noProof/>
          <w:sz w:val="24"/>
        </w:rPr>
        <w:t xml:space="preserve"> </w:t>
      </w:r>
      <w:r>
        <w:rPr>
          <w:rFonts w:asciiTheme="minorHAnsi" w:hAnsiTheme="minorHAnsi"/>
          <w:noProof/>
          <w:sz w:val="24"/>
        </w:rPr>
        <w:t>vyzývá členské státy, aby pokračovaly ve vnitrostátní komunikační a osvětové činnosti, která vybízí orgány veřejné správy, občany, podniky a zúčastněné strany k přijetí nezbytných opatření pro zajištění připravenosti. Toto úsilí je třeba přizpůsobit situaci zúčastněných stran v jednotlivých členských státech. V nadcházejících měsících bude Komise spolupracovat se všemi členskými státy s cílem přezkoumat jejich připravenost ve všech aspektech a usnadnit úsilí orgánů veřejné správy vedoucí ke zvyšování informovanosti příslušných zúčastněných stran.</w:t>
      </w:r>
    </w:p>
    <w:p w:rsidR="00FF41BC" w:rsidRDefault="00730EF0">
      <w:pPr>
        <w:jc w:val="both"/>
        <w:rPr>
          <w:rFonts w:asciiTheme="minorHAnsi" w:hAnsiTheme="minorHAnsi" w:cstheme="minorHAnsi"/>
          <w:noProof/>
          <w:sz w:val="24"/>
        </w:rPr>
      </w:pPr>
      <w:r>
        <w:rPr>
          <w:rFonts w:asciiTheme="minorHAnsi" w:hAnsiTheme="minorHAnsi"/>
          <w:noProof/>
          <w:sz w:val="24"/>
        </w:rPr>
        <w:t xml:space="preserve">Zúčastněné strany jsou rovněž vybízeny, aby znovu projednaly oznámení, která byla zveřejněna během jednání se Spojeným královstvím na základě článku 50, a aby navštívily webové stránky Komise o připravenosti, na kterých naleznou další aktualizace předchozích </w:t>
      </w:r>
      <w:r>
        <w:rPr>
          <w:rFonts w:asciiTheme="minorHAnsi" w:hAnsiTheme="minorHAnsi"/>
          <w:noProof/>
          <w:sz w:val="24"/>
        </w:rPr>
        <w:lastRenderedPageBreak/>
        <w:t>oznámení o připravenosti. Komise bude spolupracovat se všemi příslušnými sdruženími zúčastněných stran s cílem je na tyto informace upozornit.</w:t>
      </w:r>
    </w:p>
    <w:p w:rsidR="00FF41BC" w:rsidRDefault="00730EF0">
      <w:pPr>
        <w:jc w:val="both"/>
        <w:rPr>
          <w:rFonts w:asciiTheme="minorHAnsi" w:hAnsiTheme="minorHAnsi" w:cstheme="minorHAnsi"/>
          <w:noProof/>
          <w:sz w:val="24"/>
        </w:rPr>
      </w:pPr>
      <w:r>
        <w:rPr>
          <w:rFonts w:asciiTheme="minorHAnsi" w:hAnsiTheme="minorHAnsi"/>
          <w:noProof/>
          <w:sz w:val="24"/>
        </w:rPr>
        <w:t>Závěrem Komise vyzývá všechna spotřebitelská, podnikatelská a obchodní sdružení, a to jak vnitrostátní, tak i evropská, aby zajistila plnou informovanost svých členů o změnách, ke kterým dojde bez ohledu na budoucí vztah se Spojeným královstvím.</w:t>
      </w:r>
    </w:p>
    <w:p w:rsidR="00FF41BC" w:rsidRDefault="00730EF0">
      <w:pPr>
        <w:spacing w:after="0"/>
        <w:rPr>
          <w:rFonts w:asciiTheme="minorHAnsi" w:hAnsiTheme="minorHAnsi" w:cstheme="minorHAnsi"/>
          <w:noProof/>
          <w:sz w:val="24"/>
        </w:rPr>
      </w:pPr>
      <w:r>
        <w:rPr>
          <w:noProof/>
        </w:rPr>
        <w:br w:type="page"/>
      </w:r>
    </w:p>
    <w:p w:rsidR="00FF41BC" w:rsidRDefault="00730EF0">
      <w:pPr>
        <w:spacing w:after="0"/>
        <w:rPr>
          <w:rFonts w:asciiTheme="minorHAnsi" w:hAnsiTheme="minorHAnsi" w:cstheme="minorHAnsi"/>
          <w:b/>
          <w:noProof/>
          <w:sz w:val="24"/>
          <w:u w:val="single"/>
        </w:rPr>
      </w:pPr>
      <w:r>
        <w:rPr>
          <w:rFonts w:asciiTheme="minorHAnsi" w:hAnsiTheme="minorHAnsi"/>
          <w:b/>
          <w:noProof/>
          <w:sz w:val="24"/>
          <w:u w:val="single"/>
        </w:rPr>
        <w:lastRenderedPageBreak/>
        <w:t>Příloha 1: Seznam aktualizovaných oznámení o připravenosti ke konci přechodného období</w:t>
      </w:r>
    </w:p>
    <w:p w:rsidR="00FF41BC" w:rsidRDefault="00730EF0">
      <w:pPr>
        <w:jc w:val="both"/>
        <w:rPr>
          <w:rFonts w:asciiTheme="minorHAnsi" w:hAnsiTheme="minorHAnsi" w:cstheme="minorHAnsi"/>
          <w:noProof/>
          <w:sz w:val="24"/>
        </w:rPr>
      </w:pPr>
      <w:r>
        <w:rPr>
          <w:rFonts w:asciiTheme="minorHAnsi" w:hAnsiTheme="minorHAnsi"/>
          <w:noProof/>
          <w:sz w:val="24"/>
        </w:rPr>
        <w:t xml:space="preserve">Od 16. března 2020 bylo zveřejněno následujících 59 oznámení o připravenosti s cílem podpořit přípravy zúčastněných stran na konec přechodného období. Naleznete je zde: </w:t>
      </w:r>
      <w:hyperlink r:id="rId15" w:history="1">
        <w:r>
          <w:rPr>
            <w:rStyle w:val="Hyperlink"/>
            <w:rFonts w:asciiTheme="minorHAnsi" w:hAnsiTheme="minorHAnsi"/>
            <w:noProof/>
            <w:sz w:val="24"/>
          </w:rPr>
          <w:t>https://ec.europa.eu/info/european-union-and-united-kingdom-forging-new-partnership/future-partnership/getting-ready-end-transition-period_cs</w:t>
        </w:r>
      </w:hyperlink>
      <w:r>
        <w:rPr>
          <w:noProof/>
        </w:rPr>
        <w:t>.</w:t>
      </w:r>
      <w:r>
        <w:rPr>
          <w:rFonts w:asciiTheme="minorHAnsi" w:hAnsiTheme="minorHAnsi"/>
          <w:noProof/>
          <w:sz w:val="24"/>
        </w:rPr>
        <w:t xml:space="preserve"> </w:t>
      </w:r>
    </w:p>
    <w:p w:rsidR="00FF41BC" w:rsidRDefault="00730EF0">
      <w:pPr>
        <w:jc w:val="both"/>
        <w:rPr>
          <w:rFonts w:asciiTheme="minorHAnsi" w:hAnsiTheme="minorHAnsi" w:cstheme="minorHAnsi"/>
          <w:noProof/>
          <w:sz w:val="24"/>
        </w:rPr>
      </w:pPr>
      <w:r>
        <w:rPr>
          <w:rFonts w:asciiTheme="minorHAnsi" w:hAnsiTheme="minorHAnsi"/>
          <w:noProof/>
          <w:sz w:val="24"/>
        </w:rPr>
        <w:t>Tento seznam bude pravidelně aktualizován, jakmile budou k dispozici nová oznámení.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Letecká doprava</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Šlechtění zvířat (zootechnika)</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Přeprava zvířat</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Správa majetku</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Audiovizuální mediální služby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Ochrana letectví a námořního odvětví před protiprávními činy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Bezpečnost letectví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Bankovní a platební služby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Biocidní přípravky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Regulace chemických látek na základě nařízení REACH</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Klinická hodnocení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Právo obchodních společností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Ochrana spotřebitelů a práva cestujících</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Autorské právo</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Kosmetické přípravky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Ratingové agentury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Ochrana údajů</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Elektronické obchodování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Elektronický podpis (elektronická identifikace a služby vytvářející důvěru pro elektronické transakce)</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Elektronické komunikace včetně roamingu</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Systém obchodování s emisemi</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Doménová jména .eu</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Ekoznačka EU</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Evropská rada zaměstnanců</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Spotřební daně</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Vyčerpání práv duševního vlastnictví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Krmiva</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Potravinové právo</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Geneticky modifikované organismy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Zeměpisné blokování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Zeměpisná označení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Správná laboratorní praxe</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lastRenderedPageBreak/>
        <w:t>Průmyslové výrobky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Invazní nepůvodní druhy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Námořní doprava</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Léčivé přípravky (humánní, veterinární)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Přemísťování živých zvířat</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Přírodní minerální vody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On-line nákup s následným doručením zásilky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Ekologické produkty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Zdraví rostlin</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Přípravky na ochranu rostlin</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Rozmnožovací materiál rostlin</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Práva k odrůdám rostlin</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Zákazy a omezení dovozu/vývozu (včetně dovozních/vývozních licencí)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Ochrana zvířat při usmrcování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Pyrotechnické výrobky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Železniční doprava</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Rekreační plavidla a vodní skútry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Bezpečnost sítí a informačních systémů</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Recyklace lodí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Látky lidského původu (krev, tkáně a buňky, orgány)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Dodatková ochranná osvědčení pro léčivé přípravky a přípravky na ochranu rostlin</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Tabákové výrobky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Ochranné známky a vzory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Přepravitelná tlaková zařízení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Daň z přidané hodnoty (DPH – zboží)</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Daň z přidané hodnoty (DPH – služby)</w:t>
      </w:r>
    </w:p>
    <w:p w:rsidR="00FF41BC" w:rsidRDefault="00730EF0">
      <w:pPr>
        <w:pStyle w:val="ListParagraph"/>
        <w:numPr>
          <w:ilvl w:val="0"/>
          <w:numId w:val="45"/>
        </w:numPr>
        <w:jc w:val="both"/>
        <w:rPr>
          <w:rFonts w:asciiTheme="minorHAnsi" w:hAnsiTheme="minorHAnsi" w:cstheme="minorHAnsi"/>
          <w:noProof/>
          <w:sz w:val="24"/>
        </w:rPr>
      </w:pPr>
      <w:r>
        <w:rPr>
          <w:rFonts w:asciiTheme="minorHAnsi" w:hAnsiTheme="minorHAnsi"/>
          <w:noProof/>
          <w:sz w:val="24"/>
        </w:rPr>
        <w:t>Přeprava odpadů</w:t>
      </w:r>
    </w:p>
    <w:p w:rsidR="00FF41BC" w:rsidRDefault="00FF41BC">
      <w:pPr>
        <w:jc w:val="both"/>
        <w:rPr>
          <w:rFonts w:asciiTheme="minorHAnsi" w:hAnsiTheme="minorHAnsi" w:cstheme="minorHAnsi"/>
          <w:noProof/>
          <w:sz w:val="24"/>
        </w:rPr>
      </w:pPr>
    </w:p>
    <w:p w:rsidR="00FF41BC" w:rsidRDefault="00730EF0">
      <w:pPr>
        <w:spacing w:after="0"/>
        <w:rPr>
          <w:rFonts w:asciiTheme="minorHAnsi" w:hAnsiTheme="minorHAnsi" w:cstheme="minorHAnsi"/>
          <w:noProof/>
          <w:sz w:val="24"/>
        </w:rPr>
      </w:pPr>
      <w:r>
        <w:rPr>
          <w:noProof/>
        </w:rPr>
        <w:br w:type="page"/>
      </w:r>
    </w:p>
    <w:p w:rsidR="00FF41BC" w:rsidRDefault="00FF41BC">
      <w:pPr>
        <w:spacing w:after="0"/>
        <w:rPr>
          <w:rFonts w:asciiTheme="minorHAnsi" w:hAnsiTheme="minorHAnsi" w:cstheme="minorHAnsi"/>
          <w:b/>
          <w:bCs/>
          <w:noProof/>
          <w:sz w:val="24"/>
          <w:szCs w:val="24"/>
        </w:rPr>
      </w:pPr>
    </w:p>
    <w:p w:rsidR="00FF41BC" w:rsidRDefault="00FF41BC">
      <w:pPr>
        <w:jc w:val="both"/>
        <w:rPr>
          <w:rFonts w:asciiTheme="minorHAnsi" w:hAnsiTheme="minorHAnsi" w:cstheme="minorHAnsi"/>
          <w:noProof/>
          <w:sz w:val="24"/>
          <w:szCs w:val="24"/>
        </w:rPr>
      </w:pPr>
    </w:p>
    <w:p w:rsidR="00FF41BC" w:rsidRDefault="00FF41BC">
      <w:pPr>
        <w:jc w:val="both"/>
        <w:rPr>
          <w:rFonts w:asciiTheme="minorHAnsi" w:hAnsiTheme="minorHAnsi" w:cstheme="minorHAnsi"/>
          <w:noProof/>
          <w:sz w:val="24"/>
          <w:szCs w:val="24"/>
        </w:rPr>
      </w:pPr>
    </w:p>
    <w:p w:rsidR="00FF41BC" w:rsidRDefault="00FF41BC">
      <w:pPr>
        <w:jc w:val="both"/>
        <w:rPr>
          <w:rFonts w:asciiTheme="minorHAnsi" w:hAnsiTheme="minorHAnsi" w:cstheme="minorHAnsi"/>
          <w:noProof/>
          <w:sz w:val="24"/>
          <w:szCs w:val="24"/>
        </w:rPr>
      </w:pPr>
    </w:p>
    <w:p w:rsidR="00FF41BC" w:rsidRDefault="00FF41BC">
      <w:pPr>
        <w:rPr>
          <w:rFonts w:asciiTheme="minorHAnsi" w:hAnsiTheme="minorHAnsi" w:cstheme="minorHAnsi"/>
          <w:noProof/>
          <w:sz w:val="24"/>
          <w:szCs w:val="24"/>
        </w:rPr>
      </w:pPr>
    </w:p>
    <w:p w:rsidR="00FF41BC" w:rsidRDefault="00FF41BC">
      <w:pPr>
        <w:rPr>
          <w:rFonts w:asciiTheme="minorHAnsi" w:hAnsiTheme="minorHAnsi" w:cstheme="minorHAnsi"/>
          <w:noProof/>
          <w:sz w:val="24"/>
          <w:szCs w:val="24"/>
        </w:rPr>
      </w:pPr>
    </w:p>
    <w:p w:rsidR="00FF41BC" w:rsidRDefault="00FF41BC">
      <w:pPr>
        <w:rPr>
          <w:rFonts w:asciiTheme="minorHAnsi" w:hAnsiTheme="minorHAnsi" w:cstheme="minorHAnsi"/>
          <w:noProof/>
          <w:sz w:val="24"/>
          <w:szCs w:val="24"/>
        </w:rPr>
      </w:pPr>
    </w:p>
    <w:p w:rsidR="00FF41BC" w:rsidRDefault="00730EF0">
      <w:pPr>
        <w:tabs>
          <w:tab w:val="left" w:pos="2085"/>
        </w:tabs>
        <w:rPr>
          <w:rFonts w:asciiTheme="minorHAnsi" w:hAnsiTheme="minorHAnsi" w:cstheme="minorHAnsi"/>
          <w:noProof/>
          <w:sz w:val="24"/>
          <w:szCs w:val="24"/>
        </w:rPr>
      </w:pPr>
      <w:r>
        <w:rPr>
          <w:noProof/>
        </w:rPr>
        <w:tab/>
      </w:r>
    </w:p>
    <w:sectPr w:rsidR="00FF41B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76"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EF0" w:rsidRDefault="00730EF0">
      <w:pPr>
        <w:spacing w:after="0" w:line="240" w:lineRule="auto"/>
      </w:pPr>
      <w:r>
        <w:separator/>
      </w:r>
    </w:p>
    <w:p w:rsidR="00730EF0" w:rsidRDefault="00730EF0"/>
  </w:endnote>
  <w:endnote w:type="continuationSeparator" w:id="0">
    <w:p w:rsidR="00730EF0" w:rsidRDefault="00730EF0">
      <w:pPr>
        <w:spacing w:after="0" w:line="240" w:lineRule="auto"/>
      </w:pPr>
      <w:r>
        <w:continuationSeparator/>
      </w:r>
    </w:p>
    <w:p w:rsidR="00730EF0" w:rsidRDefault="00730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C Square Sans Pro">
    <w:panose1 w:val="020B0506040000020004"/>
    <w:charset w:val="00"/>
    <w:family w:val="swiss"/>
    <w:pitch w:val="variable"/>
    <w:sig w:usb0="A00002BF" w:usb1="5000E0F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A2" w:rsidRPr="004761A2" w:rsidRDefault="004761A2" w:rsidP="00476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A2" w:rsidRPr="004761A2" w:rsidRDefault="004761A2" w:rsidP="004761A2">
    <w:pPr>
      <w:pStyle w:val="FooterCoverPage"/>
      <w:rPr>
        <w:rFonts w:ascii="Arial" w:hAnsi="Arial" w:cs="Arial"/>
        <w:b/>
        <w:sz w:val="48"/>
      </w:rPr>
    </w:pPr>
    <w:r w:rsidRPr="004761A2">
      <w:rPr>
        <w:rFonts w:ascii="Arial" w:hAnsi="Arial" w:cs="Arial"/>
        <w:b/>
        <w:sz w:val="48"/>
      </w:rPr>
      <w:t>CS</w:t>
    </w:r>
    <w:r w:rsidRPr="004761A2">
      <w:rPr>
        <w:rFonts w:ascii="Arial" w:hAnsi="Arial" w:cs="Arial"/>
        <w:b/>
        <w:sz w:val="48"/>
      </w:rPr>
      <w:tab/>
    </w:r>
    <w:r w:rsidRPr="004761A2">
      <w:rPr>
        <w:rFonts w:ascii="Arial" w:hAnsi="Arial" w:cs="Arial"/>
        <w:b/>
        <w:sz w:val="48"/>
      </w:rPr>
      <w:tab/>
    </w:r>
    <w:r w:rsidRPr="004761A2">
      <w:tab/>
    </w:r>
    <w:r w:rsidRPr="004761A2">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A2" w:rsidRPr="004761A2" w:rsidRDefault="004761A2" w:rsidP="004761A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C" w:rsidRDefault="00FF41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03308"/>
      <w:docPartObj>
        <w:docPartGallery w:val="Page Numbers (Bottom of Page)"/>
        <w:docPartUnique/>
      </w:docPartObj>
    </w:sdtPr>
    <w:sdtEndPr>
      <w:rPr>
        <w:noProof/>
      </w:rPr>
    </w:sdtEndPr>
    <w:sdtContent>
      <w:p w:rsidR="00FF41BC" w:rsidRDefault="00730EF0">
        <w:pPr>
          <w:pStyle w:val="Footer"/>
          <w:jc w:val="center"/>
        </w:pPr>
        <w:r>
          <w:fldChar w:fldCharType="begin"/>
        </w:r>
        <w:r>
          <w:instrText xml:space="preserve"> PAGE   \* MERGEFORMAT </w:instrText>
        </w:r>
        <w:r>
          <w:fldChar w:fldCharType="separate"/>
        </w:r>
        <w:r w:rsidR="003A51CD">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C" w:rsidRDefault="00FF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EF0" w:rsidRDefault="00730EF0">
      <w:pPr>
        <w:spacing w:after="0" w:line="240" w:lineRule="auto"/>
      </w:pPr>
      <w:r>
        <w:separator/>
      </w:r>
    </w:p>
    <w:p w:rsidR="00730EF0" w:rsidRDefault="00730EF0"/>
  </w:footnote>
  <w:footnote w:type="continuationSeparator" w:id="0">
    <w:p w:rsidR="00730EF0" w:rsidRDefault="00730EF0">
      <w:pPr>
        <w:spacing w:after="0" w:line="240" w:lineRule="auto"/>
      </w:pPr>
      <w:r>
        <w:continuationSeparator/>
      </w:r>
    </w:p>
    <w:p w:rsidR="00730EF0" w:rsidRDefault="00730EF0"/>
  </w:footnote>
  <w:footnote w:id="1">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Dohoda o vystoupení Spojeného království Velké Británie a Severního Irska z Evropské unie a Evropského společenství pro atomovou energii (Úř. věst. L 29, 31.1.2020, s. 7) (dále jen „dohoda o vystoupení“).</w:t>
      </w:r>
    </w:p>
  </w:footnote>
  <w:footnote w:id="2">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Podle čl. 132 odst. 1 dohody o vystoupení mohlo být toto přechodné období přede dnem 1. července 2020 společným rozhodnutím Evropské unie a Spojeného království jednou prodlouženo až o jeden nebo dva roky. Spojené království takové rozhodnutí odmítlo, takže přechodné období na základě právní automatičnosti vyprší dne 31. prosince 2020.</w:t>
      </w:r>
    </w:p>
  </w:footnote>
  <w:footnote w:id="3">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V článku 127 dohody o vystoupení jsou stanoveny určité výjimky, které však v souvislosti s tímto sdělením nejsou podstatné.</w:t>
      </w:r>
    </w:p>
  </w:footnote>
  <w:footnote w:id="4">
    <w:p w:rsidR="00FF41BC" w:rsidRDefault="00730EF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Výjimku tvoří politiky a programy uvedené v článku 138 dohody o vystoupení a v politickém prohlášení (program Peace Plus).</w:t>
      </w:r>
    </w:p>
  </w:footnote>
  <w:footnote w:id="5">
    <w:p w:rsidR="00FF41BC" w:rsidRDefault="00730EF0">
      <w:pPr>
        <w:pStyle w:val="FootnoteText"/>
        <w:spacing w:after="60"/>
        <w:jc w:val="both"/>
        <w:rPr>
          <w:rFonts w:asciiTheme="minorHAnsi" w:hAnsiTheme="minorHAnsi" w:cstheme="minorHAnsi"/>
          <w:b/>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Vláda Spojeného království – „The Future Relationship with the Union: The UK’s Approach to Negotiations“ (Budoucí vztah s Unií: přístup Spojeného království k jednáním), 27. února 2020.</w:t>
      </w:r>
    </w:p>
  </w:footnote>
  <w:footnote w:id="6">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Návrh dohody o novém partnerství Evropské unie a Spojeného království, uveřejněný dne 17. března 2020: </w:t>
      </w:r>
      <w:hyperlink r:id="rId1" w:history="1">
        <w:r>
          <w:rPr>
            <w:rStyle w:val="Hyperlink"/>
            <w:rFonts w:asciiTheme="minorHAnsi" w:hAnsiTheme="minorHAnsi"/>
            <w:sz w:val="18"/>
            <w:szCs w:val="18"/>
          </w:rPr>
          <w:t>https://ec.europa.eu/info/publications/draft-text-agreement-new-partnership-united-kingdom_en</w:t>
        </w:r>
      </w:hyperlink>
      <w:r>
        <w:t>.</w:t>
      </w:r>
    </w:p>
  </w:footnote>
  <w:footnote w:id="7">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Revidované znění politického prohlášení, v němž se stanoví rámec budoucích vztahů mezi Evropskou unií a Spojeným královstvím, schváleného na úrovni vyjednavačů dne 17. října 2019 (Úř. věst. C 34, 31.1.2020, s. 1).</w:t>
      </w:r>
    </w:p>
  </w:footnote>
  <w:footnote w:id="8">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Rozdíl spočívá zejména v tom, že dohoda o volném obchodu nestanoví principy vnitřního trhu (v oblasti zboží a služeb), jako je vzájemné uznávání, zásada země původu a harmonizace. Dohoda o volném obchodu s sebou přináší celní formality a kontroly, které se mimo jiné týkají původu zboží a vstupů k jeho výrobě, jakož i zákazy a omezení dovozu a vývozu.</w:t>
      </w:r>
    </w:p>
  </w:footnote>
  <w:footnote w:id="9">
    <w:p w:rsidR="00FF41BC" w:rsidRDefault="00730EF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Dohoda o vystoupení umožňuje, aby zboží, které bylo uvedeno na trh před koncem přechodného období, bylo dále dodáváno na trh EU nebo Spojeného království, než se dostane ke koncovému uživateli, aniž by musela být provedena nová certifikace, nové označení nebo úpravy výrobku.</w:t>
      </w:r>
    </w:p>
  </w:footnote>
  <w:footnote w:id="10">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Použití protokolu podléhá souhlasu Zákonodárného shromáždění Severního Irska, které k jeho případnému dalšímu uplatňování musí vyjádřit souhlas čtyři roky po skončení přechodného období.</w:t>
      </w:r>
    </w:p>
  </w:footnote>
  <w:footnote w:id="11">
    <w:p w:rsidR="00FF41BC" w:rsidRDefault="00730EF0">
      <w:pPr>
        <w:pStyle w:val="FootnoteText"/>
        <w:spacing w:after="60"/>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Čísla EORI jsou identifikační čísla, která všechny podniky a osoby obchodující mimo EU musí používat k identifikaci ve všech celních režimech a formalitách a obecně při výměně informací s celními správami.</w:t>
      </w:r>
    </w:p>
  </w:footnote>
  <w:footnote w:id="12">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Komise a vnitrostátní celní orgány již během fáze vystoupení Spojeného království z EU zveřejnily řadu oznámení s podrobnými informacemi o tom, jak bude řízen provoz na nových celních hranicích mezi Unií a Spojeným královstvím.</w:t>
      </w:r>
    </w:p>
  </w:footnote>
  <w:footnote w:id="13">
    <w:p w:rsidR="00FF41BC" w:rsidRDefault="00730EF0">
      <w:pPr>
        <w:pStyle w:val="FootnoteText"/>
      </w:pPr>
      <w:r>
        <w:rPr>
          <w:rStyle w:val="FootnoteReference"/>
        </w:rPr>
        <w:footnoteRef/>
      </w:r>
      <w:r>
        <w:t xml:space="preserve"> Podle toho bude nutné upravit prohlášení dodavatelů, včetně dlouhodobých prohlášení dodavatelů.</w:t>
      </w:r>
    </w:p>
  </w:footnote>
  <w:footnote w:id="14">
    <w:p w:rsidR="00FF41BC" w:rsidRDefault="00730EF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To se týká například Evropského registru výrobků s energetickým označením (EPREL).</w:t>
      </w:r>
    </w:p>
  </w:footnote>
  <w:footnote w:id="15">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Příklady takového zboží jsou odpad, palné zbraně, „zboží dvojího užití“, ohrožené druhy rostlin a živočichů a některé nebezpečné chemické látky.</w:t>
      </w:r>
    </w:p>
  </w:footnote>
  <w:footnote w:id="16">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Nařízení Evropského parlamentu a Rady (ES) č. 1907/2006 ze dne 18. prosince 2006 o registraci, hodnocení, povolování a omezování chemických látek a o zřízení Evropské agentury pro chemické látky (Úř. věst. L 396, 30.12.2006, s. 1).</w:t>
      </w:r>
    </w:p>
  </w:footnote>
  <w:footnote w:id="17">
    <w:p w:rsidR="00FF41BC" w:rsidRDefault="00730EF0">
      <w:pPr>
        <w:pStyle w:val="FootnoteText"/>
      </w:pPr>
      <w:r>
        <w:rPr>
          <w:rStyle w:val="FootnoteReference"/>
        </w:rPr>
        <w:footnoteRef/>
      </w:r>
      <w:r>
        <w:t xml:space="preserve"> Podmínky mohou případně zahrnovat i požadavky v oblasti přistěhovalectví a vízovou povinnost</w:t>
      </w:r>
      <w:r>
        <w:rPr>
          <w:rFonts w:asciiTheme="minorHAnsi" w:hAnsiTheme="minorHAnsi"/>
          <w:sz w:val="18"/>
          <w:szCs w:val="18"/>
        </w:rPr>
        <w:t>.</w:t>
      </w:r>
    </w:p>
  </w:footnote>
  <w:footnote w:id="18">
    <w:p w:rsidR="00FF41BC" w:rsidRDefault="00730EF0">
      <w:pPr>
        <w:pStyle w:val="FootnoteText"/>
        <w:rPr>
          <w:rFonts w:asciiTheme="minorHAnsi" w:hAnsiTheme="minorHAnsi" w:cstheme="minorHAnsi"/>
          <w:sz w:val="18"/>
          <w:szCs w:val="18"/>
        </w:rPr>
      </w:pPr>
      <w:r>
        <w:rPr>
          <w:rStyle w:val="FootnoteReference"/>
        </w:rPr>
        <w:footnoteRef/>
      </w:r>
      <w:r>
        <w:rPr>
          <w:rFonts w:asciiTheme="minorHAnsi" w:hAnsiTheme="minorHAnsi"/>
          <w:sz w:val="18"/>
          <w:szCs w:val="18"/>
        </w:rPr>
        <w:t xml:space="preserve"> Viz část IV „Finanční služby“ v revidovaném znění politického prohlášení, v němž se stanoví rámec budoucích vztahů mezi Evropskou unií a Spojeným královstvím, schváleného na úrovni vyjednavačů dne 17. října 2019 (Úř. věst. C 34, 31.1.2020, s. 1).</w:t>
      </w:r>
    </w:p>
  </w:footnote>
  <w:footnote w:id="19">
    <w:p w:rsidR="00FF41BC" w:rsidRDefault="00730EF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COM(2019) 349 final. Sdělení Komise: Rovnocennost v oblasti finančních služeb.</w:t>
      </w:r>
    </w:p>
  </w:footnote>
  <w:footnote w:id="20">
    <w:p w:rsidR="00FF41BC" w:rsidRDefault="00730EF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Oblasti, pro které již rozhodnutí o rovnocennosti byla vydána: </w:t>
      </w:r>
    </w:p>
    <w:p w:rsidR="00FF41BC" w:rsidRDefault="00730EF0">
      <w:pPr>
        <w:pStyle w:val="FootnoteText"/>
        <w:ind w:left="720"/>
        <w:rPr>
          <w:rFonts w:asciiTheme="minorHAnsi" w:hAnsiTheme="minorHAnsi" w:cstheme="minorHAnsi"/>
          <w:sz w:val="18"/>
          <w:szCs w:val="18"/>
        </w:rPr>
      </w:pPr>
      <w:r>
        <w:rPr>
          <w:rFonts w:asciiTheme="minorHAnsi" w:hAnsiTheme="minorHAnsi"/>
          <w:sz w:val="18"/>
          <w:szCs w:val="18"/>
        </w:rPr>
        <w:t xml:space="preserve">– nařízení (EU) č. 648/2012 o OTC derivátech, ústředních protistranách a registrech obchodních údajů (EMIR) v pozměněném znění, čl. 1 odst. 6 – osvobození centrálních bank a veřejných subjektů, </w:t>
      </w:r>
    </w:p>
    <w:p w:rsidR="00FF41BC" w:rsidRDefault="00730EF0">
      <w:pPr>
        <w:pStyle w:val="FootnoteText"/>
        <w:ind w:left="720"/>
        <w:rPr>
          <w:rFonts w:asciiTheme="minorHAnsi" w:hAnsiTheme="minorHAnsi" w:cstheme="minorHAnsi"/>
          <w:sz w:val="18"/>
          <w:szCs w:val="18"/>
        </w:rPr>
      </w:pPr>
      <w:r>
        <w:rPr>
          <w:rFonts w:asciiTheme="minorHAnsi" w:hAnsiTheme="minorHAnsi"/>
          <w:sz w:val="18"/>
          <w:szCs w:val="18"/>
        </w:rPr>
        <w:t>– nařízení (EU) 2015/2365 o transparentnosti obchodů zajišťujících financování a opětovného použití, čl. 2 odst. 4 – osvobození centrálních bank,</w:t>
      </w:r>
    </w:p>
    <w:p w:rsidR="00FF41BC" w:rsidRDefault="00730EF0">
      <w:pPr>
        <w:pStyle w:val="FootnoteText"/>
        <w:ind w:left="720"/>
        <w:rPr>
          <w:rFonts w:asciiTheme="minorHAnsi" w:hAnsiTheme="minorHAnsi" w:cstheme="minorHAnsi"/>
          <w:sz w:val="18"/>
          <w:szCs w:val="18"/>
        </w:rPr>
      </w:pPr>
      <w:r>
        <w:rPr>
          <w:rFonts w:asciiTheme="minorHAnsi" w:hAnsiTheme="minorHAnsi"/>
          <w:sz w:val="18"/>
          <w:szCs w:val="18"/>
        </w:rPr>
        <w:t>– nařízení (EU) č. 600/2014 o trzích finančních nástrojů, čl. 1 odst. 9 – výjimka pro centrální banky,</w:t>
      </w:r>
    </w:p>
    <w:p w:rsidR="00FF41BC" w:rsidRDefault="00730EF0">
      <w:pPr>
        <w:pStyle w:val="FootnoteText"/>
        <w:ind w:left="720"/>
      </w:pPr>
      <w:r>
        <w:rPr>
          <w:rFonts w:asciiTheme="minorHAnsi" w:hAnsiTheme="minorHAnsi"/>
          <w:sz w:val="18"/>
          <w:szCs w:val="18"/>
        </w:rPr>
        <w:t>– nařízení (EU) č. 596/2014 o obchodování zasvěcených osob a manipulaci s trhem (nařízení o zneužívání trhu), čl. 6 odst. 5 – výjimky pro centrální banky a veřejné orgány.</w:t>
      </w:r>
    </w:p>
  </w:footnote>
  <w:footnote w:id="21">
    <w:p w:rsidR="00FF41BC" w:rsidRDefault="00730EF0">
      <w:pPr>
        <w:pStyle w:val="FootnoteText"/>
        <w:rPr>
          <w:rFonts w:asciiTheme="minorHAnsi" w:hAnsiTheme="minorHAnsi" w:cstheme="minorHAnsi"/>
          <w:sz w:val="18"/>
          <w:szCs w:val="18"/>
        </w:rPr>
      </w:pPr>
      <w:r>
        <w:rPr>
          <w:rStyle w:val="FootnoteReference"/>
        </w:rPr>
        <w:footnoteRef/>
      </w:r>
      <w:r>
        <w:t xml:space="preserve"> </w:t>
      </w:r>
      <w:r>
        <w:rPr>
          <w:rFonts w:asciiTheme="minorHAnsi" w:hAnsiTheme="minorHAnsi"/>
          <w:sz w:val="18"/>
          <w:szCs w:val="18"/>
        </w:rPr>
        <w:t xml:space="preserve">– Směrnice </w:t>
      </w:r>
      <w:r>
        <w:rPr>
          <w:rFonts w:asciiTheme="minorHAnsi" w:hAnsiTheme="minorHAnsi" w:cstheme="minorHAnsi"/>
          <w:sz w:val="18"/>
          <w:szCs w:val="18"/>
        </w:rPr>
        <w:t>2004/109/ES (směrnice o průhlednosti) – účetní standardy</w:t>
      </w:r>
      <w:r>
        <w:rPr>
          <w:rFonts w:asciiTheme="minorHAnsi" w:hAnsiTheme="minorHAnsi"/>
          <w:sz w:val="18"/>
          <w:szCs w:val="18"/>
        </w:rPr>
        <w:t xml:space="preserve">, čl. 23 odst. 4 první pododstavec bod ii) – obecné požadavky na průhlednost, </w:t>
      </w:r>
    </w:p>
    <w:p w:rsidR="00FF41BC" w:rsidRDefault="00730EF0">
      <w:pPr>
        <w:pStyle w:val="FootnoteText"/>
        <w:ind w:left="720"/>
        <w:rPr>
          <w:rFonts w:asciiTheme="minorHAnsi" w:hAnsiTheme="minorHAnsi" w:cstheme="minorHAnsi"/>
          <w:sz w:val="18"/>
          <w:szCs w:val="18"/>
        </w:rPr>
      </w:pPr>
      <w:r>
        <w:rPr>
          <w:rFonts w:asciiTheme="minorHAnsi" w:hAnsiTheme="minorHAnsi"/>
          <w:sz w:val="18"/>
          <w:szCs w:val="18"/>
        </w:rPr>
        <w:t>– směrnice 2006/43/ES o povinném auditu ročních a konsolidovaných účetních závěrek, čl. 45 odst. 6 – rovnocennost standardů a požadavků ve třetích zemích s mezinárodními auditorskými standardy,</w:t>
      </w:r>
    </w:p>
    <w:p w:rsidR="00FF41BC" w:rsidRDefault="00730EF0">
      <w:pPr>
        <w:pStyle w:val="FootnoteText"/>
        <w:ind w:left="720"/>
        <w:rPr>
          <w:rFonts w:asciiTheme="minorHAnsi" w:hAnsiTheme="minorHAnsi" w:cstheme="minorHAnsi"/>
          <w:sz w:val="18"/>
          <w:szCs w:val="18"/>
        </w:rPr>
      </w:pPr>
      <w:r>
        <w:rPr>
          <w:rFonts w:asciiTheme="minorHAnsi" w:hAnsiTheme="minorHAnsi"/>
          <w:sz w:val="18"/>
          <w:szCs w:val="18"/>
        </w:rPr>
        <w:t>– nařízení (EU) č. 600/2014 o trzích finančních nástrojů, čl. 33 odst. 2 – deriváty: realizace obchodů a povinnosti clearingu, čl. 38 odst. 3 – přístup pro obchodní systémy a ústřední protistrany z třetích zemí, čl. 47 odst. 1 – investiční podniky poskytující investiční služby profesionálním zákazníkům a způsobilým protistranám z EU,</w:t>
      </w:r>
    </w:p>
    <w:p w:rsidR="00FF41BC" w:rsidRDefault="00730EF0">
      <w:pPr>
        <w:pStyle w:val="FootnoteText"/>
        <w:ind w:left="720"/>
        <w:rPr>
          <w:rFonts w:asciiTheme="minorHAnsi" w:hAnsiTheme="minorHAnsi" w:cstheme="minorHAnsi"/>
          <w:sz w:val="18"/>
          <w:szCs w:val="18"/>
        </w:rPr>
      </w:pPr>
      <w:r>
        <w:rPr>
          <w:rFonts w:asciiTheme="minorHAnsi" w:hAnsiTheme="minorHAnsi"/>
          <w:sz w:val="18"/>
          <w:szCs w:val="18"/>
        </w:rPr>
        <w:t>– směrnice 2014/65 o trzích finančních nástrojů a o změně směrnic 2002/92/ES a 2011/61/EU (směrnice MiFID II – přepracované znění), čl. 25 odst. 4 písm. a) – regulované trhy pro účely snadnější distribuce určitých finančních nástrojů v EU,</w:t>
      </w:r>
    </w:p>
    <w:p w:rsidR="00FF41BC" w:rsidRDefault="00730EF0">
      <w:pPr>
        <w:pStyle w:val="FootnoteText"/>
        <w:ind w:left="720"/>
        <w:rPr>
          <w:rFonts w:asciiTheme="minorHAnsi" w:hAnsiTheme="minorHAnsi" w:cstheme="minorHAnsi"/>
          <w:sz w:val="18"/>
          <w:szCs w:val="18"/>
        </w:rPr>
      </w:pPr>
      <w:r>
        <w:rPr>
          <w:rFonts w:asciiTheme="minorHAnsi" w:hAnsiTheme="minorHAnsi"/>
          <w:sz w:val="18"/>
          <w:szCs w:val="18"/>
        </w:rPr>
        <w:t>– nařízení (EU) č. 596/2014 o obchodování zasvěcených osob a manipulaci s trhem (nařízení o zneužívání trhu), čl. 6 odst. 6 – výjimka pro činnosti týkající se politiky v oblasti klimatu,</w:t>
      </w:r>
    </w:p>
    <w:p w:rsidR="00FF41BC" w:rsidRDefault="00730EF0">
      <w:pPr>
        <w:pStyle w:val="FootnoteText"/>
        <w:ind w:firstLine="720"/>
        <w:rPr>
          <w:rFonts w:asciiTheme="minorHAnsi" w:hAnsiTheme="minorHAnsi" w:cstheme="minorHAnsi"/>
          <w:sz w:val="18"/>
          <w:szCs w:val="18"/>
        </w:rPr>
      </w:pPr>
      <w:r>
        <w:rPr>
          <w:rFonts w:asciiTheme="minorHAnsi" w:hAnsiTheme="minorHAnsi"/>
          <w:sz w:val="18"/>
          <w:szCs w:val="18"/>
        </w:rPr>
        <w:t>– nařízení (EU) č. 236/2012 o prodeji na krátko a některých aspektech swapů úvěrového selhání,</w:t>
      </w:r>
    </w:p>
    <w:p w:rsidR="00FF41BC" w:rsidRDefault="00730EF0">
      <w:pPr>
        <w:pStyle w:val="FootnoteText"/>
        <w:ind w:firstLine="720"/>
        <w:rPr>
          <w:rFonts w:asciiTheme="minorHAnsi" w:hAnsiTheme="minorHAnsi" w:cstheme="minorHAnsi"/>
          <w:sz w:val="18"/>
          <w:szCs w:val="18"/>
        </w:rPr>
      </w:pPr>
      <w:r>
        <w:rPr>
          <w:rFonts w:asciiTheme="minorHAnsi" w:hAnsiTheme="minorHAnsi"/>
          <w:sz w:val="18"/>
          <w:szCs w:val="18"/>
        </w:rPr>
        <w:t>čl. 17 odst. 2 – výjimka pro činnosti v rámci tvorby trhu,</w:t>
      </w:r>
    </w:p>
    <w:p w:rsidR="00FF41BC" w:rsidRDefault="00730EF0">
      <w:pPr>
        <w:pStyle w:val="FootnoteText"/>
        <w:ind w:left="720"/>
        <w:rPr>
          <w:rFonts w:asciiTheme="minorHAnsi" w:hAnsiTheme="minorHAnsi" w:cstheme="minorHAnsi"/>
          <w:sz w:val="18"/>
          <w:szCs w:val="18"/>
        </w:rPr>
      </w:pPr>
      <w:r>
        <w:rPr>
          <w:rFonts w:asciiTheme="minorHAnsi" w:hAnsiTheme="minorHAnsi"/>
          <w:sz w:val="18"/>
          <w:szCs w:val="18"/>
        </w:rPr>
        <w:t xml:space="preserve">– nařízení (EU) 2017/1129 ze dne 14. června 2017 o prospektu, který má být uveřejněn při veřejné nabídce nebo přijetí cenných papírů k obchodování na regulovaném trhu, a o zrušení směrnice 2003/71/ES, čl. 29 odst. 3 – pravidla týkající se prospektů. </w:t>
      </w:r>
    </w:p>
    <w:p w:rsidR="00FF41BC" w:rsidRDefault="00FF41BC">
      <w:pPr>
        <w:pStyle w:val="FootnoteText"/>
      </w:pPr>
    </w:p>
    <w:p w:rsidR="00FF41BC" w:rsidRDefault="00FF41BC">
      <w:pPr>
        <w:pStyle w:val="FootnoteText"/>
      </w:pPr>
    </w:p>
  </w:footnote>
  <w:footnote w:id="22">
    <w:p w:rsidR="00FF41BC" w:rsidRDefault="00730EF0">
      <w:pPr>
        <w:pStyle w:val="FootnoteText"/>
      </w:pPr>
      <w:r>
        <w:rPr>
          <w:rStyle w:val="FootnoteReference"/>
        </w:rPr>
        <w:footnoteRef/>
      </w:r>
      <w:r>
        <w:t xml:space="preserve"> Výjimku tvoří Severní Irsko, které podle protokolu o Irsku a Severním Irsku zachová soulad s určitými pravidly Unie, aby na ostrově Irsko nedošlo k zavedení celních kontrol.</w:t>
      </w:r>
    </w:p>
  </w:footnote>
  <w:footnote w:id="23">
    <w:p w:rsidR="00FF41BC" w:rsidRDefault="00730EF0">
      <w:pPr>
        <w:pStyle w:val="FootnoteText"/>
      </w:pPr>
      <w:r>
        <w:rPr>
          <w:rStyle w:val="FootnoteReference"/>
        </w:rPr>
        <w:footnoteRef/>
      </w:r>
      <w:r>
        <w:t xml:space="preserve"> </w:t>
      </w:r>
      <w:r>
        <w:rPr>
          <w:rFonts w:asciiTheme="minorHAnsi" w:hAnsiTheme="minorHAnsi"/>
          <w:sz w:val="18"/>
        </w:rPr>
        <w:t>Na osoby spadající do oblasti působnosti části druhé dohody o vystoupení se však bude vztahovat uplatňování pravidel jednotného trhu EU v případě postupů pro uznávání, které budou probíhat k 31. prosinci 2020.</w:t>
      </w:r>
      <w:r>
        <w:rPr>
          <w:sz w:val="18"/>
        </w:rPr>
        <w:t xml:space="preserve"> </w:t>
      </w:r>
    </w:p>
  </w:footnote>
  <w:footnote w:id="24">
    <w:p w:rsidR="00FF41BC" w:rsidRDefault="00730EF0">
      <w:pPr>
        <w:pStyle w:val="FootnoteText"/>
      </w:pPr>
      <w:r>
        <w:rPr>
          <w:rStyle w:val="FootnoteReference"/>
        </w:rPr>
        <w:footnoteRef/>
      </w:r>
      <w:r>
        <w:t xml:space="preserve"> </w:t>
      </w:r>
      <w:r>
        <w:rPr>
          <w:rFonts w:asciiTheme="minorHAnsi" w:hAnsiTheme="minorHAnsi"/>
          <w:sz w:val="18"/>
          <w:szCs w:val="18"/>
        </w:rPr>
        <w:t>Uvedené se nevztahuje na elektrická propojovací vedení mezi Severním Irskem a Irskem vzhledem k tomu, že podle článku 9 dohody o vystoupení se Severní Irsko bude i nadále účastnit integrovaného jednotného trhu s elektřinou napříč celým ostrovem Irsko.</w:t>
      </w:r>
    </w:p>
  </w:footnote>
  <w:footnote w:id="25">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Tento oddíl (kontroly osob) se nevztahuje na cestování mezi Spojeným královstvím a Irskem vzhledem k tomu, že podle protokolu o Irsku a Severním Irsku mohou Spojené království a Irsko i nadále mezi sebou upravovat pohyb osob mezi svými územími („společný prostor cestování“), pokud práva fyzických osob udělená právem Unie zůstanou v plném rozsahu zachována.</w:t>
      </w:r>
    </w:p>
  </w:footnote>
  <w:footnote w:id="26">
    <w:p w:rsidR="00FF41BC" w:rsidRDefault="00730EF0">
      <w:pPr>
        <w:pStyle w:val="FootnoteText"/>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Občané Unie s výjimkou těch, kteří mají irské občanství, musí požádat o získání statusu usedlíka nebo předběžného statusu usedlíka podle systému Spojeného království týkajícího se usazení občanů EU (Union Settlement Scheme).</w:t>
      </w:r>
    </w:p>
  </w:footnote>
  <w:footnote w:id="27">
    <w:p w:rsidR="00FF41BC" w:rsidRDefault="00730EF0">
      <w:pPr>
        <w:pStyle w:val="FootnoteText"/>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Spojené království sice během přechodného období i nadále uplatňuje politiku Unie v oblasti spravedlnosti a vnitřních věcí, má však v této oblasti právo rozhodnout se pro neúčast a nikdy se nerozhodlo podílet se na všech nástrojích v oblasti justiční spolupráce v občanských a obchodních věcech.</w:t>
      </w:r>
    </w:p>
  </w:footnote>
  <w:footnote w:id="28">
    <w:p w:rsidR="00FF41BC" w:rsidRDefault="00730EF0">
      <w:pPr>
        <w:pStyle w:val="FootnoteText"/>
        <w:rPr>
          <w:sz w:val="18"/>
          <w:szCs w:val="18"/>
        </w:rPr>
      </w:pPr>
      <w:r>
        <w:rPr>
          <w:rStyle w:val="FootnoteReference"/>
          <w:sz w:val="18"/>
          <w:szCs w:val="18"/>
        </w:rPr>
        <w:footnoteRef/>
      </w:r>
      <w:r>
        <w:rPr>
          <w:sz w:val="18"/>
          <w:szCs w:val="18"/>
        </w:rPr>
        <w:t xml:space="preserve"> Rovněž je třeba poznamenat, že od 1. ledna 2021 již nebude k dispozici platforma EU pro řešení sporů on-line pro účely mimosoudního řešení sporů mezi spotřebiteli s bydlištěm v Evropské unii a obchodníky usazenými ve Spojeném království. </w:t>
      </w:r>
    </w:p>
  </w:footnote>
  <w:footnote w:id="29">
    <w:p w:rsidR="00FF41BC" w:rsidRDefault="00730EF0">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Stávající jednotná práva jsou ve Spojeném království zaručena podle článků 54 a 57 dohody o vystoupení tak, že jsou převedena na práva Spojeného království.</w:t>
      </w:r>
    </w:p>
  </w:footnote>
  <w:footnote w:id="30">
    <w:p w:rsidR="00FF41BC" w:rsidRDefault="00730EF0">
      <w:pPr>
        <w:pStyle w:val="FootnoteText"/>
        <w:spacing w:after="60"/>
        <w:jc w:val="both"/>
        <w:rPr>
          <w:rFonts w:asciiTheme="minorHAnsi" w:hAnsiTheme="minorHAnsi" w:cstheme="minorHAnsi"/>
          <w:sz w:val="18"/>
          <w:szCs w:val="18"/>
        </w:rPr>
      </w:pPr>
      <w:r>
        <w:rPr>
          <w:rStyle w:val="FootnoteReference"/>
          <w:rFonts w:ascii="Calibri" w:hAnsi="Calibri" w:cs="Calibri"/>
          <w:sz w:val="18"/>
          <w:szCs w:val="18"/>
        </w:rPr>
        <w:footnoteRef/>
      </w:r>
      <w:r>
        <w:rPr>
          <w:rFonts w:ascii="Calibri" w:hAnsi="Calibri"/>
          <w:sz w:val="18"/>
          <w:szCs w:val="18"/>
        </w:rPr>
        <w:t xml:space="preserve"> Nařízení (EU) 2016/679,</w:t>
      </w:r>
      <w:r>
        <w:t xml:space="preserve"> </w:t>
      </w:r>
      <w:hyperlink r:id="rId2" w:history="1">
        <w:r>
          <w:rPr>
            <w:rStyle w:val="Hyperlink"/>
            <w:rFonts w:asciiTheme="minorHAnsi" w:hAnsiTheme="minorHAnsi"/>
            <w:sz w:val="18"/>
            <w:szCs w:val="18"/>
          </w:rPr>
          <w:t>https://eur-lex.europa.eu/legal-content/CS/TXT/?qid=1594051658864&amp;uri=CELEX:32016R0679</w:t>
        </w:r>
      </w:hyperlink>
      <w:r>
        <w:t>.</w:t>
      </w:r>
    </w:p>
  </w:footnote>
  <w:footnote w:id="31">
    <w:p w:rsidR="00FF41BC" w:rsidRDefault="00730EF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Směrnice (EU) 2016/680, </w:t>
      </w:r>
      <w:hyperlink r:id="rId3" w:history="1">
        <w:r>
          <w:rPr>
            <w:rStyle w:val="Hyperlink"/>
            <w:rFonts w:asciiTheme="minorHAnsi" w:hAnsiTheme="minorHAnsi"/>
            <w:sz w:val="18"/>
            <w:szCs w:val="18"/>
          </w:rPr>
          <w:t>https://eur-lex.europa.eu/legal-content/CS/TXT/?uri=CELEX%3A32016L0680</w:t>
        </w:r>
      </w:hyperlink>
      <w:r>
        <w:t>.</w:t>
      </w:r>
      <w:r>
        <w:rPr>
          <w:rFonts w:asciiTheme="minorHAnsi" w:hAnsiTheme="minorHAnsi"/>
          <w:sz w:val="18"/>
          <w:szCs w:val="18"/>
        </w:rPr>
        <w:t xml:space="preserve"> </w:t>
      </w:r>
    </w:p>
  </w:footnote>
  <w:footnote w:id="32">
    <w:p w:rsidR="00FF41BC" w:rsidRDefault="00730EF0">
      <w:pPr>
        <w:pStyle w:val="FootnoteText"/>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Viz část I.I.B „Ochrana údajů“ revidovaného znění politického prohlášení, v němž se stanoví rámec budoucích vztahů mezi Evropskou unií a Spojeným královstvím, schváleného na úrovni vyjednavačů dne 17. října 2019 (Úř. věst. C 34, 31.1.2020, s. 1).</w:t>
      </w:r>
    </w:p>
  </w:footnote>
  <w:footnote w:id="33">
    <w:p w:rsidR="00FF41BC" w:rsidRDefault="00730EF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Stažená doménová jména dále nebudou fungovat. Nemohou již nadále podporovat žádnou aktivní službu, jako jsou například webové stránky nebo e-maily.</w:t>
      </w:r>
    </w:p>
  </w:footnote>
  <w:footnote w:id="34">
    <w:p w:rsidR="00FF41BC" w:rsidRDefault="00730EF0">
      <w:pPr>
        <w:pStyle w:val="FootnoteText"/>
        <w:spacing w:after="60"/>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w:t>
      </w:r>
      <w:hyperlink r:id="rId4" w:history="1">
        <w:r>
          <w:rPr>
            <w:rStyle w:val="Hyperlink"/>
            <w:rFonts w:asciiTheme="minorHAnsi" w:hAnsiTheme="minorHAnsi"/>
            <w:sz w:val="18"/>
            <w:szCs w:val="18"/>
          </w:rPr>
          <w:t>https://ec.europa.eu/info/sites/info/files/model-note-verbale-international-partners_en.pdf</w:t>
        </w:r>
      </w:hyperlink>
      <w:r>
        <w:rPr>
          <w:rFonts w:asciiTheme="minorHAnsi" w:hAnsiTheme="minorHAnsi"/>
          <w:sz w:val="18"/>
          <w:szCs w:val="18"/>
        </w:rPr>
        <w:t xml:space="preserve"> </w:t>
      </w:r>
    </w:p>
  </w:footnote>
  <w:footnote w:id="35">
    <w:p w:rsidR="00FF41BC" w:rsidRDefault="00730EF0">
      <w:pPr>
        <w:pStyle w:val="FootnoteText"/>
      </w:pPr>
      <w:r>
        <w:rPr>
          <w:rStyle w:val="FootnoteReference"/>
        </w:rPr>
        <w:footnoteRef/>
      </w:r>
      <w:r>
        <w:t xml:space="preserve"> Spojené království zveřejnilo informace o svém novém souhrnném celním sazebníku pro Spojené království (UK Global Tariff), který by se od 1. ledna 2021 vztahoval i na zboží EU v případě, že by nedošlo k uzavření dohody o budoucích vztazích mezi EU a Spojeným královstvím. </w:t>
      </w:r>
      <w:hyperlink r:id="rId5" w:history="1">
        <w:r>
          <w:rPr>
            <w:rStyle w:val="Hyperlink"/>
          </w:rPr>
          <w:t>https://www.gov.uk/guidance/uk-tariffs-from-1-january-2021</w:t>
        </w:r>
      </w:hyperlink>
      <w:r>
        <w:t>.</w:t>
      </w:r>
    </w:p>
    <w:p w:rsidR="00FF41BC" w:rsidRDefault="00FF41BC">
      <w:pPr>
        <w:pStyle w:val="FootnoteText"/>
      </w:pPr>
    </w:p>
  </w:footnote>
  <w:footnote w:id="36">
    <w:p w:rsidR="00FF41BC" w:rsidRDefault="00730EF0">
      <w:pPr>
        <w:pStyle w:val="FootnoteText"/>
        <w:rPr>
          <w:rFonts w:asciiTheme="minorHAnsi" w:hAnsiTheme="minorHAnsi" w:cstheme="minorHAnsi"/>
          <w:sz w:val="18"/>
        </w:rPr>
      </w:pPr>
      <w:r>
        <w:rPr>
          <w:rStyle w:val="FootnoteReference"/>
          <w:sz w:val="18"/>
        </w:rPr>
        <w:footnoteRef/>
      </w:r>
      <w:r>
        <w:rPr>
          <w:sz w:val="18"/>
        </w:rPr>
        <w:t xml:space="preserve"> </w:t>
      </w:r>
      <w:r>
        <w:rPr>
          <w:rFonts w:asciiTheme="minorHAnsi" w:hAnsiTheme="minorHAnsi"/>
          <w:sz w:val="18"/>
        </w:rPr>
        <w:t>Podrobné informace viz pokyny Komise (2020/C 173/01) k části II dohody o vystoupení</w:t>
      </w:r>
    </w:p>
    <w:p w:rsidR="00FF41BC" w:rsidRDefault="003A51CD">
      <w:pPr>
        <w:pStyle w:val="FootnoteText"/>
        <w:rPr>
          <w:sz w:val="18"/>
        </w:rPr>
      </w:pPr>
      <w:hyperlink r:id="rId6" w:history="1">
        <w:r w:rsidR="00730EF0">
          <w:rPr>
            <w:rStyle w:val="Hyperlink"/>
            <w:rFonts w:asciiTheme="minorHAnsi" w:hAnsiTheme="minorHAnsi"/>
            <w:sz w:val="18"/>
          </w:rPr>
          <w:t>https://eur-lex.europa.eu/legal-content/CS/TXT/PDF/?uri=CELEX:52020XC0520(05)&amp;from=CS</w:t>
        </w:r>
      </w:hyperlink>
      <w:r w:rsidR="00730EF0">
        <w:t>.</w:t>
      </w:r>
      <w:r w:rsidR="00730EF0">
        <w:rPr>
          <w:rFonts w:asciiTheme="minorHAnsi" w:hAnsiTheme="minorHAnsi"/>
          <w:sz w:val="18"/>
        </w:rPr>
        <w:t xml:space="preserve"> </w:t>
      </w:r>
    </w:p>
    <w:p w:rsidR="00FF41BC" w:rsidRDefault="00FF41BC">
      <w:pPr>
        <w:pStyle w:val="FootnoteText"/>
      </w:pPr>
    </w:p>
  </w:footnote>
  <w:footnote w:id="37">
    <w:p w:rsidR="00FF41BC" w:rsidRDefault="00730EF0">
      <w:pPr>
        <w:pStyle w:val="FootnoteText"/>
        <w:jc w:val="both"/>
      </w:pPr>
      <w:r>
        <w:rPr>
          <w:rStyle w:val="FootnoteReference"/>
        </w:rPr>
        <w:footnoteRef/>
      </w:r>
      <w:r>
        <w:t xml:space="preserve"> </w:t>
      </w:r>
      <w:r>
        <w:rPr>
          <w:rFonts w:asciiTheme="minorHAnsi" w:hAnsiTheme="minorHAnsi"/>
          <w:sz w:val="18"/>
        </w:rPr>
        <w:t>Článek 138 dohody o vystoupení stanoví, že pokud jde o provádění programů a činností Unie schválených na základě víceletého finančního rámce 2014–2020 nebo předchozích finančních výhledů, ve vztahu ke Spojenému království se po dni 31. prosince 2020 až do ukončení uvedených programů a činností Unie bude i nadále uplatňovat použitelné právo Unie. Účast Spojeného království v budoucích programech je závislá na nové dohodě o partnerství, pokud program výjimečně neumožňuje účast třetích zemí a jejich subjektů bez nutnosti dohody.</w:t>
      </w:r>
      <w:r>
        <w:t xml:space="preserve"> </w:t>
      </w:r>
    </w:p>
  </w:footnote>
  <w:footnote w:id="38">
    <w:p w:rsidR="00FF41BC" w:rsidRDefault="00730EF0">
      <w:pPr>
        <w:pStyle w:val="FootnoteText"/>
        <w:spacing w:after="60"/>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w:t>
      </w:r>
      <w:hyperlink r:id="rId7" w:history="1">
        <w:r>
          <w:rPr>
            <w:rStyle w:val="Hyperlink"/>
            <w:rFonts w:ascii="Calibri" w:hAnsi="Calibri"/>
            <w:sz w:val="18"/>
            <w:szCs w:val="18"/>
          </w:rPr>
          <w:t>https://www.consilium.europa.eu/media/42736/st05870-ad01re03-en20.pdf</w:t>
        </w:r>
      </w:hyperlink>
      <w:r>
        <w:t>.</w:t>
      </w:r>
    </w:p>
  </w:footnote>
  <w:footnote w:id="39">
    <w:p w:rsidR="00FF41BC" w:rsidRDefault="00730EF0">
      <w:pPr>
        <w:pStyle w:val="FootnoteText"/>
        <w:spacing w:after="60"/>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Návrh dohody o novém partnerství Evropské unie a Spojeného království, uveřejněný dne 17. března 2020: </w:t>
      </w:r>
      <w:hyperlink r:id="rId8" w:history="1">
        <w:r>
          <w:rPr>
            <w:rStyle w:val="Hyperlink"/>
            <w:rFonts w:ascii="Calibri" w:hAnsi="Calibri"/>
            <w:sz w:val="18"/>
            <w:szCs w:val="18"/>
          </w:rPr>
          <w:t>https://ec.europa.eu/info/publications/draft-text-agreement-new-partnership-united-kingdom_en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A2" w:rsidRPr="004761A2" w:rsidRDefault="004761A2" w:rsidP="00476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A2" w:rsidRPr="004761A2" w:rsidRDefault="004761A2" w:rsidP="004761A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A2" w:rsidRPr="004761A2" w:rsidRDefault="004761A2" w:rsidP="004761A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C" w:rsidRDefault="00FF41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C" w:rsidRDefault="00FF41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C" w:rsidRDefault="00FF4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D0A"/>
    <w:multiLevelType w:val="hybridMultilevel"/>
    <w:tmpl w:val="BC28EDB6"/>
    <w:lvl w:ilvl="0" w:tplc="F5B25DF4">
      <w:numFmt w:val="bullet"/>
      <w:lvlText w:val="-"/>
      <w:lvlJc w:val="left"/>
      <w:pPr>
        <w:ind w:left="360" w:hanging="360"/>
      </w:pPr>
      <w:rPr>
        <w:rFonts w:ascii="EC Square Sans Pro" w:eastAsiaTheme="minorHAnsi" w:hAnsi="EC Square Sans Pro"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E5F72"/>
    <w:multiLevelType w:val="hybridMultilevel"/>
    <w:tmpl w:val="C506343E"/>
    <w:lvl w:ilvl="0" w:tplc="E5E28B5E">
      <w:start w:val="1"/>
      <w:numFmt w:val="upperLetter"/>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5622A"/>
    <w:multiLevelType w:val="hybridMultilevel"/>
    <w:tmpl w:val="85CA2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D73A9"/>
    <w:multiLevelType w:val="hybridMultilevel"/>
    <w:tmpl w:val="B2BC6994"/>
    <w:lvl w:ilvl="0" w:tplc="EF2ACDB8">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6C53011"/>
    <w:multiLevelType w:val="hybridMultilevel"/>
    <w:tmpl w:val="773A6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E4152"/>
    <w:multiLevelType w:val="hybridMultilevel"/>
    <w:tmpl w:val="35F42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757F12"/>
    <w:multiLevelType w:val="hybridMultilevel"/>
    <w:tmpl w:val="76507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F55BC6"/>
    <w:multiLevelType w:val="multilevel"/>
    <w:tmpl w:val="FA7E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46898"/>
    <w:multiLevelType w:val="hybridMultilevel"/>
    <w:tmpl w:val="C8E4723A"/>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33B45"/>
    <w:multiLevelType w:val="hybridMultilevel"/>
    <w:tmpl w:val="F53A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F641D"/>
    <w:multiLevelType w:val="hybridMultilevel"/>
    <w:tmpl w:val="FE5E24B0"/>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8D2FB7"/>
    <w:multiLevelType w:val="multilevel"/>
    <w:tmpl w:val="8F3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47414"/>
    <w:multiLevelType w:val="multilevel"/>
    <w:tmpl w:val="F54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64272D"/>
    <w:multiLevelType w:val="hybridMultilevel"/>
    <w:tmpl w:val="2E605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3B2E56"/>
    <w:multiLevelType w:val="hybridMultilevel"/>
    <w:tmpl w:val="C70A4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557027"/>
    <w:multiLevelType w:val="hybridMultilevel"/>
    <w:tmpl w:val="BAC0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E4179D"/>
    <w:multiLevelType w:val="hybridMultilevel"/>
    <w:tmpl w:val="3C04EF5C"/>
    <w:lvl w:ilvl="0" w:tplc="08090001">
      <w:start w:val="1"/>
      <w:numFmt w:val="bullet"/>
      <w:lvlText w:val=""/>
      <w:lvlJc w:val="left"/>
      <w:pPr>
        <w:ind w:left="720" w:hanging="360"/>
      </w:pPr>
      <w:rPr>
        <w:rFonts w:ascii="Symbol" w:hAnsi="Symbol" w:hint="default"/>
      </w:rPr>
    </w:lvl>
    <w:lvl w:ilvl="1" w:tplc="3DBE20F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56AF1"/>
    <w:multiLevelType w:val="hybridMultilevel"/>
    <w:tmpl w:val="D17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D0D29"/>
    <w:multiLevelType w:val="multilevel"/>
    <w:tmpl w:val="1D46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CE63BF"/>
    <w:multiLevelType w:val="hybridMultilevel"/>
    <w:tmpl w:val="A30E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C6749C"/>
    <w:multiLevelType w:val="hybridMultilevel"/>
    <w:tmpl w:val="B6240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F8708A"/>
    <w:multiLevelType w:val="hybridMultilevel"/>
    <w:tmpl w:val="93FE0EBC"/>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E532BC"/>
    <w:multiLevelType w:val="hybridMultilevel"/>
    <w:tmpl w:val="490CC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D47BF8"/>
    <w:multiLevelType w:val="multilevel"/>
    <w:tmpl w:val="36D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D63A29"/>
    <w:multiLevelType w:val="hybridMultilevel"/>
    <w:tmpl w:val="F3907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1178FD"/>
    <w:multiLevelType w:val="hybridMultilevel"/>
    <w:tmpl w:val="CF0A693E"/>
    <w:lvl w:ilvl="0" w:tplc="F5B25DF4">
      <w:numFmt w:val="bullet"/>
      <w:lvlText w:val="-"/>
      <w:lvlJc w:val="left"/>
      <w:pPr>
        <w:ind w:left="360" w:hanging="360"/>
      </w:pPr>
      <w:rPr>
        <w:rFonts w:ascii="EC Square Sans Pro" w:eastAsiaTheme="minorHAnsi" w:hAnsi="EC Square Sans Pro" w:cstheme="minorBidi"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C421B7"/>
    <w:multiLevelType w:val="hybridMultilevel"/>
    <w:tmpl w:val="2332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87B59"/>
    <w:multiLevelType w:val="hybridMultilevel"/>
    <w:tmpl w:val="A9CC7964"/>
    <w:lvl w:ilvl="0" w:tplc="23745CDA">
      <w:start w:val="1"/>
      <w:numFmt w:val="upperLetter"/>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004D70"/>
    <w:multiLevelType w:val="hybridMultilevel"/>
    <w:tmpl w:val="B016BCA0"/>
    <w:lvl w:ilvl="0" w:tplc="DDB042C6">
      <w:start w:val="1"/>
      <w:numFmt w:val="upperRoman"/>
      <w:pStyle w:val="Heading1"/>
      <w:lvlText w:val="%1."/>
      <w:lvlJc w:val="left"/>
      <w:pPr>
        <w:ind w:left="720" w:hanging="360"/>
      </w:pPr>
      <w:rPr>
        <w:rFonts w:hint="default"/>
        <w:lang w:val="fr-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6202B4"/>
    <w:multiLevelType w:val="hybridMultilevel"/>
    <w:tmpl w:val="D7683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3417E5"/>
    <w:multiLevelType w:val="hybridMultilevel"/>
    <w:tmpl w:val="B28C4EEA"/>
    <w:lvl w:ilvl="0" w:tplc="0CC06D64">
      <w:numFmt w:val="bullet"/>
      <w:lvlText w:val="•"/>
      <w:lvlJc w:val="left"/>
      <w:pPr>
        <w:ind w:left="2121" w:hanging="705"/>
      </w:pPr>
      <w:rPr>
        <w:rFonts w:ascii="Calibri" w:eastAsia="Calibri" w:hAnsi="Calibri" w:cs="Calibri" w:hint="default"/>
      </w:rPr>
    </w:lvl>
    <w:lvl w:ilvl="1" w:tplc="080C0003">
      <w:start w:val="1"/>
      <w:numFmt w:val="bullet"/>
      <w:lvlText w:val="o"/>
      <w:lvlJc w:val="left"/>
      <w:pPr>
        <w:ind w:left="1442" w:hanging="360"/>
      </w:pPr>
      <w:rPr>
        <w:rFonts w:ascii="Courier New" w:hAnsi="Courier New" w:cs="Courier New" w:hint="default"/>
      </w:rPr>
    </w:lvl>
    <w:lvl w:ilvl="2" w:tplc="080C0005">
      <w:start w:val="1"/>
      <w:numFmt w:val="bullet"/>
      <w:lvlText w:val=""/>
      <w:lvlJc w:val="left"/>
      <w:pPr>
        <w:ind w:left="2162" w:hanging="360"/>
      </w:pPr>
      <w:rPr>
        <w:rFonts w:ascii="Wingdings" w:hAnsi="Wingdings" w:hint="default"/>
      </w:rPr>
    </w:lvl>
    <w:lvl w:ilvl="3" w:tplc="080C0001">
      <w:start w:val="1"/>
      <w:numFmt w:val="bullet"/>
      <w:lvlText w:val=""/>
      <w:lvlJc w:val="left"/>
      <w:pPr>
        <w:ind w:left="2882" w:hanging="360"/>
      </w:pPr>
      <w:rPr>
        <w:rFonts w:ascii="Symbol" w:hAnsi="Symbol" w:hint="default"/>
      </w:rPr>
    </w:lvl>
    <w:lvl w:ilvl="4" w:tplc="080C0003">
      <w:start w:val="1"/>
      <w:numFmt w:val="bullet"/>
      <w:lvlText w:val="o"/>
      <w:lvlJc w:val="left"/>
      <w:pPr>
        <w:ind w:left="3602" w:hanging="360"/>
      </w:pPr>
      <w:rPr>
        <w:rFonts w:ascii="Courier New" w:hAnsi="Courier New" w:cs="Courier New" w:hint="default"/>
      </w:rPr>
    </w:lvl>
    <w:lvl w:ilvl="5" w:tplc="080C0005">
      <w:start w:val="1"/>
      <w:numFmt w:val="bullet"/>
      <w:lvlText w:val=""/>
      <w:lvlJc w:val="left"/>
      <w:pPr>
        <w:ind w:left="4322" w:hanging="360"/>
      </w:pPr>
      <w:rPr>
        <w:rFonts w:ascii="Wingdings" w:hAnsi="Wingdings" w:hint="default"/>
      </w:rPr>
    </w:lvl>
    <w:lvl w:ilvl="6" w:tplc="080C0001">
      <w:start w:val="1"/>
      <w:numFmt w:val="bullet"/>
      <w:lvlText w:val=""/>
      <w:lvlJc w:val="left"/>
      <w:pPr>
        <w:ind w:left="5042" w:hanging="360"/>
      </w:pPr>
      <w:rPr>
        <w:rFonts w:ascii="Symbol" w:hAnsi="Symbol" w:hint="default"/>
      </w:rPr>
    </w:lvl>
    <w:lvl w:ilvl="7" w:tplc="080C0003">
      <w:start w:val="1"/>
      <w:numFmt w:val="bullet"/>
      <w:lvlText w:val="o"/>
      <w:lvlJc w:val="left"/>
      <w:pPr>
        <w:ind w:left="5762" w:hanging="360"/>
      </w:pPr>
      <w:rPr>
        <w:rFonts w:ascii="Courier New" w:hAnsi="Courier New" w:cs="Courier New" w:hint="default"/>
      </w:rPr>
    </w:lvl>
    <w:lvl w:ilvl="8" w:tplc="080C0005">
      <w:start w:val="1"/>
      <w:numFmt w:val="bullet"/>
      <w:lvlText w:val=""/>
      <w:lvlJc w:val="left"/>
      <w:pPr>
        <w:ind w:left="6482" w:hanging="360"/>
      </w:pPr>
      <w:rPr>
        <w:rFonts w:ascii="Wingdings" w:hAnsi="Wingdings" w:hint="default"/>
      </w:rPr>
    </w:lvl>
  </w:abstractNum>
  <w:abstractNum w:abstractNumId="31" w15:restartNumberingAfterBreak="0">
    <w:nsid w:val="729921B2"/>
    <w:multiLevelType w:val="hybridMultilevel"/>
    <w:tmpl w:val="A6C0B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210546"/>
    <w:multiLevelType w:val="hybridMultilevel"/>
    <w:tmpl w:val="F170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1212B"/>
    <w:multiLevelType w:val="hybridMultilevel"/>
    <w:tmpl w:val="E84C4CA6"/>
    <w:lvl w:ilvl="0" w:tplc="01AEBBD6">
      <w:start w:val="1"/>
      <w:numFmt w:val="decimal"/>
      <w:lvlText w:val="%1."/>
      <w:lvlJc w:val="left"/>
      <w:pPr>
        <w:ind w:left="720" w:hanging="360"/>
      </w:pPr>
      <w:rPr>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68039E"/>
    <w:multiLevelType w:val="hybridMultilevel"/>
    <w:tmpl w:val="E73EE4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0D1348"/>
    <w:multiLevelType w:val="hybridMultilevel"/>
    <w:tmpl w:val="9346731A"/>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8698A"/>
    <w:multiLevelType w:val="hybridMultilevel"/>
    <w:tmpl w:val="3876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41466"/>
    <w:multiLevelType w:val="hybridMultilevel"/>
    <w:tmpl w:val="9B36FCCE"/>
    <w:lvl w:ilvl="0" w:tplc="F5B25DF4">
      <w:numFmt w:val="bullet"/>
      <w:lvlText w:val="-"/>
      <w:lvlJc w:val="left"/>
      <w:pPr>
        <w:ind w:left="360" w:hanging="360"/>
      </w:pPr>
      <w:rPr>
        <w:rFonts w:ascii="EC Square Sans Pro" w:eastAsiaTheme="minorHAnsi" w:hAnsi="EC Squar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21"/>
  </w:num>
  <w:num w:numId="5">
    <w:abstractNumId w:val="11"/>
  </w:num>
  <w:num w:numId="6">
    <w:abstractNumId w:val="35"/>
  </w:num>
  <w:num w:numId="7">
    <w:abstractNumId w:val="28"/>
  </w:num>
  <w:num w:numId="8">
    <w:abstractNumId w:val="1"/>
  </w:num>
  <w:num w:numId="9">
    <w:abstractNumId w:val="7"/>
  </w:num>
  <w:num w:numId="10">
    <w:abstractNumId w:val="23"/>
  </w:num>
  <w:num w:numId="11">
    <w:abstractNumId w:val="12"/>
  </w:num>
  <w:num w:numId="12">
    <w:abstractNumId w:val="18"/>
  </w:num>
  <w:num w:numId="13">
    <w:abstractNumId w:val="27"/>
  </w:num>
  <w:num w:numId="14">
    <w:abstractNumId w:val="3"/>
  </w:num>
  <w:num w:numId="15">
    <w:abstractNumId w:val="25"/>
  </w:num>
  <w:num w:numId="16">
    <w:abstractNumId w:val="3"/>
  </w:num>
  <w:num w:numId="17">
    <w:abstractNumId w:val="31"/>
  </w:num>
  <w:num w:numId="18">
    <w:abstractNumId w:val="20"/>
  </w:num>
  <w:num w:numId="19">
    <w:abstractNumId w:val="29"/>
  </w:num>
  <w:num w:numId="20">
    <w:abstractNumId w:val="5"/>
  </w:num>
  <w:num w:numId="21">
    <w:abstractNumId w:val="14"/>
  </w:num>
  <w:num w:numId="22">
    <w:abstractNumId w:val="15"/>
  </w:num>
  <w:num w:numId="23">
    <w:abstractNumId w:val="37"/>
  </w:num>
  <w:num w:numId="24">
    <w:abstractNumId w:val="4"/>
  </w:num>
  <w:num w:numId="25">
    <w:abstractNumId w:val="16"/>
  </w:num>
  <w:num w:numId="26">
    <w:abstractNumId w:val="13"/>
  </w:num>
  <w:num w:numId="27">
    <w:abstractNumId w:val="30"/>
  </w:num>
  <w:num w:numId="28">
    <w:abstractNumId w:val="9"/>
  </w:num>
  <w:num w:numId="29">
    <w:abstractNumId w:val="0"/>
  </w:num>
  <w:num w:numId="30">
    <w:abstractNumId w:val="36"/>
  </w:num>
  <w:num w:numId="31">
    <w:abstractNumId w:val="34"/>
  </w:num>
  <w:num w:numId="32">
    <w:abstractNumId w:val="19"/>
  </w:num>
  <w:num w:numId="33">
    <w:abstractNumId w:val="27"/>
    <w:lvlOverride w:ilvl="0">
      <w:startOverride w:val="1"/>
    </w:lvlOverride>
  </w:num>
  <w:num w:numId="34">
    <w:abstractNumId w:val="33"/>
  </w:num>
  <w:num w:numId="35">
    <w:abstractNumId w:val="17"/>
  </w:num>
  <w:num w:numId="36">
    <w:abstractNumId w:val="27"/>
  </w:num>
  <w:num w:numId="37">
    <w:abstractNumId w:val="6"/>
  </w:num>
  <w:num w:numId="38">
    <w:abstractNumId w:val="27"/>
    <w:lvlOverride w:ilvl="0">
      <w:startOverride w:val="1"/>
    </w:lvlOverride>
  </w:num>
  <w:num w:numId="39">
    <w:abstractNumId w:val="26"/>
  </w:num>
  <w:num w:numId="40">
    <w:abstractNumId w:val="32"/>
  </w:num>
  <w:num w:numId="41">
    <w:abstractNumId w:val="27"/>
  </w:num>
  <w:num w:numId="42">
    <w:abstractNumId w:val="10"/>
  </w:num>
  <w:num w:numId="43">
    <w:abstractNumId w:val="34"/>
  </w:num>
  <w:num w:numId="44">
    <w:abstractNumId w:val="2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CORRIGENDUM_x000b_This document corrects document COM(2020) 324 final of 9.7.2020._x000b_Corrections in points I. (para 9), II. (para 1 and 2), II.A (para 1), II.A.1 (para 5), II.B.2 (box), II.B.4 (para 3 and box)._x000b_The text shall read as follows:"/>
    <w:docVar w:name="LW_COVERPAGE_EXISTS" w:val="True"/>
    <w:docVar w:name="LW_COVERPAGE_GUID" w:val="3C10680A-BDAB-407C-9FFB-4221CF1DC129"/>
    <w:docVar w:name="LW_COVERPAGE_TYPE" w:val="1"/>
    <w:docVar w:name="LW_CROSSREFERENCE" w:val="&lt;UNUSED&gt;"/>
    <w:docVar w:name="LW_DocType" w:val="NORMAL"/>
    <w:docVar w:name="LW_EMISSION" w:val="7.9.2020"/>
    <w:docVar w:name="LW_EMISSION_ISODATE" w:val="2020-09-07"/>
    <w:docVar w:name="LW_EMISSION_LOCATION" w:val="BRX"/>
    <w:docVar w:name="LW_EMISSION_PREFIX" w:val="V Bruselu dne "/>
    <w:docVar w:name="LW_EMISSION_SUFFIX" w:val=" "/>
    <w:docVar w:name="LW_ID_DOCTYPE_NONLW" w:val="CP-014"/>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2"/>
    <w:docVar w:name="LW_REF.INST.NEW_TEXT" w:val="(2020) 324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u345?íprava na zm\u283?ny_x000d__x000d__x000d__x000d__x000d__x000d__x000d__x000b_Sd\u283?lení o p\u345?ipravenosti na konci p\u345?echodného období _x000d__x000d__x000d__x000d__x000d__x000b_mezi Evropskou unií a Spojeným královstvím"/>
    <w:docVar w:name="LW_TYPE.DOC.CP" w:val="SD\u282?LENÍ KOMISE EVROPSKÉMU PARLAMENTU, RAD\u282?, EVROPSKÉMU HOSPODÁ\u344?SKÉMU A SOCIÁLNÍMU VÝBORU A VÝBORU REGION\u366?"/>
    <w:docVar w:name="LW_TYPE.DOC.CP.USERTEXT" w:val="&lt;EMPTY&gt;"/>
  </w:docVars>
  <w:rsids>
    <w:rsidRoot w:val="00FF41BC"/>
    <w:rsid w:val="003A51CD"/>
    <w:rsid w:val="004761A2"/>
    <w:rsid w:val="00730EF0"/>
    <w:rsid w:val="00BE76A1"/>
    <w:rsid w:val="00DE5028"/>
    <w:rsid w:val="00FF41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5481029-F471-4D8B-ADCC-FC527386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EC Square Sans Pro" w:hAnsi="EC Square Sans Pro" w:cstheme="minorBidi"/>
      <w:color w:val="auto"/>
    </w:rPr>
  </w:style>
  <w:style w:type="paragraph" w:styleId="Heading1">
    <w:name w:val="heading 1"/>
    <w:basedOn w:val="Normal"/>
    <w:next w:val="Normal"/>
    <w:link w:val="Heading1Char"/>
    <w:uiPriority w:val="9"/>
    <w:pPr>
      <w:keepNext/>
      <w:keepLines/>
      <w:numPr>
        <w:numId w:val="7"/>
      </w:numPr>
      <w:spacing w:before="240" w:after="240"/>
      <w:ind w:left="357" w:hanging="357"/>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pPr>
      <w:keepNext/>
      <w:keepLines/>
      <w:numPr>
        <w:numId w:val="36"/>
      </w:numPr>
      <w:spacing w:before="240" w:after="120"/>
      <w:outlineLvl w:val="1"/>
    </w:pPr>
    <w:rPr>
      <w:rFonts w:asciiTheme="minorHAnsi" w:eastAsiaTheme="majorEastAsia" w:hAnsiTheme="minorHAnsi" w:cstheme="majorBidi"/>
      <w:b/>
      <w:sz w:val="28"/>
      <w:szCs w:val="26"/>
    </w:rPr>
  </w:style>
  <w:style w:type="paragraph" w:styleId="Heading3">
    <w:name w:val="heading 3"/>
    <w:basedOn w:val="Normal"/>
    <w:next w:val="Normal"/>
    <w:link w:val="Heading3Char"/>
    <w:uiPriority w:val="9"/>
    <w:unhideWhenUsed/>
    <w:pPr>
      <w:keepNext/>
      <w:keepLines/>
      <w:spacing w:before="360" w:after="180" w:line="240" w:lineRule="auto"/>
      <w:outlineLvl w:val="2"/>
    </w:pPr>
    <w:rPr>
      <w:rFonts w:asciiTheme="minorHAnsi" w:eastAsiaTheme="majorEastAsia" w:hAnsiTheme="minorHAnsi" w:cstheme="majorBidi"/>
      <w:b/>
      <w:sz w:val="24"/>
      <w:szCs w:val="24"/>
    </w:rPr>
  </w:style>
  <w:style w:type="paragraph" w:styleId="Heading4">
    <w:name w:val="heading 4"/>
    <w:basedOn w:val="Normal"/>
    <w:next w:val="Normal"/>
    <w:link w:val="Heading4Char"/>
    <w:uiPriority w:val="9"/>
    <w:unhideWhenUsed/>
    <w:pPr>
      <w:keepNext/>
      <w:keepLines/>
      <w:spacing w:before="240" w:after="120"/>
      <w:outlineLvl w:val="3"/>
    </w:pPr>
    <w:rPr>
      <w:rFonts w:asciiTheme="minorHAnsi" w:eastAsiaTheme="majorEastAsia" w:hAnsiTheme="minorHAnsi" w:cstheme="minorHAns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SCHeader">
    <w:name w:val="EPSC Header"/>
    <w:basedOn w:val="Normal"/>
    <w:link w:val="EPSCHeaderChar"/>
    <w:qFormat/>
    <w:pPr>
      <w:pBdr>
        <w:bottom w:val="single" w:sz="4" w:space="1" w:color="auto"/>
      </w:pBdr>
      <w:spacing w:before="360" w:after="240"/>
    </w:pPr>
    <w:rPr>
      <w:b/>
      <w:color w:val="1F497D" w:themeColor="text2"/>
      <w:sz w:val="28"/>
    </w:rPr>
  </w:style>
  <w:style w:type="character" w:customStyle="1" w:styleId="EPSCHeaderChar">
    <w:name w:val="EPSC Header Char"/>
    <w:basedOn w:val="DefaultParagraphFont"/>
    <w:link w:val="EPSCHeader"/>
    <w:rPr>
      <w:rFonts w:ascii="EC Square Sans Pro" w:hAnsi="EC Square Sans Pro"/>
      <w:b/>
      <w:color w:val="1F497D" w:themeColor="text2"/>
      <w:sz w:val="28"/>
    </w:rPr>
  </w:style>
  <w:style w:type="paragraph" w:customStyle="1" w:styleId="Figure">
    <w:name w:val="Figure"/>
    <w:basedOn w:val="Normal"/>
    <w:link w:val="FigureChar"/>
    <w:qFormat/>
    <w:rPr>
      <w:b/>
      <w:color w:val="4F81BD" w:themeColor="accent1"/>
      <w:sz w:val="24"/>
    </w:rPr>
  </w:style>
  <w:style w:type="character" w:customStyle="1" w:styleId="FigureChar">
    <w:name w:val="Figure Char"/>
    <w:basedOn w:val="DefaultParagraphFont"/>
    <w:link w:val="Figure"/>
    <w:rPr>
      <w:rFonts w:ascii="EC Square Sans Pro" w:hAnsi="EC Square Sans Pro"/>
      <w:b/>
      <w:color w:val="4F81BD" w:themeColor="accent1"/>
      <w:sz w:val="24"/>
    </w:rPr>
  </w:style>
  <w:style w:type="paragraph" w:customStyle="1" w:styleId="Figuresubtext">
    <w:name w:val="Figure subtext"/>
    <w:basedOn w:val="Normal"/>
    <w:link w:val="FiguresubtextChar"/>
    <w:qFormat/>
    <w:pPr>
      <w:spacing w:after="240"/>
    </w:pPr>
    <w:rPr>
      <w:color w:val="404040" w:themeColor="text1" w:themeTint="BF"/>
      <w:sz w:val="20"/>
    </w:rPr>
  </w:style>
  <w:style w:type="character" w:customStyle="1" w:styleId="FiguresubtextChar">
    <w:name w:val="Figure subtext Char"/>
    <w:basedOn w:val="DefaultParagraphFont"/>
    <w:link w:val="Figuresubtext"/>
    <w:rPr>
      <w:rFonts w:ascii="EC Square Sans Pro" w:hAnsi="EC Square Sans Pro"/>
      <w:color w:val="404040" w:themeColor="text1" w:themeTint="BF"/>
      <w:sz w:val="20"/>
    </w:rPr>
  </w:style>
  <w:style w:type="paragraph" w:customStyle="1" w:styleId="EPSCSubheading">
    <w:name w:val="EPSC Subheading"/>
    <w:basedOn w:val="Normal"/>
    <w:link w:val="EPSCSubheadingChar"/>
    <w:qFormat/>
    <w:pPr>
      <w:spacing w:before="360" w:after="240"/>
    </w:pPr>
    <w:rPr>
      <w:b/>
      <w:color w:val="5F497A" w:themeColor="accent4" w:themeShade="BF"/>
      <w:sz w:val="26"/>
      <w:szCs w:val="26"/>
    </w:rPr>
  </w:style>
  <w:style w:type="character" w:customStyle="1" w:styleId="EPSCSubheadingChar">
    <w:name w:val="EPSC Subheading Char"/>
    <w:basedOn w:val="DefaultParagraphFont"/>
    <w:link w:val="EPSCSubheading"/>
    <w:rPr>
      <w:rFonts w:ascii="EC Square Sans Pro" w:hAnsi="EC Square Sans Pro"/>
      <w:b/>
      <w:color w:val="5F497A" w:themeColor="accent4" w:themeShade="BF"/>
      <w:sz w:val="26"/>
      <w:szCs w:val="2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auto"/>
      <w:sz w:val="18"/>
      <w:szCs w:val="18"/>
    </w:rPr>
  </w:style>
  <w:style w:type="table" w:styleId="LightList-Accent6">
    <w:name w:val="Light List Accent 6"/>
    <w:basedOn w:val="TableNormal"/>
    <w:uiPriority w:val="61"/>
    <w:pPr>
      <w:spacing w:line="240" w:lineRule="auto"/>
    </w:pPr>
    <w:rPr>
      <w:rFonts w:asciiTheme="minorHAnsi" w:hAnsiTheme="minorHAnsi" w:cstheme="minorBidi"/>
      <w:color w:val="aut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customStyle="1" w:styleId="Pa2">
    <w:name w:val="Pa2"/>
    <w:basedOn w:val="Normal"/>
    <w:next w:val="Normal"/>
    <w:uiPriority w:val="99"/>
    <w:pPr>
      <w:autoSpaceDE w:val="0"/>
      <w:autoSpaceDN w:val="0"/>
      <w:adjustRightInd w:val="0"/>
      <w:spacing w:after="0" w:line="241" w:lineRule="atLeast"/>
    </w:pPr>
    <w:rPr>
      <w:sz w:val="24"/>
      <w:szCs w:val="24"/>
    </w:rPr>
  </w:style>
  <w:style w:type="paragraph" w:customStyle="1" w:styleId="Pa0">
    <w:name w:val="Pa0"/>
    <w:basedOn w:val="Normal"/>
    <w:next w:val="Normal"/>
    <w:uiPriority w:val="99"/>
    <w:pPr>
      <w:autoSpaceDE w:val="0"/>
      <w:autoSpaceDN w:val="0"/>
      <w:adjustRightInd w:val="0"/>
      <w:spacing w:after="0" w:line="241" w:lineRule="atLeast"/>
    </w:pPr>
    <w:rPr>
      <w:sz w:val="24"/>
      <w:szCs w:val="24"/>
    </w:r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nhideWhenUsed/>
    <w:qFormat/>
    <w:pPr>
      <w:spacing w:after="0" w:line="240" w:lineRule="auto"/>
    </w:pPr>
    <w:rPr>
      <w:sz w:val="20"/>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rPr>
      <w:rFonts w:ascii="EC Square Sans Pro" w:hAnsi="EC Square Sans Pro" w:cstheme="minorBidi"/>
      <w:color w:val="auto"/>
      <w:sz w:val="20"/>
      <w:szCs w:val="20"/>
    </w:rPr>
  </w:style>
  <w:style w:type="character" w:styleId="FootnoteReference">
    <w:name w:val="footnote reference"/>
    <w:aliases w:val="EN Footnote Reference,Times 10 Point,Exposant 3 Point,Footnote symbol,Footnote reference number,note TESI,stylish,Footnote Reference Superscript,BVI fnr,number,Voetnootverwijzing,SUPERS,Ref,de nota al pie,Footnote sign,callout"/>
    <w:basedOn w:val="DefaultParagraphFont"/>
    <w:uiPriority w:val="99"/>
    <w:unhideWhenUsed/>
    <w:qFormat/>
    <w:rPr>
      <w:vertAlign w:val="superscript"/>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heme="minorHAnsi" w:eastAsiaTheme="majorEastAsia" w:hAnsiTheme="minorHAnsi" w:cstheme="majorBidi"/>
      <w:b/>
      <w:color w:val="auto"/>
      <w:sz w:val="32"/>
      <w:szCs w:val="32"/>
    </w:rPr>
  </w:style>
  <w:style w:type="paragraph" w:styleId="Title">
    <w:name w:val="Title"/>
    <w:basedOn w:val="Normal"/>
    <w:next w:val="Normal"/>
    <w:link w:val="TitleChar"/>
    <w:uiPriority w:val="10"/>
    <w:pPr>
      <w:numPr>
        <w:numId w:val="8"/>
      </w:numPr>
      <w:spacing w:after="240" w:line="240" w:lineRule="auto"/>
      <w:ind w:left="360"/>
      <w:contextualSpacing/>
    </w:pPr>
    <w:rPr>
      <w:rFonts w:asciiTheme="minorHAnsi" w:eastAsiaTheme="majorEastAsia" w:hAnsiTheme="minorHAnsi" w:cstheme="majorBidi"/>
      <w:b/>
      <w:spacing w:val="-10"/>
      <w:kern w:val="28"/>
      <w:sz w:val="32"/>
      <w:szCs w:val="56"/>
    </w:rPr>
  </w:style>
  <w:style w:type="character" w:customStyle="1" w:styleId="TitleChar">
    <w:name w:val="Title Char"/>
    <w:basedOn w:val="DefaultParagraphFont"/>
    <w:link w:val="Title"/>
    <w:uiPriority w:val="10"/>
    <w:rPr>
      <w:rFonts w:asciiTheme="minorHAnsi" w:eastAsiaTheme="majorEastAsia" w:hAnsiTheme="minorHAnsi" w:cstheme="majorBidi"/>
      <w:b/>
      <w:color w:val="auto"/>
      <w:spacing w:val="-10"/>
      <w:kern w:val="28"/>
      <w:sz w:val="32"/>
      <w:szCs w:val="5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EC Square Sans Pro" w:hAnsi="EC Square Sans Pro" w:cstheme="minorBidi"/>
      <w:color w:val="auto"/>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EC Square Sans Pro" w:hAnsi="EC Square Sans Pro" w:cstheme="minorBidi"/>
      <w:b/>
      <w:bCs/>
      <w:color w:val="auto"/>
      <w:sz w:val="20"/>
      <w:szCs w:val="20"/>
    </w:rPr>
  </w:style>
  <w:style w:type="paragraph" w:styleId="Revision">
    <w:name w:val="Revision"/>
    <w:hidden/>
    <w:uiPriority w:val="99"/>
    <w:semiHidden/>
    <w:pPr>
      <w:spacing w:line="240" w:lineRule="auto"/>
    </w:pPr>
    <w:rPr>
      <w:rFonts w:ascii="EC Square Sans Pro" w:hAnsi="EC Square Sans Pro" w:cstheme="minorBidi"/>
      <w:color w:va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EC Square Sans Pro" w:hAnsi="EC Square Sans Pro" w:cstheme="minorBidi"/>
      <w:color w:val="auto"/>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EC Square Sans Pro" w:hAnsi="EC Square Sans Pro" w:cstheme="minorBidi"/>
      <w:color w:val="auto"/>
    </w:rPr>
  </w:style>
  <w:style w:type="paragraph" w:styleId="TOCHeading">
    <w:name w:val="TOC Heading"/>
    <w:basedOn w:val="Heading1"/>
    <w:next w:val="Normal"/>
    <w:uiPriority w:val="39"/>
    <w:unhideWhenUsed/>
    <w:qFormat/>
    <w:pPr>
      <w:numPr>
        <w:numId w:val="0"/>
      </w:numPr>
      <w:spacing w:after="0"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pPr>
      <w:spacing w:after="100"/>
    </w:pPr>
  </w:style>
  <w:style w:type="character" w:customStyle="1" w:styleId="Heading2Char">
    <w:name w:val="Heading 2 Char"/>
    <w:basedOn w:val="DefaultParagraphFont"/>
    <w:link w:val="Heading2"/>
    <w:uiPriority w:val="9"/>
    <w:rPr>
      <w:rFonts w:asciiTheme="minorHAnsi" w:eastAsiaTheme="majorEastAsia" w:hAnsiTheme="minorHAnsi" w:cstheme="majorBidi"/>
      <w:b/>
      <w:color w:val="auto"/>
      <w:sz w:val="28"/>
      <w:szCs w:val="26"/>
    </w:rPr>
  </w:style>
  <w:style w:type="character" w:customStyle="1" w:styleId="Heading3Char">
    <w:name w:val="Heading 3 Char"/>
    <w:basedOn w:val="DefaultParagraphFont"/>
    <w:link w:val="Heading3"/>
    <w:uiPriority w:val="9"/>
    <w:rPr>
      <w:rFonts w:asciiTheme="minorHAnsi" w:eastAsiaTheme="majorEastAsia" w:hAnsiTheme="minorHAnsi" w:cstheme="majorBidi"/>
      <w:b/>
      <w:color w:val="auto"/>
      <w:sz w:val="24"/>
      <w:szCs w:val="24"/>
    </w:rPr>
  </w:style>
  <w:style w:type="paragraph" w:styleId="TOC2">
    <w:name w:val="toc 2"/>
    <w:basedOn w:val="Normal"/>
    <w:next w:val="Normal"/>
    <w:autoRedefine/>
    <w:uiPriority w:val="39"/>
    <w:unhideWhenUsed/>
    <w:pPr>
      <w:tabs>
        <w:tab w:val="left" w:pos="660"/>
        <w:tab w:val="right" w:leader="dot" w:pos="9062"/>
      </w:tabs>
      <w:spacing w:after="100"/>
      <w:ind w:left="220"/>
    </w:pPr>
    <w:rPr>
      <w:rFonts w:cstheme="minorHAnsi"/>
      <w:b/>
      <w:noProof/>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rFonts w:asciiTheme="minorHAnsi" w:eastAsiaTheme="majorEastAsia" w:hAnsiTheme="minorHAnsi" w:cstheme="minorHAnsi"/>
      <w:i/>
      <w:iCs/>
      <w:color w:val="auto"/>
      <w:sz w:val="24"/>
    </w:rPr>
  </w:style>
  <w:style w:type="paragraph" w:styleId="TOC4">
    <w:name w:val="toc 4"/>
    <w:basedOn w:val="Normal"/>
    <w:next w:val="Normal"/>
    <w:autoRedefine/>
    <w:uiPriority w:val="39"/>
    <w:unhideWhenUsed/>
    <w:pPr>
      <w:spacing w:after="100"/>
      <w:ind w:left="660"/>
    </w:pPr>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color w:val="auto"/>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color w:val="auto"/>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color w:val="auto"/>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color w:val="auto"/>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color w:val="auto"/>
      <w:sz w:val="28"/>
    </w:rPr>
  </w:style>
  <w:style w:type="paragraph" w:customStyle="1" w:styleId="yiv2536349882msonormal">
    <w:name w:val="yiv2536349882msonormal"/>
    <w:basedOn w:val="Normal"/>
    <w:pPr>
      <w:spacing w:before="100" w:beforeAutospacing="1" w:after="100" w:afterAutospacing="1" w:line="240" w:lineRule="auto"/>
    </w:pPr>
    <w:rPr>
      <w:rFonts w:ascii="Times New Roman" w:eastAsiaTheme="minorEastAsia" w:hAnsi="Times New Roman" w:cs="Times New Roman"/>
      <w:sz w:val="20"/>
      <w:szCs w:val="20"/>
      <w:lang w:eastAsia="nl-NL"/>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120">
      <w:bodyDiv w:val="1"/>
      <w:marLeft w:val="0"/>
      <w:marRight w:val="0"/>
      <w:marTop w:val="0"/>
      <w:marBottom w:val="0"/>
      <w:divBdr>
        <w:top w:val="none" w:sz="0" w:space="0" w:color="auto"/>
        <w:left w:val="none" w:sz="0" w:space="0" w:color="auto"/>
        <w:bottom w:val="none" w:sz="0" w:space="0" w:color="auto"/>
        <w:right w:val="none" w:sz="0" w:space="0" w:color="auto"/>
      </w:divBdr>
    </w:div>
    <w:div w:id="41640762">
      <w:bodyDiv w:val="1"/>
      <w:marLeft w:val="0"/>
      <w:marRight w:val="0"/>
      <w:marTop w:val="0"/>
      <w:marBottom w:val="0"/>
      <w:divBdr>
        <w:top w:val="none" w:sz="0" w:space="0" w:color="auto"/>
        <w:left w:val="none" w:sz="0" w:space="0" w:color="auto"/>
        <w:bottom w:val="none" w:sz="0" w:space="0" w:color="auto"/>
        <w:right w:val="none" w:sz="0" w:space="0" w:color="auto"/>
      </w:divBdr>
    </w:div>
    <w:div w:id="170143093">
      <w:bodyDiv w:val="1"/>
      <w:marLeft w:val="0"/>
      <w:marRight w:val="0"/>
      <w:marTop w:val="0"/>
      <w:marBottom w:val="0"/>
      <w:divBdr>
        <w:top w:val="none" w:sz="0" w:space="0" w:color="auto"/>
        <w:left w:val="none" w:sz="0" w:space="0" w:color="auto"/>
        <w:bottom w:val="none" w:sz="0" w:space="0" w:color="auto"/>
        <w:right w:val="none" w:sz="0" w:space="0" w:color="auto"/>
      </w:divBdr>
    </w:div>
    <w:div w:id="202716665">
      <w:bodyDiv w:val="1"/>
      <w:marLeft w:val="0"/>
      <w:marRight w:val="0"/>
      <w:marTop w:val="0"/>
      <w:marBottom w:val="0"/>
      <w:divBdr>
        <w:top w:val="none" w:sz="0" w:space="0" w:color="auto"/>
        <w:left w:val="none" w:sz="0" w:space="0" w:color="auto"/>
        <w:bottom w:val="none" w:sz="0" w:space="0" w:color="auto"/>
        <w:right w:val="none" w:sz="0" w:space="0" w:color="auto"/>
      </w:divBdr>
    </w:div>
    <w:div w:id="204101267">
      <w:bodyDiv w:val="1"/>
      <w:marLeft w:val="0"/>
      <w:marRight w:val="0"/>
      <w:marTop w:val="0"/>
      <w:marBottom w:val="0"/>
      <w:divBdr>
        <w:top w:val="none" w:sz="0" w:space="0" w:color="auto"/>
        <w:left w:val="none" w:sz="0" w:space="0" w:color="auto"/>
        <w:bottom w:val="none" w:sz="0" w:space="0" w:color="auto"/>
        <w:right w:val="none" w:sz="0" w:space="0" w:color="auto"/>
      </w:divBdr>
    </w:div>
    <w:div w:id="214237665">
      <w:bodyDiv w:val="1"/>
      <w:marLeft w:val="0"/>
      <w:marRight w:val="0"/>
      <w:marTop w:val="0"/>
      <w:marBottom w:val="0"/>
      <w:divBdr>
        <w:top w:val="none" w:sz="0" w:space="0" w:color="auto"/>
        <w:left w:val="none" w:sz="0" w:space="0" w:color="auto"/>
        <w:bottom w:val="none" w:sz="0" w:space="0" w:color="auto"/>
        <w:right w:val="none" w:sz="0" w:space="0" w:color="auto"/>
      </w:divBdr>
      <w:divsChild>
        <w:div w:id="396518694">
          <w:marLeft w:val="0"/>
          <w:marRight w:val="0"/>
          <w:marTop w:val="0"/>
          <w:marBottom w:val="0"/>
          <w:divBdr>
            <w:top w:val="none" w:sz="0" w:space="0" w:color="auto"/>
            <w:left w:val="none" w:sz="0" w:space="0" w:color="auto"/>
            <w:bottom w:val="none" w:sz="0" w:space="0" w:color="auto"/>
            <w:right w:val="none" w:sz="0" w:space="0" w:color="auto"/>
          </w:divBdr>
          <w:divsChild>
            <w:div w:id="1425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715">
      <w:bodyDiv w:val="1"/>
      <w:marLeft w:val="0"/>
      <w:marRight w:val="0"/>
      <w:marTop w:val="0"/>
      <w:marBottom w:val="0"/>
      <w:divBdr>
        <w:top w:val="none" w:sz="0" w:space="0" w:color="auto"/>
        <w:left w:val="none" w:sz="0" w:space="0" w:color="auto"/>
        <w:bottom w:val="none" w:sz="0" w:space="0" w:color="auto"/>
        <w:right w:val="none" w:sz="0" w:space="0" w:color="auto"/>
      </w:divBdr>
    </w:div>
    <w:div w:id="328337681">
      <w:bodyDiv w:val="1"/>
      <w:marLeft w:val="0"/>
      <w:marRight w:val="0"/>
      <w:marTop w:val="0"/>
      <w:marBottom w:val="0"/>
      <w:divBdr>
        <w:top w:val="none" w:sz="0" w:space="0" w:color="auto"/>
        <w:left w:val="none" w:sz="0" w:space="0" w:color="auto"/>
        <w:bottom w:val="none" w:sz="0" w:space="0" w:color="auto"/>
        <w:right w:val="none" w:sz="0" w:space="0" w:color="auto"/>
      </w:divBdr>
    </w:div>
    <w:div w:id="381565034">
      <w:bodyDiv w:val="1"/>
      <w:marLeft w:val="0"/>
      <w:marRight w:val="0"/>
      <w:marTop w:val="0"/>
      <w:marBottom w:val="0"/>
      <w:divBdr>
        <w:top w:val="none" w:sz="0" w:space="0" w:color="auto"/>
        <w:left w:val="none" w:sz="0" w:space="0" w:color="auto"/>
        <w:bottom w:val="none" w:sz="0" w:space="0" w:color="auto"/>
        <w:right w:val="none" w:sz="0" w:space="0" w:color="auto"/>
      </w:divBdr>
    </w:div>
    <w:div w:id="383260946">
      <w:bodyDiv w:val="1"/>
      <w:marLeft w:val="0"/>
      <w:marRight w:val="0"/>
      <w:marTop w:val="0"/>
      <w:marBottom w:val="0"/>
      <w:divBdr>
        <w:top w:val="none" w:sz="0" w:space="0" w:color="auto"/>
        <w:left w:val="none" w:sz="0" w:space="0" w:color="auto"/>
        <w:bottom w:val="none" w:sz="0" w:space="0" w:color="auto"/>
        <w:right w:val="none" w:sz="0" w:space="0" w:color="auto"/>
      </w:divBdr>
    </w:div>
    <w:div w:id="393820069">
      <w:bodyDiv w:val="1"/>
      <w:marLeft w:val="0"/>
      <w:marRight w:val="0"/>
      <w:marTop w:val="0"/>
      <w:marBottom w:val="0"/>
      <w:divBdr>
        <w:top w:val="none" w:sz="0" w:space="0" w:color="auto"/>
        <w:left w:val="none" w:sz="0" w:space="0" w:color="auto"/>
        <w:bottom w:val="none" w:sz="0" w:space="0" w:color="auto"/>
        <w:right w:val="none" w:sz="0" w:space="0" w:color="auto"/>
      </w:divBdr>
      <w:divsChild>
        <w:div w:id="141849342">
          <w:marLeft w:val="0"/>
          <w:marRight w:val="0"/>
          <w:marTop w:val="0"/>
          <w:marBottom w:val="0"/>
          <w:divBdr>
            <w:top w:val="none" w:sz="0" w:space="0" w:color="auto"/>
            <w:left w:val="none" w:sz="0" w:space="0" w:color="auto"/>
            <w:bottom w:val="none" w:sz="0" w:space="0" w:color="auto"/>
            <w:right w:val="none" w:sz="0" w:space="0" w:color="auto"/>
          </w:divBdr>
        </w:div>
      </w:divsChild>
    </w:div>
    <w:div w:id="415984480">
      <w:bodyDiv w:val="1"/>
      <w:marLeft w:val="0"/>
      <w:marRight w:val="0"/>
      <w:marTop w:val="0"/>
      <w:marBottom w:val="0"/>
      <w:divBdr>
        <w:top w:val="none" w:sz="0" w:space="0" w:color="auto"/>
        <w:left w:val="none" w:sz="0" w:space="0" w:color="auto"/>
        <w:bottom w:val="none" w:sz="0" w:space="0" w:color="auto"/>
        <w:right w:val="none" w:sz="0" w:space="0" w:color="auto"/>
      </w:divBdr>
    </w:div>
    <w:div w:id="439104049">
      <w:bodyDiv w:val="1"/>
      <w:marLeft w:val="0"/>
      <w:marRight w:val="0"/>
      <w:marTop w:val="0"/>
      <w:marBottom w:val="0"/>
      <w:divBdr>
        <w:top w:val="none" w:sz="0" w:space="0" w:color="auto"/>
        <w:left w:val="none" w:sz="0" w:space="0" w:color="auto"/>
        <w:bottom w:val="none" w:sz="0" w:space="0" w:color="auto"/>
        <w:right w:val="none" w:sz="0" w:space="0" w:color="auto"/>
      </w:divBdr>
    </w:div>
    <w:div w:id="473520909">
      <w:bodyDiv w:val="1"/>
      <w:marLeft w:val="0"/>
      <w:marRight w:val="0"/>
      <w:marTop w:val="0"/>
      <w:marBottom w:val="0"/>
      <w:divBdr>
        <w:top w:val="none" w:sz="0" w:space="0" w:color="auto"/>
        <w:left w:val="none" w:sz="0" w:space="0" w:color="auto"/>
        <w:bottom w:val="none" w:sz="0" w:space="0" w:color="auto"/>
        <w:right w:val="none" w:sz="0" w:space="0" w:color="auto"/>
      </w:divBdr>
    </w:div>
    <w:div w:id="483550244">
      <w:bodyDiv w:val="1"/>
      <w:marLeft w:val="0"/>
      <w:marRight w:val="0"/>
      <w:marTop w:val="0"/>
      <w:marBottom w:val="0"/>
      <w:divBdr>
        <w:top w:val="none" w:sz="0" w:space="0" w:color="auto"/>
        <w:left w:val="none" w:sz="0" w:space="0" w:color="auto"/>
        <w:bottom w:val="none" w:sz="0" w:space="0" w:color="auto"/>
        <w:right w:val="none" w:sz="0" w:space="0" w:color="auto"/>
      </w:divBdr>
    </w:div>
    <w:div w:id="512692236">
      <w:bodyDiv w:val="1"/>
      <w:marLeft w:val="0"/>
      <w:marRight w:val="0"/>
      <w:marTop w:val="0"/>
      <w:marBottom w:val="0"/>
      <w:divBdr>
        <w:top w:val="none" w:sz="0" w:space="0" w:color="auto"/>
        <w:left w:val="none" w:sz="0" w:space="0" w:color="auto"/>
        <w:bottom w:val="none" w:sz="0" w:space="0" w:color="auto"/>
        <w:right w:val="none" w:sz="0" w:space="0" w:color="auto"/>
      </w:divBdr>
    </w:div>
    <w:div w:id="529077140">
      <w:bodyDiv w:val="1"/>
      <w:marLeft w:val="0"/>
      <w:marRight w:val="0"/>
      <w:marTop w:val="0"/>
      <w:marBottom w:val="0"/>
      <w:divBdr>
        <w:top w:val="none" w:sz="0" w:space="0" w:color="auto"/>
        <w:left w:val="none" w:sz="0" w:space="0" w:color="auto"/>
        <w:bottom w:val="none" w:sz="0" w:space="0" w:color="auto"/>
        <w:right w:val="none" w:sz="0" w:space="0" w:color="auto"/>
      </w:divBdr>
    </w:div>
    <w:div w:id="561447625">
      <w:bodyDiv w:val="1"/>
      <w:marLeft w:val="0"/>
      <w:marRight w:val="0"/>
      <w:marTop w:val="0"/>
      <w:marBottom w:val="0"/>
      <w:divBdr>
        <w:top w:val="none" w:sz="0" w:space="0" w:color="auto"/>
        <w:left w:val="none" w:sz="0" w:space="0" w:color="auto"/>
        <w:bottom w:val="none" w:sz="0" w:space="0" w:color="auto"/>
        <w:right w:val="none" w:sz="0" w:space="0" w:color="auto"/>
      </w:divBdr>
    </w:div>
    <w:div w:id="576598090">
      <w:bodyDiv w:val="1"/>
      <w:marLeft w:val="0"/>
      <w:marRight w:val="0"/>
      <w:marTop w:val="0"/>
      <w:marBottom w:val="0"/>
      <w:divBdr>
        <w:top w:val="none" w:sz="0" w:space="0" w:color="auto"/>
        <w:left w:val="none" w:sz="0" w:space="0" w:color="auto"/>
        <w:bottom w:val="none" w:sz="0" w:space="0" w:color="auto"/>
        <w:right w:val="none" w:sz="0" w:space="0" w:color="auto"/>
      </w:divBdr>
    </w:div>
    <w:div w:id="593363654">
      <w:bodyDiv w:val="1"/>
      <w:marLeft w:val="0"/>
      <w:marRight w:val="0"/>
      <w:marTop w:val="0"/>
      <w:marBottom w:val="0"/>
      <w:divBdr>
        <w:top w:val="none" w:sz="0" w:space="0" w:color="auto"/>
        <w:left w:val="none" w:sz="0" w:space="0" w:color="auto"/>
        <w:bottom w:val="none" w:sz="0" w:space="0" w:color="auto"/>
        <w:right w:val="none" w:sz="0" w:space="0" w:color="auto"/>
      </w:divBdr>
    </w:div>
    <w:div w:id="595479681">
      <w:bodyDiv w:val="1"/>
      <w:marLeft w:val="0"/>
      <w:marRight w:val="0"/>
      <w:marTop w:val="0"/>
      <w:marBottom w:val="0"/>
      <w:divBdr>
        <w:top w:val="none" w:sz="0" w:space="0" w:color="auto"/>
        <w:left w:val="none" w:sz="0" w:space="0" w:color="auto"/>
        <w:bottom w:val="none" w:sz="0" w:space="0" w:color="auto"/>
        <w:right w:val="none" w:sz="0" w:space="0" w:color="auto"/>
      </w:divBdr>
    </w:div>
    <w:div w:id="599264301">
      <w:bodyDiv w:val="1"/>
      <w:marLeft w:val="0"/>
      <w:marRight w:val="0"/>
      <w:marTop w:val="0"/>
      <w:marBottom w:val="0"/>
      <w:divBdr>
        <w:top w:val="none" w:sz="0" w:space="0" w:color="auto"/>
        <w:left w:val="none" w:sz="0" w:space="0" w:color="auto"/>
        <w:bottom w:val="none" w:sz="0" w:space="0" w:color="auto"/>
        <w:right w:val="none" w:sz="0" w:space="0" w:color="auto"/>
      </w:divBdr>
    </w:div>
    <w:div w:id="608511240">
      <w:bodyDiv w:val="1"/>
      <w:marLeft w:val="0"/>
      <w:marRight w:val="0"/>
      <w:marTop w:val="0"/>
      <w:marBottom w:val="0"/>
      <w:divBdr>
        <w:top w:val="none" w:sz="0" w:space="0" w:color="auto"/>
        <w:left w:val="none" w:sz="0" w:space="0" w:color="auto"/>
        <w:bottom w:val="none" w:sz="0" w:space="0" w:color="auto"/>
        <w:right w:val="none" w:sz="0" w:space="0" w:color="auto"/>
      </w:divBdr>
    </w:div>
    <w:div w:id="656802818">
      <w:bodyDiv w:val="1"/>
      <w:marLeft w:val="0"/>
      <w:marRight w:val="0"/>
      <w:marTop w:val="0"/>
      <w:marBottom w:val="0"/>
      <w:divBdr>
        <w:top w:val="none" w:sz="0" w:space="0" w:color="auto"/>
        <w:left w:val="none" w:sz="0" w:space="0" w:color="auto"/>
        <w:bottom w:val="none" w:sz="0" w:space="0" w:color="auto"/>
        <w:right w:val="none" w:sz="0" w:space="0" w:color="auto"/>
      </w:divBdr>
    </w:div>
    <w:div w:id="672496041">
      <w:bodyDiv w:val="1"/>
      <w:marLeft w:val="0"/>
      <w:marRight w:val="0"/>
      <w:marTop w:val="0"/>
      <w:marBottom w:val="0"/>
      <w:divBdr>
        <w:top w:val="none" w:sz="0" w:space="0" w:color="auto"/>
        <w:left w:val="none" w:sz="0" w:space="0" w:color="auto"/>
        <w:bottom w:val="none" w:sz="0" w:space="0" w:color="auto"/>
        <w:right w:val="none" w:sz="0" w:space="0" w:color="auto"/>
      </w:divBdr>
    </w:div>
    <w:div w:id="685445621">
      <w:bodyDiv w:val="1"/>
      <w:marLeft w:val="0"/>
      <w:marRight w:val="0"/>
      <w:marTop w:val="0"/>
      <w:marBottom w:val="0"/>
      <w:divBdr>
        <w:top w:val="none" w:sz="0" w:space="0" w:color="auto"/>
        <w:left w:val="none" w:sz="0" w:space="0" w:color="auto"/>
        <w:bottom w:val="none" w:sz="0" w:space="0" w:color="auto"/>
        <w:right w:val="none" w:sz="0" w:space="0" w:color="auto"/>
      </w:divBdr>
    </w:div>
    <w:div w:id="715006404">
      <w:bodyDiv w:val="1"/>
      <w:marLeft w:val="0"/>
      <w:marRight w:val="0"/>
      <w:marTop w:val="0"/>
      <w:marBottom w:val="0"/>
      <w:divBdr>
        <w:top w:val="none" w:sz="0" w:space="0" w:color="auto"/>
        <w:left w:val="none" w:sz="0" w:space="0" w:color="auto"/>
        <w:bottom w:val="none" w:sz="0" w:space="0" w:color="auto"/>
        <w:right w:val="none" w:sz="0" w:space="0" w:color="auto"/>
      </w:divBdr>
    </w:div>
    <w:div w:id="751050829">
      <w:bodyDiv w:val="1"/>
      <w:marLeft w:val="0"/>
      <w:marRight w:val="0"/>
      <w:marTop w:val="0"/>
      <w:marBottom w:val="0"/>
      <w:divBdr>
        <w:top w:val="none" w:sz="0" w:space="0" w:color="auto"/>
        <w:left w:val="none" w:sz="0" w:space="0" w:color="auto"/>
        <w:bottom w:val="none" w:sz="0" w:space="0" w:color="auto"/>
        <w:right w:val="none" w:sz="0" w:space="0" w:color="auto"/>
      </w:divBdr>
    </w:div>
    <w:div w:id="772087496">
      <w:bodyDiv w:val="1"/>
      <w:marLeft w:val="0"/>
      <w:marRight w:val="0"/>
      <w:marTop w:val="0"/>
      <w:marBottom w:val="0"/>
      <w:divBdr>
        <w:top w:val="none" w:sz="0" w:space="0" w:color="auto"/>
        <w:left w:val="none" w:sz="0" w:space="0" w:color="auto"/>
        <w:bottom w:val="none" w:sz="0" w:space="0" w:color="auto"/>
        <w:right w:val="none" w:sz="0" w:space="0" w:color="auto"/>
      </w:divBdr>
    </w:div>
    <w:div w:id="784730888">
      <w:bodyDiv w:val="1"/>
      <w:marLeft w:val="0"/>
      <w:marRight w:val="0"/>
      <w:marTop w:val="0"/>
      <w:marBottom w:val="0"/>
      <w:divBdr>
        <w:top w:val="none" w:sz="0" w:space="0" w:color="auto"/>
        <w:left w:val="none" w:sz="0" w:space="0" w:color="auto"/>
        <w:bottom w:val="none" w:sz="0" w:space="0" w:color="auto"/>
        <w:right w:val="none" w:sz="0" w:space="0" w:color="auto"/>
      </w:divBdr>
    </w:div>
    <w:div w:id="813596083">
      <w:bodyDiv w:val="1"/>
      <w:marLeft w:val="0"/>
      <w:marRight w:val="0"/>
      <w:marTop w:val="0"/>
      <w:marBottom w:val="0"/>
      <w:divBdr>
        <w:top w:val="none" w:sz="0" w:space="0" w:color="auto"/>
        <w:left w:val="none" w:sz="0" w:space="0" w:color="auto"/>
        <w:bottom w:val="none" w:sz="0" w:space="0" w:color="auto"/>
        <w:right w:val="none" w:sz="0" w:space="0" w:color="auto"/>
      </w:divBdr>
    </w:div>
    <w:div w:id="831988063">
      <w:bodyDiv w:val="1"/>
      <w:marLeft w:val="0"/>
      <w:marRight w:val="0"/>
      <w:marTop w:val="0"/>
      <w:marBottom w:val="0"/>
      <w:divBdr>
        <w:top w:val="none" w:sz="0" w:space="0" w:color="auto"/>
        <w:left w:val="none" w:sz="0" w:space="0" w:color="auto"/>
        <w:bottom w:val="none" w:sz="0" w:space="0" w:color="auto"/>
        <w:right w:val="none" w:sz="0" w:space="0" w:color="auto"/>
      </w:divBdr>
    </w:div>
    <w:div w:id="869535258">
      <w:bodyDiv w:val="1"/>
      <w:marLeft w:val="0"/>
      <w:marRight w:val="0"/>
      <w:marTop w:val="0"/>
      <w:marBottom w:val="0"/>
      <w:divBdr>
        <w:top w:val="none" w:sz="0" w:space="0" w:color="auto"/>
        <w:left w:val="none" w:sz="0" w:space="0" w:color="auto"/>
        <w:bottom w:val="none" w:sz="0" w:space="0" w:color="auto"/>
        <w:right w:val="none" w:sz="0" w:space="0" w:color="auto"/>
      </w:divBdr>
    </w:div>
    <w:div w:id="872032410">
      <w:bodyDiv w:val="1"/>
      <w:marLeft w:val="0"/>
      <w:marRight w:val="0"/>
      <w:marTop w:val="0"/>
      <w:marBottom w:val="0"/>
      <w:divBdr>
        <w:top w:val="none" w:sz="0" w:space="0" w:color="auto"/>
        <w:left w:val="none" w:sz="0" w:space="0" w:color="auto"/>
        <w:bottom w:val="none" w:sz="0" w:space="0" w:color="auto"/>
        <w:right w:val="none" w:sz="0" w:space="0" w:color="auto"/>
      </w:divBdr>
    </w:div>
    <w:div w:id="881864060">
      <w:bodyDiv w:val="1"/>
      <w:marLeft w:val="0"/>
      <w:marRight w:val="0"/>
      <w:marTop w:val="0"/>
      <w:marBottom w:val="0"/>
      <w:divBdr>
        <w:top w:val="none" w:sz="0" w:space="0" w:color="auto"/>
        <w:left w:val="none" w:sz="0" w:space="0" w:color="auto"/>
        <w:bottom w:val="none" w:sz="0" w:space="0" w:color="auto"/>
        <w:right w:val="none" w:sz="0" w:space="0" w:color="auto"/>
      </w:divBdr>
    </w:div>
    <w:div w:id="951013817">
      <w:bodyDiv w:val="1"/>
      <w:marLeft w:val="0"/>
      <w:marRight w:val="0"/>
      <w:marTop w:val="0"/>
      <w:marBottom w:val="0"/>
      <w:divBdr>
        <w:top w:val="none" w:sz="0" w:space="0" w:color="auto"/>
        <w:left w:val="none" w:sz="0" w:space="0" w:color="auto"/>
        <w:bottom w:val="none" w:sz="0" w:space="0" w:color="auto"/>
        <w:right w:val="none" w:sz="0" w:space="0" w:color="auto"/>
      </w:divBdr>
    </w:div>
    <w:div w:id="980842923">
      <w:bodyDiv w:val="1"/>
      <w:marLeft w:val="0"/>
      <w:marRight w:val="0"/>
      <w:marTop w:val="0"/>
      <w:marBottom w:val="0"/>
      <w:divBdr>
        <w:top w:val="none" w:sz="0" w:space="0" w:color="auto"/>
        <w:left w:val="none" w:sz="0" w:space="0" w:color="auto"/>
        <w:bottom w:val="none" w:sz="0" w:space="0" w:color="auto"/>
        <w:right w:val="none" w:sz="0" w:space="0" w:color="auto"/>
      </w:divBdr>
      <w:divsChild>
        <w:div w:id="616063918">
          <w:marLeft w:val="0"/>
          <w:marRight w:val="0"/>
          <w:marTop w:val="0"/>
          <w:marBottom w:val="0"/>
          <w:divBdr>
            <w:top w:val="none" w:sz="0" w:space="0" w:color="auto"/>
            <w:left w:val="none" w:sz="0" w:space="0" w:color="auto"/>
            <w:bottom w:val="none" w:sz="0" w:space="0" w:color="auto"/>
            <w:right w:val="none" w:sz="0" w:space="0" w:color="auto"/>
          </w:divBdr>
          <w:divsChild>
            <w:div w:id="1771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78647">
      <w:bodyDiv w:val="1"/>
      <w:marLeft w:val="0"/>
      <w:marRight w:val="0"/>
      <w:marTop w:val="0"/>
      <w:marBottom w:val="0"/>
      <w:divBdr>
        <w:top w:val="none" w:sz="0" w:space="0" w:color="auto"/>
        <w:left w:val="none" w:sz="0" w:space="0" w:color="auto"/>
        <w:bottom w:val="none" w:sz="0" w:space="0" w:color="auto"/>
        <w:right w:val="none" w:sz="0" w:space="0" w:color="auto"/>
      </w:divBdr>
    </w:div>
    <w:div w:id="1035496090">
      <w:bodyDiv w:val="1"/>
      <w:marLeft w:val="0"/>
      <w:marRight w:val="0"/>
      <w:marTop w:val="0"/>
      <w:marBottom w:val="0"/>
      <w:divBdr>
        <w:top w:val="none" w:sz="0" w:space="0" w:color="auto"/>
        <w:left w:val="none" w:sz="0" w:space="0" w:color="auto"/>
        <w:bottom w:val="none" w:sz="0" w:space="0" w:color="auto"/>
        <w:right w:val="none" w:sz="0" w:space="0" w:color="auto"/>
      </w:divBdr>
    </w:div>
    <w:div w:id="1182935665">
      <w:bodyDiv w:val="1"/>
      <w:marLeft w:val="0"/>
      <w:marRight w:val="0"/>
      <w:marTop w:val="0"/>
      <w:marBottom w:val="0"/>
      <w:divBdr>
        <w:top w:val="none" w:sz="0" w:space="0" w:color="auto"/>
        <w:left w:val="none" w:sz="0" w:space="0" w:color="auto"/>
        <w:bottom w:val="none" w:sz="0" w:space="0" w:color="auto"/>
        <w:right w:val="none" w:sz="0" w:space="0" w:color="auto"/>
      </w:divBdr>
    </w:div>
    <w:div w:id="1192383097">
      <w:bodyDiv w:val="1"/>
      <w:marLeft w:val="0"/>
      <w:marRight w:val="0"/>
      <w:marTop w:val="0"/>
      <w:marBottom w:val="0"/>
      <w:divBdr>
        <w:top w:val="none" w:sz="0" w:space="0" w:color="auto"/>
        <w:left w:val="none" w:sz="0" w:space="0" w:color="auto"/>
        <w:bottom w:val="none" w:sz="0" w:space="0" w:color="auto"/>
        <w:right w:val="none" w:sz="0" w:space="0" w:color="auto"/>
      </w:divBdr>
    </w:div>
    <w:div w:id="1211766322">
      <w:bodyDiv w:val="1"/>
      <w:marLeft w:val="0"/>
      <w:marRight w:val="0"/>
      <w:marTop w:val="0"/>
      <w:marBottom w:val="0"/>
      <w:divBdr>
        <w:top w:val="none" w:sz="0" w:space="0" w:color="auto"/>
        <w:left w:val="none" w:sz="0" w:space="0" w:color="auto"/>
        <w:bottom w:val="none" w:sz="0" w:space="0" w:color="auto"/>
        <w:right w:val="none" w:sz="0" w:space="0" w:color="auto"/>
      </w:divBdr>
    </w:div>
    <w:div w:id="1229341753">
      <w:bodyDiv w:val="1"/>
      <w:marLeft w:val="0"/>
      <w:marRight w:val="0"/>
      <w:marTop w:val="0"/>
      <w:marBottom w:val="0"/>
      <w:divBdr>
        <w:top w:val="none" w:sz="0" w:space="0" w:color="auto"/>
        <w:left w:val="none" w:sz="0" w:space="0" w:color="auto"/>
        <w:bottom w:val="none" w:sz="0" w:space="0" w:color="auto"/>
        <w:right w:val="none" w:sz="0" w:space="0" w:color="auto"/>
      </w:divBdr>
    </w:div>
    <w:div w:id="1293093956">
      <w:bodyDiv w:val="1"/>
      <w:marLeft w:val="0"/>
      <w:marRight w:val="0"/>
      <w:marTop w:val="0"/>
      <w:marBottom w:val="0"/>
      <w:divBdr>
        <w:top w:val="none" w:sz="0" w:space="0" w:color="auto"/>
        <w:left w:val="none" w:sz="0" w:space="0" w:color="auto"/>
        <w:bottom w:val="none" w:sz="0" w:space="0" w:color="auto"/>
        <w:right w:val="none" w:sz="0" w:space="0" w:color="auto"/>
      </w:divBdr>
    </w:div>
    <w:div w:id="1319383580">
      <w:bodyDiv w:val="1"/>
      <w:marLeft w:val="0"/>
      <w:marRight w:val="0"/>
      <w:marTop w:val="0"/>
      <w:marBottom w:val="0"/>
      <w:divBdr>
        <w:top w:val="none" w:sz="0" w:space="0" w:color="auto"/>
        <w:left w:val="none" w:sz="0" w:space="0" w:color="auto"/>
        <w:bottom w:val="none" w:sz="0" w:space="0" w:color="auto"/>
        <w:right w:val="none" w:sz="0" w:space="0" w:color="auto"/>
      </w:divBdr>
    </w:div>
    <w:div w:id="1322193644">
      <w:bodyDiv w:val="1"/>
      <w:marLeft w:val="0"/>
      <w:marRight w:val="0"/>
      <w:marTop w:val="0"/>
      <w:marBottom w:val="0"/>
      <w:divBdr>
        <w:top w:val="none" w:sz="0" w:space="0" w:color="auto"/>
        <w:left w:val="none" w:sz="0" w:space="0" w:color="auto"/>
        <w:bottom w:val="none" w:sz="0" w:space="0" w:color="auto"/>
        <w:right w:val="none" w:sz="0" w:space="0" w:color="auto"/>
      </w:divBdr>
    </w:div>
    <w:div w:id="1343242922">
      <w:bodyDiv w:val="1"/>
      <w:marLeft w:val="0"/>
      <w:marRight w:val="0"/>
      <w:marTop w:val="0"/>
      <w:marBottom w:val="0"/>
      <w:divBdr>
        <w:top w:val="none" w:sz="0" w:space="0" w:color="auto"/>
        <w:left w:val="none" w:sz="0" w:space="0" w:color="auto"/>
        <w:bottom w:val="none" w:sz="0" w:space="0" w:color="auto"/>
        <w:right w:val="none" w:sz="0" w:space="0" w:color="auto"/>
      </w:divBdr>
    </w:div>
    <w:div w:id="1355575421">
      <w:bodyDiv w:val="1"/>
      <w:marLeft w:val="0"/>
      <w:marRight w:val="0"/>
      <w:marTop w:val="0"/>
      <w:marBottom w:val="0"/>
      <w:divBdr>
        <w:top w:val="none" w:sz="0" w:space="0" w:color="auto"/>
        <w:left w:val="none" w:sz="0" w:space="0" w:color="auto"/>
        <w:bottom w:val="none" w:sz="0" w:space="0" w:color="auto"/>
        <w:right w:val="none" w:sz="0" w:space="0" w:color="auto"/>
      </w:divBdr>
    </w:div>
    <w:div w:id="1367606669">
      <w:bodyDiv w:val="1"/>
      <w:marLeft w:val="0"/>
      <w:marRight w:val="0"/>
      <w:marTop w:val="0"/>
      <w:marBottom w:val="0"/>
      <w:divBdr>
        <w:top w:val="none" w:sz="0" w:space="0" w:color="auto"/>
        <w:left w:val="none" w:sz="0" w:space="0" w:color="auto"/>
        <w:bottom w:val="none" w:sz="0" w:space="0" w:color="auto"/>
        <w:right w:val="none" w:sz="0" w:space="0" w:color="auto"/>
      </w:divBdr>
    </w:div>
    <w:div w:id="1389495001">
      <w:bodyDiv w:val="1"/>
      <w:marLeft w:val="0"/>
      <w:marRight w:val="0"/>
      <w:marTop w:val="0"/>
      <w:marBottom w:val="0"/>
      <w:divBdr>
        <w:top w:val="none" w:sz="0" w:space="0" w:color="auto"/>
        <w:left w:val="none" w:sz="0" w:space="0" w:color="auto"/>
        <w:bottom w:val="none" w:sz="0" w:space="0" w:color="auto"/>
        <w:right w:val="none" w:sz="0" w:space="0" w:color="auto"/>
      </w:divBdr>
    </w:div>
    <w:div w:id="1440877804">
      <w:bodyDiv w:val="1"/>
      <w:marLeft w:val="0"/>
      <w:marRight w:val="0"/>
      <w:marTop w:val="0"/>
      <w:marBottom w:val="0"/>
      <w:divBdr>
        <w:top w:val="none" w:sz="0" w:space="0" w:color="auto"/>
        <w:left w:val="none" w:sz="0" w:space="0" w:color="auto"/>
        <w:bottom w:val="none" w:sz="0" w:space="0" w:color="auto"/>
        <w:right w:val="none" w:sz="0" w:space="0" w:color="auto"/>
      </w:divBdr>
    </w:div>
    <w:div w:id="1537542040">
      <w:bodyDiv w:val="1"/>
      <w:marLeft w:val="0"/>
      <w:marRight w:val="0"/>
      <w:marTop w:val="0"/>
      <w:marBottom w:val="0"/>
      <w:divBdr>
        <w:top w:val="none" w:sz="0" w:space="0" w:color="auto"/>
        <w:left w:val="none" w:sz="0" w:space="0" w:color="auto"/>
        <w:bottom w:val="none" w:sz="0" w:space="0" w:color="auto"/>
        <w:right w:val="none" w:sz="0" w:space="0" w:color="auto"/>
      </w:divBdr>
    </w:div>
    <w:div w:id="1666978074">
      <w:bodyDiv w:val="1"/>
      <w:marLeft w:val="0"/>
      <w:marRight w:val="0"/>
      <w:marTop w:val="0"/>
      <w:marBottom w:val="0"/>
      <w:divBdr>
        <w:top w:val="none" w:sz="0" w:space="0" w:color="auto"/>
        <w:left w:val="none" w:sz="0" w:space="0" w:color="auto"/>
        <w:bottom w:val="none" w:sz="0" w:space="0" w:color="auto"/>
        <w:right w:val="none" w:sz="0" w:space="0" w:color="auto"/>
      </w:divBdr>
    </w:div>
    <w:div w:id="1673990936">
      <w:bodyDiv w:val="1"/>
      <w:marLeft w:val="0"/>
      <w:marRight w:val="0"/>
      <w:marTop w:val="0"/>
      <w:marBottom w:val="0"/>
      <w:divBdr>
        <w:top w:val="none" w:sz="0" w:space="0" w:color="auto"/>
        <w:left w:val="none" w:sz="0" w:space="0" w:color="auto"/>
        <w:bottom w:val="none" w:sz="0" w:space="0" w:color="auto"/>
        <w:right w:val="none" w:sz="0" w:space="0" w:color="auto"/>
      </w:divBdr>
    </w:div>
    <w:div w:id="1675306305">
      <w:bodyDiv w:val="1"/>
      <w:marLeft w:val="0"/>
      <w:marRight w:val="0"/>
      <w:marTop w:val="0"/>
      <w:marBottom w:val="0"/>
      <w:divBdr>
        <w:top w:val="none" w:sz="0" w:space="0" w:color="auto"/>
        <w:left w:val="none" w:sz="0" w:space="0" w:color="auto"/>
        <w:bottom w:val="none" w:sz="0" w:space="0" w:color="auto"/>
        <w:right w:val="none" w:sz="0" w:space="0" w:color="auto"/>
      </w:divBdr>
    </w:div>
    <w:div w:id="1700739567">
      <w:bodyDiv w:val="1"/>
      <w:marLeft w:val="0"/>
      <w:marRight w:val="0"/>
      <w:marTop w:val="0"/>
      <w:marBottom w:val="0"/>
      <w:divBdr>
        <w:top w:val="none" w:sz="0" w:space="0" w:color="auto"/>
        <w:left w:val="none" w:sz="0" w:space="0" w:color="auto"/>
        <w:bottom w:val="none" w:sz="0" w:space="0" w:color="auto"/>
        <w:right w:val="none" w:sz="0" w:space="0" w:color="auto"/>
      </w:divBdr>
    </w:div>
    <w:div w:id="1707171048">
      <w:bodyDiv w:val="1"/>
      <w:marLeft w:val="0"/>
      <w:marRight w:val="0"/>
      <w:marTop w:val="0"/>
      <w:marBottom w:val="0"/>
      <w:divBdr>
        <w:top w:val="none" w:sz="0" w:space="0" w:color="auto"/>
        <w:left w:val="none" w:sz="0" w:space="0" w:color="auto"/>
        <w:bottom w:val="none" w:sz="0" w:space="0" w:color="auto"/>
        <w:right w:val="none" w:sz="0" w:space="0" w:color="auto"/>
      </w:divBdr>
    </w:div>
    <w:div w:id="1751269005">
      <w:bodyDiv w:val="1"/>
      <w:marLeft w:val="0"/>
      <w:marRight w:val="0"/>
      <w:marTop w:val="0"/>
      <w:marBottom w:val="0"/>
      <w:divBdr>
        <w:top w:val="none" w:sz="0" w:space="0" w:color="auto"/>
        <w:left w:val="none" w:sz="0" w:space="0" w:color="auto"/>
        <w:bottom w:val="none" w:sz="0" w:space="0" w:color="auto"/>
        <w:right w:val="none" w:sz="0" w:space="0" w:color="auto"/>
      </w:divBdr>
    </w:div>
    <w:div w:id="1847557184">
      <w:bodyDiv w:val="1"/>
      <w:marLeft w:val="0"/>
      <w:marRight w:val="0"/>
      <w:marTop w:val="0"/>
      <w:marBottom w:val="0"/>
      <w:divBdr>
        <w:top w:val="none" w:sz="0" w:space="0" w:color="auto"/>
        <w:left w:val="none" w:sz="0" w:space="0" w:color="auto"/>
        <w:bottom w:val="none" w:sz="0" w:space="0" w:color="auto"/>
        <w:right w:val="none" w:sz="0" w:space="0" w:color="auto"/>
      </w:divBdr>
    </w:div>
    <w:div w:id="1866939655">
      <w:bodyDiv w:val="1"/>
      <w:marLeft w:val="0"/>
      <w:marRight w:val="0"/>
      <w:marTop w:val="0"/>
      <w:marBottom w:val="0"/>
      <w:divBdr>
        <w:top w:val="none" w:sz="0" w:space="0" w:color="auto"/>
        <w:left w:val="none" w:sz="0" w:space="0" w:color="auto"/>
        <w:bottom w:val="none" w:sz="0" w:space="0" w:color="auto"/>
        <w:right w:val="none" w:sz="0" w:space="0" w:color="auto"/>
      </w:divBdr>
    </w:div>
    <w:div w:id="1914391671">
      <w:bodyDiv w:val="1"/>
      <w:marLeft w:val="0"/>
      <w:marRight w:val="0"/>
      <w:marTop w:val="0"/>
      <w:marBottom w:val="0"/>
      <w:divBdr>
        <w:top w:val="none" w:sz="0" w:space="0" w:color="auto"/>
        <w:left w:val="none" w:sz="0" w:space="0" w:color="auto"/>
        <w:bottom w:val="none" w:sz="0" w:space="0" w:color="auto"/>
        <w:right w:val="none" w:sz="0" w:space="0" w:color="auto"/>
      </w:divBdr>
      <w:divsChild>
        <w:div w:id="529804711">
          <w:marLeft w:val="0"/>
          <w:marRight w:val="0"/>
          <w:marTop w:val="90"/>
          <w:marBottom w:val="0"/>
          <w:divBdr>
            <w:top w:val="none" w:sz="0" w:space="0" w:color="auto"/>
            <w:left w:val="none" w:sz="0" w:space="0" w:color="auto"/>
            <w:bottom w:val="none" w:sz="0" w:space="0" w:color="auto"/>
            <w:right w:val="none" w:sz="0" w:space="0" w:color="auto"/>
          </w:divBdr>
          <w:divsChild>
            <w:div w:id="1809207586">
              <w:marLeft w:val="0"/>
              <w:marRight w:val="0"/>
              <w:marTop w:val="0"/>
              <w:marBottom w:val="0"/>
              <w:divBdr>
                <w:top w:val="none" w:sz="0" w:space="0" w:color="auto"/>
                <w:left w:val="none" w:sz="0" w:space="0" w:color="auto"/>
                <w:bottom w:val="none" w:sz="0" w:space="0" w:color="auto"/>
                <w:right w:val="none" w:sz="0" w:space="0" w:color="auto"/>
              </w:divBdr>
              <w:divsChild>
                <w:div w:id="100034170">
                  <w:marLeft w:val="0"/>
                  <w:marRight w:val="0"/>
                  <w:marTop w:val="0"/>
                  <w:marBottom w:val="0"/>
                  <w:divBdr>
                    <w:top w:val="none" w:sz="0" w:space="0" w:color="auto"/>
                    <w:left w:val="none" w:sz="0" w:space="0" w:color="auto"/>
                    <w:bottom w:val="none" w:sz="0" w:space="0" w:color="auto"/>
                    <w:right w:val="none" w:sz="0" w:space="0" w:color="auto"/>
                  </w:divBdr>
                  <w:divsChild>
                    <w:div w:id="1446074611">
                      <w:marLeft w:val="0"/>
                      <w:marRight w:val="0"/>
                      <w:marTop w:val="0"/>
                      <w:marBottom w:val="405"/>
                      <w:divBdr>
                        <w:top w:val="none" w:sz="0" w:space="0" w:color="auto"/>
                        <w:left w:val="none" w:sz="0" w:space="0" w:color="auto"/>
                        <w:bottom w:val="none" w:sz="0" w:space="0" w:color="auto"/>
                        <w:right w:val="none" w:sz="0" w:space="0" w:color="auto"/>
                      </w:divBdr>
                      <w:divsChild>
                        <w:div w:id="1281374227">
                          <w:marLeft w:val="0"/>
                          <w:marRight w:val="0"/>
                          <w:marTop w:val="0"/>
                          <w:marBottom w:val="0"/>
                          <w:divBdr>
                            <w:top w:val="none" w:sz="0" w:space="0" w:color="auto"/>
                            <w:left w:val="none" w:sz="0" w:space="0" w:color="auto"/>
                            <w:bottom w:val="none" w:sz="0" w:space="0" w:color="auto"/>
                            <w:right w:val="none" w:sz="0" w:space="0" w:color="auto"/>
                          </w:divBdr>
                          <w:divsChild>
                            <w:div w:id="2002997989">
                              <w:marLeft w:val="0"/>
                              <w:marRight w:val="0"/>
                              <w:marTop w:val="0"/>
                              <w:marBottom w:val="0"/>
                              <w:divBdr>
                                <w:top w:val="none" w:sz="0" w:space="0" w:color="auto"/>
                                <w:left w:val="none" w:sz="0" w:space="0" w:color="auto"/>
                                <w:bottom w:val="none" w:sz="0" w:space="0" w:color="auto"/>
                                <w:right w:val="none" w:sz="0" w:space="0" w:color="auto"/>
                              </w:divBdr>
                              <w:divsChild>
                                <w:div w:id="12316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649790">
      <w:bodyDiv w:val="1"/>
      <w:marLeft w:val="0"/>
      <w:marRight w:val="0"/>
      <w:marTop w:val="0"/>
      <w:marBottom w:val="0"/>
      <w:divBdr>
        <w:top w:val="none" w:sz="0" w:space="0" w:color="auto"/>
        <w:left w:val="none" w:sz="0" w:space="0" w:color="auto"/>
        <w:bottom w:val="none" w:sz="0" w:space="0" w:color="auto"/>
        <w:right w:val="none" w:sz="0" w:space="0" w:color="auto"/>
      </w:divBdr>
    </w:div>
    <w:div w:id="1945842527">
      <w:bodyDiv w:val="1"/>
      <w:marLeft w:val="0"/>
      <w:marRight w:val="0"/>
      <w:marTop w:val="0"/>
      <w:marBottom w:val="0"/>
      <w:divBdr>
        <w:top w:val="none" w:sz="0" w:space="0" w:color="auto"/>
        <w:left w:val="none" w:sz="0" w:space="0" w:color="auto"/>
        <w:bottom w:val="none" w:sz="0" w:space="0" w:color="auto"/>
        <w:right w:val="none" w:sz="0" w:space="0" w:color="auto"/>
      </w:divBdr>
    </w:div>
    <w:div w:id="19795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info/european-union-and-united-kingdom-forging-new-partnership/future-partnership/getting-ready-end-transition-period_c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ublications/draft-text-agreement-new-partnership-united-kingdom_en" TargetMode="External"/><Relationship Id="rId3" Type="http://schemas.openxmlformats.org/officeDocument/2006/relationships/hyperlink" Target="https://eur-lex.europa.eu/legal-content/CS/TXT/?uri=CELEX:32016L0680" TargetMode="External"/><Relationship Id="rId7" Type="http://schemas.openxmlformats.org/officeDocument/2006/relationships/hyperlink" Target="https://www.consilium.europa.eu/media/42736/st05870-ad01re03-en20.pdf" TargetMode="External"/><Relationship Id="rId2" Type="http://schemas.openxmlformats.org/officeDocument/2006/relationships/hyperlink" Target="https://eur-lex.europa.eu/legal-content/CS/TXT/?qid=1594051658864&amp;uri=CELEX:32016R0679" TargetMode="External"/><Relationship Id="rId1" Type="http://schemas.openxmlformats.org/officeDocument/2006/relationships/hyperlink" Target="https://ec.europa.eu/info/publications/draft-text-agreement-new-partnership-united-kingdom_en" TargetMode="External"/><Relationship Id="rId6" Type="http://schemas.openxmlformats.org/officeDocument/2006/relationships/hyperlink" Target="https://eur-lex.europa.eu/legal-content/CS/TXT/PDF/?uri=CELEX:52020XC0520(05)&amp;from=CS." TargetMode="External"/><Relationship Id="rId5" Type="http://schemas.openxmlformats.org/officeDocument/2006/relationships/hyperlink" Target="https://www.gov.uk/guidance/uk-tariffs-from-1-january-2021" TargetMode="External"/><Relationship Id="rId4" Type="http://schemas.openxmlformats.org/officeDocument/2006/relationships/hyperlink" Target="https://ec.europa.eu/info/sites/info/files/model-note-verbale-international-partne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101271-C2C4-4E69-BE9A-5C2C07E6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10309</Words>
  <Characters>61445</Characters>
  <Application>Microsoft Office Word</Application>
  <DocSecurity>4</DocSecurity>
  <Lines>1059</Lines>
  <Paragraphs>398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WADHWANIA Nadia (SG)</dc:creator>
  <cp:keywords/>
  <dc:description/>
  <cp:lastModifiedBy>KUDRYK Katarzyna (SG)</cp:lastModifiedBy>
  <cp:revision>2</cp:revision>
  <cp:lastPrinted>2020-07-07T16:18:00Z</cp:lastPrinted>
  <dcterms:created xsi:type="dcterms:W3CDTF">2020-09-07T14:20:00Z</dcterms:created>
  <dcterms:modified xsi:type="dcterms:W3CDTF">2020-09-07T14:20:00Z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-1631122403</vt:i4>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y fmtid="{D5CDD505-2E9C-101B-9397-08002B2CF9AE}" pid="8" name="Last edited using">
    <vt:lpwstr>LW 7.0.1, Build 20190916</vt:lpwstr>
  </property>
  <property fmtid="{D5CDD505-2E9C-101B-9397-08002B2CF9AE}" pid="9" name="Created using">
    <vt:lpwstr>LW 7.0.1, Build 20190916</vt:lpwstr>
  </property>
</Properties>
</file>