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DA32D9B-8214-422A-A37A-601050F5B9FE" style="width:450.75pt;height:434.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Gegenstand des Vorschlags</w:t>
      </w:r>
    </w:p>
    <w:p>
      <w:pPr>
        <w:rPr>
          <w:rFonts w:eastAsia="Arial Unicode MS"/>
          <w:noProof/>
        </w:rPr>
      </w:pPr>
      <w:r>
        <w:rPr>
          <w:noProof/>
        </w:rPr>
        <w:t xml:space="preserve">Dieser Vorschlag betrifft den Beschluss zur Festlegung des Standpunkts, der im Namen der Union im Gemischten Ausschuss des EU-Türkei-Abkommens im Zusammenhang mit der geplanten Annahme eines Beschlusses zur Änderung des Protokolls Nr. 1 zum EU-Türkei-Abkommen zu vertreten ist. </w:t>
      </w:r>
    </w:p>
    <w:p>
      <w:pPr>
        <w:pStyle w:val="ManualHeading1"/>
        <w:rPr>
          <w:noProof/>
        </w:rPr>
      </w:pPr>
      <w:r>
        <w:rPr>
          <w:noProof/>
        </w:rPr>
        <w:t>2.</w:t>
      </w:r>
      <w:r>
        <w:rPr>
          <w:noProof/>
        </w:rPr>
        <w:tab/>
        <w:t>Kontext des Vorschlags</w:t>
      </w:r>
    </w:p>
    <w:p>
      <w:pPr>
        <w:pStyle w:val="ManualHeading2"/>
        <w:rPr>
          <w:noProof/>
        </w:rPr>
      </w:pPr>
      <w:r>
        <w:rPr>
          <w:noProof/>
        </w:rPr>
        <w:t>2.1.</w:t>
      </w:r>
      <w:r>
        <w:rPr>
          <w:noProof/>
        </w:rPr>
        <w:tab/>
        <w:t>Das Abkommen zwischen der Europäischen Gemeinschaft für Kohle und Stahl und der Republik Türkei über den Handel mit unter den Vertrag über die Gründung der Europäischen Gemeinschaft für Kohle und Stahl fallenden Erzeugnissen</w:t>
      </w:r>
    </w:p>
    <w:p>
      <w:pPr>
        <w:rPr>
          <w:rFonts w:eastAsia="Arial Unicode MS"/>
          <w:noProof/>
        </w:rPr>
      </w:pPr>
      <w:r>
        <w:rPr>
          <w:noProof/>
        </w:rPr>
        <w:t>Das Abkommen zwischen der Europäischen Gemeinschaft für Kohle und Stahl und der Republik Türkei über den Handel mit unter den Vertrag über die Gründung der Europäischen Gemeinschaft für Kohle und Stahl fallenden Erzeugnissen</w:t>
      </w:r>
      <w:r>
        <w:rPr>
          <w:rStyle w:val="FootnoteReference"/>
          <w:noProof/>
        </w:rPr>
        <w:footnoteReference w:id="2"/>
      </w:r>
      <w:r>
        <w:rPr>
          <w:noProof/>
        </w:rPr>
        <w:t xml:space="preserve"> (im Folgenden das „Abkommen“) zielt darauf ab, die Handelshemmnisse für die unter den Vertrag über die Gründung der Europäischen Gemeinschaft für Kohle und Stahl fallenden Erzeugnisse zu beseitigen. Das Abkommen trat am 1. August 1996 in Kraft.</w:t>
      </w:r>
    </w:p>
    <w:p>
      <w:pPr>
        <w:pStyle w:val="ManualHeading2"/>
        <w:rPr>
          <w:noProof/>
        </w:rPr>
      </w:pPr>
      <w:r>
        <w:rPr>
          <w:noProof/>
        </w:rPr>
        <w:t>2.2.</w:t>
      </w:r>
      <w:r>
        <w:rPr>
          <w:noProof/>
        </w:rPr>
        <w:tab/>
        <w:t xml:space="preserve">Der Gemischte Ausschuss </w:t>
      </w:r>
    </w:p>
    <w:p>
      <w:pPr>
        <w:rPr>
          <w:rFonts w:eastAsia="Arial Unicode MS"/>
          <w:noProof/>
        </w:rPr>
      </w:pPr>
      <w:r>
        <w:rPr>
          <w:noProof/>
        </w:rPr>
        <w:t>Der gemäß Artikel 14 des Abkommens eingesetzte Gemischte Ausschuss kann beschließen, die Bestimmungen des Protokolls Nr. 1 über die Bestimmung des Begriffs „Erzeugnisse mit Ursprung in“ oder „Ursprungserzeugnisse“ und über die Methoden der Zusammenarbeit der Verwaltungen zu ändern (Artikel 39 des Protokolls Nr. 1). Die Beschlüsse und Empfehlungen des Gemischten Ausschusses werden von den beiden Vertragsparteien einvernehmlich ausgearbeitet.</w:t>
      </w:r>
    </w:p>
    <w:p>
      <w:pPr>
        <w:pStyle w:val="ManualHeading2"/>
        <w:rPr>
          <w:noProof/>
        </w:rPr>
      </w:pPr>
      <w:r>
        <w:rPr>
          <w:noProof/>
        </w:rPr>
        <w:t>2.3.</w:t>
      </w:r>
      <w:r>
        <w:rPr>
          <w:noProof/>
        </w:rPr>
        <w:tab/>
        <w:t>Der vorgesehene Rechtsakt des Gemischten Ausschusses</w:t>
      </w:r>
    </w:p>
    <w:p>
      <w:pPr>
        <w:rPr>
          <w:rFonts w:eastAsia="Arial Unicode MS"/>
          <w:noProof/>
        </w:rPr>
      </w:pPr>
      <w:r>
        <w:rPr>
          <w:noProof/>
        </w:rPr>
        <w:t>Der Gemischte Ausschuss soll in seiner nächsten Sitzung oder per Briefwechsel einen Beschluss zur Änderung der Bestimmungen des Protokolls Nr. 1 über die Bestimmung des Begriffs „Erzeugnisse mit Ursprung in“ oder „Ursprungserzeugnisse“ und über die Methoden der Zusammenarbeit der Verwaltungen (im Folgenden der „vorgesehene Rechtsakt“) annehmen.</w:t>
      </w:r>
    </w:p>
    <w:p>
      <w:pPr>
        <w:rPr>
          <w:rFonts w:eastAsia="Arial Unicode MS"/>
          <w:noProof/>
        </w:rPr>
      </w:pPr>
      <w:r>
        <w:rPr>
          <w:noProof/>
        </w:rPr>
        <w:t>Zweck des vorgesehenen Rechtsakts ist die Änderung der Bestimmungen des Protokolls Nr. 1 über die Bestimmung des Begriffs „Erzeugnisse mit Ursprung in“ oder „Ursprungserzeugnisse“ und über die Methoden der Zusammenarbeit der Verwaltungen.</w:t>
      </w:r>
    </w:p>
    <w:p>
      <w:pPr>
        <w:rPr>
          <w:noProof/>
        </w:rPr>
      </w:pPr>
      <w:r>
        <w:rPr>
          <w:noProof/>
        </w:rPr>
        <w:t xml:space="preserve">Der vorgesehene Rechtsakt wird gemäß Artikel 14 des Abkommens für die Vertragsparteien verbindlich. </w:t>
      </w:r>
    </w:p>
    <w:p>
      <w:pPr>
        <w:pStyle w:val="ManualHeading1"/>
        <w:rPr>
          <w:noProof/>
        </w:rPr>
      </w:pPr>
      <w:r>
        <w:rPr>
          <w:noProof/>
        </w:rPr>
        <w:t>3.</w:t>
      </w:r>
      <w:r>
        <w:rPr>
          <w:noProof/>
        </w:rPr>
        <w:tab/>
        <w:t xml:space="preserve">Im Namen der Union zu vertretender Standpunkt </w:t>
      </w:r>
    </w:p>
    <w:p>
      <w:pPr>
        <w:rPr>
          <w:rFonts w:eastAsia="Arial Unicode MS"/>
          <w:noProof/>
        </w:rPr>
      </w:pPr>
      <w:r>
        <w:rPr>
          <w:noProof/>
        </w:rPr>
        <w:t xml:space="preserve">Das Regionale Übereinkommen über Pan-Europa-Mittelmeer-Präferenzursprungsregeln (im Folgenden das „Übereinkommen“) legt Bestimmungen über den Ursprung von Erzeugnissen fest, die im Rahmen der jeweils zwischen den Vertragsparteien geschlossenen Abkommen </w:t>
      </w:r>
      <w:r>
        <w:rPr>
          <w:noProof/>
        </w:rPr>
        <w:lastRenderedPageBreak/>
        <w:t xml:space="preserve">gehandelt werden. Die EU und die Türkei haben das Übereinkommen am 15. Juni 2011 bzw. am 4. November 2011 unterzeichnet. </w:t>
      </w:r>
    </w:p>
    <w:p>
      <w:pPr>
        <w:rPr>
          <w:rFonts w:eastAsia="Arial Unicode MS"/>
          <w:noProof/>
        </w:rPr>
      </w:pPr>
      <w:r>
        <w:rPr>
          <w:noProof/>
        </w:rPr>
        <w:t>Die EU und die Türkei haben ihre Annahmeurkunden am 26. März 2012 bzw. am 4. Dezember 2013 beim Verwahrer des Übereinkommens hinterlegt. Daher trat das Übereinkommen gemäß seinem Artikel 10 Absatz 2 am 1. Mai 2012 für die EU und am 1. Februar 2014 für die Türkei in Kraft.</w:t>
      </w:r>
    </w:p>
    <w:p>
      <w:pPr>
        <w:rPr>
          <w:rFonts w:eastAsia="Arial Unicode MS"/>
          <w:noProof/>
        </w:rPr>
      </w:pPr>
      <w:r>
        <w:rPr>
          <w:noProof/>
        </w:rPr>
        <w:t xml:space="preserve">Nach Artikel 6 des Übereinkommens ergreift jede Vertragspartei geeignete Maßnahmen, um sicherzustellen, dass das Übereinkommen effektiv angewandt wird. Zu diesem Zweck sollte der Gemischte Ausschuss, der mit dem Abkommen zwischen der Europäischen Gemeinschaft für Kohle und Stahl und der Republik Türkei über den Handel mit unter den Vertrag über die Gründung der Europäischen Gemeinschaft für Kohle und Stahl fallenden Erzeugnissen eingesetzt wurde, einen Beschluss erlassen, mit dem die Regeln des Übereinkommens gemäß Protokoll Nr. 1 über die Bestimmung des Begriffs „Erzeugnisse mit Ursprung in“ oder „Ursprungserzeugnisse“ und über die Methoden der Zusammenarbeit der Verwaltungen festgelegt werden. Dies erfolgt durch die Einbindung einer Bezugnahme auf das Übereinkommen in das geänderte Protokoll, wodurch es anwendbar wird. </w:t>
      </w:r>
    </w:p>
    <w:p>
      <w:pPr>
        <w:rPr>
          <w:rFonts w:eastAsia="Arial Unicode MS"/>
          <w:noProof/>
        </w:rPr>
      </w:pPr>
      <w:r>
        <w:rPr>
          <w:noProof/>
        </w:rPr>
        <w:t xml:space="preserve">Zugleich ergab sich aus der derzeit laufenden Änderung des Übereinkommens eine Reihe aktualisierter, flexiblerer Ursprungsregeln. Die formelle Änderung des Übereinkommens erfordert die einstimmige Annahme durch die Vertragsparteien. Da einige Vertragsparteien noch Einwände haben, wird sich die Annahme der Änderung möglicherweise verzögern. Angesichts der Zahl der Vertragsparteien und ihrer jeweiligen internen Verfahren, die zu durchlaufen sind, damit über die förmliche Annahme abgestimmt und das Inkrafttreten der geänderten Regeln vorbereitet werden kann, ist zudem die Festlegung eines genauen Zeitrahmens für den Geltungsbeginn des geänderten Übereinkommens nicht möglich. </w:t>
      </w:r>
    </w:p>
    <w:p>
      <w:pPr>
        <w:rPr>
          <w:rFonts w:eastAsia="Arial Unicode MS"/>
          <w:noProof/>
        </w:rPr>
      </w:pPr>
      <w:r>
        <w:rPr>
          <w:noProof/>
        </w:rPr>
        <w:t xml:space="preserve">Vor diesem Hintergrund hat die Türkei beantragt, mit der Anwendung der geänderten Regeln – alternativ zu den derzeit geltenden Regeln des Übereinkommens – so bald wie möglich zu beginnen, während auf das Ergebnis des Änderungsverfahrens gewartet wird. Der betreffende Antrag wird nachstehend erläutert. </w:t>
      </w:r>
    </w:p>
    <w:p>
      <w:pPr>
        <w:rPr>
          <w:rFonts w:eastAsia="Arial Unicode MS"/>
          <w:noProof/>
        </w:rPr>
      </w:pPr>
      <w:r>
        <w:rPr>
          <w:noProof/>
        </w:rPr>
        <w:t>Diese alternativen Ursprungsregeln sind zur vorläufigen Anwendung auf fakultativer und bilateraler Basis durch die EU und die Türkei vorgesehen, solange die Änderung des Übereinkommens noch nicht abgeschlossen und in Kraft getreten ist. Sie sollen alternativ zu den Regeln des Übereinkommens gelten, da letztere die Grundsätze, die in den betreffenden Abkommen und anderen zugehörigen bilateralen Abkommen der Vertragsparteien niedergelegt sind, nicht berühren. Demzufolge werden diese Regeln nicht verpflichtend sein; sie können vielmehr von Wirtschaftsbeteiligten, die – anstelle der auf dem Übereinkommen basierenden Präferenzen – auf diesen Regeln basierende Präferenzen anwenden möchten, fakultativ angewandt werden. Durch diese Regeln soll das Übereinkommen, das für die Vertragsparteien weiterhin gelten wird, nicht geändert werden; ebenso wenig werden die im Rahmen des Übereinkommens bestehenden Rechte und Pflichten der Vertragsparteien geändert.</w:t>
      </w:r>
    </w:p>
    <w:p>
      <w:pPr>
        <w:rPr>
          <w:rFonts w:eastAsia="Arial Unicode MS"/>
          <w:noProof/>
        </w:rPr>
      </w:pPr>
      <w:r>
        <w:rPr>
          <w:noProof/>
        </w:rPr>
        <w:t>Der Standpunkt, den die EU im Gemischten Ausschuss vertritt, sollte vom Rat festgelegt werden.</w:t>
      </w:r>
    </w:p>
    <w:p>
      <w:pPr>
        <w:rPr>
          <w:rFonts w:eastAsia="Arial Unicode MS"/>
          <w:noProof/>
        </w:rPr>
      </w:pPr>
      <w:r>
        <w:rPr>
          <w:noProof/>
        </w:rPr>
        <w:t>Die vorgeschlagenen Änderungen, soweit sie sich auf das geltende Übereinkommen beziehen, sind technischer Art und berühren nicht den Inhalt des geltenden Protokolls über die Ursprungsregeln. Daher erfordern sie keine Folgenabschätzung.</w:t>
      </w:r>
    </w:p>
    <w:p>
      <w:pPr>
        <w:pStyle w:val="ManualHeading2"/>
        <w:rPr>
          <w:noProof/>
        </w:rPr>
      </w:pPr>
      <w:r>
        <w:rPr>
          <w:noProof/>
        </w:rPr>
        <w:lastRenderedPageBreak/>
        <w:t>3.1.</w:t>
      </w:r>
      <w:r>
        <w:rPr>
          <w:noProof/>
        </w:rPr>
        <w:tab/>
        <w:t>Einzelheiten zu den alternativen Ursprungsregeln</w:t>
      </w:r>
    </w:p>
    <w:p>
      <w:pPr>
        <w:rPr>
          <w:rFonts w:eastAsia="Arial Unicode MS"/>
          <w:noProof/>
        </w:rPr>
      </w:pPr>
      <w:r>
        <w:rPr>
          <w:noProof/>
        </w:rPr>
        <w:t>Die vorgeschlagenen Änderungen im Hinblick auf die Einführung alternativer Ursprungsregeln ermöglichen zusätzliche Flexibilität und Modernisierungen, denen die Union bereits in anderen bilateralen Abkommen (umfassendes Wirtschafts- und Handelsabkommen zwischen der EU und Kanada, Freihandelsabkommen EU-Vietnam, Wirtschaftspartnerschaftsabkommen EU-Japan, Wirtschaftspartnerschaftsabkommen zwischen der EU und der Entwicklungsgemeinschaft des Südlichen Afrika) oder Präferenzregelungen (Allgemeines Präferenzsystem) zugestimmt hat. Die wichtigsten Änderungen sind:</w:t>
      </w:r>
    </w:p>
    <w:p>
      <w:pPr>
        <w:pStyle w:val="Point1"/>
        <w:rPr>
          <w:noProof/>
        </w:rPr>
      </w:pPr>
      <w:r>
        <w:rPr>
          <w:noProof/>
        </w:rPr>
        <w:t>a)</w:t>
      </w:r>
      <w:r>
        <w:rPr>
          <w:noProof/>
        </w:rPr>
        <w:tab/>
        <w:t>Vollständig gewonnene oder hergestellte Erzeugnisse – „Bedingungen für Schiffe“</w:t>
      </w:r>
    </w:p>
    <w:p>
      <w:pPr>
        <w:rPr>
          <w:rFonts w:eastAsia="Arial Unicode MS"/>
          <w:noProof/>
        </w:rPr>
      </w:pPr>
      <w:r>
        <w:rPr>
          <w:noProof/>
        </w:rPr>
        <w:t>Die in den alternativen Ursprungsregeln enthaltenen Bedingungen für Schiffe sind einfacher und bieten mehr Flexibilität. Im Vergleich zum derzeitigen Wortlaut (Artikel 5) wurden einige Bedingungen gestrichen (z. B. besondere Anforderungen an die Besatzung); andere Bedingungen wurden geändert, um eine Lockerung zu ermöglichen (Eigentum).</w:t>
      </w:r>
    </w:p>
    <w:p>
      <w:pPr>
        <w:pStyle w:val="Point1"/>
        <w:rPr>
          <w:noProof/>
        </w:rPr>
      </w:pPr>
      <w:r>
        <w:rPr>
          <w:noProof/>
        </w:rPr>
        <w:t>b)</w:t>
      </w:r>
      <w:r>
        <w:rPr>
          <w:noProof/>
        </w:rPr>
        <w:tab/>
        <w:t>Ausreichende Be- oder Verarbeitung – Durchschnittswerte</w:t>
      </w:r>
    </w:p>
    <w:p>
      <w:pPr>
        <w:rPr>
          <w:rFonts w:eastAsia="Arial Unicode MS"/>
          <w:noProof/>
        </w:rPr>
      </w:pPr>
      <w:r>
        <w:rPr>
          <w:noProof/>
        </w:rPr>
        <w:t>Die vorgeschlagenen alternativen Regeln (Artikel 4) bieten dem Ausführer die Flexibilität, die Zollbehörden um eine Bewilligung zu ersuchen, den Ab-Werk-Preis und den Wert der Vormaterialien ohne Ursprungseigenschaft ausgehend von Durchschnittswerten zu berechnen, um Kosten- und Wechselkursschwankungen zu berücksichtigen. Dies dürfte den Ausführern eine bessere Vorhersagbarkeit ermöglichen.</w:t>
      </w:r>
    </w:p>
    <w:p>
      <w:pPr>
        <w:pStyle w:val="Point1"/>
        <w:rPr>
          <w:noProof/>
        </w:rPr>
      </w:pPr>
      <w:r>
        <w:rPr>
          <w:noProof/>
        </w:rPr>
        <w:t>c)</w:t>
      </w:r>
      <w:r>
        <w:rPr>
          <w:noProof/>
        </w:rPr>
        <w:tab/>
        <w:t>Toleranz</w:t>
      </w:r>
    </w:p>
    <w:p>
      <w:pPr>
        <w:rPr>
          <w:rFonts w:eastAsia="Arial Unicode MS"/>
          <w:noProof/>
        </w:rPr>
      </w:pPr>
      <w:r>
        <w:rPr>
          <w:noProof/>
        </w:rPr>
        <w:t xml:space="preserve">Die derzeit geltende Toleranz (Artikel 6) beläuft sich auf einen Gesamtwert von 10 v. H. des Ab-Werk-Preises des Erzeugnisses. </w:t>
      </w:r>
    </w:p>
    <w:p>
      <w:pPr>
        <w:rPr>
          <w:rFonts w:eastAsia="Arial Unicode MS"/>
          <w:noProof/>
        </w:rPr>
      </w:pPr>
      <w:r>
        <w:rPr>
          <w:noProof/>
        </w:rPr>
        <w:t>Der vorgeschlagene Wortlaut (Artikel 5) sieht für landwirtschaftliche Erzeugnisse eine Toleranz von 15 v. H. des Nettogewichts des Erzeugnisses und für gewerbliche Waren eine Toleranz von 15 v. H. des Ab-Werk-Preises der Ware vor.</w:t>
      </w:r>
    </w:p>
    <w:p>
      <w:pPr>
        <w:rPr>
          <w:rFonts w:eastAsia="Arial Unicode MS"/>
          <w:noProof/>
        </w:rPr>
      </w:pPr>
      <w:r>
        <w:rPr>
          <w:noProof/>
        </w:rPr>
        <w:t>Die auf Basis des Gewichts berechnete Toleranz ist ein objektiveres Kriterium, und eine Schwelle von 15 v. H. dürfte ausreichend Spielraum bieten. Sie gewährleistet zudem, dass die internationalen Preisschwankungen der Waren keine Auswirkungen auf den Ursprung landwirtschaftlicher Erzeugnisse haben.</w:t>
      </w:r>
    </w:p>
    <w:p>
      <w:pPr>
        <w:pStyle w:val="Point1"/>
        <w:rPr>
          <w:noProof/>
        </w:rPr>
      </w:pPr>
      <w:r>
        <w:rPr>
          <w:noProof/>
        </w:rPr>
        <w:t>d)</w:t>
      </w:r>
      <w:r>
        <w:rPr>
          <w:noProof/>
        </w:rPr>
        <w:tab/>
        <w:t>Kumulierung</w:t>
      </w:r>
    </w:p>
    <w:p>
      <w:pPr>
        <w:rPr>
          <w:rFonts w:eastAsia="Arial Unicode MS"/>
          <w:noProof/>
        </w:rPr>
      </w:pPr>
      <w:r>
        <w:rPr>
          <w:noProof/>
        </w:rPr>
        <w:t xml:space="preserve">Mit dem vorgeschlagenen Wortlaut (Artikel 7) wird die diagonale Kumulierung für alle Erzeugnisse beibehalten, sofern dieselben alternativen Ursprungsregeln von den an der Kumulierung beteiligten Partnern angenommen werden. Darüber hinaus ist eine allgemeine vollständige Kumulierung für alle Erzeugnisse mit Ausnahme der in den Kapiteln 50-63 des Harmonisierten Systems (HS) aufgeführten Textilien und Bekleidung vorgesehen. </w:t>
      </w:r>
    </w:p>
    <w:p>
      <w:pPr>
        <w:rPr>
          <w:rFonts w:eastAsia="Arial Unicode MS"/>
          <w:noProof/>
        </w:rPr>
      </w:pPr>
      <w:r>
        <w:rPr>
          <w:noProof/>
        </w:rPr>
        <w:t>Des Weiteren wird für Erzeugnisse der Kapitel 50-63 des HS eine bilaterale vollständige Kumulierung vorgesehen. Schließlich werden die Union und die Türkei die Möglichkeit haben, die allgemeine vollständige Kumulierung auch auf Erzeugnisse der Kapitel 50-63 des HS auszudehnen.</w:t>
      </w:r>
    </w:p>
    <w:p>
      <w:pPr>
        <w:pStyle w:val="Point1"/>
        <w:keepNext/>
        <w:ind w:left="1418"/>
        <w:rPr>
          <w:noProof/>
        </w:rPr>
      </w:pPr>
      <w:r>
        <w:rPr>
          <w:noProof/>
        </w:rPr>
        <w:t>e)</w:t>
      </w:r>
      <w:r>
        <w:rPr>
          <w:noProof/>
        </w:rPr>
        <w:tab/>
        <w:t>Buchmäßige Trennung</w:t>
      </w:r>
    </w:p>
    <w:p>
      <w:pPr>
        <w:rPr>
          <w:rFonts w:eastAsia="Arial Unicode MS"/>
          <w:noProof/>
        </w:rPr>
      </w:pPr>
      <w:r>
        <w:rPr>
          <w:noProof/>
        </w:rPr>
        <w:t xml:space="preserve">Nach den geltenden Regeln (Artikel 20 des Übereinkommens) können die Zollbehörden eine Bewilligung zur buchmäßigen Trennung erteilen, wenn „die getrennte Lagerung [...] mit </w:t>
      </w:r>
      <w:r>
        <w:rPr>
          <w:noProof/>
        </w:rPr>
        <w:lastRenderedPageBreak/>
        <w:t>erheblichen Kosten oder tatsächlichen Schwierigkeiten verbunden“ ist. Die geänderte Regel (Artikel 12) sieht vor, dass die Zollbehörden die buchmäßige Trennung bewilligen können, „wenn austauschbare Vormaterialien mit oder ohne Ursprungseigenschaft verwendet werden“.</w:t>
      </w:r>
    </w:p>
    <w:p>
      <w:pPr>
        <w:rPr>
          <w:rFonts w:eastAsia="Arial Unicode MS"/>
          <w:noProof/>
        </w:rPr>
      </w:pPr>
      <w:r>
        <w:rPr>
          <w:noProof/>
        </w:rPr>
        <w:t>Ein Einführer wird beim Antrag auf eine Bewilligung zur buchmäßigen Trennung nicht mehr begründen müssen, dass die getrennte Lagerung mit erheblichen Kosten oder tatsächlichen Schwierigkeiten verbunden ist; es wird ausreichen, anzugeben, dass austauschbare Vormaterialien verwendet werden.</w:t>
      </w:r>
    </w:p>
    <w:p>
      <w:pPr>
        <w:rPr>
          <w:rFonts w:eastAsia="Arial Unicode MS"/>
          <w:noProof/>
        </w:rPr>
      </w:pPr>
      <w:r>
        <w:rPr>
          <w:noProof/>
        </w:rPr>
        <w:t>Im Fall von Zucker, bei dem es sich um ein Vormaterial oder ein Enderzeugnis handeln kann, brauchen Ursprungserzeugnisse und Nichtursprungserzeugnisse nicht mehr getrennt gelagert zu werden.</w:t>
      </w:r>
    </w:p>
    <w:p>
      <w:pPr>
        <w:pStyle w:val="Point1"/>
        <w:rPr>
          <w:noProof/>
        </w:rPr>
      </w:pPr>
      <w:r>
        <w:rPr>
          <w:noProof/>
        </w:rPr>
        <w:t>f)</w:t>
      </w:r>
      <w:r>
        <w:rPr>
          <w:noProof/>
        </w:rPr>
        <w:tab/>
        <w:t>Territorialitätsprinzip</w:t>
      </w:r>
    </w:p>
    <w:p>
      <w:pPr>
        <w:rPr>
          <w:rFonts w:eastAsia="Arial Unicode MS"/>
          <w:noProof/>
        </w:rPr>
      </w:pPr>
      <w:r>
        <w:rPr>
          <w:noProof/>
        </w:rPr>
        <w:t>Die geltenden Regeln (Artikel 12) erlauben, dass unter bestimmten Bedingungen eine gewisse Be- oder Verarbeitung außerhalb des Territoriums erfolgen darf, ausgenommen Erzeugnisse der Kapitel 50-63 des HS, wie zum Beispiel Textilien. Die vorgeschlagenen Regeln (Artikel 12) sehen den Ausschluss von Textilien nicht länger vor.</w:t>
      </w:r>
    </w:p>
    <w:p>
      <w:pPr>
        <w:pStyle w:val="Point1"/>
        <w:rPr>
          <w:noProof/>
        </w:rPr>
      </w:pPr>
      <w:r>
        <w:rPr>
          <w:noProof/>
        </w:rPr>
        <w:t>g)</w:t>
      </w:r>
      <w:r>
        <w:rPr>
          <w:noProof/>
        </w:rPr>
        <w:tab/>
        <w:t>Nichtveränderung</w:t>
      </w:r>
    </w:p>
    <w:p>
      <w:pPr>
        <w:rPr>
          <w:rFonts w:eastAsia="Arial Unicode MS"/>
          <w:noProof/>
        </w:rPr>
      </w:pPr>
      <w:r>
        <w:rPr>
          <w:noProof/>
        </w:rPr>
        <w:t>Die vorgeschlagene Nichtveränderungsregel (Artikel 14) sieht mehr Spielraum bei der Verbringung von Ursprungserzeugnissen zwischen Vertragsparteien vor. Hierdurch sollen Situationen vermieden werden, in denen Erzeugnisse, deren Ursprungseigenschaft unstrittig ist, bei der Einfuhr vom Präferenzzollsatz ausgeschlossen sind, da die formalen Anforderungen bezüglich der unmittelbaren Beförderung nicht erfüllt wurden.</w:t>
      </w:r>
    </w:p>
    <w:p>
      <w:pPr>
        <w:pStyle w:val="Point1"/>
        <w:rPr>
          <w:noProof/>
        </w:rPr>
      </w:pPr>
      <w:r>
        <w:rPr>
          <w:noProof/>
        </w:rPr>
        <w:t>h)</w:t>
      </w:r>
      <w:r>
        <w:rPr>
          <w:noProof/>
        </w:rPr>
        <w:tab/>
        <w:t>Verbot der Zollrückvergütung oder Zollbefreiung</w:t>
      </w:r>
    </w:p>
    <w:p>
      <w:pPr>
        <w:rPr>
          <w:rFonts w:eastAsia="Arial Unicode MS"/>
          <w:noProof/>
        </w:rPr>
      </w:pPr>
      <w:r>
        <w:rPr>
          <w:noProof/>
        </w:rPr>
        <w:t xml:space="preserve">Nach den derzeitigen Regeln (Artikel 15) gilt der allgemeine Grundsatz des Verbots der Zollrückvergütung für Vormaterialien, die bei der Herstellung jeglicher Erzeugnisse verwendet werden. Mit den vorgeschlagenen Regeln (Artikel 16) wird das Verbot in Bezug auf alle Erzeugnisse gestrichen, ausgenommen Vormaterialien, die bei der Herstellung von Erzeugnissen der Kapitel 50-63 des HS verwendet werden. Allerdings sind auch einige Ausnahmen vom Verbot der Zollrückvergütung bei diesen Erzeugnissen vorgesehen. </w:t>
      </w:r>
    </w:p>
    <w:p>
      <w:pPr>
        <w:pStyle w:val="Point1"/>
        <w:rPr>
          <w:noProof/>
        </w:rPr>
      </w:pPr>
      <w:r>
        <w:rPr>
          <w:noProof/>
        </w:rPr>
        <w:t>i)</w:t>
      </w:r>
      <w:r>
        <w:rPr>
          <w:noProof/>
        </w:rPr>
        <w:tab/>
        <w:t>Ursprungsnachweis</w:t>
      </w:r>
    </w:p>
    <w:p>
      <w:pPr>
        <w:rPr>
          <w:rFonts w:eastAsia="Arial Unicode MS"/>
          <w:noProof/>
        </w:rPr>
      </w:pPr>
      <w:r>
        <w:rPr>
          <w:noProof/>
        </w:rPr>
        <w:t>Es wird ein einziger Ursprungsnachweis (EUR.1 oder Ursprungserklärung) anstelle des Doppelansatzes (EUR.1 und EUR.MED) eingeführt, was das System erheblich vereinfacht. Dies dürfte die Einhaltung seitens der Wirtschaftsbeteiligten verbessern, da Fehler aufgrund komplexer Regeln vermieden werden, und außerdem die Verwaltung durch die Zollbehörden erleichtern. Ferner dürften die Möglichkeiten einer Überprüfung der Ursprungsnachweise hierdurch nicht beeinträchtigt werden und in gleicher Weise fortbestehen.</w:t>
      </w:r>
    </w:p>
    <w:p>
      <w:pPr>
        <w:rPr>
          <w:rFonts w:eastAsia="Arial Unicode MS"/>
          <w:noProof/>
        </w:rPr>
      </w:pPr>
      <w:r>
        <w:rPr>
          <w:noProof/>
        </w:rPr>
        <w:t>Die geänderten Regeln (Artikel 17) umfassen auch die Option, sich auf die Anwendung eines Systems registrierter Ausführer zu einigen. Diese in einer gemeinsamen Datenbank registrierten Ausführer werden dafür verantwortlich sein, Erklärungen zum Ursprung auszufertigen, ohne das Verfahren zur Bewilligung des Status eines ermächtigten Ausführers durchlaufen zu haben. Die Erklärung zum Ursprung wird denselben rechtlichen Wert haben wie die Ursprungserklärung oder die Warenverkehrsbescheinigung EUR.1.</w:t>
      </w:r>
    </w:p>
    <w:p>
      <w:pPr>
        <w:rPr>
          <w:rFonts w:eastAsia="Arial Unicode MS"/>
          <w:noProof/>
        </w:rPr>
      </w:pPr>
      <w:r>
        <w:rPr>
          <w:noProof/>
        </w:rPr>
        <w:t>Ferner sehen die geänderten Regeln die Option vor, sich auf die Verwendung eines elektronisch ausgestellten und/oder übermittelten Ursprungsnachweises zu einigen.</w:t>
      </w:r>
    </w:p>
    <w:p>
      <w:pPr>
        <w:rPr>
          <w:rFonts w:eastAsia="Arial Unicode MS"/>
          <w:noProof/>
        </w:rPr>
      </w:pPr>
      <w:r>
        <w:rPr>
          <w:noProof/>
        </w:rPr>
        <w:lastRenderedPageBreak/>
        <w:t>Damit zwischen Erzeugnissen mit Ursprungseigenschaft gemäß den alternativen Regeln und Erzeugnissen mit Ursprungseigenschaft gemäß dem Übereinkommen unterschieden werden kann, müssen auf den alternativen Regeln basierende Ursprungszeugnisse oder Erklärungen auf der Rechnung einen Verweis auf die angewandten Regeln enthalten.</w:t>
      </w:r>
    </w:p>
    <w:p>
      <w:pPr>
        <w:pStyle w:val="Point1"/>
        <w:rPr>
          <w:noProof/>
        </w:rPr>
      </w:pPr>
      <w:r>
        <w:rPr>
          <w:noProof/>
        </w:rPr>
        <w:t>j)</w:t>
      </w:r>
      <w:r>
        <w:rPr>
          <w:noProof/>
        </w:rPr>
        <w:tab/>
        <w:t>Geltungsdauer der Ursprungsnachweise</w:t>
      </w:r>
    </w:p>
    <w:p>
      <w:pPr>
        <w:rPr>
          <w:rFonts w:eastAsia="Arial Unicode MS"/>
          <w:noProof/>
        </w:rPr>
      </w:pPr>
      <w:r>
        <w:rPr>
          <w:noProof/>
        </w:rPr>
        <w:t>Es wird vorgeschlagen, die Geltungsdauer eines Ursprungsnachweises von vier auf zehn Monate zu verlängern. Dies dürfte ebenfalls mehr Spielraum bei der Verbringung von Ursprungserzeugnissen zwischen Vertragsparteien bieten.</w:t>
      </w:r>
    </w:p>
    <w:p>
      <w:pPr>
        <w:pStyle w:val="ManualHeading2"/>
        <w:rPr>
          <w:noProof/>
        </w:rPr>
      </w:pPr>
      <w:r>
        <w:rPr>
          <w:noProof/>
        </w:rPr>
        <w:t>3.2.</w:t>
      </w:r>
      <w:r>
        <w:rPr>
          <w:noProof/>
        </w:rPr>
        <w:tab/>
        <w:t>Listenregeln</w:t>
      </w:r>
    </w:p>
    <w:p>
      <w:pPr>
        <w:pStyle w:val="ManualHeading3"/>
        <w:rPr>
          <w:noProof/>
        </w:rPr>
      </w:pPr>
      <w:r>
        <w:rPr>
          <w:noProof/>
        </w:rPr>
        <w:t>3.2.1.</w:t>
      </w:r>
      <w:r>
        <w:rPr>
          <w:noProof/>
        </w:rPr>
        <w:tab/>
        <w:t>Landwirtschaftliche Erzeugnisse</w:t>
      </w:r>
    </w:p>
    <w:p>
      <w:pPr>
        <w:pStyle w:val="Point1"/>
        <w:rPr>
          <w:noProof/>
        </w:rPr>
      </w:pPr>
      <w:r>
        <w:rPr>
          <w:noProof/>
        </w:rPr>
        <w:t>a)</w:t>
      </w:r>
      <w:r>
        <w:rPr>
          <w:noProof/>
        </w:rPr>
        <w:tab/>
        <w:t>Wert und Gewicht</w:t>
      </w:r>
    </w:p>
    <w:p>
      <w:pPr>
        <w:rPr>
          <w:rFonts w:eastAsia="Arial Unicode MS"/>
          <w:noProof/>
        </w:rPr>
      </w:pPr>
      <w:r>
        <w:rPr>
          <w:noProof/>
        </w:rPr>
        <w:t xml:space="preserve">Die Begrenzung für Vormaterialien ohne Ursprungseigenschaft wurde nur in Form des Wertes ausgedrückt. Die neuen Begrenzungen sind in Gewicht ausgedrückt, um Preis- und Wechselkursschwankungen zu vermeiden (z. B. ex Kapitel 19, 20, 2105, 2106); für Zucker werden bestimmte Begrenzungen gestrichen (z. B. Kapitel 8 oder HS 2202). </w:t>
      </w:r>
    </w:p>
    <w:p>
      <w:pPr>
        <w:rPr>
          <w:rFonts w:eastAsia="Arial Unicode MS"/>
          <w:noProof/>
        </w:rPr>
      </w:pPr>
      <w:r>
        <w:rPr>
          <w:noProof/>
        </w:rPr>
        <w:t>Mit den alternativen Regeln wurde die Begrenzung für das Gewicht angehoben (von 20 v. H. auf 40 v. H.) und bei einigen Positionen die Möglichkeit vorgesehen, zwischen Wert und Gewicht zu wählen. Von der Änderung sind insbesondere folgende HS-Kapitel und ‑Positionen betroffen: ex 1302, 1704 (entweder Regel für Gewicht oder für Wert), 18 (1806: entweder Regel für Gewicht oder für Wert), 1901.</w:t>
      </w:r>
    </w:p>
    <w:p>
      <w:pPr>
        <w:pStyle w:val="Point1"/>
        <w:rPr>
          <w:noProof/>
        </w:rPr>
      </w:pPr>
      <w:r>
        <w:rPr>
          <w:noProof/>
        </w:rPr>
        <w:t>b)</w:t>
      </w:r>
      <w:r>
        <w:rPr>
          <w:noProof/>
        </w:rPr>
        <w:tab/>
        <w:t>Anpassung an Beschaffungsmuster</w:t>
      </w:r>
    </w:p>
    <w:p>
      <w:pPr>
        <w:rPr>
          <w:rFonts w:eastAsia="Arial Unicode MS"/>
          <w:noProof/>
        </w:rPr>
      </w:pPr>
      <w:r>
        <w:rPr>
          <w:noProof/>
        </w:rPr>
        <w:t>Für andere landwirtschaftliche Erzeugnisse (nämlich pflanzliche Öle, Nüsse, Tabak) sind flexiblere, an die wirtschaftliche Realität angepasste Regeln vorgesehen; dies betrifft vor allem die HS-Kapitel 14, 15, 20 (einschließlich Position 2008), 23 und 24. Durch die alternativen Regeln wird ein Gleichgewicht zwischen regionaler und globaler Beschaffung wie für die Kapitel 9 und 12 erzielt. Zudem wurden die Regeln in den Kapiteln 4, 5, 6, 8, 11 und ex-13 vereinfacht (Abbau von Ausnahmen).</w:t>
      </w:r>
    </w:p>
    <w:p>
      <w:pPr>
        <w:pStyle w:val="ManualHeading3"/>
        <w:rPr>
          <w:noProof/>
        </w:rPr>
      </w:pPr>
      <w:r>
        <w:rPr>
          <w:noProof/>
        </w:rPr>
        <w:t>3.2.2.</w:t>
      </w:r>
      <w:r>
        <w:rPr>
          <w:noProof/>
        </w:rPr>
        <w:tab/>
        <w:t>Gewerbliche Waren (ausgenommen Textilien)</w:t>
      </w:r>
    </w:p>
    <w:p>
      <w:pPr>
        <w:rPr>
          <w:rFonts w:eastAsia="Arial Unicode MS"/>
          <w:noProof/>
        </w:rPr>
      </w:pPr>
      <w:r>
        <w:rPr>
          <w:noProof/>
        </w:rPr>
        <w:t xml:space="preserve">Der vorgeschlagene Kompromiss umfasst beträchtliche Änderungen gegenüber den geltenden Regeln: </w:t>
      </w:r>
    </w:p>
    <w:p>
      <w:pPr>
        <w:rPr>
          <w:rFonts w:eastAsia="Arial Unicode MS"/>
          <w:noProof/>
        </w:rPr>
      </w:pPr>
      <w:r>
        <w:rPr>
          <w:noProof/>
        </w:rPr>
        <w:t>- Für eine Reihe von Waren sieht die geltende Regel für das Kapitel eine doppelte Kumulierung als Voraussetzung vor. Dies wird zu einer einzigen Voraussetzung zusammengeführt (HS-Kapitel 74, 75, 76, 78 und 79);</w:t>
      </w:r>
    </w:p>
    <w:p>
      <w:pPr>
        <w:rPr>
          <w:rFonts w:eastAsia="Arial Unicode MS"/>
          <w:noProof/>
        </w:rPr>
      </w:pPr>
      <w:r>
        <w:rPr>
          <w:noProof/>
        </w:rPr>
        <w:t>- eine große Zahl besonderer Regeln mit Abweichungen von der Regel für das Kapitel wurde gestrichen (HS-Kapitel 28, 35, 37, 38 und 83). Dieser breitere Ansatz schafft ein einfacheres Bild für Wirtschaftsbeteiligte und Zollbehörden;</w:t>
      </w:r>
    </w:p>
    <w:p>
      <w:pPr>
        <w:rPr>
          <w:rFonts w:eastAsia="Arial Unicode MS"/>
          <w:noProof/>
        </w:rPr>
      </w:pPr>
      <w:r>
        <w:rPr>
          <w:noProof/>
        </w:rPr>
        <w:t>- die Einbindung einer alternativen Regel in die derzeitige Regel für das Kapitel bietet dem Ausführer mehr Auswahl bei der Erfüllung des Ursprungskriteriums (Kapitel 27, 40, 42, 44, 70 sowie 83, 84 und 85).</w:t>
      </w:r>
    </w:p>
    <w:p>
      <w:pPr>
        <w:rPr>
          <w:rFonts w:eastAsia="Arial Unicode MS"/>
          <w:noProof/>
        </w:rPr>
      </w:pPr>
      <w:r>
        <w:rPr>
          <w:noProof/>
        </w:rPr>
        <w:t xml:space="preserve">Aus all diesen Änderungen ergeben sich aktualisierte, modernisierte Listenregeln, die es generell einfacher machen, das Kriterium für die Verleihung der Ursprungseigenschaft an ein Erzeugnis zu erfüllen. Des Weiteren stellt die oben dargelegte Möglichkeit, den Ab-Werk-Preis und den Wert der Vormaterialien ohne Ursprungseigenschaft anhand von </w:t>
      </w:r>
      <w:r>
        <w:rPr>
          <w:noProof/>
        </w:rPr>
        <w:lastRenderedPageBreak/>
        <w:t>Durchschnittswerten über einen bestimmten Zeitraum zu berechnen, eine weitere Vereinfachung für die Ausführer dar.</w:t>
      </w:r>
    </w:p>
    <w:p>
      <w:pPr>
        <w:pStyle w:val="ManualHeading3"/>
        <w:rPr>
          <w:noProof/>
        </w:rPr>
      </w:pPr>
      <w:r>
        <w:rPr>
          <w:noProof/>
        </w:rPr>
        <w:t>3.2.3.</w:t>
      </w:r>
      <w:r>
        <w:rPr>
          <w:noProof/>
        </w:rPr>
        <w:tab/>
        <w:t>Textilien</w:t>
      </w:r>
    </w:p>
    <w:p>
      <w:pPr>
        <w:rPr>
          <w:rFonts w:eastAsia="Arial Unicode MS"/>
          <w:noProof/>
        </w:rPr>
      </w:pPr>
      <w:r>
        <w:rPr>
          <w:noProof/>
        </w:rPr>
        <w:t>Was Textilien und Kleidung anbelangt, so wurden neue Optionen im Hinblick auf passive Veredelung und auf Toleranzen vorgesehen. Außerdem wurden für diese Erzeugnisse neue Verfahren zur Verleihung der Ursprungseigenschaft eingeführt, insbesondere für Gewebe, die leichter verfügbar würden. Schließlich wird die vollständige bilaterale Kumulierung auch für diese Erzeugnisse gelten. Eine solche Kumulierung wird es ermöglichen, die Verarbeitung textiler Vormaterialien (z. B. Weben oder Spinnen) beim Herstellungsverfahren in der Kumulierungszone zu berücksichtigen.</w:t>
      </w:r>
    </w:p>
    <w:p>
      <w:pPr>
        <w:pStyle w:val="ManualHeading1"/>
        <w:rPr>
          <w:noProof/>
        </w:rPr>
      </w:pPr>
      <w:r>
        <w:rPr>
          <w:noProof/>
        </w:rPr>
        <w:t>4.</w:t>
      </w:r>
      <w:r>
        <w:rPr>
          <w:noProof/>
        </w:rPr>
        <w:tab/>
        <w:t>Rechtsgrundlage</w:t>
      </w:r>
    </w:p>
    <w:p>
      <w:pPr>
        <w:pStyle w:val="ManualHeading2"/>
        <w:rPr>
          <w:noProof/>
        </w:rPr>
      </w:pPr>
      <w:r>
        <w:rPr>
          <w:noProof/>
        </w:rPr>
        <w:t>4,1.</w:t>
      </w:r>
      <w:r>
        <w:rPr>
          <w:noProof/>
        </w:rPr>
        <w:tab/>
        <w:t>Verfahrensrechtliche Grundlage</w:t>
      </w:r>
    </w:p>
    <w:p>
      <w:pPr>
        <w:pStyle w:val="ManualHeading3"/>
        <w:rPr>
          <w:noProof/>
        </w:rPr>
      </w:pPr>
      <w:r>
        <w:rPr>
          <w:noProof/>
        </w:rPr>
        <w:t>4.1.1.</w:t>
      </w:r>
      <w:r>
        <w:rPr>
          <w:noProof/>
        </w:rPr>
        <w:tab/>
        <w:t>Grundsätze</w:t>
      </w:r>
    </w:p>
    <w:p>
      <w:pPr>
        <w:rPr>
          <w:noProof/>
        </w:rPr>
      </w:pPr>
      <w:r>
        <w:rPr>
          <w:noProof/>
        </w:rPr>
        <w:t>Nach Artikel 218 Absatz 9 des Vertrags über die Arbeitsweise der Europäischen Union (AEUV) werden die „</w:t>
      </w:r>
      <w:r>
        <w:rPr>
          <w:i/>
          <w:noProof/>
        </w:rPr>
        <w:t>Standpunkte, die im Namen der Union in einem durch eine Übereinkunft eingesetzten Gremium zu vertreten sind, sofern dieses Gremium rechtswirksame Akte, mit Ausnahme von Rechtsakten zur Ergänzung oder Änderung des institutionellen Rahmens der betreffenden Übereinkunft, zu erlassen hat</w:t>
      </w:r>
      <w:r>
        <w:rPr>
          <w:noProof/>
        </w:rPr>
        <w:t>“, mit Beschlüssen festgelegt.</w:t>
      </w:r>
    </w:p>
    <w:p>
      <w:pPr>
        <w:rPr>
          <w:noProof/>
        </w:rPr>
      </w:pPr>
      <w:r>
        <w:rPr>
          <w:noProof/>
        </w:rPr>
        <w:t>Der Begriff „</w:t>
      </w:r>
      <w:r>
        <w:rPr>
          <w:i/>
          <w:noProof/>
        </w:rPr>
        <w:t>rechtswirksame Akte</w:t>
      </w:r>
      <w:r>
        <w:rPr>
          <w:noProof/>
        </w:rPr>
        <w:t>“ erfasst auch Akte, die kraft völkerrechtlicher Regelungen, denen das jeweilige Gremium unterliegt, Rechtswirkung entfalten. Darunter fallen auch Instrumente, die völkerrechtlich nicht bindend, aber geeignet sind, „</w:t>
      </w:r>
      <w:r>
        <w:rPr>
          <w:i/>
          <w:noProof/>
        </w:rPr>
        <w:t>den Inhalt der vom Unionsgesetzgeber […] erlassenen Regelung maßgeblich zu beeinflussen</w:t>
      </w:r>
      <w:r>
        <w:rPr>
          <w:noProof/>
        </w:rPr>
        <w:t>“</w:t>
      </w:r>
      <w:r>
        <w:rPr>
          <w:rStyle w:val="FootnoteReference"/>
          <w:noProof/>
        </w:rPr>
        <w:footnoteReference w:id="3"/>
      </w:r>
      <w:r>
        <w:rPr>
          <w:noProof/>
        </w:rPr>
        <w:t>.</w:t>
      </w:r>
    </w:p>
    <w:p>
      <w:pPr>
        <w:pStyle w:val="ManualHeading3"/>
        <w:rPr>
          <w:noProof/>
        </w:rPr>
      </w:pPr>
      <w:r>
        <w:rPr>
          <w:noProof/>
        </w:rPr>
        <w:t>4.1.2.</w:t>
      </w:r>
      <w:r>
        <w:rPr>
          <w:noProof/>
        </w:rPr>
        <w:tab/>
        <w:t>Anwendung auf den vorliegenden Fall</w:t>
      </w:r>
    </w:p>
    <w:p>
      <w:pPr>
        <w:rPr>
          <w:noProof/>
        </w:rPr>
      </w:pPr>
      <w:r>
        <w:rPr>
          <w:noProof/>
        </w:rPr>
        <w:t>Der Gemischte Ausschuss ist ein durch ein Abkommen eingesetztes Gremium, nämlich durch das Abkommen zwischen der Europäischen Gemeinschaft für Kohle und Stahl und der Republik Türkei über den Handel mit unter den Vertrag über die Gründung der Europäischen Gemeinschaft für Kohle und Stahl fallenden Erzeugnissen.</w:t>
      </w:r>
    </w:p>
    <w:p>
      <w:pPr>
        <w:rPr>
          <w:noProof/>
        </w:rPr>
      </w:pPr>
      <w:r>
        <w:rPr>
          <w:noProof/>
        </w:rPr>
        <w:t xml:space="preserve">Bei dem Akt, den der Gemischte Ausschuss annehmen soll, handelt es sich um einen rechtswirksamen Akt. Der vorgesehene Rechtsakt wird gemäß Artikel 14 des Abkommens völkerrechtlich bindend sein. </w:t>
      </w:r>
    </w:p>
    <w:p>
      <w:pPr>
        <w:rPr>
          <w:noProof/>
        </w:rPr>
      </w:pPr>
      <w:r>
        <w:rPr>
          <w:noProof/>
        </w:rPr>
        <w:t>Mit dem vorgesehenen Rechtsakt wird der institutionelle Rahmen des Abkommens weder ergänzt noch geändert.</w:t>
      </w:r>
    </w:p>
    <w:p>
      <w:pPr>
        <w:rPr>
          <w:noProof/>
        </w:rPr>
      </w:pPr>
      <w:r>
        <w:rPr>
          <w:noProof/>
        </w:rPr>
        <w:t>Somit ist Artikel 218 Absatz 9 AEUV die verfahrensrechtliche Grundlage für den vorgeschlagenen Beschluss.</w:t>
      </w:r>
    </w:p>
    <w:p>
      <w:pPr>
        <w:pStyle w:val="ManualHeading2"/>
        <w:rPr>
          <w:noProof/>
        </w:rPr>
      </w:pPr>
      <w:r>
        <w:rPr>
          <w:noProof/>
        </w:rPr>
        <w:t>4.2.</w:t>
      </w:r>
      <w:r>
        <w:rPr>
          <w:noProof/>
        </w:rPr>
        <w:tab/>
        <w:t>Materielle Rechtsgrundlage</w:t>
      </w:r>
    </w:p>
    <w:p>
      <w:pPr>
        <w:pStyle w:val="ManualHeading3"/>
        <w:rPr>
          <w:noProof/>
        </w:rPr>
      </w:pPr>
      <w:r>
        <w:rPr>
          <w:noProof/>
        </w:rPr>
        <w:t>4.2.1.</w:t>
      </w:r>
      <w:r>
        <w:rPr>
          <w:noProof/>
        </w:rPr>
        <w:tab/>
        <w:t>Grundsätze</w:t>
      </w:r>
    </w:p>
    <w:p>
      <w:pPr>
        <w:rPr>
          <w:noProof/>
        </w:rPr>
      </w:pPr>
      <w:r>
        <w:rPr>
          <w:noProof/>
        </w:rPr>
        <w:t xml:space="preserve">Die materielle Rechtsgrundlage für einen Beschluss nach Artikel 218 Absatz 9 AEUV hängt in erster Linie von Ziel und Inhalt des vorgesehenen Rechtsakts ab, zu dem ein im Namen der Union zu vertretender Standpunkt festgelegt wird. </w:t>
      </w:r>
    </w:p>
    <w:p>
      <w:pPr>
        <w:pStyle w:val="ManualHeading3"/>
        <w:rPr>
          <w:noProof/>
        </w:rPr>
      </w:pPr>
      <w:r>
        <w:rPr>
          <w:noProof/>
        </w:rPr>
        <w:lastRenderedPageBreak/>
        <w:t>4.2.2.</w:t>
      </w:r>
      <w:r>
        <w:rPr>
          <w:noProof/>
        </w:rPr>
        <w:tab/>
        <w:t>Anwendung auf den vorliegenden Fall</w:t>
      </w:r>
    </w:p>
    <w:p>
      <w:pPr>
        <w:rPr>
          <w:noProof/>
        </w:rPr>
      </w:pPr>
      <w:r>
        <w:rPr>
          <w:noProof/>
        </w:rPr>
        <w:t>Hauptziel und -inhalt des vorgesehenen Rechtsakts betreffen die gemeinsame Handelspolitik.</w:t>
      </w:r>
    </w:p>
    <w:p>
      <w:pPr>
        <w:rPr>
          <w:i/>
          <w:noProof/>
        </w:rPr>
      </w:pPr>
      <w:r>
        <w:rPr>
          <w:noProof/>
        </w:rPr>
        <w:t>Somit ist Artikel 207 Absatz 4 Unterabsatz 1 AEUV die materielle Rechtsgrundlage für den vorgeschlagenen Beschluss.</w:t>
      </w:r>
    </w:p>
    <w:p>
      <w:pPr>
        <w:pStyle w:val="ManualHeading2"/>
        <w:rPr>
          <w:noProof/>
        </w:rPr>
      </w:pPr>
      <w:r>
        <w:rPr>
          <w:noProof/>
        </w:rPr>
        <w:t>4.3.</w:t>
      </w:r>
      <w:r>
        <w:rPr>
          <w:noProof/>
        </w:rPr>
        <w:tab/>
        <w:t>Schlussfolgerung</w:t>
      </w:r>
    </w:p>
    <w:p>
      <w:pPr>
        <w:rPr>
          <w:noProof/>
        </w:rPr>
      </w:pPr>
      <w:r>
        <w:rPr>
          <w:noProof/>
        </w:rPr>
        <w:t>Die Rechtsgrundlage für den vorgeschlagenen Beschluss sollte Artikel 207 Absatz 4 Unterabsatz 1 in Verbindung mit Artikel 218 Absatz 9 AEUV sein.</w:t>
      </w:r>
    </w:p>
    <w:p>
      <w:pPr>
        <w:pStyle w:val="ManualHeading1"/>
        <w:rPr>
          <w:noProof/>
        </w:rPr>
      </w:pPr>
      <w:r>
        <w:rPr>
          <w:noProof/>
        </w:rPr>
        <w:t>5.</w:t>
      </w:r>
      <w:r>
        <w:rPr>
          <w:noProof/>
        </w:rPr>
        <w:tab/>
        <w:t>Auswirkungen auf den Haushalt</w:t>
      </w:r>
    </w:p>
    <w:p>
      <w:pPr>
        <w:rPr>
          <w:noProof/>
        </w:rPr>
      </w:pPr>
      <w:r>
        <w:rPr>
          <w:noProof/>
        </w:rPr>
        <w:t>Mit den vorgeschlagenen Änderungen zur Einführung alternativer Ursprungsregeln wird eine Modernisierung der Ursprungsregeln bezweckt, um diese an neue Tendenzen anzupassen, die durch kürzlich abgeschlossene Freihandelsabkommen entstanden sind.  Die geänderten Regeln des Übereinkommens umfassen vorwiegend Vereinfachungen der Zollverfahren und Modernisierungen, wie beispielsweise:</w:t>
      </w:r>
    </w:p>
    <w:p>
      <w:pPr>
        <w:rPr>
          <w:noProof/>
        </w:rPr>
      </w:pPr>
      <w:r>
        <w:rPr>
          <w:noProof/>
        </w:rPr>
        <w:t>Ausreichende Be- oder Verarbeitung – Durchschnittswerte: Indem der Ab-Werk-Preis und der Wert von Vormaterialien ohne Ursprungseigenschaft ausgehend von Durchschnittswerten unter Berücksichtigung der Marktschwankungen berechnet wird, wird den Ausführern eine bessere Vorhersagbarkeit ermöglicht.</w:t>
      </w:r>
    </w:p>
    <w:p>
      <w:pPr>
        <w:rPr>
          <w:noProof/>
        </w:rPr>
      </w:pPr>
      <w:r>
        <w:rPr>
          <w:noProof/>
        </w:rPr>
        <w:t>Ursprungsnachweis: Dieser wird vereinfacht, da künftig nur eine Ursprungsbescheinigung verwendet wird (EUR.1).</w:t>
      </w:r>
    </w:p>
    <w:p>
      <w:pPr>
        <w:rPr>
          <w:noProof/>
        </w:rPr>
      </w:pPr>
      <w:r>
        <w:rPr>
          <w:noProof/>
        </w:rPr>
        <w:t>Geltungsdauer der Ursprungsnachweise: Hier wird mehr Spielraum bei der Verbringung von Ursprungserzeugnissen geschaffen, indem die Geltungsdauer von 4 Monaten auf 10 Monate erhöht wird.</w:t>
      </w:r>
    </w:p>
    <w:p>
      <w:pPr>
        <w:rPr>
          <w:noProof/>
        </w:rPr>
      </w:pPr>
      <w:r>
        <w:rPr>
          <w:noProof/>
        </w:rPr>
        <w:t>Die Änderungen des Übereinkommens haben keine messbaren Auswirkungen auf den EU</w:t>
      </w:r>
      <w:r>
        <w:rPr>
          <w:noProof/>
        </w:rPr>
        <w:noBreakHyphen/>
        <w:t>Haushalt, da sie hauptsächlich die Erleichterung des Handels und die Konsolidierung moderner Praktiken durch die Zollbehörden betreffen. Sie sehen fakultative Erleichterungen in den Bereichen vor, die weiterhin in die Zuständigkeit der Behörden fallen, ohne den Kern der Regeln zu verändern (buchmäßige Trennung, Ursprungsnachweise, Durchschnittswerte). Einige Aspekte der Vereinfachung (z. B. die Reduzierung der Kriterien für Schiffe) schaffen mehr Vorhersehbarkeit, indem Bedingungen gestrichen werden, die von den Zollbehörden derzeit nur schwer kontrolliert werden können, während andere (Nichtveränderung) logistische Punkte betreffen, ohne sich auf den Kern der Regeln auszuwirken.</w:t>
      </w:r>
    </w:p>
    <w:p>
      <w:pPr>
        <w:rPr>
          <w:noProof/>
        </w:rPr>
      </w:pPr>
      <w:r>
        <w:rPr>
          <w:noProof/>
        </w:rPr>
        <w:t>Auch wenn die Bestimmungen über die Zollrückvergütung geändert werden, so wird doch das Verbot der Zollrückvergütung in der Spinnstoff- und Bekleidungsbranche beibehalten, die weiterhin einer der wichtigsten Handelssektoren im Pan-Europa-Mittelmeer-Gebiet sein wird. Durch die geänderten Regeln wird der Status quo kodifiziert, indem das derzeit von einigen Vertragsparteien angewandte Verbot beibehalten wird. Die vorgeschlagene Verallgemeinerung der vollständigen Kumulierung im Pan-Europa-Mittelmeer-Gebiet zielt darauf ab, die bestehenden Handelsmuster innerhalb dieses Gebiets und ihre Komplementarität zu stärken, sollte jedoch die erhobenen EU-Zölle nicht wesentlich beeinträchtigen, da Erzeugnisse, für die eine Kumulierung gilt, die jeweilige Anforderung des Wertzuwachses in dem Gebiet erfüllen müssen, damit für sie Präferenzen gelten, wie dies derzeit der Fall ist.</w:t>
      </w:r>
    </w:p>
    <w:p>
      <w:pPr>
        <w:rPr>
          <w:noProof/>
        </w:rPr>
      </w:pPr>
      <w:r>
        <w:rPr>
          <w:noProof/>
        </w:rPr>
        <w:t xml:space="preserve">Die Änderungen der Listenregeln für landwirtschaftliche Erzeugnisse und landwirtschaftliche Verarbeitungserzeugnisse bestehen hauptsächlich in der Anpassung der Methodik, ohne dass </w:t>
      </w:r>
      <w:r>
        <w:rPr>
          <w:noProof/>
        </w:rPr>
        <w:lastRenderedPageBreak/>
        <w:t>der Kern der Regeln hierdurch berührt würde. Der derzeit als Wert ausgedrückte Schwellenwert wird in Gewicht ausgedrückt werden. Dieses Kriterium ist objektiver und von den Zollbehörden leichter zu kontrollieren. Die Vereinfachung der warenspezifischen Regeln für gewerbliche Waren dürfte sich nur in begrenztem Maße auf die Zolleinnahmen auswirken, da es in vielen Fällen eher zu Änderungen bei der Beschaffung kommen dürfte als zu einer Erhöhung der präferenziellen Einfuhren aus Pan-Europa-Mittelmeer-Ländern, mit denen Einfuhren ersetzt werden, die vorher Einfuhrzöllen unterlagen. Die Auswirkungen dieser Änderungen auf die Zolleinnahmen ist daher nicht quantifizierbar. Was den Handel und seine Auswirkungen auf die Nutzung von Präferenzen anbelangt, so stellen die mit den neuen Regeln eingeführten Lockerungen auf die wirtschaftliche Integration in dem gesamten Gebiet ab, etwa in der Spinnstoffbranche, in der Präferenzen bereits in großem Umfang genutzt werden. Durch die verbesserten Regeln für Spinnstoffe und die Kumulierung sollen vor allem die bereits bestehende regionale Integration und Verfügbarkeit von Vormaterialien innerhalb des Gebiets verbessert, und nicht eine vermehrte Einfuhr von Vormaterialien ohne Ursprungseigenschaft von außerhalb des Gebiets ermöglicht werden.</w:t>
      </w:r>
    </w:p>
    <w:p>
      <w:pPr>
        <w:pStyle w:val="CommentText"/>
        <w:rPr>
          <w:rFonts w:eastAsia="Arial Unicode MS"/>
          <w:noProof/>
          <w:sz w:val="24"/>
          <w:szCs w:val="24"/>
          <w:highlight w:val="yellow"/>
        </w:rPr>
      </w:pPr>
    </w:p>
    <w:p>
      <w:pPr>
        <w:pStyle w:val="ManualHeading1"/>
        <w:rPr>
          <w:noProof/>
        </w:rPr>
      </w:pPr>
      <w:r>
        <w:rPr>
          <w:noProof/>
        </w:rPr>
        <w:t>6.</w:t>
      </w:r>
      <w:r>
        <w:rPr>
          <w:noProof/>
        </w:rPr>
        <w:tab/>
        <w:t>Veröffentlichung des geplanten Rechtsakts</w:t>
      </w:r>
    </w:p>
    <w:p>
      <w:pPr>
        <w:rPr>
          <w:noProof/>
        </w:rPr>
      </w:pPr>
      <w:r>
        <w:rPr>
          <w:noProof/>
        </w:rPr>
        <w:t xml:space="preserve">Da der Rechtsakt des Gemischten Ausschusses zu einer Änderung des Abkommens führen wird, sollte er nach seiner Annahme im </w:t>
      </w:r>
      <w:r>
        <w:rPr>
          <w:i/>
          <w:noProof/>
        </w:rPr>
        <w:t>Amtsblatt der Europäischen Union</w:t>
      </w:r>
      <w:r>
        <w:rPr>
          <w:noProof/>
        </w:rPr>
        <w:t xml:space="preserve"> veröffentlicht werden.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2020/0185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zur Festlegung des Standpunkts, der im Namen der Europäischen Union im Gemischten Ausschuss, der mit dem Abkommen zwischen der Europäischen Gemeinschaft für Kohle und Stahl und der Republik Türkei über den Handel mit unter den Vertrag über die Gründung der Europäischen Gemeinschaft für Kohle und Stahl fallenden Erzeugnissen eingesetzt wurde, hinsichtlich der Änderung des Protokolls Nr. 1 zum genannten Abkommen über die Bestimmung des Begriffs „Erzeugnisse mit Ursprung in“ oder „Ursprungserzeugnisse“ und über die Methoden der Zusammenarbeit der Verwaltungen zu vertreten ist</w:t>
      </w:r>
    </w:p>
    <w:p>
      <w:pPr>
        <w:pStyle w:val="Institutionquiagit"/>
        <w:rPr>
          <w:b/>
          <w:noProof/>
        </w:rPr>
      </w:pPr>
      <w:r>
        <w:rPr>
          <w:b/>
          <w:noProof/>
        </w:rPr>
        <w:t>DER RAT DER EUROPÄISCHEN UNION —</w:t>
      </w:r>
    </w:p>
    <w:p>
      <w:pPr>
        <w:rPr>
          <w:noProof/>
        </w:rPr>
      </w:pPr>
      <w:r>
        <w:rPr>
          <w:noProof/>
        </w:rPr>
        <w:t>gestützt auf den Vertrag über die Arbeitsweise der Europäischen Union, insbesondere auf Artikel 207 Absatz 4 Unterabsatz 1 in Verbindung mit Artikel 218 Absatz 9,</w:t>
      </w:r>
    </w:p>
    <w:p>
      <w:pPr>
        <w:rPr>
          <w:noProof/>
        </w:rPr>
      </w:pPr>
      <w:r>
        <w:rPr>
          <w:noProof/>
        </w:rPr>
        <w:t>auf Vorschlag der Europäischen Kommission,</w:t>
      </w:r>
    </w:p>
    <w:p>
      <w:pPr>
        <w:rPr>
          <w:noProof/>
        </w:rPr>
      </w:pPr>
      <w:r>
        <w:rPr>
          <w:noProof/>
        </w:rPr>
        <w:t>in Erwägung nachstehender Gründe:</w:t>
      </w:r>
    </w:p>
    <w:p>
      <w:pPr>
        <w:pStyle w:val="ManualConsidrant"/>
        <w:rPr>
          <w:noProof/>
        </w:rPr>
      </w:pPr>
      <w:r>
        <w:rPr>
          <w:noProof/>
        </w:rPr>
        <w:t>(1)</w:t>
      </w:r>
      <w:r>
        <w:rPr>
          <w:noProof/>
        </w:rPr>
        <w:tab/>
        <w:t>Das Abkommen zwischen der Europäischen Gemeinschaft für Kohle und Stahl und der Republik Türkei über den Handel mit unter den Vertrag über die Gründung der Europäischen Gemeinschaft für Kohle und Stahl fallenden Erzeugnissen (im Folgenden das „Abkommen“) wurde von der Union mit dem Beschluss 96/528/EGKS der Kommission</w:t>
      </w:r>
      <w:r>
        <w:rPr>
          <w:rStyle w:val="FootnoteReference"/>
          <w:noProof/>
        </w:rPr>
        <w:footnoteReference w:id="4"/>
      </w:r>
      <w:r>
        <w:rPr>
          <w:noProof/>
        </w:rPr>
        <w:t xml:space="preserve"> geschlossen und trat am 1. August 1996 in Kraft.</w:t>
      </w:r>
    </w:p>
    <w:p>
      <w:pPr>
        <w:pStyle w:val="ManualConsidrant"/>
        <w:rPr>
          <w:noProof/>
        </w:rPr>
      </w:pPr>
      <w:r>
        <w:rPr>
          <w:noProof/>
        </w:rPr>
        <w:t>(2)</w:t>
      </w:r>
      <w:r>
        <w:rPr>
          <w:noProof/>
        </w:rPr>
        <w:tab/>
        <w:t>Das Abkommen umfasst das Protokoll Nr. 1 über die Bestimmung des Begriffs „Erzeugnisse mit Ursprung in“ oder „Ursprungserzeugnisse“ und über die Methoden der Zusammenarbeit der Verwaltungen. Gemäß Artikel 39 des genannten Protokolls kann der mit Artikel 14 des Abkommens eingesetzte Gemischte Ausschuss (im Folgenden der „Gemischte Ausschuss“) beschließen, die Bestimmungen des Protokolls zu ändern.</w:t>
      </w:r>
    </w:p>
    <w:p>
      <w:pPr>
        <w:pStyle w:val="ManualConsidrant"/>
        <w:rPr>
          <w:noProof/>
        </w:rPr>
      </w:pPr>
      <w:r>
        <w:rPr>
          <w:noProof/>
        </w:rPr>
        <w:t>(3)</w:t>
      </w:r>
      <w:r>
        <w:rPr>
          <w:noProof/>
        </w:rPr>
        <w:tab/>
        <w:t>Der Gemischte Ausschuss soll in seiner nächsten Sitzung einen Beschluss zur Änderung des Protokolls Nr. 1 annehmen.</w:t>
      </w:r>
    </w:p>
    <w:p>
      <w:pPr>
        <w:pStyle w:val="ManualConsidrant"/>
        <w:rPr>
          <w:noProof/>
        </w:rPr>
      </w:pPr>
      <w:r>
        <w:rPr>
          <w:noProof/>
        </w:rPr>
        <w:t>(4)</w:t>
      </w:r>
      <w:r>
        <w:rPr>
          <w:noProof/>
        </w:rPr>
        <w:tab/>
        <w:t>Da der Beschluss des Gemischten Ausschusses für die Union verbindlich sein wird, ist es angezeigt, den im Namen der Union im Gemischten Ausschuss zu vertretenden Standpunkt festzulegen.</w:t>
      </w:r>
    </w:p>
    <w:p>
      <w:pPr>
        <w:pStyle w:val="ManualConsidrant"/>
        <w:rPr>
          <w:noProof/>
        </w:rPr>
      </w:pPr>
      <w:r>
        <w:rPr>
          <w:noProof/>
        </w:rPr>
        <w:t>(5)</w:t>
      </w:r>
      <w:r>
        <w:rPr>
          <w:noProof/>
        </w:rPr>
        <w:tab/>
        <w:t xml:space="preserve">Das Regionale Übereinkommen über Pan-Europa-Mittelmeer-Präferenzursprungsregeln (im Folgenden das „Übereinkommen“) wurde von der </w:t>
      </w:r>
      <w:r>
        <w:rPr>
          <w:noProof/>
        </w:rPr>
        <w:lastRenderedPageBreak/>
        <w:t>Union mit dem Beschluss 2013/93/EU des Rates</w:t>
      </w:r>
      <w:r>
        <w:rPr>
          <w:rStyle w:val="FootnoteReference"/>
          <w:noProof/>
        </w:rPr>
        <w:footnoteReference w:id="5"/>
      </w:r>
      <w:r>
        <w:rPr>
          <w:noProof/>
        </w:rPr>
        <w:t xml:space="preserve"> geschlossen und trat für die Union am 1. Mai 2012 in Kraft. Es legt Bestimmungen über den Ursprung von Waren fest, die im Rahmen der jeweils zwischen den Vertragsparteien geschlossenen Abkommen gehandelt werden; sie gelten unbeschadet der in diesen Abkommen niedergelegten Grundsätze.</w:t>
      </w:r>
    </w:p>
    <w:p>
      <w:pPr>
        <w:pStyle w:val="ManualConsidrant"/>
        <w:rPr>
          <w:noProof/>
        </w:rPr>
      </w:pPr>
      <w:r>
        <w:rPr>
          <w:noProof/>
        </w:rPr>
        <w:t>(6)</w:t>
      </w:r>
      <w:r>
        <w:rPr>
          <w:noProof/>
        </w:rPr>
        <w:tab/>
        <w:t>Nach Artikel 6 des Übereinkommens hat jede Vertragspartei geeignete Maßnahmen zu ergreifen, um sicherzustellen, dass das Übereinkommen effektiv angewendet wird. Zu diesem Zweck sollte der Gemischte Ausschuss einen Beschluss annehmen, mit dem eine Bezugnahme auf das Übereinkommen in das Protokoll Nr. 1 zum Abkommen aufgenommen wird.</w:t>
      </w:r>
    </w:p>
    <w:p>
      <w:pPr>
        <w:pStyle w:val="ManualConsidrant"/>
        <w:rPr>
          <w:noProof/>
        </w:rPr>
      </w:pPr>
      <w:r>
        <w:rPr>
          <w:noProof/>
        </w:rPr>
        <w:t>(7)</w:t>
      </w:r>
      <w:r>
        <w:rPr>
          <w:noProof/>
        </w:rPr>
        <w:tab/>
        <w:t>Die Diskussionen über die Änderung des Übereinkommens haben dazu geführt, dass eine Reihe aktualisierter, flexiblerer Ursprungsregeln in das Übereinkommen aufgenommen werden soll. Die Union und die Türkei haben ihre Absicht bekundet, die neuen Regeln so bald wie möglich auf bilateraler Ebene, und zwar alternativ zu den geltenden Regeln, anzuwenden, solange auf das endgültige Ergebnis des Änderungsverfahrens gewartet wird.</w:t>
      </w:r>
    </w:p>
    <w:p>
      <w:pPr>
        <w:pStyle w:val="ManualConsidrant"/>
        <w:rPr>
          <w:noProof/>
        </w:rPr>
      </w:pPr>
      <w:r>
        <w:rPr>
          <w:noProof/>
        </w:rPr>
        <w:t>(8)</w:t>
      </w:r>
      <w:r>
        <w:rPr>
          <w:noProof/>
        </w:rPr>
        <w:tab/>
        <w:t xml:space="preserve">In der Kumulierungszone, welche die EFTA-Staaten, die Färöer, die Europäische Union, die Türkei, die Teilnehmer des Stabilisierungs- und Assoziierungsprozesses, die Republik Moldau, Georgien und die Ukraine umfasst, sollte die Möglichkeit der Verwendung von Warenverkehrsbescheinigungen EUR.1 oder Ursprungserklärungen anstelle von Warenverkehrsbescheinigungen EUR-MED oder Ursprungserklärungen EUR-MED – als Ausnahme von den Bestimmungen des Übereinkommens im Fall der diagonalen Kumulierung zwischen diesen Partnern – beibehalten werden — </w:t>
      </w:r>
    </w:p>
    <w:p>
      <w:pPr>
        <w:pStyle w:val="Formuledadoption"/>
        <w:rPr>
          <w:noProof/>
        </w:rPr>
      </w:pPr>
      <w:r>
        <w:rPr>
          <w:noProof/>
        </w:rPr>
        <w:t>HAT FOLGENDEN BESCHLUSS ERLASSEN:</w:t>
      </w:r>
    </w:p>
    <w:p>
      <w:pPr>
        <w:pStyle w:val="Titrearticle"/>
        <w:rPr>
          <w:noProof/>
        </w:rPr>
      </w:pPr>
      <w:r>
        <w:rPr>
          <w:noProof/>
        </w:rPr>
        <w:t>Artikel 1</w:t>
      </w:r>
    </w:p>
    <w:p>
      <w:pPr>
        <w:rPr>
          <w:i/>
          <w:noProof/>
        </w:rPr>
      </w:pPr>
      <w:r>
        <w:rPr>
          <w:noProof/>
        </w:rPr>
        <w:t>Der im Namen der Union im Gemischten Ausschuss zu vertretende Standpunkt beruht auf dem Entwurf des Rechtsakts des Gemischten Ausschusses, der dem vorliegenden Beschluss beigefügt ist.</w:t>
      </w:r>
    </w:p>
    <w:p>
      <w:pPr>
        <w:pStyle w:val="Titrearticle"/>
        <w:rPr>
          <w:noProof/>
        </w:rPr>
      </w:pPr>
      <w:r>
        <w:rPr>
          <w:noProof/>
        </w:rPr>
        <w:t xml:space="preserve">Artikel 2 </w:t>
      </w:r>
    </w:p>
    <w:p>
      <w:pPr>
        <w:rPr>
          <w:noProof/>
        </w:rPr>
      </w:pPr>
      <w:r>
        <w:rPr>
          <w:noProof/>
        </w:rPr>
        <w:t>Dieser Beschluss ist an die Kommission gerichtet.</w:t>
      </w:r>
    </w:p>
    <w:p>
      <w:pPr>
        <w:rPr>
          <w:noProof/>
        </w:rPr>
      </w:pP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footnotePr>
        <w:numRestart w:val="eachPage"/>
      </w:footnote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EF5F8" w16cid:durableId="21064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ABl. L 227 vom 7.9.1996, S. 3.</w:t>
      </w:r>
    </w:p>
  </w:footnote>
  <w:footnote w:id="3">
    <w:p>
      <w:pPr>
        <w:pStyle w:val="FootnoteText"/>
      </w:pPr>
      <w:r>
        <w:rPr>
          <w:rStyle w:val="FootnoteReference"/>
        </w:rPr>
        <w:footnoteRef/>
      </w:r>
      <w:r>
        <w:tab/>
        <w:t xml:space="preserve">Urteil des Gerichtshofs vom 7. Oktober 2014, Deutschland/Rat, C-399/12, ECLI:EU:C:2014:2258, Rn. 61 bis 64. </w:t>
      </w:r>
    </w:p>
  </w:footnote>
  <w:footnote w:id="4">
    <w:p>
      <w:pPr>
        <w:pStyle w:val="FootnoteText"/>
      </w:pPr>
      <w:r>
        <w:rPr>
          <w:rStyle w:val="FootnoteReference"/>
        </w:rPr>
        <w:footnoteRef/>
      </w:r>
      <w:r>
        <w:tab/>
        <w:t>Beschluss der Kommission vom 29. Februar 1996 über den Abschluss eines Abkommens zwischen der Europäischen Gemeinschaft für Kohle und Stahl und der Republik Türkei über den Handel mit unter den Vertrag über die Gründung der Europäischen Gemeinschaft für Kohle und Stahl fallenden Erzeugnissen (ABl. L 227 vom 7.9.1996, S. 1).</w:t>
      </w:r>
    </w:p>
  </w:footnote>
  <w:footnote w:id="5">
    <w:p>
      <w:pPr>
        <w:pStyle w:val="FootnoteText"/>
      </w:pPr>
      <w:r>
        <w:rPr>
          <w:rStyle w:val="FootnoteReference"/>
          <w:lang w:val="en-US"/>
        </w:rPr>
        <w:footnoteRef/>
      </w:r>
      <w:r>
        <w:tab/>
        <w:t>Beschluss 2013/93/EU des Rates vom 14. April 2011 über die Unterzeichnung des Regionalen Übereinkommens über Pan-Europa-Mittelmeer-Präferenzursprungsregeln im Namen der Europäischen Union (ABl. L 54 vom 26.2.2013, S.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AA46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56A33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9B0D6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2CE05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C3C60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2027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D0801C"/>
    <w:lvl w:ilvl="0">
      <w:start w:val="1"/>
      <w:numFmt w:val="decimal"/>
      <w:pStyle w:val="ListNumber"/>
      <w:lvlText w:val="%1."/>
      <w:lvlJc w:val="left"/>
      <w:pPr>
        <w:tabs>
          <w:tab w:val="num" w:pos="360"/>
        </w:tabs>
        <w:ind w:left="360" w:hanging="360"/>
      </w:pPr>
    </w:lvl>
  </w:abstractNum>
  <w:abstractNum w:abstractNumId="7">
    <w:nsid w:val="FFFFFF89"/>
    <w:multiLevelType w:val="singleLevel"/>
    <w:tmpl w:val="E91A09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8 06:58:2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5DA32D9B-8214-422A-A37A-601050F5B9FE"/>
    <w:docVar w:name="LW_COVERPAGE_TYPE" w:val="1"/>
    <w:docVar w:name="LW_CROSSREFERENCE" w:val="&lt;UNUSED&gt;"/>
    <w:docVar w:name="LW_DocType" w:val="COM"/>
    <w:docVar w:name="LW_EMISSION" w:val="24.8.2020"/>
    <w:docVar w:name="LW_EMISSION_ISODATE" w:val="2020-08-24"/>
    <w:docVar w:name="LW_EMISSION_LOCATION" w:val="BRX"/>
    <w:docVar w:name="LW_EMISSION_PREFIX" w:val="Brüssel, den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185"/>
    <w:docVar w:name="LW_REF.II.NEW.CP_YEAR" w:val="2020"/>
    <w:docVar w:name="LW_REF.INST.NEW" w:val="COM"/>
    <w:docVar w:name="LW_REF.INST.NEW_ADOPTED" w:val="final"/>
    <w:docVar w:name="LW_REF.INST.NEW_TEXT" w:val="(2020) 3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zur Festlegung des Standpunkts, der im Namen der Europäischen Union im Gemischten Ausschuss, der mit dem Abkommen zwischen der Europäischen Gemeinschaft für Kohle und Stahl und der Republik Türkei über den Handel mit unter den Vertrag über die Gründung der Europäischen Gemeinschaft für Kohle und Stahl fallenden Erzeugnissen eingesetzt wurde, hinsichtlich der Änderung des Protokolls Nr. 1 zum genannten Abkommen über die Bestimmung des Begriffs \u8222?Erzeugnisse mit Ursprung in\u8220? oder \u8222?Ursprungserzeugnisse\u8220? und über die Methoden der Zusammenarbeit der Verwaltungen zu vertreten ist"/>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7BA4-7EC4-4CBE-B0A8-55D0746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3536</Words>
  <Characters>23445</Characters>
  <Application>Microsoft Office Word</Application>
  <DocSecurity>0</DocSecurity>
  <Lines>390</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19</cp:revision>
  <cp:lastPrinted>2019-08-20T15:08:00Z</cp:lastPrinted>
  <dcterms:created xsi:type="dcterms:W3CDTF">2020-09-01T21:18:00Z</dcterms:created>
  <dcterms:modified xsi:type="dcterms:W3CDTF">2020-09-08T04:58:00Z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