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D21C56D-D408-4109-A635-11D4D6199CD4" style="width:450.75pt;height:338.25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DŮVODOVÁ ZPRÁVA</w:t>
      </w:r>
    </w:p>
    <w:p>
      <w:pPr>
        <w:pStyle w:val="ManualHeading1"/>
        <w:rPr>
          <w:noProof/>
        </w:rPr>
      </w:pPr>
      <w:r>
        <w:rPr>
          <w:noProof/>
        </w:rPr>
        <w:t>1.</w:t>
      </w:r>
      <w:r>
        <w:rPr>
          <w:noProof/>
        </w:rPr>
        <w:tab/>
        <w:t>SOUVISLOSTI NÁVRHU</w:t>
      </w:r>
    </w:p>
    <w:p>
      <w:pPr>
        <w:pStyle w:val="ManualHeading2"/>
        <w:rPr>
          <w:noProof/>
        </w:rPr>
      </w:pPr>
      <w:r>
        <w:rPr>
          <w:noProof/>
        </w:rPr>
        <w:t>•</w:t>
      </w:r>
      <w:r>
        <w:rPr>
          <w:noProof/>
        </w:rPr>
        <w:tab/>
        <w:t>Odůvodnění a cíle návrhu</w:t>
      </w:r>
    </w:p>
    <w:p>
      <w:pPr>
        <w:rPr>
          <w:noProof/>
        </w:rPr>
      </w:pPr>
      <w:r>
        <w:rPr>
          <w:noProof/>
        </w:rPr>
        <w:t>Dne 21. srpna 2020 komisař Hogan a zmocněnec USA pro obchod Lighthizer oznámili svůj záměr přikročit k balíčku týkajícímu se usnadnění obchodu s cílem odstranit nebo snížit cla u několika celních položek v hodnotě 168 milionů EUR (přibližně 200 milionů USD) u vývozů z EU a USA</w:t>
      </w:r>
      <w:r>
        <w:rPr>
          <w:rStyle w:val="FootnoteReference"/>
          <w:noProof/>
        </w:rPr>
        <w:footnoteReference w:id="1"/>
      </w:r>
      <w:r>
        <w:rPr>
          <w:noProof/>
        </w:rPr>
        <w:t>.</w:t>
      </w:r>
    </w:p>
    <w:p>
      <w:pPr>
        <w:rPr>
          <w:noProof/>
        </w:rPr>
      </w:pPr>
      <w:r>
        <w:rPr>
          <w:noProof/>
        </w:rPr>
        <w:t>Komise považuje tuto iniciativu za první krok ke zmírnění napětí v oblasti dvoustranného obchodu a na podporu řešení probíhajících sporů.</w:t>
      </w:r>
    </w:p>
    <w:p>
      <w:pPr>
        <w:rPr>
          <w:noProof/>
        </w:rPr>
      </w:pPr>
      <w:r>
        <w:rPr>
          <w:noProof/>
        </w:rPr>
        <w:t>Komise v podstatě navrhuje odstranit určitý počet cel na humry a langusty, přičemž USA poskytne osvobození od cla ve srovnatelné ekonomické hodnotě na produkty, jako jsou hotová jídla, některé výrobky z křišťálového skla, přípravky pro povrchovou úpravu, prachové výmetné slože, zapalovače cigaret a části zapalovačů. Spojené státy požádaly o snížení cla na humry a langusty vzhledem k poklesu vývozu tohoto zboží do Evropy a do světa.</w:t>
      </w:r>
    </w:p>
    <w:p>
      <w:pPr>
        <w:spacing w:before="100" w:beforeAutospacing="1" w:after="100" w:afterAutospacing="1"/>
        <w:rPr>
          <w:noProof/>
        </w:rPr>
      </w:pPr>
      <w:r>
        <w:rPr>
          <w:noProof/>
        </w:rPr>
        <w:t xml:space="preserve">Snížení cla by mělo být provedeno v plném souladu s pravidly WTO a při dodržování zásady nejvyšších výhod. </w:t>
      </w:r>
    </w:p>
    <w:p>
      <w:pPr>
        <w:pStyle w:val="ManualHeading2"/>
        <w:rPr>
          <w:noProof/>
        </w:rPr>
      </w:pPr>
      <w:r>
        <w:rPr>
          <w:noProof/>
        </w:rPr>
        <w:t>•</w:t>
      </w:r>
      <w:r>
        <w:rPr>
          <w:noProof/>
        </w:rPr>
        <w:tab/>
        <w:t xml:space="preserve">Soulad s platnými předpisy v této oblasti politiky </w:t>
      </w:r>
    </w:p>
    <w:p>
      <w:pPr>
        <w:spacing w:after="240"/>
        <w:rPr>
          <w:noProof/>
        </w:rPr>
      </w:pPr>
      <w:r>
        <w:rPr>
          <w:noProof/>
        </w:rPr>
        <w:t>Cílem tohoto návrhu je vytvořit další příležitosti pro hospodářské subjekty v EU a USA odstraněním nebo snížením cel. Tento návrh by měl rovněž zlepšit obchodní vztahy se Spojenými státy, zmírnit napětí v oblasti obchodu a podpořit řešení probíhajících sporů s USA. Je plně v souladu se Smlouvou o Evropské unii (dále jen „Smlouva o EU“), v níž je zakotveno, že EU by měla povzbuzovat zapojení všech zemí do světové ekonomiky, včetně postupného odstraňování překážek mezinárodnímu obchodu</w:t>
      </w:r>
      <w:r>
        <w:rPr>
          <w:rStyle w:val="FootnoteReference"/>
          <w:noProof/>
        </w:rPr>
        <w:footnoteReference w:id="2"/>
      </w:r>
      <w:r>
        <w:rPr>
          <w:noProof/>
        </w:rPr>
        <w:t>.</w:t>
      </w:r>
    </w:p>
    <w:p>
      <w:pPr>
        <w:pStyle w:val="ManualHeading2"/>
        <w:rPr>
          <w:noProof/>
        </w:rPr>
      </w:pPr>
      <w:r>
        <w:rPr>
          <w:noProof/>
        </w:rPr>
        <w:t>•</w:t>
      </w:r>
      <w:r>
        <w:rPr>
          <w:noProof/>
        </w:rPr>
        <w:tab/>
        <w:t>Soulad s ostatními politikami Unie</w:t>
      </w:r>
    </w:p>
    <w:p>
      <w:pPr>
        <w:spacing w:before="0" w:after="240"/>
        <w:rPr>
          <w:noProof/>
        </w:rPr>
      </w:pPr>
      <w:r>
        <w:rPr>
          <w:noProof/>
        </w:rPr>
        <w:t>Návrh je v souladu s ostatními politikami Unie.</w:t>
      </w:r>
    </w:p>
    <w:p>
      <w:pPr>
        <w:pStyle w:val="ManualHeading1"/>
        <w:rPr>
          <w:noProof/>
        </w:rPr>
      </w:pPr>
      <w:r>
        <w:rPr>
          <w:noProof/>
        </w:rPr>
        <w:t>2.</w:t>
      </w:r>
      <w:r>
        <w:rPr>
          <w:noProof/>
        </w:rPr>
        <w:tab/>
        <w:t>PRÁVNÍ ZÁKLAD, SUBSIDIARITA A PROPORCIONALITA</w:t>
      </w:r>
    </w:p>
    <w:p>
      <w:pPr>
        <w:pStyle w:val="ManualHeading2"/>
        <w:rPr>
          <w:noProof/>
        </w:rPr>
      </w:pPr>
      <w:r>
        <w:rPr>
          <w:noProof/>
        </w:rPr>
        <w:t>•</w:t>
      </w:r>
      <w:r>
        <w:rPr>
          <w:noProof/>
        </w:rPr>
        <w:tab/>
        <w:t>Právní základ</w:t>
      </w:r>
    </w:p>
    <w:p>
      <w:pPr>
        <w:spacing w:before="0" w:after="240"/>
        <w:rPr>
          <w:noProof/>
        </w:rPr>
      </w:pPr>
      <w:r>
        <w:rPr>
          <w:noProof/>
        </w:rPr>
        <w:t>Článek 207 Smlouvy o fungování Evropské unie (dále jen „Smlouva o fungování EU“).</w:t>
      </w:r>
    </w:p>
    <w:p>
      <w:pPr>
        <w:pStyle w:val="ManualHeading2"/>
        <w:rPr>
          <w:noProof/>
        </w:rPr>
      </w:pPr>
      <w:r>
        <w:rPr>
          <w:noProof/>
        </w:rPr>
        <w:t>•</w:t>
      </w:r>
      <w:r>
        <w:rPr>
          <w:noProof/>
        </w:rPr>
        <w:tab/>
        <w:t xml:space="preserve">Subsidiarita (v případě nevýlučné pravomoci) </w:t>
      </w:r>
    </w:p>
    <w:p>
      <w:pPr>
        <w:spacing w:after="240"/>
        <w:rPr>
          <w:noProof/>
        </w:rPr>
      </w:pPr>
      <w:r>
        <w:rPr>
          <w:noProof/>
        </w:rPr>
        <w:t>Podle čl. 5 odst. 3 Smlouvy o EU se zásada subsidiarity nepoužije v oblastech výlučné pravomoci EU. V článku 3 Smlouvy o fungování EU je mezi oblastmi, v nichž má Unie výlučnou pravomoc, uvedena společná obchodní politika. Tato politika zahrnuje sjednávání obchodních dohod a přijímání opatření obchodní politiky včetně snižování celních sazeb mimo jiné podle článku 207 Smlouvy o fungování EU.</w:t>
      </w:r>
    </w:p>
    <w:p>
      <w:pPr>
        <w:pStyle w:val="ManualHeading2"/>
        <w:rPr>
          <w:noProof/>
        </w:rPr>
      </w:pPr>
      <w:r>
        <w:rPr>
          <w:noProof/>
        </w:rPr>
        <w:lastRenderedPageBreak/>
        <w:t>•</w:t>
      </w:r>
      <w:r>
        <w:rPr>
          <w:noProof/>
        </w:rPr>
        <w:tab/>
        <w:t>Proporcionalita</w:t>
      </w:r>
    </w:p>
    <w:p>
      <w:pPr>
        <w:spacing w:before="0" w:after="240"/>
        <w:rPr>
          <w:noProof/>
        </w:rPr>
      </w:pPr>
      <w:r>
        <w:rPr>
          <w:noProof/>
        </w:rPr>
        <w:t xml:space="preserve">Návrh Komise je v souladu se zásadou proporcionality a je nezbytný ke splnění cíle zmírnit napětí v oblasti obchodu s USA. </w:t>
      </w:r>
    </w:p>
    <w:p>
      <w:pPr>
        <w:pStyle w:val="ManualHeading2"/>
        <w:rPr>
          <w:noProof/>
        </w:rPr>
      </w:pPr>
      <w:r>
        <w:rPr>
          <w:noProof/>
        </w:rPr>
        <w:t>•</w:t>
      </w:r>
      <w:r>
        <w:rPr>
          <w:noProof/>
        </w:rPr>
        <w:tab/>
        <w:t>Volba nástroje</w:t>
      </w:r>
    </w:p>
    <w:p>
      <w:pPr>
        <w:spacing w:before="0" w:after="240"/>
        <w:rPr>
          <w:noProof/>
        </w:rPr>
      </w:pPr>
      <w:r>
        <w:rPr>
          <w:noProof/>
        </w:rPr>
        <w:t>Nařízení Evropského parlamentu a Rady</w:t>
      </w:r>
    </w:p>
    <w:p>
      <w:pPr>
        <w:pStyle w:val="ManualHeading1"/>
        <w:rPr>
          <w:noProof/>
        </w:rPr>
      </w:pPr>
      <w:r>
        <w:rPr>
          <w:noProof/>
        </w:rPr>
        <w:t>3.</w:t>
      </w:r>
      <w:r>
        <w:rPr>
          <w:noProof/>
        </w:rPr>
        <w:tab/>
        <w:t xml:space="preserve">VÝSLEDKY HODNOCENÍ </w:t>
      </w:r>
      <w:r>
        <w:rPr>
          <w:i/>
          <w:noProof/>
        </w:rPr>
        <w:t>EX POST</w:t>
      </w:r>
      <w:r>
        <w:rPr>
          <w:noProof/>
        </w:rPr>
        <w:t>, KONZULTACÍ SE ZÚČASTNĚNÝMI STRANAMI A POSOUZENÍ DOPADŮ</w:t>
      </w:r>
    </w:p>
    <w:p>
      <w:pPr>
        <w:pStyle w:val="ManualHeading2"/>
        <w:rPr>
          <w:noProof/>
        </w:rPr>
      </w:pPr>
      <w:r>
        <w:rPr>
          <w:noProof/>
        </w:rPr>
        <w:t>•</w:t>
      </w:r>
      <w:r>
        <w:rPr>
          <w:noProof/>
        </w:rPr>
        <w:tab/>
        <w:t>Hodnocení</w:t>
      </w:r>
      <w:r>
        <w:rPr>
          <w:i/>
          <w:noProof/>
        </w:rPr>
        <w:t xml:space="preserve"> ex post</w:t>
      </w:r>
      <w:r>
        <w:rPr>
          <w:noProof/>
        </w:rPr>
        <w:t xml:space="preserve"> / kontroly účelnosti platných právních předpisů</w:t>
      </w:r>
    </w:p>
    <w:p>
      <w:pPr>
        <w:spacing w:before="0" w:after="240"/>
        <w:rPr>
          <w:noProof/>
        </w:rPr>
      </w:pPr>
      <w:r>
        <w:rPr>
          <w:noProof/>
        </w:rPr>
        <w:t>Nevztahuje se na tento návrh.</w:t>
      </w:r>
    </w:p>
    <w:p>
      <w:pPr>
        <w:pStyle w:val="ManualHeading2"/>
        <w:rPr>
          <w:noProof/>
        </w:rPr>
      </w:pPr>
      <w:r>
        <w:rPr>
          <w:noProof/>
        </w:rPr>
        <w:t>•</w:t>
      </w:r>
      <w:r>
        <w:rPr>
          <w:noProof/>
        </w:rPr>
        <w:tab/>
        <w:t>Konzultace se zúčastněnými stranami</w:t>
      </w:r>
    </w:p>
    <w:p>
      <w:pPr>
        <w:spacing w:before="0" w:after="240"/>
        <w:rPr>
          <w:noProof/>
        </w:rPr>
      </w:pPr>
      <w:r>
        <w:rPr>
          <w:noProof/>
        </w:rPr>
        <w:t>Nevztahuje se na tento návrh.</w:t>
      </w:r>
    </w:p>
    <w:p>
      <w:pPr>
        <w:pStyle w:val="ManualHeading2"/>
        <w:rPr>
          <w:noProof/>
        </w:rPr>
      </w:pPr>
      <w:r>
        <w:rPr>
          <w:noProof/>
        </w:rPr>
        <w:t>•</w:t>
      </w:r>
      <w:r>
        <w:rPr>
          <w:noProof/>
        </w:rPr>
        <w:tab/>
        <w:t>Sběr a využití výsledků odborných konzultací</w:t>
      </w:r>
    </w:p>
    <w:p>
      <w:pPr>
        <w:spacing w:before="0" w:after="240"/>
        <w:rPr>
          <w:noProof/>
        </w:rPr>
      </w:pPr>
      <w:r>
        <w:rPr>
          <w:noProof/>
        </w:rPr>
        <w:t>Nevztahuje se na tento návrh.</w:t>
      </w:r>
    </w:p>
    <w:p>
      <w:pPr>
        <w:pStyle w:val="ManualHeading2"/>
        <w:rPr>
          <w:noProof/>
        </w:rPr>
      </w:pPr>
      <w:r>
        <w:rPr>
          <w:noProof/>
        </w:rPr>
        <w:t>•</w:t>
      </w:r>
      <w:r>
        <w:rPr>
          <w:noProof/>
        </w:rPr>
        <w:tab/>
        <w:t>Posouzení dopadů</w:t>
      </w:r>
    </w:p>
    <w:p>
      <w:pPr>
        <w:spacing w:before="0" w:after="240"/>
        <w:rPr>
          <w:noProof/>
        </w:rPr>
      </w:pPr>
      <w:r>
        <w:rPr>
          <w:noProof/>
        </w:rPr>
        <w:t>Nevztahuje se na tento návrh. Pro EU nepředstavují humři a langusty citlivý produkt, neboť jsme jeho čistým dovozcem. V minulém roce EU-27 dovezla z USA produkty z humrů a langust v hodnotě 42 milionů EUR (15 % celkového dovozu ze zemí mimo EU), přičemž velikost objemu trhu se odhaduje na přibližně 290 milionů EUR. Producenti v EU dodávají méně než 5 % naší spotřeby. Zrušením dovozních cel se podpoří potravinářský průmysl a odvětví pohostinství. USA se na oplátku zavázaly, že usnadní přístup na trh pro vývoz z EU-27 v hodnotě 143 milionů EUR (160 milionů USD) v průměru za poslední tři roky (126 milionů EUR v roce 2019), a to snížením cel o 50 %.</w:t>
      </w:r>
    </w:p>
    <w:p>
      <w:pPr>
        <w:pStyle w:val="ManualHeading2"/>
        <w:rPr>
          <w:noProof/>
        </w:rPr>
      </w:pPr>
      <w:r>
        <w:rPr>
          <w:noProof/>
        </w:rPr>
        <w:t>•</w:t>
      </w:r>
      <w:r>
        <w:rPr>
          <w:noProof/>
        </w:rPr>
        <w:tab/>
        <w:t>Účelnost právních předpisů a zjednodušení</w:t>
      </w:r>
    </w:p>
    <w:p>
      <w:pPr>
        <w:spacing w:before="0" w:after="240"/>
        <w:rPr>
          <w:noProof/>
        </w:rPr>
      </w:pPr>
      <w:r>
        <w:rPr>
          <w:noProof/>
        </w:rPr>
        <w:t>Nevztahuje se na tento návrh.</w:t>
      </w:r>
    </w:p>
    <w:p>
      <w:pPr>
        <w:pStyle w:val="ManualHeading2"/>
        <w:rPr>
          <w:noProof/>
        </w:rPr>
      </w:pPr>
      <w:r>
        <w:rPr>
          <w:noProof/>
        </w:rPr>
        <w:t>•</w:t>
      </w:r>
      <w:r>
        <w:rPr>
          <w:noProof/>
        </w:rPr>
        <w:tab/>
        <w:t>Základní práva</w:t>
      </w:r>
    </w:p>
    <w:p>
      <w:pPr>
        <w:spacing w:before="0" w:after="240"/>
        <w:rPr>
          <w:noProof/>
        </w:rPr>
      </w:pPr>
      <w:r>
        <w:rPr>
          <w:noProof/>
        </w:rPr>
        <w:t xml:space="preserve">Tento návrh je v souladu se Smlouvami EU a Listinou základních práv Evropské unie. </w:t>
      </w:r>
    </w:p>
    <w:p>
      <w:pPr>
        <w:pStyle w:val="ManualHeading1"/>
        <w:rPr>
          <w:noProof/>
        </w:rPr>
      </w:pPr>
      <w:r>
        <w:rPr>
          <w:noProof/>
        </w:rPr>
        <w:t>4.</w:t>
      </w:r>
      <w:r>
        <w:rPr>
          <w:noProof/>
        </w:rPr>
        <w:tab/>
        <w:t>ROZPOČTOVÉ DŮSLEDKY</w:t>
      </w:r>
    </w:p>
    <w:p>
      <w:pPr>
        <w:rPr>
          <w:noProof/>
        </w:rPr>
      </w:pPr>
      <w:r>
        <w:rPr>
          <w:noProof/>
        </w:rPr>
        <w:t>Dohoda o liberalizaci cel pro průmyslové zboží bude mít omezený negativní dopad na rozpočet EU v podobě ušlého cla v důsledku liberalizace celních sazeb u produktů, na něž se vztahují celní položky uvedené v příloze tohoto nařízení, což představuje přibližně 5,3 milionu EUR na clech vybraných z USA (průměr za období 2017–2019)</w:t>
      </w:r>
      <w:r>
        <w:rPr>
          <w:rStyle w:val="FootnoteReference"/>
          <w:noProof/>
        </w:rPr>
        <w:footnoteReference w:id="3"/>
      </w:r>
      <w:r>
        <w:rPr>
          <w:noProof/>
        </w:rPr>
        <w:t>.</w:t>
      </w:r>
    </w:p>
    <w:p>
      <w:pPr>
        <w:spacing w:before="0" w:after="0"/>
        <w:jc w:val="left"/>
        <w:rPr>
          <w:noProof/>
        </w:rPr>
        <w:sectPr>
          <w:footerReference w:type="default" r:id="rId10"/>
          <w:footerReference w:type="first" r:id="rId11"/>
          <w:pgSz w:w="11907" w:h="16839"/>
          <w:pgMar w:top="1134" w:right="1417" w:bottom="1134" w:left="1417" w:header="709" w:footer="709" w:gutter="0"/>
          <w:cols w:space="720"/>
          <w:docGrid w:linePitch="326"/>
        </w:sectPr>
      </w:pPr>
    </w:p>
    <w:p>
      <w:pPr>
        <w:pStyle w:val="Rfrenceinterinstitutionnelle"/>
        <w:rPr>
          <w:noProof/>
        </w:rPr>
      </w:pPr>
      <w:r>
        <w:rPr>
          <w:noProof/>
        </w:rPr>
        <w:lastRenderedPageBreak/>
        <w:t>2020/0253 (COD)</w:t>
      </w:r>
    </w:p>
    <w:p>
      <w:pPr>
        <w:pStyle w:val="Statut"/>
        <w:rPr>
          <w:noProof/>
        </w:rPr>
      </w:pPr>
      <w:r>
        <w:rPr>
          <w:noProof/>
        </w:rPr>
        <w:t>Návrh</w:t>
      </w:r>
    </w:p>
    <w:p>
      <w:pPr>
        <w:pStyle w:val="Typedudocument"/>
        <w:rPr>
          <w:noProof/>
        </w:rPr>
      </w:pPr>
      <w:r>
        <w:rPr>
          <w:noProof/>
        </w:rPr>
        <w:t>NAŘÍZENÍ EVROPSKÉHO PARLAMENTU A RADY</w:t>
      </w:r>
    </w:p>
    <w:p>
      <w:pPr>
        <w:pStyle w:val="Titreobjet"/>
        <w:rPr>
          <w:noProof/>
        </w:rPr>
      </w:pPr>
      <w:r>
        <w:rPr>
          <w:noProof/>
        </w:rPr>
        <w:t>o odstranění cel na určité produkty</w:t>
      </w:r>
    </w:p>
    <w:p>
      <w:pPr>
        <w:pStyle w:val="Institutionquiagit"/>
        <w:rPr>
          <w:noProof/>
        </w:rPr>
      </w:pPr>
      <w:r>
        <w:rPr>
          <w:noProof/>
        </w:rPr>
        <w:t>EVROPSKÝ PARLAMENT A RADA EVROPSKÉ UNIE,</w:t>
      </w:r>
    </w:p>
    <w:p>
      <w:pPr>
        <w:rPr>
          <w:noProof/>
        </w:rPr>
      </w:pPr>
      <w:r>
        <w:rPr>
          <w:noProof/>
        </w:rPr>
        <w:t>s ohledem na Smlouvu o fungování Evropské unie, a zejména na čl. 207 odst. 2 této smlouvy,</w:t>
      </w:r>
    </w:p>
    <w:p>
      <w:pPr>
        <w:rPr>
          <w:noProof/>
        </w:rPr>
      </w:pPr>
      <w:r>
        <w:rPr>
          <w:noProof/>
        </w:rPr>
        <w:t>s ohledem na návrh Evropské komise,</w:t>
      </w:r>
    </w:p>
    <w:p>
      <w:pPr>
        <w:rPr>
          <w:noProof/>
        </w:rPr>
      </w:pPr>
      <w:r>
        <w:rPr>
          <w:noProof/>
        </w:rPr>
        <w:t>v souladu s řádným legislativním postupem,</w:t>
      </w:r>
    </w:p>
    <w:p>
      <w:pPr>
        <w:rPr>
          <w:noProof/>
        </w:rPr>
      </w:pPr>
      <w:r>
        <w:rPr>
          <w:noProof/>
        </w:rPr>
        <w:t>vzhledem k těmto důvodům:</w:t>
      </w:r>
    </w:p>
    <w:p>
      <w:pPr>
        <w:pStyle w:val="ManualConsidrant"/>
        <w:rPr>
          <w:noProof/>
        </w:rPr>
      </w:pPr>
      <w:r>
        <w:t>(1)</w:t>
      </w:r>
      <w:r>
        <w:tab/>
      </w:r>
      <w:r>
        <w:rPr>
          <w:noProof/>
        </w:rPr>
        <w:t xml:space="preserve">Evropská unie a Spojené státy americké (dále jen „Spojené státy“) mají nejrozsáhlejší a nejhlubší dvoustranné obchodní a investiční vztahy na světě a vysoce integrované ekonomiky. Hodnota vzájemného obchodu se zbožím a službami činí více než 1 bilion EUR ročně, což se rovná 3 miliardám EUR za den. Úzké obchodní a investiční vztahy mají přínos pro spotřebitele, pracovníky, podniky a investory. </w:t>
      </w:r>
    </w:p>
    <w:p>
      <w:pPr>
        <w:pStyle w:val="ManualConsidrant"/>
        <w:rPr>
          <w:noProof/>
        </w:rPr>
      </w:pPr>
      <w:r>
        <w:t>(2)</w:t>
      </w:r>
      <w:r>
        <w:tab/>
      </w:r>
      <w:r>
        <w:rPr>
          <w:noProof/>
        </w:rPr>
        <w:t xml:space="preserve">Evropská unie se zasazuje o to, aby se obchodní a investiční vztahy se Spojenými státy zlepšily. Zahrnuje to využití nových způsobů a prostředků ke zlepšení dvoustranných obchodních vztahů, odstraňování obchodních překážek a řešení stávajících obchodních sporů. Aby se předešlo dalšímu narušování těchto obchodních vztahů, měla by se odstranit cla uplatňovaná Evropskou unií </w:t>
      </w:r>
      <w:r>
        <w:rPr>
          <w:i/>
          <w:iCs/>
          <w:noProof/>
        </w:rPr>
        <w:t>erga omnes</w:t>
      </w:r>
      <w:r>
        <w:rPr>
          <w:noProof/>
        </w:rPr>
        <w:t xml:space="preserve"> na dovoz omezeného počtu produktů na období pěti let. </w:t>
      </w:r>
    </w:p>
    <w:p>
      <w:pPr>
        <w:pStyle w:val="ManualConsidrant"/>
        <w:rPr>
          <w:noProof/>
        </w:rPr>
      </w:pPr>
      <w:r>
        <w:t>(3)</w:t>
      </w:r>
      <w:r>
        <w:tab/>
      </w:r>
      <w:r>
        <w:rPr>
          <w:noProof/>
        </w:rPr>
        <w:t xml:space="preserve">Zrušení cel by se mělo uplatnit od stejného data, jako je datum, kdy Spojené státy na základě svého oznámení skutečně sníží cla na vybraný počet produktů, tj. ode dne 1. srpna 2020. </w:t>
      </w:r>
    </w:p>
    <w:p>
      <w:pPr>
        <w:pStyle w:val="ManualConsidrant"/>
        <w:rPr>
          <w:noProof/>
        </w:rPr>
      </w:pPr>
      <w:r>
        <w:t>(4)</w:t>
      </w:r>
      <w:r>
        <w:tab/>
      </w:r>
      <w:r>
        <w:rPr>
          <w:noProof/>
        </w:rPr>
        <w:t>Zrušení cel je podmíněno tím, že Spojené státy skutečně na základě svého oznámení sníží cla na vybraný počet produktů a zdrží se zavedení nových opatření, jež by ohrozila cíle společného prohlášení ze dne 21. srpna 2020</w:t>
      </w:r>
      <w:r>
        <w:rPr>
          <w:rStyle w:val="FootnoteReference"/>
          <w:noProof/>
        </w:rPr>
        <w:footnoteReference w:id="4"/>
      </w:r>
      <w:r>
        <w:rPr>
          <w:noProof/>
        </w:rPr>
        <w:t xml:space="preserve">. </w:t>
      </w:r>
    </w:p>
    <w:p>
      <w:pPr>
        <w:pStyle w:val="ManualConsidrant"/>
        <w:rPr>
          <w:noProof/>
        </w:rPr>
      </w:pPr>
      <w:r>
        <w:t>(5)</w:t>
      </w:r>
      <w:r>
        <w:tab/>
      </w:r>
      <w:r>
        <w:rPr>
          <w:noProof/>
        </w:rPr>
        <w:t>Komisi by měly být svěřeny prováděcí pravomoci, pokud jde o pozastavení používání tohoto nařízení v případě nedodržení výše uvedených podmínek.</w:t>
      </w:r>
    </w:p>
    <w:p>
      <w:pPr>
        <w:pStyle w:val="ManualConsidrant"/>
        <w:rPr>
          <w:noProof/>
        </w:rPr>
      </w:pPr>
      <w:r>
        <w:t>(6)</w:t>
      </w:r>
      <w:r>
        <w:tab/>
      </w:r>
      <w:r>
        <w:rPr>
          <w:noProof/>
        </w:rPr>
        <w:t>Vzhledem k naléhavé potřebě zabránit dalším narušením obchodu by se měla uplatnit výjimka ze lhůty osmi týdnů uvedené v článku 4 Protokolu č. 1 o úloze vnitrostátních parlamentů v Evropské unii, připojeného ke Smlouvě o Evropské unii a Smlouvě o fungování Evropské unie. Ze stejného důvodu by toto nařízení mělo vstoupit v platnost okamžitě,</w:t>
      </w:r>
    </w:p>
    <w:p>
      <w:pPr>
        <w:pStyle w:val="Formuledadoption"/>
        <w:rPr>
          <w:noProof/>
        </w:rPr>
      </w:pPr>
      <w:r>
        <w:rPr>
          <w:noProof/>
        </w:rPr>
        <w:t>PŘIJALY TOTO NAŘÍZENÍ:</w:t>
      </w:r>
    </w:p>
    <w:p>
      <w:pPr>
        <w:pStyle w:val="Titrearticle"/>
        <w:rPr>
          <w:noProof/>
        </w:rPr>
      </w:pPr>
      <w:r>
        <w:rPr>
          <w:noProof/>
        </w:rPr>
        <w:t>Článek 1</w:t>
      </w:r>
    </w:p>
    <w:p>
      <w:pPr>
        <w:jc w:val="center"/>
        <w:rPr>
          <w:noProof/>
        </w:rPr>
      </w:pPr>
      <w:r>
        <w:rPr>
          <w:noProof/>
        </w:rPr>
        <w:t xml:space="preserve">Odstranění cel </w:t>
      </w:r>
    </w:p>
    <w:p>
      <w:pPr>
        <w:rPr>
          <w:noProof/>
        </w:rPr>
      </w:pPr>
      <w:r>
        <w:rPr>
          <w:noProof/>
        </w:rPr>
        <w:lastRenderedPageBreak/>
        <w:t>Použitelná dovozní cla společného celního sazebníku činí 0 % (bez cla) pro celní položky uvedené v oddíle I přílohy.</w:t>
      </w:r>
    </w:p>
    <w:p>
      <w:pPr>
        <w:pStyle w:val="Titrearticle"/>
        <w:rPr>
          <w:noProof/>
        </w:rPr>
      </w:pPr>
      <w:r>
        <w:rPr>
          <w:noProof/>
        </w:rPr>
        <w:t>Článek 2</w:t>
      </w:r>
    </w:p>
    <w:p>
      <w:pPr>
        <w:jc w:val="center"/>
        <w:rPr>
          <w:noProof/>
        </w:rPr>
      </w:pPr>
      <w:r>
        <w:rPr>
          <w:noProof/>
        </w:rPr>
        <w:t>Podmínky pro odstranění cel</w:t>
      </w:r>
    </w:p>
    <w:p>
      <w:pPr>
        <w:rPr>
          <w:noProof/>
        </w:rPr>
      </w:pPr>
      <w:r>
        <w:rPr>
          <w:noProof/>
        </w:rPr>
        <w:t>Odstranění cel u produktů zařazených v celních položkách uvedených v oddíle I přílohy tohoto nařízení podléhá:</w:t>
      </w:r>
    </w:p>
    <w:p>
      <w:pPr>
        <w:pStyle w:val="Point0"/>
        <w:rPr>
          <w:noProof/>
        </w:rPr>
      </w:pPr>
      <w:r>
        <w:rPr>
          <w:noProof/>
        </w:rPr>
        <w:t>a)</w:t>
      </w:r>
      <w:r>
        <w:rPr>
          <w:noProof/>
        </w:rPr>
        <w:tab/>
        <w:t xml:space="preserve">snížení cel uplatněnému Spojenými státy </w:t>
      </w:r>
      <w:r>
        <w:rPr>
          <w:i/>
          <w:iCs/>
          <w:noProof/>
        </w:rPr>
        <w:t>erga omnes</w:t>
      </w:r>
      <w:r>
        <w:rPr>
          <w:noProof/>
        </w:rPr>
        <w:t xml:space="preserve"> pro celní položky uvedené v oddíle II přílohy tohoto nařízení a</w:t>
      </w:r>
    </w:p>
    <w:p>
      <w:pPr>
        <w:pStyle w:val="Point0"/>
        <w:rPr>
          <w:noProof/>
        </w:rPr>
      </w:pPr>
      <w:r>
        <w:rPr>
          <w:noProof/>
        </w:rPr>
        <w:t>b)</w:t>
      </w:r>
      <w:r>
        <w:rPr>
          <w:noProof/>
        </w:rPr>
        <w:tab/>
        <w:t>nezavedení nových opatření Spojenými státy vůči Evropské unii ohrožujících cíle sledované společným prohlášením ze dne 21. srpna 2020.</w:t>
      </w:r>
    </w:p>
    <w:p>
      <w:pPr>
        <w:pStyle w:val="Titrearticle"/>
        <w:rPr>
          <w:noProof/>
        </w:rPr>
      </w:pPr>
      <w:r>
        <w:rPr>
          <w:noProof/>
        </w:rPr>
        <w:t>Článek 3</w:t>
      </w:r>
    </w:p>
    <w:p>
      <w:pPr>
        <w:jc w:val="center"/>
        <w:rPr>
          <w:noProof/>
        </w:rPr>
      </w:pPr>
      <w:r>
        <w:rPr>
          <w:noProof/>
        </w:rPr>
        <w:t>Dočasné pozastavení</w:t>
      </w:r>
    </w:p>
    <w:p>
      <w:pPr>
        <w:rPr>
          <w:noProof/>
        </w:rPr>
      </w:pPr>
      <w:r>
        <w:rPr>
          <w:noProof/>
        </w:rPr>
        <w:t>Nesplní-li Spojené státy podmínky stanovené v článku 2 nebo existují-li dostatečné důkazy o jejich nesplnění v budoucnu, může Komise přijmout prováděcí akt, aby pozastavila odstranění cel stanovených tímto nařízením do okamžiku, než jsou uvedené podmínky splněny. Tento prováděcí akt se přijímá přezkumným postupem podle čl. 4 odst. 2.</w:t>
      </w:r>
    </w:p>
    <w:p>
      <w:pPr>
        <w:pStyle w:val="Titrearticle"/>
        <w:rPr>
          <w:noProof/>
        </w:rPr>
      </w:pPr>
      <w:r>
        <w:rPr>
          <w:noProof/>
        </w:rPr>
        <w:t>Článek 4</w:t>
      </w:r>
    </w:p>
    <w:p>
      <w:pPr>
        <w:jc w:val="center"/>
        <w:rPr>
          <w:noProof/>
        </w:rPr>
      </w:pPr>
      <w:r>
        <w:rPr>
          <w:noProof/>
        </w:rPr>
        <w:t>Postup projednávání ve výboru</w:t>
      </w:r>
    </w:p>
    <w:p>
      <w:pPr>
        <w:pStyle w:val="ManualNumPar1"/>
        <w:rPr>
          <w:noProof/>
        </w:rPr>
      </w:pPr>
      <w:r>
        <w:t>1.</w:t>
      </w:r>
      <w:r>
        <w:tab/>
      </w:r>
      <w:r>
        <w:rPr>
          <w:noProof/>
        </w:rPr>
        <w:t>Pro účely provádění článku 3 tohoto nařízení je Komisi nápomocen Výbor pro celní kodex zřízený článkem 285 nařízení (EU) č. 952/2013.</w:t>
      </w:r>
    </w:p>
    <w:p>
      <w:pPr>
        <w:pStyle w:val="ManualNumPar1"/>
        <w:rPr>
          <w:noProof/>
        </w:rPr>
      </w:pPr>
      <w:r>
        <w:t>2.</w:t>
      </w:r>
      <w:r>
        <w:tab/>
      </w:r>
      <w:r>
        <w:rPr>
          <w:noProof/>
        </w:rPr>
        <w:t>Odkazuje-li se na tento odstavec, použije se článek 5 nařízení (EU) č. 182/2011.</w:t>
      </w:r>
    </w:p>
    <w:p>
      <w:pPr>
        <w:pStyle w:val="Titrearticle"/>
        <w:rPr>
          <w:noProof/>
        </w:rPr>
      </w:pPr>
      <w:r>
        <w:rPr>
          <w:noProof/>
        </w:rPr>
        <w:t>Článek 5</w:t>
      </w:r>
    </w:p>
    <w:p>
      <w:pPr>
        <w:jc w:val="center"/>
        <w:rPr>
          <w:noProof/>
        </w:rPr>
      </w:pPr>
      <w:r>
        <w:rPr>
          <w:noProof/>
        </w:rPr>
        <w:t xml:space="preserve">Vstup v platnost a použitelnost </w:t>
      </w:r>
    </w:p>
    <w:p>
      <w:pPr>
        <w:pStyle w:val="ManualNumPar1"/>
        <w:rPr>
          <w:noProof/>
        </w:rPr>
      </w:pPr>
      <w:r>
        <w:t>1.</w:t>
      </w:r>
      <w:r>
        <w:tab/>
      </w:r>
      <w:r>
        <w:rPr>
          <w:noProof/>
        </w:rPr>
        <w:t xml:space="preserve">Toto nařízení vstupuje v platnost prvním dnem po vyhlášení v </w:t>
      </w:r>
      <w:r>
        <w:rPr>
          <w:i/>
          <w:noProof/>
        </w:rPr>
        <w:t>Úředním věstníku Evropské unie</w:t>
      </w:r>
      <w:r>
        <w:rPr>
          <w:noProof/>
        </w:rPr>
        <w:t xml:space="preserve">. </w:t>
      </w:r>
    </w:p>
    <w:p>
      <w:pPr>
        <w:pStyle w:val="ManualNumPar1"/>
        <w:rPr>
          <w:noProof/>
        </w:rPr>
      </w:pPr>
      <w:r>
        <w:t>2.</w:t>
      </w:r>
      <w:r>
        <w:tab/>
      </w:r>
      <w:r>
        <w:rPr>
          <w:noProof/>
        </w:rPr>
        <w:t xml:space="preserve">Toto nařízení se použije ode dne 1. srpna 2020 a jeho použitelnost končí dnem 31. července 2025. </w:t>
      </w:r>
    </w:p>
    <w:p>
      <w:pPr>
        <w:pStyle w:val="ManualNumPar1"/>
        <w:rPr>
          <w:noProof/>
        </w:rPr>
      </w:pPr>
      <w:r>
        <w:t>3.</w:t>
      </w:r>
      <w:r>
        <w:tab/>
      </w:r>
      <w:r>
        <w:rPr>
          <w:noProof/>
        </w:rPr>
        <w:t xml:space="preserve">Komise zveřejní v </w:t>
      </w:r>
      <w:r>
        <w:rPr>
          <w:i/>
          <w:noProof/>
        </w:rPr>
        <w:t>Úředním věstníku Evropské unie</w:t>
      </w:r>
      <w:r>
        <w:rPr>
          <w:noProof/>
        </w:rPr>
        <w:t xml:space="preserve"> oznámení o pozastavení v případě, že použitelnost tohoto nařízení byla pozastavena podle článku 3, nebo v případě, že nařízení přestane platit před 31. červencem 2025. </w:t>
      </w:r>
    </w:p>
    <w:p>
      <w:pPr>
        <w:pStyle w:val="ManualNumPar1"/>
        <w:rPr>
          <w:noProof/>
        </w:rPr>
      </w:pPr>
      <w:r>
        <w:t>4.</w:t>
      </w:r>
      <w:r>
        <w:tab/>
      </w:r>
      <w:r>
        <w:rPr>
          <w:noProof/>
        </w:rPr>
        <w:t>Na žádost hospodářských subjektů vrátí celní orgány členských států jakékoli přeplatky na clech, které překračují cla použitelná v souladu s tímto nařízením na dovoz mezi 1. srpnem 2020 a vstupem tohoto nařízení v platnost.</w:t>
      </w:r>
    </w:p>
    <w:p>
      <w:pPr>
        <w:keepNext/>
        <w:keepLines/>
        <w:rPr>
          <w:noProof/>
        </w:rPr>
      </w:pPr>
      <w:r>
        <w:rPr>
          <w:noProof/>
        </w:rPr>
        <w:lastRenderedPageBreak/>
        <w:t>Toto nařízení je závazné v celém rozsahu a přímo použitelné ve všech členských státech.</w:t>
      </w:r>
    </w:p>
    <w:p>
      <w:pPr>
        <w:pStyle w:val="Fait"/>
        <w:rPr>
          <w:noProof/>
        </w:rPr>
      </w:pPr>
      <w:r>
        <w:t>V Bruselu dne</w:t>
      </w:r>
    </w:p>
    <w:p>
      <w:pPr>
        <w:pStyle w:val="Institutionquisigne"/>
        <w:rPr>
          <w:noProof/>
        </w:rPr>
      </w:pPr>
      <w:r>
        <w:rPr>
          <w:noProof/>
        </w:rPr>
        <w:t>Za Evropský parlament</w:t>
      </w:r>
      <w:r>
        <w:rPr>
          <w:noProof/>
        </w:rPr>
        <w:tab/>
        <w:t>Za Radu</w:t>
      </w:r>
    </w:p>
    <w:p>
      <w:pPr>
        <w:pStyle w:val="Personnequisigne"/>
        <w:rPr>
          <w:noProof/>
        </w:rPr>
      </w:pPr>
      <w:r>
        <w:rPr>
          <w:noProof/>
        </w:rPr>
        <w:t>předseda/předsedkyně</w:t>
      </w:r>
      <w:r>
        <w:rPr>
          <w:noProof/>
        </w:rPr>
        <w:tab/>
        <w:t>předseda/předsedkyně</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LEGISLATIVNÍ FINANČNÍ VÝKAZ „PŘÍJMY“ – PRO NÁVRHY S ROZPOČTOVÝM DOPADEM NA PŘÍJMOVOU STRANU ROZPOČTU</w:t>
      </w:r>
    </w:p>
    <w:p>
      <w:pPr>
        <w:pStyle w:val="ManualHeading1"/>
        <w:rPr>
          <w:noProof/>
        </w:rPr>
      </w:pPr>
      <w:r>
        <w:t>1.</w:t>
      </w:r>
      <w:r>
        <w:tab/>
      </w:r>
      <w:r>
        <w:rPr>
          <w:noProof/>
        </w:rPr>
        <w:t>NÁZEV NÁVRHU:</w:t>
      </w:r>
    </w:p>
    <w:p>
      <w:pPr>
        <w:pStyle w:val="Text1"/>
        <w:rPr>
          <w:noProof/>
        </w:rPr>
      </w:pPr>
      <w:r>
        <w:rPr>
          <w:noProof/>
        </w:rPr>
        <w:t>Nařízení Evropského parlamentu a Rady o odstranění cel na určité produkty</w:t>
      </w:r>
    </w:p>
    <w:p>
      <w:pPr>
        <w:pStyle w:val="ManualHeading1"/>
        <w:rPr>
          <w:noProof/>
        </w:rPr>
      </w:pPr>
      <w:r>
        <w:t>2.</w:t>
      </w:r>
      <w:r>
        <w:tab/>
      </w:r>
      <w:r>
        <w:rPr>
          <w:noProof/>
        </w:rPr>
        <w:t>ROZPOČTOVÉ POLOŽKY:</w:t>
      </w:r>
    </w:p>
    <w:p>
      <w:pPr>
        <w:pStyle w:val="Text1"/>
        <w:rPr>
          <w:noProof/>
        </w:rPr>
      </w:pPr>
      <w:r>
        <w:rPr>
          <w:noProof/>
        </w:rPr>
        <w:t xml:space="preserve">Příjmová položka (kapitola/článek/bod): </w:t>
      </w:r>
    </w:p>
    <w:p>
      <w:pPr>
        <w:pStyle w:val="Text1"/>
        <w:rPr>
          <w:noProof/>
        </w:rPr>
      </w:pPr>
      <w:r>
        <w:rPr>
          <w:noProof/>
        </w:rPr>
        <w:t xml:space="preserve">Příjmová položka: kapitola 1 2, článek 1 2 0 </w:t>
      </w:r>
    </w:p>
    <w:p>
      <w:pPr>
        <w:pStyle w:val="Text1"/>
        <w:rPr>
          <w:noProof/>
        </w:rPr>
      </w:pPr>
      <w:r>
        <w:rPr>
          <w:noProof/>
        </w:rPr>
        <w:t xml:space="preserve">Částka zahrnutá do rozpočtu na příslušný rok: 22 156 900 000 EUR </w:t>
      </w:r>
    </w:p>
    <w:p>
      <w:pPr>
        <w:pStyle w:val="Text1"/>
        <w:ind w:left="851"/>
        <w:rPr>
          <w:noProof/>
        </w:rPr>
      </w:pPr>
      <w:r>
        <w:rPr>
          <w:noProof/>
        </w:rPr>
        <w:t xml:space="preserve">(pouze v případě účelově vázaných příjmů): </w:t>
      </w:r>
    </w:p>
    <w:p>
      <w:pPr>
        <w:pStyle w:val="Text1"/>
        <w:ind w:left="851"/>
        <w:rPr>
          <w:noProof/>
        </w:rPr>
      </w:pPr>
      <w:r>
        <w:rPr>
          <w:noProof/>
        </w:rPr>
        <w:t>Příjmy budou účelově vázány na následující výdajovou položku (kapitola/článek/bod): nepoužije se</w:t>
      </w:r>
    </w:p>
    <w:p>
      <w:pPr>
        <w:pStyle w:val="ManualHeading1"/>
        <w:rPr>
          <w:noProof/>
        </w:rPr>
      </w:pPr>
      <w:r>
        <w:t>3.</w:t>
      </w:r>
      <w:r>
        <w:tab/>
      </w:r>
      <w:r>
        <w:rPr>
          <w:noProof/>
        </w:rPr>
        <w:t>FINANČNÍ DOPAD</w:t>
      </w:r>
    </w:p>
    <w:p>
      <w:pPr>
        <w:pStyle w:val="Text1"/>
        <w:rPr>
          <w:noProof/>
        </w:rPr>
      </w:pPr>
      <w:r>
        <w:rPr>
          <w:noProof/>
        </w:rPr>
        <w:sym w:font="Wingdings" w:char="F0A8"/>
      </w:r>
      <w:r>
        <w:rPr>
          <w:noProof/>
        </w:rPr>
        <w:tab/>
        <w:t>Návrh nemá žádné finanční důsledky</w:t>
      </w:r>
    </w:p>
    <w:p>
      <w:pPr>
        <w:pStyle w:val="Text1"/>
        <w:rPr>
          <w:noProof/>
        </w:rPr>
      </w:pPr>
      <w:r>
        <w:rPr>
          <w:noProof/>
        </w:rPr>
        <w:t>X</w:t>
      </w:r>
      <w:r>
        <w:rPr>
          <w:noProof/>
        </w:rPr>
        <w:tab/>
        <w:t>Návrh nemá finanční dopad na výdaje, má však finanční dopad na příjmy</w:t>
      </w:r>
    </w:p>
    <w:p>
      <w:pPr>
        <w:pStyle w:val="Text1"/>
        <w:rPr>
          <w:noProof/>
        </w:rPr>
      </w:pPr>
      <w:r>
        <w:rPr>
          <w:noProof/>
        </w:rPr>
        <w:sym w:font="Wingdings" w:char="F0A8"/>
      </w:r>
      <w:r>
        <w:rPr>
          <w:noProof/>
        </w:rPr>
        <w:tab/>
        <w:t>Návrh má finanční dopad na účelově vázané příjmy</w:t>
      </w:r>
    </w:p>
    <w:p>
      <w:pPr>
        <w:pStyle w:val="Text1"/>
        <w:rPr>
          <w:noProof/>
        </w:rPr>
      </w:pPr>
      <w:r>
        <w:rPr>
          <w:noProof/>
        </w:rPr>
        <w:t xml:space="preserve">s následujícím účinkem: </w:t>
      </w:r>
    </w:p>
    <w:p>
      <w:pPr>
        <w:jc w:val="right"/>
        <w:rPr>
          <w:noProof/>
        </w:rPr>
      </w:pPr>
      <w:r>
        <w:rPr>
          <w:noProof/>
        </w:rPr>
        <w:t>(v milionech EUR, zaokrouhleno na jedno desetinné místo)</w:t>
      </w:r>
    </w:p>
    <w:tbl>
      <w:tblPr>
        <w:tblW w:w="83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074"/>
        <w:gridCol w:w="1984"/>
        <w:gridCol w:w="2694"/>
        <w:gridCol w:w="1590"/>
      </w:tblGrid>
      <w:tr>
        <w:trPr>
          <w:cantSplit/>
        </w:trPr>
        <w:tc>
          <w:tcPr>
            <w:tcW w:w="2074" w:type="dxa"/>
          </w:tcPr>
          <w:p>
            <w:pPr>
              <w:rPr>
                <w:noProof/>
              </w:rPr>
            </w:pPr>
            <w:r>
              <w:rPr>
                <w:noProof/>
              </w:rPr>
              <w:t>Příjmová položka</w:t>
            </w:r>
          </w:p>
        </w:tc>
        <w:tc>
          <w:tcPr>
            <w:tcW w:w="1984" w:type="dxa"/>
          </w:tcPr>
          <w:p>
            <w:pPr>
              <w:jc w:val="center"/>
              <w:rPr>
                <w:noProof/>
              </w:rPr>
            </w:pPr>
            <w:r>
              <w:rPr>
                <w:noProof/>
              </w:rPr>
              <w:t>Dopad na příjmy</w:t>
            </w:r>
            <w:r>
              <w:rPr>
                <w:rStyle w:val="FootnoteReference"/>
                <w:noProof/>
              </w:rPr>
              <w:footnoteReference w:id="5"/>
            </w:r>
            <w:r>
              <w:rPr>
                <w:noProof/>
              </w:rPr>
              <w:t xml:space="preserve"> </w:t>
            </w:r>
            <w:r>
              <w:rPr>
                <w:rStyle w:val="FootnoteReference"/>
                <w:noProof/>
              </w:rPr>
              <w:footnoteReference w:id="6"/>
            </w:r>
          </w:p>
        </w:tc>
        <w:tc>
          <w:tcPr>
            <w:tcW w:w="2694" w:type="dxa"/>
          </w:tcPr>
          <w:p>
            <w:pPr>
              <w:jc w:val="center"/>
              <w:rPr>
                <w:noProof/>
              </w:rPr>
            </w:pPr>
            <w:r>
              <w:rPr>
                <w:noProof/>
              </w:rPr>
              <w:t>Období XX měsíců ode dne dd. mm. rrrr (je-li relevantní)</w:t>
            </w:r>
          </w:p>
        </w:tc>
        <w:tc>
          <w:tcPr>
            <w:tcW w:w="1590" w:type="dxa"/>
          </w:tcPr>
          <w:p>
            <w:pPr>
              <w:jc w:val="center"/>
              <w:rPr>
                <w:noProof/>
              </w:rPr>
            </w:pPr>
            <w:r>
              <w:rPr>
                <w:noProof/>
              </w:rPr>
              <w:t>Rok N</w:t>
            </w:r>
          </w:p>
          <w:p>
            <w:pPr>
              <w:jc w:val="center"/>
              <w:rPr>
                <w:noProof/>
              </w:rPr>
            </w:pPr>
          </w:p>
        </w:tc>
      </w:tr>
      <w:tr>
        <w:trPr>
          <w:cantSplit/>
        </w:trPr>
        <w:tc>
          <w:tcPr>
            <w:tcW w:w="2074" w:type="dxa"/>
            <w:shd w:val="clear" w:color="auto" w:fill="auto"/>
          </w:tcPr>
          <w:p>
            <w:pPr>
              <w:jc w:val="left"/>
              <w:rPr>
                <w:noProof/>
              </w:rPr>
            </w:pPr>
            <w:r>
              <w:rPr>
                <w:noProof/>
              </w:rPr>
              <w:t>Kapitola 12, článek 120 – Cla a další poplatky uvedené v čl. 2 odst. 1 písm. a) rozhodnutí 2014/335/EU, Euratom</w:t>
            </w:r>
          </w:p>
        </w:tc>
        <w:tc>
          <w:tcPr>
            <w:tcW w:w="1984" w:type="dxa"/>
          </w:tcPr>
          <w:p>
            <w:pPr>
              <w:spacing w:before="0" w:after="0"/>
              <w:jc w:val="center"/>
              <w:rPr>
                <w:noProof/>
              </w:rPr>
            </w:pPr>
            <w:r>
              <w:rPr>
                <w:noProof/>
              </w:rPr>
              <w:t xml:space="preserve">–2,2 </w:t>
            </w:r>
          </w:p>
        </w:tc>
        <w:tc>
          <w:tcPr>
            <w:tcW w:w="2694" w:type="dxa"/>
          </w:tcPr>
          <w:p>
            <w:pPr>
              <w:spacing w:before="0" w:after="0"/>
              <w:jc w:val="left"/>
              <w:rPr>
                <w:noProof/>
              </w:rPr>
            </w:pPr>
            <w:r>
              <w:rPr>
                <w:noProof/>
              </w:rPr>
              <w:t>Období pěti měsíců ode dne 1. 8. 2020</w:t>
            </w:r>
          </w:p>
        </w:tc>
        <w:tc>
          <w:tcPr>
            <w:tcW w:w="1590" w:type="dxa"/>
            <w:shd w:val="clear" w:color="auto" w:fill="auto"/>
          </w:tcPr>
          <w:p>
            <w:pPr>
              <w:spacing w:before="0" w:after="0"/>
              <w:jc w:val="center"/>
              <w:rPr>
                <w:noProof/>
              </w:rPr>
            </w:pPr>
            <w:r>
              <w:rPr>
                <w:noProof/>
              </w:rPr>
              <w:t>2020</w:t>
            </w:r>
          </w:p>
        </w:tc>
      </w:tr>
    </w:tbl>
    <w:p>
      <w:pPr>
        <w:rPr>
          <w:noProof/>
        </w:rPr>
      </w:pPr>
    </w:p>
    <w:tbl>
      <w:tblPr>
        <w:tblW w:w="83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074"/>
        <w:gridCol w:w="1276"/>
        <w:gridCol w:w="1275"/>
        <w:gridCol w:w="1276"/>
        <w:gridCol w:w="1276"/>
        <w:gridCol w:w="1165"/>
      </w:tblGrid>
      <w:tr>
        <w:trPr>
          <w:cantSplit/>
        </w:trPr>
        <w:tc>
          <w:tcPr>
            <w:tcW w:w="8342" w:type="dxa"/>
            <w:gridSpan w:val="6"/>
          </w:tcPr>
          <w:p>
            <w:pPr>
              <w:jc w:val="center"/>
              <w:rPr>
                <w:noProof/>
              </w:rPr>
            </w:pPr>
            <w:r>
              <w:rPr>
                <w:noProof/>
              </w:rPr>
              <w:t>Stav po opatření</w:t>
            </w:r>
          </w:p>
        </w:tc>
      </w:tr>
      <w:tr>
        <w:trPr>
          <w:cantSplit/>
        </w:trPr>
        <w:tc>
          <w:tcPr>
            <w:tcW w:w="2074" w:type="dxa"/>
          </w:tcPr>
          <w:p>
            <w:pPr>
              <w:jc w:val="center"/>
              <w:rPr>
                <w:noProof/>
              </w:rPr>
            </w:pPr>
            <w:r>
              <w:rPr>
                <w:noProof/>
              </w:rPr>
              <w:t>Příjmová položka</w:t>
            </w:r>
          </w:p>
        </w:tc>
        <w:tc>
          <w:tcPr>
            <w:tcW w:w="1276" w:type="dxa"/>
          </w:tcPr>
          <w:p>
            <w:pPr>
              <w:jc w:val="center"/>
              <w:rPr>
                <w:noProof/>
              </w:rPr>
            </w:pPr>
            <w:r>
              <w:rPr>
                <w:noProof/>
              </w:rPr>
              <w:t>2021</w:t>
            </w:r>
          </w:p>
        </w:tc>
        <w:tc>
          <w:tcPr>
            <w:tcW w:w="1275" w:type="dxa"/>
          </w:tcPr>
          <w:p>
            <w:pPr>
              <w:jc w:val="center"/>
              <w:rPr>
                <w:noProof/>
              </w:rPr>
            </w:pPr>
            <w:r>
              <w:rPr>
                <w:noProof/>
              </w:rPr>
              <w:t>2022</w:t>
            </w:r>
          </w:p>
        </w:tc>
        <w:tc>
          <w:tcPr>
            <w:tcW w:w="1276" w:type="dxa"/>
          </w:tcPr>
          <w:p>
            <w:pPr>
              <w:jc w:val="center"/>
              <w:rPr>
                <w:noProof/>
              </w:rPr>
            </w:pPr>
            <w:r>
              <w:rPr>
                <w:noProof/>
              </w:rPr>
              <w:t>2023</w:t>
            </w:r>
          </w:p>
        </w:tc>
        <w:tc>
          <w:tcPr>
            <w:tcW w:w="1276" w:type="dxa"/>
          </w:tcPr>
          <w:p>
            <w:pPr>
              <w:jc w:val="center"/>
              <w:rPr>
                <w:noProof/>
              </w:rPr>
            </w:pPr>
            <w:r>
              <w:rPr>
                <w:noProof/>
              </w:rPr>
              <w:t>2024</w:t>
            </w:r>
          </w:p>
        </w:tc>
        <w:tc>
          <w:tcPr>
            <w:tcW w:w="1165" w:type="dxa"/>
          </w:tcPr>
          <w:p>
            <w:pPr>
              <w:jc w:val="center"/>
              <w:rPr>
                <w:noProof/>
              </w:rPr>
            </w:pPr>
            <w:r>
              <w:rPr>
                <w:noProof/>
              </w:rPr>
              <w:t>2025</w:t>
            </w:r>
          </w:p>
        </w:tc>
      </w:tr>
      <w:tr>
        <w:trPr>
          <w:cantSplit/>
        </w:trPr>
        <w:tc>
          <w:tcPr>
            <w:tcW w:w="2074" w:type="dxa"/>
          </w:tcPr>
          <w:p>
            <w:pPr>
              <w:rPr>
                <w:noProof/>
              </w:rPr>
            </w:pPr>
            <w:r>
              <w:rPr>
                <w:noProof/>
              </w:rPr>
              <w:t>Kapitola 12, článek 120</w:t>
            </w:r>
          </w:p>
        </w:tc>
        <w:tc>
          <w:tcPr>
            <w:tcW w:w="1276" w:type="dxa"/>
          </w:tcPr>
          <w:p>
            <w:pPr>
              <w:spacing w:before="0" w:after="0"/>
              <w:jc w:val="center"/>
              <w:rPr>
                <w:noProof/>
              </w:rPr>
            </w:pPr>
            <w:r>
              <w:rPr>
                <w:noProof/>
              </w:rPr>
              <w:t>–5,3 milionu EUR</w:t>
            </w:r>
          </w:p>
        </w:tc>
        <w:tc>
          <w:tcPr>
            <w:tcW w:w="1275" w:type="dxa"/>
          </w:tcPr>
          <w:p>
            <w:pPr>
              <w:spacing w:before="0" w:after="0"/>
              <w:jc w:val="center"/>
              <w:rPr>
                <w:noProof/>
              </w:rPr>
            </w:pPr>
            <w:r>
              <w:rPr>
                <w:noProof/>
              </w:rPr>
              <w:t>–5,3 milionu EUR</w:t>
            </w:r>
          </w:p>
        </w:tc>
        <w:tc>
          <w:tcPr>
            <w:tcW w:w="1276" w:type="dxa"/>
          </w:tcPr>
          <w:p>
            <w:pPr>
              <w:spacing w:before="0" w:after="0"/>
              <w:jc w:val="center"/>
              <w:rPr>
                <w:noProof/>
              </w:rPr>
            </w:pPr>
            <w:r>
              <w:rPr>
                <w:noProof/>
              </w:rPr>
              <w:t>–5,3 milionu EUR</w:t>
            </w:r>
          </w:p>
        </w:tc>
        <w:tc>
          <w:tcPr>
            <w:tcW w:w="1276" w:type="dxa"/>
          </w:tcPr>
          <w:p>
            <w:pPr>
              <w:spacing w:before="0" w:after="0"/>
              <w:jc w:val="center"/>
              <w:rPr>
                <w:noProof/>
              </w:rPr>
            </w:pPr>
            <w:r>
              <w:rPr>
                <w:noProof/>
              </w:rPr>
              <w:t>–5,3 milionu EUR</w:t>
            </w:r>
          </w:p>
        </w:tc>
        <w:tc>
          <w:tcPr>
            <w:tcW w:w="1165" w:type="dxa"/>
          </w:tcPr>
          <w:p>
            <w:pPr>
              <w:spacing w:before="0" w:after="0"/>
              <w:jc w:val="center"/>
              <w:rPr>
                <w:noProof/>
              </w:rPr>
            </w:pPr>
            <w:r>
              <w:rPr>
                <w:noProof/>
              </w:rPr>
              <w:t>–3,1 milionu EUR</w:t>
            </w:r>
          </w:p>
        </w:tc>
      </w:tr>
    </w:tbl>
    <w:p>
      <w:pPr>
        <w:rPr>
          <w:noProof/>
        </w:rPr>
      </w:pPr>
    </w:p>
    <w:p>
      <w:pPr>
        <w:pStyle w:val="Text1"/>
        <w:rPr>
          <w:noProof/>
        </w:rPr>
      </w:pPr>
      <w:r>
        <w:rPr>
          <w:noProof/>
        </w:rPr>
        <w:t>(Pouze v případě účelově vázaných příjmů, pod podmínkou, že rozpočtová položka je již známa):</w:t>
      </w:r>
    </w:p>
    <w:tbl>
      <w:tblPr>
        <w:tblW w:w="4654" w:type="pct"/>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2059"/>
        <w:gridCol w:w="3370"/>
        <w:gridCol w:w="3119"/>
      </w:tblGrid>
      <w:tr>
        <w:trPr>
          <w:cantSplit/>
        </w:trPr>
        <w:tc>
          <w:tcPr>
            <w:tcW w:w="1129" w:type="pct"/>
          </w:tcPr>
          <w:p>
            <w:pPr>
              <w:rPr>
                <w:noProof/>
              </w:rPr>
            </w:pPr>
            <w:r>
              <w:rPr>
                <w:noProof/>
              </w:rPr>
              <w:t>Výdajová položka</w:t>
            </w:r>
            <w:r>
              <w:rPr>
                <w:rStyle w:val="FootnoteReference"/>
                <w:noProof/>
              </w:rPr>
              <w:footnoteReference w:id="7"/>
            </w:r>
          </w:p>
        </w:tc>
        <w:tc>
          <w:tcPr>
            <w:tcW w:w="2009" w:type="pct"/>
          </w:tcPr>
          <w:p>
            <w:pPr>
              <w:jc w:val="center"/>
              <w:rPr>
                <w:noProof/>
              </w:rPr>
            </w:pPr>
            <w:r>
              <w:rPr>
                <w:noProof/>
              </w:rPr>
              <w:t>Rok N</w:t>
            </w:r>
          </w:p>
        </w:tc>
        <w:tc>
          <w:tcPr>
            <w:tcW w:w="1863" w:type="pct"/>
          </w:tcPr>
          <w:p>
            <w:pPr>
              <w:jc w:val="center"/>
              <w:rPr>
                <w:noProof/>
              </w:rPr>
            </w:pPr>
            <w:r>
              <w:rPr>
                <w:noProof/>
              </w:rPr>
              <w:t>Rok N+1</w:t>
            </w:r>
          </w:p>
        </w:tc>
      </w:tr>
      <w:tr>
        <w:trPr>
          <w:cantSplit/>
        </w:trPr>
        <w:tc>
          <w:tcPr>
            <w:tcW w:w="1129" w:type="pct"/>
          </w:tcPr>
          <w:p>
            <w:pPr>
              <w:rPr>
                <w:noProof/>
              </w:rPr>
            </w:pPr>
            <w:r>
              <w:rPr>
                <w:noProof/>
              </w:rPr>
              <w:t>Kapitola/článek/bod ...</w:t>
            </w:r>
          </w:p>
        </w:tc>
        <w:tc>
          <w:tcPr>
            <w:tcW w:w="2009" w:type="pct"/>
          </w:tcPr>
          <w:p>
            <w:pPr>
              <w:jc w:val="center"/>
              <w:rPr>
                <w:noProof/>
              </w:rPr>
            </w:pPr>
          </w:p>
        </w:tc>
        <w:tc>
          <w:tcPr>
            <w:tcW w:w="1863" w:type="pct"/>
          </w:tcPr>
          <w:p>
            <w:pPr>
              <w:jc w:val="center"/>
              <w:rPr>
                <w:noProof/>
              </w:rPr>
            </w:pPr>
          </w:p>
        </w:tc>
      </w:tr>
      <w:tr>
        <w:trPr>
          <w:cantSplit/>
        </w:trPr>
        <w:tc>
          <w:tcPr>
            <w:tcW w:w="1129" w:type="pct"/>
          </w:tcPr>
          <w:p>
            <w:pPr>
              <w:rPr>
                <w:noProof/>
              </w:rPr>
            </w:pPr>
            <w:r>
              <w:rPr>
                <w:noProof/>
              </w:rPr>
              <w:t>Kapitola/článek/bod ...</w:t>
            </w:r>
          </w:p>
        </w:tc>
        <w:tc>
          <w:tcPr>
            <w:tcW w:w="2009" w:type="pct"/>
          </w:tcPr>
          <w:p>
            <w:pPr>
              <w:jc w:val="center"/>
              <w:rPr>
                <w:noProof/>
              </w:rPr>
            </w:pPr>
          </w:p>
        </w:tc>
        <w:tc>
          <w:tcPr>
            <w:tcW w:w="1863" w:type="pct"/>
          </w:tcPr>
          <w:p>
            <w:pPr>
              <w:jc w:val="center"/>
              <w:rPr>
                <w:noProof/>
              </w:rPr>
            </w:pPr>
          </w:p>
        </w:tc>
      </w:tr>
    </w:tbl>
    <w:p>
      <w:pPr>
        <w:pStyle w:val="Text1"/>
        <w:rPr>
          <w:noProof/>
        </w:rPr>
      </w:pPr>
    </w:p>
    <w:tbl>
      <w:tblPr>
        <w:tblW w:w="83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790"/>
        <w:gridCol w:w="972"/>
        <w:gridCol w:w="1440"/>
        <w:gridCol w:w="1260"/>
        <w:gridCol w:w="1440"/>
        <w:gridCol w:w="1440"/>
      </w:tblGrid>
      <w:tr>
        <w:trPr>
          <w:cantSplit/>
        </w:trPr>
        <w:tc>
          <w:tcPr>
            <w:tcW w:w="8342" w:type="dxa"/>
            <w:gridSpan w:val="6"/>
          </w:tcPr>
          <w:p>
            <w:pPr>
              <w:jc w:val="center"/>
              <w:rPr>
                <w:noProof/>
              </w:rPr>
            </w:pPr>
            <w:r>
              <w:rPr>
                <w:noProof/>
              </w:rPr>
              <w:t>Stav po opatření</w:t>
            </w:r>
          </w:p>
        </w:tc>
      </w:tr>
      <w:tr>
        <w:trPr>
          <w:cantSplit/>
        </w:trPr>
        <w:tc>
          <w:tcPr>
            <w:tcW w:w="1790" w:type="dxa"/>
          </w:tcPr>
          <w:p>
            <w:pPr>
              <w:jc w:val="center"/>
              <w:rPr>
                <w:noProof/>
              </w:rPr>
            </w:pPr>
            <w:r>
              <w:rPr>
                <w:noProof/>
              </w:rPr>
              <w:t>Výdajová položka</w:t>
            </w:r>
          </w:p>
        </w:tc>
        <w:tc>
          <w:tcPr>
            <w:tcW w:w="972" w:type="dxa"/>
          </w:tcPr>
          <w:p>
            <w:pPr>
              <w:jc w:val="center"/>
              <w:rPr>
                <w:noProof/>
              </w:rPr>
            </w:pPr>
            <w:r>
              <w:rPr>
                <w:noProof/>
              </w:rPr>
              <w:t>[N+1]</w:t>
            </w:r>
          </w:p>
        </w:tc>
        <w:tc>
          <w:tcPr>
            <w:tcW w:w="1440" w:type="dxa"/>
          </w:tcPr>
          <w:p>
            <w:pPr>
              <w:jc w:val="center"/>
              <w:rPr>
                <w:noProof/>
              </w:rPr>
            </w:pPr>
            <w:r>
              <w:rPr>
                <w:noProof/>
              </w:rPr>
              <w:t>[N+2]</w:t>
            </w:r>
          </w:p>
        </w:tc>
        <w:tc>
          <w:tcPr>
            <w:tcW w:w="1260" w:type="dxa"/>
          </w:tcPr>
          <w:p>
            <w:pPr>
              <w:jc w:val="center"/>
              <w:rPr>
                <w:noProof/>
              </w:rPr>
            </w:pPr>
            <w:r>
              <w:rPr>
                <w:noProof/>
              </w:rPr>
              <w:t>[N+3]</w:t>
            </w:r>
          </w:p>
        </w:tc>
        <w:tc>
          <w:tcPr>
            <w:tcW w:w="1440" w:type="dxa"/>
          </w:tcPr>
          <w:p>
            <w:pPr>
              <w:jc w:val="center"/>
              <w:rPr>
                <w:noProof/>
              </w:rPr>
            </w:pPr>
            <w:r>
              <w:rPr>
                <w:noProof/>
              </w:rPr>
              <w:t>[N+4]</w:t>
            </w:r>
          </w:p>
        </w:tc>
        <w:tc>
          <w:tcPr>
            <w:tcW w:w="1440" w:type="dxa"/>
          </w:tcPr>
          <w:p>
            <w:pPr>
              <w:jc w:val="center"/>
              <w:rPr>
                <w:noProof/>
              </w:rPr>
            </w:pPr>
            <w:r>
              <w:rPr>
                <w:noProof/>
              </w:rPr>
              <w:t>[N+5]</w:t>
            </w:r>
          </w:p>
        </w:tc>
      </w:tr>
      <w:tr>
        <w:trPr>
          <w:cantSplit/>
        </w:trPr>
        <w:tc>
          <w:tcPr>
            <w:tcW w:w="1790" w:type="dxa"/>
          </w:tcPr>
          <w:p>
            <w:pPr>
              <w:rPr>
                <w:noProof/>
              </w:rPr>
            </w:pPr>
            <w:r>
              <w:rPr>
                <w:noProof/>
              </w:rPr>
              <w:t>Kapitola/článek/bod ...</w:t>
            </w:r>
          </w:p>
        </w:tc>
        <w:tc>
          <w:tcPr>
            <w:tcW w:w="972" w:type="dxa"/>
          </w:tcPr>
          <w:p>
            <w:pPr>
              <w:jc w:val="center"/>
              <w:rPr>
                <w:noProof/>
              </w:rPr>
            </w:pPr>
          </w:p>
        </w:tc>
        <w:tc>
          <w:tcPr>
            <w:tcW w:w="1440" w:type="dxa"/>
          </w:tcPr>
          <w:p>
            <w:pPr>
              <w:jc w:val="center"/>
              <w:rPr>
                <w:noProof/>
              </w:rPr>
            </w:pPr>
          </w:p>
        </w:tc>
        <w:tc>
          <w:tcPr>
            <w:tcW w:w="1260" w:type="dxa"/>
          </w:tcPr>
          <w:p>
            <w:pPr>
              <w:jc w:val="center"/>
              <w:rPr>
                <w:noProof/>
              </w:rPr>
            </w:pPr>
          </w:p>
        </w:tc>
        <w:tc>
          <w:tcPr>
            <w:tcW w:w="1440" w:type="dxa"/>
          </w:tcPr>
          <w:p>
            <w:pPr>
              <w:jc w:val="center"/>
              <w:rPr>
                <w:noProof/>
              </w:rPr>
            </w:pPr>
          </w:p>
        </w:tc>
        <w:tc>
          <w:tcPr>
            <w:tcW w:w="1440" w:type="dxa"/>
          </w:tcPr>
          <w:p>
            <w:pPr>
              <w:jc w:val="center"/>
              <w:rPr>
                <w:noProof/>
              </w:rPr>
            </w:pPr>
          </w:p>
        </w:tc>
      </w:tr>
      <w:tr>
        <w:trPr>
          <w:cantSplit/>
        </w:trPr>
        <w:tc>
          <w:tcPr>
            <w:tcW w:w="1790" w:type="dxa"/>
          </w:tcPr>
          <w:p>
            <w:pPr>
              <w:rPr>
                <w:noProof/>
              </w:rPr>
            </w:pPr>
            <w:r>
              <w:rPr>
                <w:noProof/>
              </w:rPr>
              <w:t>Kapitola/článek/bod ...</w:t>
            </w:r>
          </w:p>
        </w:tc>
        <w:tc>
          <w:tcPr>
            <w:tcW w:w="972" w:type="dxa"/>
          </w:tcPr>
          <w:p>
            <w:pPr>
              <w:jc w:val="center"/>
              <w:rPr>
                <w:noProof/>
              </w:rPr>
            </w:pPr>
          </w:p>
        </w:tc>
        <w:tc>
          <w:tcPr>
            <w:tcW w:w="1440" w:type="dxa"/>
          </w:tcPr>
          <w:p>
            <w:pPr>
              <w:jc w:val="center"/>
              <w:rPr>
                <w:noProof/>
              </w:rPr>
            </w:pPr>
          </w:p>
        </w:tc>
        <w:tc>
          <w:tcPr>
            <w:tcW w:w="1260" w:type="dxa"/>
          </w:tcPr>
          <w:p>
            <w:pPr>
              <w:jc w:val="center"/>
              <w:rPr>
                <w:noProof/>
              </w:rPr>
            </w:pPr>
          </w:p>
        </w:tc>
        <w:tc>
          <w:tcPr>
            <w:tcW w:w="1440" w:type="dxa"/>
          </w:tcPr>
          <w:p>
            <w:pPr>
              <w:jc w:val="center"/>
              <w:rPr>
                <w:noProof/>
              </w:rPr>
            </w:pPr>
          </w:p>
        </w:tc>
        <w:tc>
          <w:tcPr>
            <w:tcW w:w="1440" w:type="dxa"/>
          </w:tcPr>
          <w:p>
            <w:pPr>
              <w:jc w:val="center"/>
              <w:rPr>
                <w:noProof/>
              </w:rPr>
            </w:pPr>
          </w:p>
        </w:tc>
      </w:tr>
    </w:tbl>
    <w:p>
      <w:pPr>
        <w:pStyle w:val="Text1"/>
        <w:rPr>
          <w:noProof/>
        </w:rPr>
      </w:pPr>
    </w:p>
    <w:p>
      <w:pPr>
        <w:pStyle w:val="ManualHeading1"/>
        <w:rPr>
          <w:noProof/>
        </w:rPr>
      </w:pPr>
      <w:r>
        <w:t>4.</w:t>
      </w:r>
      <w:r>
        <w:tab/>
      </w:r>
      <w:r>
        <w:rPr>
          <w:noProof/>
        </w:rPr>
        <w:t>OPATŘENÍ PROTI PODVODŮM</w:t>
      </w:r>
    </w:p>
    <w:p>
      <w:pPr>
        <w:pStyle w:val="Text1"/>
        <w:rPr>
          <w:noProof/>
        </w:rPr>
      </w:pPr>
      <w:r>
        <w:rPr>
          <w:noProof/>
        </w:rPr>
        <w:t>[…]</w:t>
      </w:r>
    </w:p>
    <w:p>
      <w:pPr>
        <w:pStyle w:val="ManualHeading1"/>
        <w:rPr>
          <w:noProof/>
        </w:rPr>
      </w:pPr>
      <w:r>
        <w:t>5.</w:t>
      </w:r>
      <w:r>
        <w:tab/>
      </w:r>
      <w:r>
        <w:rPr>
          <w:noProof/>
        </w:rPr>
        <w:t>JINÉ POZNÁMKY</w:t>
      </w:r>
    </w:p>
    <w:p>
      <w:pPr>
        <w:pStyle w:val="Text1"/>
        <w:rPr>
          <w:noProof/>
        </w:rPr>
      </w:pPr>
      <w:r>
        <w:rPr>
          <w:noProof/>
        </w:rPr>
        <w:t xml:space="preserve">Výpočty vycházejí z dostupných statistických údajů, přičemž podle odhadů představuje ušlé clo v důsledku liberalizace pro produkty, na něž se vztahují celní položky uvedené v příloze tohoto nařízení, přibližně 5,3 milionu EUR ročně na clech vybraných z USA (průměr za období 2017–2019). </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CS</w:t>
    </w:r>
    <w:r>
      <w:rPr>
        <w:rFonts w:ascii="Arial" w:hAnsi="Arial" w:cs="Arial"/>
        <w:b/>
        <w:sz w:val="48"/>
      </w:rPr>
      <w:tab/>
    </w:r>
    <w:r>
      <w:rPr>
        <w:rFonts w:ascii="Arial" w:hAnsi="Arial" w:cs="Arial"/>
        <w:b/>
        <w:sz w:val="48"/>
      </w:rPr>
      <w:tab/>
    </w:r>
    <w:r>
      <w:tab/>
    </w:r>
    <w:r>
      <w:rPr>
        <w:rFonts w:ascii="Arial" w:hAnsi="Arial" w:cs="Arial"/>
        <w:b/>
        <w:sz w:val="48"/>
      </w:rPr>
      <w:t>CS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CS</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CS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Tuto částku tvoří dovoz EU-27 z USA ve výši 42 milionů EUR a dovoz USA z EU ve výši 126 milionů EUR (údaje za rok 2019).</w:t>
      </w:r>
    </w:p>
  </w:footnote>
  <w:footnote w:id="2">
    <w:p>
      <w:pPr>
        <w:pStyle w:val="FootnoteText"/>
      </w:pPr>
      <w:r>
        <w:rPr>
          <w:rStyle w:val="FootnoteReference"/>
        </w:rPr>
        <w:footnoteRef/>
      </w:r>
      <w:r>
        <w:tab/>
        <w:t>Ustanovení čl. 21 odst. 2 písm. e) Smlouvy o EU.</w:t>
      </w:r>
    </w:p>
  </w:footnote>
  <w:footnote w:id="3">
    <w:p>
      <w:pPr>
        <w:pStyle w:val="FootnoteText"/>
      </w:pPr>
      <w:r>
        <w:rPr>
          <w:rStyle w:val="FootnoteReference"/>
        </w:rPr>
        <w:footnoteRef/>
      </w:r>
      <w:r>
        <w:tab/>
        <w:t>Zdroj: Eurostat.</w:t>
      </w:r>
    </w:p>
  </w:footnote>
  <w:footnote w:id="4">
    <w:p>
      <w:pPr>
        <w:pStyle w:val="FootnoteText"/>
      </w:pPr>
      <w:r>
        <w:rPr>
          <w:rStyle w:val="FootnoteReference"/>
        </w:rPr>
        <w:footnoteRef/>
      </w:r>
      <w:r>
        <w:tab/>
      </w:r>
      <w:hyperlink r:id="rId1" w:history="1">
        <w:r>
          <w:rPr>
            <w:rStyle w:val="Hyperlink"/>
          </w:rPr>
          <w:t>https://trade.ec.europa.eu/doclib/press/index.cfm?id=2178</w:t>
        </w:r>
      </w:hyperlink>
    </w:p>
  </w:footnote>
  <w:footnote w:id="5">
    <w:p>
      <w:pPr>
        <w:pStyle w:val="FootnoteText"/>
      </w:pPr>
      <w:r>
        <w:rPr>
          <w:rStyle w:val="FootnoteReference"/>
        </w:rPr>
        <w:footnoteRef/>
      </w:r>
      <w:r>
        <w:tab/>
        <w:t>Částky pro každý rok musí být odhadnuty s použitím vzorce nebo způsobu stanovených v oddíle 5. U prvního roku se roční částka vyplatí obvyklým způsobem bez snížení či poměrného snížení.</w:t>
      </w:r>
    </w:p>
  </w:footnote>
  <w:footnote w:id="6">
    <w:p>
      <w:pPr>
        <w:pStyle w:val="FootnoteText"/>
      </w:pPr>
      <w:r>
        <w:rPr>
          <w:rStyle w:val="FootnoteReference"/>
        </w:rPr>
        <w:footnoteRef/>
      </w:r>
      <w:r>
        <w:tab/>
        <w:t>Pokud jde o tradiční vlastní zdroje (cla, dávky z cukru), je třeba uvést čisté částky, tj. hrubé částky po odečtení 20 % nákladů na výběr.</w:t>
      </w:r>
    </w:p>
  </w:footnote>
  <w:footnote w:id="7">
    <w:p>
      <w:pPr>
        <w:pStyle w:val="FootnoteText"/>
      </w:pPr>
      <w:r>
        <w:rPr>
          <w:rStyle w:val="FootnoteReference"/>
        </w:rPr>
        <w:footnoteRef/>
      </w:r>
      <w:r>
        <w:tab/>
        <w:t>Použije se jen v nutných případech.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7">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5"/>
  </w:num>
  <w:num w:numId="7">
    <w:abstractNumId w:val="22"/>
  </w:num>
  <w:num w:numId="8">
    <w:abstractNumId w:val="26"/>
  </w:num>
  <w:num w:numId="9">
    <w:abstractNumId w:val="27"/>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1"/>
  </w:num>
  <w:num w:numId="22">
    <w:abstractNumId w:val="11"/>
  </w:num>
  <w:num w:numId="23">
    <w:abstractNumId w:val="24"/>
  </w:num>
  <w:num w:numId="24">
    <w:abstractNumId w:val="6"/>
  </w:num>
  <w:num w:numId="25">
    <w:abstractNumId w:val="12"/>
  </w:num>
  <w:num w:numId="26">
    <w:abstractNumId w:val="4"/>
  </w:num>
  <w:num w:numId="27">
    <w:abstractNumId w:val="23"/>
  </w:num>
  <w:num w:numId="28">
    <w:abstractNumId w:val="3"/>
  </w:num>
  <w:num w:numId="29">
    <w:abstractNumId w:val="13"/>
  </w:num>
  <w:num w:numId="30">
    <w:abstractNumId w:val="19"/>
  </w:num>
  <w:num w:numId="31">
    <w:abstractNumId w:val="20"/>
  </w:num>
  <w:num w:numId="32">
    <w:abstractNumId w:val="5"/>
  </w:num>
  <w:num w:numId="33">
    <w:abstractNumId w:val="17"/>
  </w:num>
  <w:num w:numId="34">
    <w:abstractNumId w:val="2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attachedTemplate r:id="rId1"/>
  <w:revisionView w:markup="0"/>
  <w:defaultTabStop w:val="720"/>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10 14:14:4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D21C56D-D408-4109-A635-11D4D6199CD4"/>
    <w:docVar w:name="LW_COVERPAGE_TYPE" w:val="1"/>
    <w:docVar w:name="LW_CROSSREFERENCE" w:val="&lt;UNUSED&gt;"/>
    <w:docVar w:name="LW_DocType" w:val="COM"/>
    <w:docVar w:name="LW_EMISSION" w:val="8.9.2020"/>
    <w:docVar w:name="LW_EMISSION_ISODATE" w:val="2020-09-08"/>
    <w:docVar w:name="LW_EMISSION_LOCATION" w:val="BRX"/>
    <w:docVar w:name="LW_EMISSION_PREFIX" w:val="V Bruselu dne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CS"/>
    <w:docVar w:name="LW_LEVEL_OF_SENSITIVITY" w:val="Standard treatment"/>
    <w:docVar w:name="LW_NOM.INST" w:val="EVROPSKÁ KOMISE"/>
    <w:docVar w:name="LW_NOM.INST_JOINTDOC" w:val="&lt;EMPTY&gt;"/>
    <w:docVar w:name="LW_PART_NBR" w:val="1"/>
    <w:docVar w:name="LW_PART_NBR_TOTAL" w:val="1"/>
    <w:docVar w:name="LW_REF.II.NEW.CP" w:val="COD"/>
    <w:docVar w:name="LW_REF.II.NEW.CP_NUMBER" w:val="0253"/>
    <w:docVar w:name="LW_REF.II.NEW.CP_YEAR" w:val="2020"/>
    <w:docVar w:name="LW_REF.INST.NEW" w:val="COM"/>
    <w:docVar w:name="LW_REF.INST.NEW_ADOPTED" w:val="final"/>
    <w:docVar w:name="LW_REF.INST.NEW_TEXT" w:val="(2020) 4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Návrh"/>
    <w:docVar w:name="LW_SUPERTITRE" w:val="&lt;UNUSED&gt;"/>
    <w:docVar w:name="LW_TITRE.OBJ.CP" w:val="o odstran\u283?ní cel na ur\u269?ité produkty"/>
    <w:docVar w:name="LW_TYPE.DOC.CP" w:val="NA\u344?ÍZENÍ EVROPSKÉHO PARLAMENTU A RADY"/>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cs-CZ"/>
    </w:rPr>
  </w:style>
  <w:style w:type="paragraph" w:styleId="Heading1">
    <w:name w:val="heading 1"/>
    <w:basedOn w:val="Normal"/>
    <w:next w:val="Text1"/>
    <w:link w:val="Heading1Char"/>
    <w:uiPriority w:val="9"/>
    <w:qFormat/>
    <w:pPr>
      <w:keepNext/>
      <w:numPr>
        <w:numId w:val="2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cs-CZ"/>
    </w:rPr>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uiPriority w:val="99"/>
    <w:rPr>
      <w:rFonts w:eastAsia="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cs-CZ"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cs-CZ"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customStyle="1" w:styleId="AnnexetitreChar">
    <w:name w:val="Annexe titre Char"/>
    <w:basedOn w:val="DefaultParagraphFont"/>
    <w:rPr>
      <w:rFonts w:ascii="Times New Roman" w:hAnsi="Times New Roman" w:cs="Times New Roman"/>
      <w:b/>
      <w:sz w:val="24"/>
      <w:u w:val="single"/>
      <w:lang w:val="cs-CZ"/>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cs-CZ"/>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cs-CZ"/>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1"/>
      </w:numPr>
    </w:pPr>
  </w:style>
  <w:style w:type="paragraph" w:customStyle="1" w:styleId="Tiret1">
    <w:name w:val="Tiret 1"/>
    <w:basedOn w:val="Point1"/>
    <w:pPr>
      <w:numPr>
        <w:numId w:val="22"/>
      </w:numPr>
    </w:pPr>
  </w:style>
  <w:style w:type="paragraph" w:customStyle="1" w:styleId="Tiret2">
    <w:name w:val="Tiret 2"/>
    <w:basedOn w:val="Point2"/>
    <w:pPr>
      <w:numPr>
        <w:numId w:val="23"/>
      </w:numPr>
    </w:pPr>
  </w:style>
  <w:style w:type="paragraph" w:customStyle="1" w:styleId="Tiret3">
    <w:name w:val="Tiret 3"/>
    <w:basedOn w:val="Point3"/>
    <w:pPr>
      <w:numPr>
        <w:numId w:val="24"/>
      </w:numPr>
    </w:pPr>
  </w:style>
  <w:style w:type="paragraph" w:customStyle="1" w:styleId="Tiret4">
    <w:name w:val="Tiret 4"/>
    <w:basedOn w:val="Point4"/>
    <w:pPr>
      <w:numPr>
        <w:numId w:val="2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6"/>
      </w:numPr>
    </w:pPr>
  </w:style>
  <w:style w:type="paragraph" w:customStyle="1" w:styleId="NumPar2">
    <w:name w:val="NumPar 2"/>
    <w:basedOn w:val="Normal"/>
    <w:next w:val="Text1"/>
    <w:pPr>
      <w:numPr>
        <w:ilvl w:val="1"/>
        <w:numId w:val="26"/>
      </w:numPr>
    </w:pPr>
  </w:style>
  <w:style w:type="paragraph" w:customStyle="1" w:styleId="NumPar3">
    <w:name w:val="NumPar 3"/>
    <w:basedOn w:val="Normal"/>
    <w:next w:val="Text1"/>
    <w:pPr>
      <w:numPr>
        <w:ilvl w:val="2"/>
        <w:numId w:val="26"/>
      </w:numPr>
    </w:pPr>
  </w:style>
  <w:style w:type="paragraph" w:customStyle="1" w:styleId="NumPar4">
    <w:name w:val="NumPar 4"/>
    <w:basedOn w:val="Normal"/>
    <w:next w:val="Text1"/>
    <w:pPr>
      <w:numPr>
        <w:ilvl w:val="3"/>
        <w:numId w:val="2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8"/>
      </w:numPr>
    </w:pPr>
  </w:style>
  <w:style w:type="paragraph" w:customStyle="1" w:styleId="Point1number">
    <w:name w:val="Point 1 (number)"/>
    <w:basedOn w:val="Normal"/>
    <w:pPr>
      <w:numPr>
        <w:ilvl w:val="2"/>
        <w:numId w:val="28"/>
      </w:numPr>
    </w:pPr>
  </w:style>
  <w:style w:type="paragraph" w:customStyle="1" w:styleId="Point2number">
    <w:name w:val="Point 2 (number)"/>
    <w:basedOn w:val="Normal"/>
    <w:pPr>
      <w:numPr>
        <w:ilvl w:val="4"/>
        <w:numId w:val="28"/>
      </w:numPr>
    </w:pPr>
  </w:style>
  <w:style w:type="paragraph" w:customStyle="1" w:styleId="Point3number">
    <w:name w:val="Point 3 (number)"/>
    <w:basedOn w:val="Normal"/>
    <w:pPr>
      <w:numPr>
        <w:ilvl w:val="6"/>
        <w:numId w:val="28"/>
      </w:numPr>
    </w:pPr>
  </w:style>
  <w:style w:type="paragraph" w:customStyle="1" w:styleId="Point0letter">
    <w:name w:val="Point 0 (letter)"/>
    <w:basedOn w:val="Normal"/>
    <w:pPr>
      <w:numPr>
        <w:ilvl w:val="1"/>
        <w:numId w:val="28"/>
      </w:numPr>
    </w:pPr>
  </w:style>
  <w:style w:type="paragraph" w:customStyle="1" w:styleId="Point1letter">
    <w:name w:val="Point 1 (letter)"/>
    <w:basedOn w:val="Normal"/>
    <w:pPr>
      <w:numPr>
        <w:ilvl w:val="3"/>
        <w:numId w:val="28"/>
      </w:numPr>
    </w:pPr>
  </w:style>
  <w:style w:type="paragraph" w:customStyle="1" w:styleId="Point2letter">
    <w:name w:val="Point 2 (letter)"/>
    <w:basedOn w:val="Normal"/>
    <w:pPr>
      <w:numPr>
        <w:ilvl w:val="5"/>
        <w:numId w:val="28"/>
      </w:numPr>
    </w:pPr>
  </w:style>
  <w:style w:type="paragraph" w:customStyle="1" w:styleId="Point3letter">
    <w:name w:val="Point 3 (letter)"/>
    <w:basedOn w:val="Normal"/>
    <w:pPr>
      <w:numPr>
        <w:ilvl w:val="7"/>
        <w:numId w:val="28"/>
      </w:numPr>
    </w:pPr>
  </w:style>
  <w:style w:type="paragraph" w:customStyle="1" w:styleId="Point4letter">
    <w:name w:val="Point 4 (letter)"/>
    <w:basedOn w:val="Normal"/>
    <w:pPr>
      <w:numPr>
        <w:ilvl w:val="8"/>
        <w:numId w:val="28"/>
      </w:numPr>
    </w:pPr>
  </w:style>
  <w:style w:type="paragraph" w:customStyle="1" w:styleId="Bullet0">
    <w:name w:val="Bullet 0"/>
    <w:basedOn w:val="Normal"/>
    <w:pPr>
      <w:numPr>
        <w:numId w:val="29"/>
      </w:numPr>
    </w:pPr>
  </w:style>
  <w:style w:type="paragraph" w:customStyle="1" w:styleId="Bullet1">
    <w:name w:val="Bullet 1"/>
    <w:basedOn w:val="Normal"/>
    <w:pPr>
      <w:numPr>
        <w:numId w:val="30"/>
      </w:numPr>
    </w:pPr>
  </w:style>
  <w:style w:type="paragraph" w:customStyle="1" w:styleId="Bullet2">
    <w:name w:val="Bullet 2"/>
    <w:basedOn w:val="Normal"/>
    <w:pPr>
      <w:numPr>
        <w:numId w:val="31"/>
      </w:numPr>
    </w:pPr>
  </w:style>
  <w:style w:type="paragraph" w:customStyle="1" w:styleId="Bullet3">
    <w:name w:val="Bullet 3"/>
    <w:basedOn w:val="Normal"/>
    <w:pPr>
      <w:numPr>
        <w:numId w:val="32"/>
      </w:numPr>
    </w:pPr>
  </w:style>
  <w:style w:type="paragraph" w:customStyle="1" w:styleId="Bullet4">
    <w:name w:val="Bullet 4"/>
    <w:basedOn w:val="Normal"/>
    <w:pPr>
      <w:numPr>
        <w:numId w:val="3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cs-CZ"/>
    </w:rPr>
  </w:style>
  <w:style w:type="paragraph" w:styleId="Heading1">
    <w:name w:val="heading 1"/>
    <w:basedOn w:val="Normal"/>
    <w:next w:val="Text1"/>
    <w:link w:val="Heading1Char"/>
    <w:uiPriority w:val="9"/>
    <w:qFormat/>
    <w:pPr>
      <w:keepNext/>
      <w:numPr>
        <w:numId w:val="2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cs-CZ"/>
    </w:rPr>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uiPriority w:val="99"/>
    <w:rPr>
      <w:rFonts w:eastAsia="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cs-CZ"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cs-CZ"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customStyle="1" w:styleId="AnnexetitreChar">
    <w:name w:val="Annexe titre Char"/>
    <w:basedOn w:val="DefaultParagraphFont"/>
    <w:rPr>
      <w:rFonts w:ascii="Times New Roman" w:hAnsi="Times New Roman" w:cs="Times New Roman"/>
      <w:b/>
      <w:sz w:val="24"/>
      <w:u w:val="single"/>
      <w:lang w:val="cs-CZ"/>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cs-CZ"/>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cs-CZ"/>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1"/>
      </w:numPr>
    </w:pPr>
  </w:style>
  <w:style w:type="paragraph" w:customStyle="1" w:styleId="Tiret1">
    <w:name w:val="Tiret 1"/>
    <w:basedOn w:val="Point1"/>
    <w:pPr>
      <w:numPr>
        <w:numId w:val="22"/>
      </w:numPr>
    </w:pPr>
  </w:style>
  <w:style w:type="paragraph" w:customStyle="1" w:styleId="Tiret2">
    <w:name w:val="Tiret 2"/>
    <w:basedOn w:val="Point2"/>
    <w:pPr>
      <w:numPr>
        <w:numId w:val="23"/>
      </w:numPr>
    </w:pPr>
  </w:style>
  <w:style w:type="paragraph" w:customStyle="1" w:styleId="Tiret3">
    <w:name w:val="Tiret 3"/>
    <w:basedOn w:val="Point3"/>
    <w:pPr>
      <w:numPr>
        <w:numId w:val="24"/>
      </w:numPr>
    </w:pPr>
  </w:style>
  <w:style w:type="paragraph" w:customStyle="1" w:styleId="Tiret4">
    <w:name w:val="Tiret 4"/>
    <w:basedOn w:val="Point4"/>
    <w:pPr>
      <w:numPr>
        <w:numId w:val="2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6"/>
      </w:numPr>
    </w:pPr>
  </w:style>
  <w:style w:type="paragraph" w:customStyle="1" w:styleId="NumPar2">
    <w:name w:val="NumPar 2"/>
    <w:basedOn w:val="Normal"/>
    <w:next w:val="Text1"/>
    <w:pPr>
      <w:numPr>
        <w:ilvl w:val="1"/>
        <w:numId w:val="26"/>
      </w:numPr>
    </w:pPr>
  </w:style>
  <w:style w:type="paragraph" w:customStyle="1" w:styleId="NumPar3">
    <w:name w:val="NumPar 3"/>
    <w:basedOn w:val="Normal"/>
    <w:next w:val="Text1"/>
    <w:pPr>
      <w:numPr>
        <w:ilvl w:val="2"/>
        <w:numId w:val="26"/>
      </w:numPr>
    </w:pPr>
  </w:style>
  <w:style w:type="paragraph" w:customStyle="1" w:styleId="NumPar4">
    <w:name w:val="NumPar 4"/>
    <w:basedOn w:val="Normal"/>
    <w:next w:val="Text1"/>
    <w:pPr>
      <w:numPr>
        <w:ilvl w:val="3"/>
        <w:numId w:val="2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8"/>
      </w:numPr>
    </w:pPr>
  </w:style>
  <w:style w:type="paragraph" w:customStyle="1" w:styleId="Point1number">
    <w:name w:val="Point 1 (number)"/>
    <w:basedOn w:val="Normal"/>
    <w:pPr>
      <w:numPr>
        <w:ilvl w:val="2"/>
        <w:numId w:val="28"/>
      </w:numPr>
    </w:pPr>
  </w:style>
  <w:style w:type="paragraph" w:customStyle="1" w:styleId="Point2number">
    <w:name w:val="Point 2 (number)"/>
    <w:basedOn w:val="Normal"/>
    <w:pPr>
      <w:numPr>
        <w:ilvl w:val="4"/>
        <w:numId w:val="28"/>
      </w:numPr>
    </w:pPr>
  </w:style>
  <w:style w:type="paragraph" w:customStyle="1" w:styleId="Point3number">
    <w:name w:val="Point 3 (number)"/>
    <w:basedOn w:val="Normal"/>
    <w:pPr>
      <w:numPr>
        <w:ilvl w:val="6"/>
        <w:numId w:val="28"/>
      </w:numPr>
    </w:pPr>
  </w:style>
  <w:style w:type="paragraph" w:customStyle="1" w:styleId="Point0letter">
    <w:name w:val="Point 0 (letter)"/>
    <w:basedOn w:val="Normal"/>
    <w:pPr>
      <w:numPr>
        <w:ilvl w:val="1"/>
        <w:numId w:val="28"/>
      </w:numPr>
    </w:pPr>
  </w:style>
  <w:style w:type="paragraph" w:customStyle="1" w:styleId="Point1letter">
    <w:name w:val="Point 1 (letter)"/>
    <w:basedOn w:val="Normal"/>
    <w:pPr>
      <w:numPr>
        <w:ilvl w:val="3"/>
        <w:numId w:val="28"/>
      </w:numPr>
    </w:pPr>
  </w:style>
  <w:style w:type="paragraph" w:customStyle="1" w:styleId="Point2letter">
    <w:name w:val="Point 2 (letter)"/>
    <w:basedOn w:val="Normal"/>
    <w:pPr>
      <w:numPr>
        <w:ilvl w:val="5"/>
        <w:numId w:val="28"/>
      </w:numPr>
    </w:pPr>
  </w:style>
  <w:style w:type="paragraph" w:customStyle="1" w:styleId="Point3letter">
    <w:name w:val="Point 3 (letter)"/>
    <w:basedOn w:val="Normal"/>
    <w:pPr>
      <w:numPr>
        <w:ilvl w:val="7"/>
        <w:numId w:val="28"/>
      </w:numPr>
    </w:pPr>
  </w:style>
  <w:style w:type="paragraph" w:customStyle="1" w:styleId="Point4letter">
    <w:name w:val="Point 4 (letter)"/>
    <w:basedOn w:val="Normal"/>
    <w:pPr>
      <w:numPr>
        <w:ilvl w:val="8"/>
        <w:numId w:val="28"/>
      </w:numPr>
    </w:pPr>
  </w:style>
  <w:style w:type="paragraph" w:customStyle="1" w:styleId="Bullet0">
    <w:name w:val="Bullet 0"/>
    <w:basedOn w:val="Normal"/>
    <w:pPr>
      <w:numPr>
        <w:numId w:val="29"/>
      </w:numPr>
    </w:pPr>
  </w:style>
  <w:style w:type="paragraph" w:customStyle="1" w:styleId="Bullet1">
    <w:name w:val="Bullet 1"/>
    <w:basedOn w:val="Normal"/>
    <w:pPr>
      <w:numPr>
        <w:numId w:val="30"/>
      </w:numPr>
    </w:pPr>
  </w:style>
  <w:style w:type="paragraph" w:customStyle="1" w:styleId="Bullet2">
    <w:name w:val="Bullet 2"/>
    <w:basedOn w:val="Normal"/>
    <w:pPr>
      <w:numPr>
        <w:numId w:val="31"/>
      </w:numPr>
    </w:pPr>
  </w:style>
  <w:style w:type="paragraph" w:customStyle="1" w:styleId="Bullet3">
    <w:name w:val="Bullet 3"/>
    <w:basedOn w:val="Normal"/>
    <w:pPr>
      <w:numPr>
        <w:numId w:val="32"/>
      </w:numPr>
    </w:pPr>
  </w:style>
  <w:style w:type="paragraph" w:customStyle="1" w:styleId="Bullet4">
    <w:name w:val="Bullet 4"/>
    <w:basedOn w:val="Normal"/>
    <w:pPr>
      <w:numPr>
        <w:numId w:val="3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trade.ec.europa.eu/doclib/press/index.cfm?id=217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3</TotalTime>
  <Pages>8</Pages>
  <Words>1543</Words>
  <Characters>8430</Characters>
  <Application>Microsoft Office Word</Application>
  <DocSecurity>0</DocSecurity>
  <Lines>255</Lines>
  <Paragraphs>155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2020-09-08T09:01:00Z</dcterms:created>
  <dcterms:modified xsi:type="dcterms:W3CDTF">2020-09-10T12:14:00Z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