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3EE981D-5923-4A37-AD4B-0616A44D9A22" style="width:450.75pt;height:352.4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BAKGRUND TILL FÖRSLAGET</w:t>
      </w:r>
    </w:p>
    <w:p>
      <w:pPr>
        <w:pStyle w:val="ManualNumPar1"/>
        <w:rPr>
          <w:noProof/>
        </w:rPr>
      </w:pPr>
      <w:r>
        <w:t>1.</w:t>
      </w:r>
      <w:r>
        <w:tab/>
      </w:r>
      <w:r>
        <w:rPr>
          <w:noProof/>
        </w:rPr>
        <w:t xml:space="preserve">De bestämmelser som gäller för ekonomiskt stöd från Europeiska fonden för justering av globaliseringseffekter (nedan kallad </w:t>
      </w:r>
      <w:r>
        <w:rPr>
          <w:i/>
          <w:iCs/>
          <w:noProof/>
        </w:rPr>
        <w:t>fonden</w:t>
      </w:r>
      <w:r>
        <w:rPr>
          <w:noProof/>
        </w:rPr>
        <w:t>) fastställs i Europaparlamentets och rådets förordning (EU) nr 1309/2013 av den 17 december 2013 om Europeiska fonden för justering för globaliseringseffekter (2014–2020) och om upphävande av förordning (EG) nr 1927/2006</w:t>
      </w:r>
      <w:r>
        <w:rPr>
          <w:rStyle w:val="FootnoteReference"/>
          <w:noProof/>
        </w:rPr>
        <w:footnoteReference w:id="2"/>
      </w:r>
      <w:r>
        <w:rPr>
          <w:noProof/>
        </w:rPr>
        <w:t xml:space="preserve"> (nedan kallad </w:t>
      </w:r>
      <w:r>
        <w:rPr>
          <w:i/>
          <w:iCs/>
          <w:noProof/>
        </w:rPr>
        <w:t>förordningen om fonden</w:t>
      </w:r>
      <w:r>
        <w:rPr>
          <w:noProof/>
        </w:rPr>
        <w:t>).</w:t>
      </w:r>
    </w:p>
    <w:p>
      <w:pPr>
        <w:pStyle w:val="ManualNumPar1"/>
        <w:rPr>
          <w:noProof/>
        </w:rPr>
      </w:pPr>
      <w:r>
        <w:t>2.</w:t>
      </w:r>
      <w:r>
        <w:tab/>
      </w:r>
      <w:r>
        <w:rPr>
          <w:noProof/>
        </w:rPr>
        <w:t>Den 13 maj 2020 lämnade Spanien in ansökan EGF/</w:t>
      </w:r>
      <w:bookmarkStart w:id="1" w:name="EGF_Ref_Year"/>
      <w:r>
        <w:rPr>
          <w:noProof/>
        </w:rPr>
        <w:t>2020</w:t>
      </w:r>
      <w:bookmarkEnd w:id="1"/>
      <w:r>
        <w:rPr>
          <w:noProof/>
        </w:rPr>
        <w:t>/</w:t>
      </w:r>
      <w:bookmarkStart w:id="2" w:name="EGF_Ref_CaseNumber"/>
      <w:r>
        <w:rPr>
          <w:noProof/>
        </w:rPr>
        <w:t>001</w:t>
      </w:r>
      <w:bookmarkEnd w:id="2"/>
      <w:r>
        <w:rPr>
          <w:noProof/>
        </w:rPr>
        <w:t xml:space="preserve"> </w:t>
      </w:r>
      <w:bookmarkStart w:id="3" w:name="MS_Code"/>
      <w:r>
        <w:rPr>
          <w:noProof/>
        </w:rPr>
        <w:t>ES</w:t>
      </w:r>
      <w:bookmarkEnd w:id="3"/>
      <w:r>
        <w:rPr>
          <w:noProof/>
        </w:rPr>
        <w:t>/</w:t>
      </w:r>
      <w:bookmarkStart w:id="4" w:name="EGF_Ref_CaseName"/>
      <w:r>
        <w:rPr>
          <w:noProof/>
        </w:rPr>
        <w:t xml:space="preserve">Stödsektorer till Galiciens varvsindustri </w:t>
      </w:r>
      <w:bookmarkEnd w:id="4"/>
      <w:r>
        <w:rPr>
          <w:noProof/>
        </w:rPr>
        <w:t>från fonden, med anledning av uppsägningarna</w:t>
      </w:r>
      <w:r>
        <w:rPr>
          <w:rStyle w:val="FootnoteReference"/>
          <w:noProof/>
        </w:rPr>
        <w:footnoteReference w:id="3"/>
      </w:r>
      <w:r>
        <w:rPr>
          <w:noProof/>
        </w:rPr>
        <w:t xml:space="preserve"> inom de näringsgrenar som i Nace rev. 2 klassificeras som huvudgrupp 24 (Stål- och metallframställning), 25 (Tillverkning av metallvaror utom maskiner och apparater), 30 (Tillverkning av andra transportmedel), 32 (Annan tillverkning), 33 (Reparation och installation av maskiner och apparater) och 43 (Specialiserad bygg- och anläggningsverksamhet) i Nuts 2-regionen Galicia (ES11) i </w:t>
      </w:r>
      <w:bookmarkStart w:id="5" w:name="MS_Name"/>
      <w:r>
        <w:rPr>
          <w:noProof/>
        </w:rPr>
        <w:t>Spanien</w:t>
      </w:r>
      <w:bookmarkEnd w:id="5"/>
      <w:r>
        <w:rPr>
          <w:noProof/>
        </w:rPr>
        <w:t>. Dessa näringsgrenar kallas nedan stödsektorer till varvsindustrin.</w:t>
      </w:r>
    </w:p>
    <w:p>
      <w:pPr>
        <w:pStyle w:val="ManualNumPar1"/>
        <w:rPr>
          <w:noProof/>
        </w:rPr>
      </w:pPr>
      <w:r>
        <w:t>3.</w:t>
      </w:r>
      <w:r>
        <w:tab/>
      </w:r>
      <w:r>
        <w:rPr>
          <w:noProof/>
        </w:rPr>
        <w:t xml:space="preserve">Efter att ha granskat ansökan konstaterar kommissionen i enlighet med alla tillämpliga bestämmelser i förordningen om fonden att villkoren för ekonomiskt stöd från fonden är uppfyllda. </w:t>
      </w:r>
    </w:p>
    <w:p>
      <w:pPr>
        <w:pStyle w:val="ManualHeading1"/>
        <w:rPr>
          <w:noProof/>
        </w:rPr>
      </w:pPr>
      <w:r>
        <w:rPr>
          <w:noProof/>
        </w:rPr>
        <w:t>SAMMANFATTNING AV ANSÖKAN</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Ansökan om stöd från fonden</w:t>
            </w:r>
          </w:p>
        </w:tc>
        <w:tc>
          <w:tcPr>
            <w:tcW w:w="4379" w:type="dxa"/>
            <w:shd w:val="clear" w:color="auto" w:fill="auto"/>
          </w:tcPr>
          <w:p>
            <w:pPr>
              <w:spacing w:before="60" w:after="60"/>
              <w:ind w:rightChars="192" w:right="461"/>
              <w:jc w:val="left"/>
              <w:rPr>
                <w:rFonts w:eastAsia="Calibri"/>
                <w:noProof/>
              </w:rPr>
            </w:pPr>
            <w:r>
              <w:rPr>
                <w:noProof/>
              </w:rPr>
              <w:t>EGF/2020/001 ES/Stödsektorer till Galiciens varvsindustri</w:t>
            </w:r>
          </w:p>
        </w:tc>
      </w:tr>
      <w:tr>
        <w:tc>
          <w:tcPr>
            <w:tcW w:w="4908" w:type="dxa"/>
            <w:shd w:val="clear" w:color="auto" w:fill="auto"/>
          </w:tcPr>
          <w:p>
            <w:pPr>
              <w:spacing w:before="60" w:after="60"/>
              <w:jc w:val="left"/>
              <w:rPr>
                <w:rFonts w:eastAsia="Calibri"/>
                <w:noProof/>
              </w:rPr>
            </w:pPr>
            <w:r>
              <w:rPr>
                <w:noProof/>
              </w:rPr>
              <w:t>Medlemsstat</w:t>
            </w:r>
          </w:p>
        </w:tc>
        <w:tc>
          <w:tcPr>
            <w:tcW w:w="4379" w:type="dxa"/>
            <w:shd w:val="clear" w:color="auto" w:fill="auto"/>
          </w:tcPr>
          <w:p>
            <w:pPr>
              <w:spacing w:before="60" w:after="60"/>
              <w:ind w:rightChars="192" w:right="461"/>
              <w:jc w:val="left"/>
              <w:rPr>
                <w:rFonts w:eastAsia="Calibri"/>
                <w:noProof/>
              </w:rPr>
            </w:pPr>
            <w:r>
              <w:rPr>
                <w:noProof/>
              </w:rPr>
              <w:t>Spanien</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Region eller regioner som berörs (Nuts</w:t>
            </w:r>
            <w:r>
              <w:rPr>
                <w:rStyle w:val="FootnoteReference"/>
                <w:noProof/>
              </w:rPr>
              <w:footnoteReference w:id="4"/>
            </w:r>
            <w:r>
              <w:rPr>
                <w:noProof/>
              </w:rPr>
              <w:t xml:space="preserve"> 2)</w:t>
            </w:r>
          </w:p>
        </w:tc>
        <w:tc>
          <w:tcPr>
            <w:tcW w:w="4379" w:type="dxa"/>
            <w:tcBorders>
              <w:bottom w:val="single" w:sz="4" w:space="0" w:color="auto"/>
            </w:tcBorders>
            <w:shd w:val="clear" w:color="auto" w:fill="auto"/>
          </w:tcPr>
          <w:p>
            <w:pPr>
              <w:spacing w:before="0" w:after="0"/>
              <w:ind w:rightChars="192" w:right="461"/>
              <w:jc w:val="left"/>
              <w:rPr>
                <w:noProof/>
                <w:szCs w:val="24"/>
              </w:rPr>
            </w:pPr>
            <w:bookmarkStart w:id="6" w:name="Region_1_Name"/>
            <w:r>
              <w:rPr>
                <w:noProof/>
              </w:rPr>
              <w:t>Galicien</w:t>
            </w:r>
            <w:bookmarkEnd w:id="6"/>
            <w:r>
              <w:rPr>
                <w:noProof/>
              </w:rPr>
              <w:t xml:space="preserve"> (ES11)</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Dag för inlämnande av ansökan</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13 maj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Dag för bekräftande av att ansökan mottagits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13 maj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Dag för begäran om ytterligare information</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27 maj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Tidsfrist för inlämning av ytterligare information</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8 juli 2020</w:t>
            </w:r>
          </w:p>
        </w:tc>
      </w:tr>
      <w:tr>
        <w:tc>
          <w:tcPr>
            <w:tcW w:w="4908" w:type="dxa"/>
            <w:tcBorders>
              <w:top w:val="dotted" w:sz="4" w:space="0" w:color="auto"/>
            </w:tcBorders>
            <w:shd w:val="clear" w:color="auto" w:fill="auto"/>
          </w:tcPr>
          <w:p>
            <w:pPr>
              <w:spacing w:before="60" w:after="60"/>
              <w:jc w:val="left"/>
              <w:rPr>
                <w:rFonts w:eastAsia="Calibri"/>
                <w:noProof/>
              </w:rPr>
            </w:pPr>
            <w:r>
              <w:rPr>
                <w:noProof/>
              </w:rPr>
              <w:t>Tidsfrist för slutförande av bedömningen</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30 september 2020</w:t>
            </w:r>
          </w:p>
        </w:tc>
      </w:tr>
      <w:tr>
        <w:tc>
          <w:tcPr>
            <w:tcW w:w="4908" w:type="dxa"/>
            <w:shd w:val="clear" w:color="auto" w:fill="auto"/>
          </w:tcPr>
          <w:p>
            <w:pPr>
              <w:spacing w:before="60" w:after="60"/>
              <w:jc w:val="left"/>
              <w:rPr>
                <w:rFonts w:eastAsia="Calibri"/>
                <w:noProof/>
              </w:rPr>
            </w:pPr>
            <w:r>
              <w:rPr>
                <w:noProof/>
              </w:rPr>
              <w:t>Insatskriterium</w:t>
            </w:r>
          </w:p>
        </w:tc>
        <w:tc>
          <w:tcPr>
            <w:tcW w:w="4379" w:type="dxa"/>
            <w:shd w:val="clear" w:color="auto" w:fill="auto"/>
          </w:tcPr>
          <w:p>
            <w:pPr>
              <w:spacing w:before="60" w:after="60"/>
              <w:ind w:rightChars="192" w:right="461"/>
              <w:jc w:val="left"/>
              <w:rPr>
                <w:rFonts w:eastAsia="Calibri"/>
                <w:noProof/>
              </w:rPr>
            </w:pPr>
            <w:r>
              <w:rPr>
                <w:noProof/>
              </w:rPr>
              <w:t>Artikel 4.2 i förordningen om fonden</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Antal berörda företag</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38</w:t>
            </w:r>
          </w:p>
        </w:tc>
      </w:tr>
    </w:tbl>
    <w:p>
      <w:pPr>
        <w:rPr>
          <w:noProof/>
        </w:rPr>
      </w:pPr>
      <w:r>
        <w:rPr>
          <w:noProof/>
        </w:rPr>
        <w:br w:type="page"/>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Näringsgrenar</w:t>
            </w:r>
          </w:p>
          <w:p>
            <w:pPr>
              <w:spacing w:before="60" w:after="60"/>
              <w:jc w:val="left"/>
              <w:rPr>
                <w:rFonts w:eastAsia="Calibri"/>
                <w:noProof/>
              </w:rPr>
            </w:pPr>
            <w:r>
              <w:rPr>
                <w:noProof/>
              </w:rPr>
              <w:t>(huvudgrupp enligt Nace rev. 2)</w:t>
            </w:r>
            <w:r>
              <w:rPr>
                <w:rStyle w:val="FootnoteReference"/>
                <w:noProof/>
                <w:szCs w:val="24"/>
              </w:rPr>
              <w:footnoteReference w:id="5"/>
            </w:r>
          </w:p>
        </w:tc>
        <w:tc>
          <w:tcPr>
            <w:tcW w:w="4379" w:type="dxa"/>
            <w:shd w:val="clear" w:color="auto" w:fill="auto"/>
          </w:tcPr>
          <w:p>
            <w:pPr>
              <w:spacing w:before="60" w:after="60"/>
              <w:ind w:rightChars="192" w:right="461"/>
              <w:jc w:val="left"/>
              <w:rPr>
                <w:noProof/>
                <w:szCs w:val="24"/>
              </w:rPr>
            </w:pPr>
            <w:r>
              <w:rPr>
                <w:noProof/>
              </w:rPr>
              <w:t>Huvudgrupp 24 (Stål- och metallframställning),</w:t>
            </w:r>
          </w:p>
          <w:p>
            <w:pPr>
              <w:spacing w:before="60" w:after="60"/>
              <w:ind w:rightChars="192" w:right="461"/>
              <w:jc w:val="left"/>
              <w:rPr>
                <w:noProof/>
                <w:szCs w:val="24"/>
              </w:rPr>
            </w:pPr>
            <w:r>
              <w:rPr>
                <w:noProof/>
              </w:rPr>
              <w:t>Huvudgrupp 25 (Tillverkning av metallvaror utom maskiner och utrustning),</w:t>
            </w:r>
          </w:p>
          <w:p>
            <w:pPr>
              <w:spacing w:before="60" w:after="60"/>
              <w:ind w:rightChars="192" w:right="461"/>
              <w:jc w:val="left"/>
              <w:rPr>
                <w:noProof/>
                <w:szCs w:val="24"/>
              </w:rPr>
            </w:pPr>
            <w:r>
              <w:rPr>
                <w:noProof/>
              </w:rPr>
              <w:t>Huvudgrupp 30 (Tillverkning av andra transportmedel),</w:t>
            </w:r>
          </w:p>
          <w:p>
            <w:pPr>
              <w:spacing w:before="60" w:after="60"/>
              <w:ind w:rightChars="192" w:right="461"/>
              <w:jc w:val="left"/>
              <w:rPr>
                <w:noProof/>
                <w:szCs w:val="24"/>
              </w:rPr>
            </w:pPr>
            <w:r>
              <w:rPr>
                <w:noProof/>
              </w:rPr>
              <w:t>Huvudgrupp 32 (Annan tillverkning),</w:t>
            </w:r>
          </w:p>
          <w:p>
            <w:pPr>
              <w:spacing w:before="60" w:after="60"/>
              <w:ind w:rightChars="192" w:right="461"/>
              <w:jc w:val="left"/>
              <w:rPr>
                <w:noProof/>
                <w:szCs w:val="24"/>
              </w:rPr>
            </w:pPr>
            <w:r>
              <w:rPr>
                <w:noProof/>
              </w:rPr>
              <w:t>Huvudgrupp 33 (Reparation och installation av maskiner och apparater) och</w:t>
            </w:r>
          </w:p>
          <w:p>
            <w:pPr>
              <w:spacing w:before="60" w:after="60"/>
              <w:ind w:rightChars="192" w:right="461"/>
              <w:jc w:val="left"/>
              <w:rPr>
                <w:rFonts w:eastAsia="Calibri"/>
                <w:noProof/>
              </w:rPr>
            </w:pPr>
            <w:r>
              <w:rPr>
                <w:noProof/>
              </w:rPr>
              <w:t>Huvudgrupp 43 (Specialiserad bygg- och anläggningsverksamhet).</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Referensperiod (nio månader)</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23 maj 2019–23 februari 2020</w:t>
            </w:r>
          </w:p>
        </w:tc>
      </w:tr>
      <w:tr>
        <w:tc>
          <w:tcPr>
            <w:tcW w:w="4908" w:type="dxa"/>
            <w:tcBorders>
              <w:bottom w:val="dotted" w:sz="4" w:space="0" w:color="auto"/>
            </w:tcBorders>
            <w:shd w:val="clear" w:color="auto" w:fill="auto"/>
          </w:tcPr>
          <w:p>
            <w:pPr>
              <w:spacing w:before="60" w:after="60"/>
              <w:jc w:val="left"/>
              <w:rPr>
                <w:rFonts w:eastAsia="Calibri"/>
                <w:noProof/>
                <w:highlight w:val="magenta"/>
              </w:rPr>
            </w:pPr>
            <w:r>
              <w:rPr>
                <w:noProof/>
              </w:rPr>
              <w:t>Antal uppsägningar under referensperioden</w:t>
            </w:r>
          </w:p>
        </w:tc>
        <w:tc>
          <w:tcPr>
            <w:tcW w:w="4379" w:type="dxa"/>
            <w:tcBorders>
              <w:bottom w:val="dotted" w:sz="4" w:space="0" w:color="auto"/>
            </w:tcBorders>
            <w:shd w:val="clear" w:color="auto" w:fill="auto"/>
          </w:tcPr>
          <w:p>
            <w:pPr>
              <w:spacing w:before="60" w:after="60"/>
              <w:ind w:rightChars="192" w:right="461"/>
              <w:jc w:val="left"/>
              <w:rPr>
                <w:rFonts w:eastAsia="Calibri"/>
                <w:noProof/>
                <w:highlight w:val="magenta"/>
              </w:rPr>
            </w:pPr>
            <w:r>
              <w:rPr>
                <w:noProof/>
              </w:rPr>
              <w:t>960</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Totalt antal berättigade stödmottagare</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960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Totalt antal berörda stödmottagare</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500</w:t>
            </w:r>
          </w:p>
        </w:tc>
      </w:tr>
      <w:tr>
        <w:tc>
          <w:tcPr>
            <w:tcW w:w="4908" w:type="dxa"/>
            <w:tcBorders>
              <w:bottom w:val="dotted" w:sz="4" w:space="0" w:color="auto"/>
            </w:tcBorders>
            <w:shd w:val="clear" w:color="auto" w:fill="auto"/>
            <w:vAlign w:val="center"/>
          </w:tcPr>
          <w:p>
            <w:pPr>
              <w:spacing w:before="0" w:after="0"/>
              <w:jc w:val="left"/>
              <w:rPr>
                <w:noProof/>
              </w:rPr>
            </w:pPr>
            <w:r>
              <w:rPr>
                <w:noProof/>
              </w:rPr>
              <w:t>Budget för de individanpassade tjänsterna (euro)</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3 274 000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Budget för genomförande av fondåtgärderna</w:t>
            </w:r>
            <w:r>
              <w:rPr>
                <w:rStyle w:val="FootnoteReference"/>
                <w:noProof/>
              </w:rPr>
              <w:footnoteReference w:id="6"/>
            </w:r>
            <w:r>
              <w:rPr>
                <w:noProof/>
              </w:rPr>
              <w:t xml:space="preserve"> (euro)</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color w:val="FFFFFF" w:themeColor="background1"/>
              </w:rPr>
              <w:t>0</w:t>
            </w:r>
            <w:r>
              <w:rPr>
                <w:noProof/>
              </w:rPr>
              <w:t xml:space="preserve"> 150 000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Total budget (euro)</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3 424 000</w:t>
            </w:r>
          </w:p>
        </w:tc>
      </w:tr>
      <w:tr>
        <w:tc>
          <w:tcPr>
            <w:tcW w:w="4908" w:type="dxa"/>
            <w:tcBorders>
              <w:top w:val="dotted" w:sz="4" w:space="0" w:color="auto"/>
            </w:tcBorders>
            <w:shd w:val="clear" w:color="auto" w:fill="auto"/>
            <w:vAlign w:val="center"/>
          </w:tcPr>
          <w:p>
            <w:pPr>
              <w:spacing w:before="0" w:after="0"/>
              <w:jc w:val="left"/>
              <w:rPr>
                <w:noProof/>
              </w:rPr>
            </w:pPr>
            <w:r>
              <w:rPr>
                <w:noProof/>
              </w:rPr>
              <w:t>Stöd från fonden (60 %) (euro)</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2 054 400</w:t>
            </w:r>
          </w:p>
        </w:tc>
      </w:tr>
    </w:tbl>
    <w:p>
      <w:pPr>
        <w:pStyle w:val="ManualHeading1"/>
        <w:rPr>
          <w:noProof/>
        </w:rPr>
      </w:pPr>
      <w:r>
        <w:rPr>
          <w:noProof/>
        </w:rPr>
        <w:t>BEDÖMNING AV ANSÖKAN</w:t>
      </w:r>
    </w:p>
    <w:p>
      <w:pPr>
        <w:pStyle w:val="ManualHeading2"/>
        <w:rPr>
          <w:noProof/>
        </w:rPr>
      </w:pPr>
      <w:r>
        <w:rPr>
          <w:noProof/>
        </w:rPr>
        <w:t>Förfarande</w:t>
      </w:r>
    </w:p>
    <w:p>
      <w:pPr>
        <w:pStyle w:val="ManualNumPar1"/>
        <w:rPr>
          <w:noProof/>
        </w:rPr>
      </w:pPr>
      <w:r>
        <w:t>4.</w:t>
      </w:r>
      <w:r>
        <w:tab/>
      </w:r>
      <w:r>
        <w:rPr>
          <w:noProof/>
        </w:rPr>
        <w:t xml:space="preserve">Spanien lämnade in ansökan EGF/2020/001 ES/Stödsektorer till Galiciens varvsindustri den 13 maj 2020, dvs. inom tolv veckor räknat från den dag då insatskriterierna i artikel 4 i förordningen om fonden uppfylldes. Kommissionen bekräftade samma dag att den mottagit ansökan och begärde ytterligare information från Spanien den 27 maj 2020. Denna ytterligare information lämnades in inom sex veckor räknat från dagen för begäran. Tidsfristen på 12 veckor från och med den dag då den fullständiga ansökan har mottagits, inom vilken kommissionen bör slutföra sin bedömning av huruvida ansökan uppfyller villkoren för ekonomiskt stöd, löper ut den 30 september 2020. </w:t>
      </w:r>
    </w:p>
    <w:p>
      <w:pPr>
        <w:pStyle w:val="ManualHeading2"/>
        <w:rPr>
          <w:noProof/>
        </w:rPr>
      </w:pPr>
      <w:r>
        <w:rPr>
          <w:noProof/>
        </w:rPr>
        <w:t>Formella krav på ansökan</w:t>
      </w:r>
    </w:p>
    <w:p>
      <w:pPr>
        <w:pStyle w:val="ManualHeading3"/>
        <w:rPr>
          <w:noProof/>
        </w:rPr>
      </w:pPr>
      <w:r>
        <w:rPr>
          <w:noProof/>
        </w:rPr>
        <w:t>Berörda företag och stödmottagare</w:t>
      </w:r>
    </w:p>
    <w:p>
      <w:pPr>
        <w:pStyle w:val="ManualNumPar1"/>
        <w:rPr>
          <w:noProof/>
          <w:szCs w:val="24"/>
        </w:rPr>
      </w:pPr>
      <w:r>
        <w:t>5.</w:t>
      </w:r>
      <w:r>
        <w:tab/>
      </w:r>
      <w:r>
        <w:rPr>
          <w:noProof/>
        </w:rPr>
        <w:t>Ansökan gäller 960 arbetstagare som blivit uppsagda inom stödsektorer till varvsindustrin, på företag i Nuts 2-regionen Galicien (ES11).</w:t>
      </w:r>
    </w:p>
    <w:p>
      <w:pPr>
        <w:spacing w:before="0" w:after="200" w:line="276" w:lineRule="auto"/>
        <w:jc w:val="left"/>
        <w:rPr>
          <w:noProof/>
          <w:szCs w:val="24"/>
        </w:rPr>
      </w:pPr>
      <w:r>
        <w:rPr>
          <w:noProof/>
        </w:rPr>
        <w:br w:type="page"/>
      </w:r>
    </w:p>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0"/>
      </w:tblGrid>
      <w:tr>
        <w:trPr>
          <w:trHeight w:val="284"/>
          <w:tblHeader/>
        </w:trPr>
        <w:tc>
          <w:tcPr>
            <w:tcW w:w="8340" w:type="dxa"/>
            <w:shd w:val="clear" w:color="auto" w:fill="D9D9D9" w:themeFill="background1" w:themeFillShade="D9"/>
          </w:tcPr>
          <w:p>
            <w:pPr>
              <w:spacing w:beforeLines="20" w:before="48" w:afterLines="20" w:after="48" w:line="276" w:lineRule="auto"/>
              <w:ind w:left="57"/>
              <w:jc w:val="center"/>
              <w:rPr>
                <w:rFonts w:eastAsia="Calibri"/>
                <w:noProof/>
                <w:szCs w:val="24"/>
              </w:rPr>
            </w:pPr>
            <w:r>
              <w:rPr>
                <w:b/>
                <w:noProof/>
                <w:szCs w:val="24"/>
              </w:rPr>
              <w:t>Företag och antal uppsägningar under referensperioden</w:t>
            </w:r>
          </w:p>
        </w:tc>
      </w:tr>
    </w:tbl>
    <w:tbl>
      <w:tblPr>
        <w:tblStyle w:val="TableGrid"/>
        <w:tblW w:w="0" w:type="auto"/>
        <w:tblInd w:w="948" w:type="dxa"/>
        <w:tblLayout w:type="fixed"/>
        <w:tblLook w:val="04A0" w:firstRow="1" w:lastRow="0" w:firstColumn="1" w:lastColumn="0" w:noHBand="0" w:noVBand="1"/>
      </w:tblPr>
      <w:tblGrid>
        <w:gridCol w:w="1080"/>
        <w:gridCol w:w="1970"/>
        <w:gridCol w:w="1030"/>
        <w:gridCol w:w="240"/>
        <w:gridCol w:w="1051"/>
        <w:gridCol w:w="2255"/>
        <w:gridCol w:w="715"/>
      </w:tblGrid>
      <w:tr>
        <w:tc>
          <w:tcPr>
            <w:tcW w:w="1080" w:type="dxa"/>
            <w:tcBorders>
              <w:top w:val="single" w:sz="8" w:space="0" w:color="4F81BD"/>
              <w:left w:val="single" w:sz="8" w:space="0" w:color="4F81BD"/>
              <w:bottom w:val="single" w:sz="8" w:space="0" w:color="4F81BD"/>
              <w:right w:val="nil"/>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Huvudgrupp 24</w:t>
            </w:r>
          </w:p>
        </w:tc>
        <w:tc>
          <w:tcPr>
            <w:tcW w:w="3000" w:type="dxa"/>
            <w:gridSpan w:val="2"/>
            <w:tcBorders>
              <w:top w:val="single" w:sz="8" w:space="0" w:color="4F81BD"/>
              <w:left w:val="nil"/>
              <w:bottom w:val="single" w:sz="8" w:space="0" w:color="4F81BD"/>
              <w:right w:val="single" w:sz="4" w:space="0" w:color="auto"/>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Stål- och metallframställning</w:t>
            </w:r>
          </w:p>
        </w:tc>
        <w:tc>
          <w:tcPr>
            <w:tcW w:w="240" w:type="dxa"/>
            <w:tcBorders>
              <w:top w:val="single" w:sz="4" w:space="0" w:color="auto"/>
              <w:left w:val="single" w:sz="4" w:space="0" w:color="auto"/>
              <w:bottom w:val="nil"/>
              <w:right w:val="single" w:sz="4" w:space="0" w:color="auto"/>
            </w:tcBorders>
            <w:shd w:val="clear" w:color="auto" w:fill="auto"/>
          </w:tcPr>
          <w:p>
            <w:pPr>
              <w:spacing w:before="0" w:after="0"/>
              <w:rPr>
                <w:rFonts w:eastAsia="Times New Roman"/>
                <w:b/>
                <w:bCs/>
                <w:noProof/>
                <w:color w:val="000000"/>
                <w:sz w:val="20"/>
                <w:szCs w:val="20"/>
                <w:lang w:eastAsia="es-ES"/>
              </w:rPr>
            </w:pPr>
          </w:p>
        </w:tc>
        <w:tc>
          <w:tcPr>
            <w:tcW w:w="1051" w:type="dxa"/>
            <w:tcBorders>
              <w:top w:val="single" w:sz="4" w:space="0" w:color="auto"/>
              <w:left w:val="single" w:sz="4" w:space="0" w:color="auto"/>
              <w:bottom w:val="single" w:sz="4" w:space="0" w:color="auto"/>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Huvudgrupp 33</w:t>
            </w:r>
          </w:p>
        </w:tc>
        <w:tc>
          <w:tcPr>
            <w:tcW w:w="297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Reparation och installation av maskiner och apparater</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PIPEWORKS,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15</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4" w:space="0" w:color="auto"/>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AISLAMIENTOS SOAMAR, S.L.</w:t>
            </w:r>
          </w:p>
        </w:tc>
        <w:tc>
          <w:tcPr>
            <w:tcW w:w="715" w:type="dxa"/>
            <w:tcBorders>
              <w:top w:val="single" w:sz="4" w:space="0" w:color="auto"/>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w:t>
            </w:r>
          </w:p>
        </w:tc>
      </w:tr>
      <w:tr>
        <w:tc>
          <w:tcPr>
            <w:tcW w:w="1080" w:type="dxa"/>
            <w:tcBorders>
              <w:top w:val="single" w:sz="8" w:space="0" w:color="4F81BD"/>
              <w:left w:val="single" w:sz="8" w:space="0" w:color="4F81BD"/>
              <w:bottom w:val="single" w:sz="8" w:space="0" w:color="4F81BD"/>
              <w:right w:val="nil"/>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Huvudgrupp 25</w:t>
            </w:r>
          </w:p>
        </w:tc>
        <w:tc>
          <w:tcPr>
            <w:tcW w:w="3000" w:type="dxa"/>
            <w:gridSpan w:val="2"/>
            <w:tcBorders>
              <w:top w:val="single" w:sz="8" w:space="0" w:color="4F81BD"/>
              <w:left w:val="nil"/>
              <w:bottom w:val="single" w:sz="8" w:space="0" w:color="4F81BD"/>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Tillverkning av metallvaror utom maskiner och apparater</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BULBO</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ELABORADOS METALICOS EMESA, S.L.U.</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33</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CALSOMATU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8</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INDUSTRIAL DE ACABADOS, S.A. (INDASA)</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15</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CANCELAS NAVAL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lang w:val="en-US"/>
              </w:rPr>
            </w:pPr>
            <w:r>
              <w:rPr>
                <w:bCs/>
                <w:noProof/>
                <w:color w:val="000000"/>
                <w:sz w:val="20"/>
                <w:szCs w:val="20"/>
                <w:lang w:val="en-US"/>
              </w:rPr>
              <w:t>IRIS SOCIEDAD COOP. GALLEGA DE TRABAJO ASOCIADO</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22</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lang w:val="en-US"/>
              </w:rPr>
            </w:pPr>
            <w:r>
              <w:rPr>
                <w:bCs/>
                <w:noProof/>
                <w:color w:val="000000"/>
                <w:sz w:val="20"/>
                <w:szCs w:val="20"/>
                <w:lang w:val="en-US"/>
              </w:rPr>
              <w:t>COGALSO FERROLTERRA, S.C.G.T.</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ROTELU,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lang w:val="fr-BE"/>
              </w:rPr>
            </w:pPr>
            <w:r>
              <w:rPr>
                <w:bCs/>
                <w:noProof/>
                <w:color w:val="000000"/>
                <w:sz w:val="20"/>
                <w:szCs w:val="20"/>
                <w:lang w:val="fr-BE"/>
              </w:rPr>
              <w:t>EXACTA SERVICIOS NAVALES E INDUSTRIALES,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54</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TUBACER,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128</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GABADI,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18</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NAVALIBER, S.L.</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88</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lang w:val="fr-BE"/>
              </w:rPr>
            </w:pPr>
            <w:r>
              <w:rPr>
                <w:bCs/>
                <w:noProof/>
                <w:color w:val="000000"/>
                <w:sz w:val="20"/>
                <w:szCs w:val="20"/>
                <w:lang w:val="fr-BE"/>
              </w:rPr>
              <w:t>INSTALACIONES Y MANTENIMIENTOS IMAFER,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TALLERES DIZMAR, S.L.</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J.J. NAVAL HISPANOGALAICA,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29</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TALLERES MECANICOS GALICIA,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4</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 BLANCO,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13</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WELDMAIN SERVICIOS CALDERIA, TUBERIA Y SOLDADURA,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31</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CANCELAS,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20</w:t>
            </w:r>
          </w:p>
        </w:tc>
      </w:tr>
      <w:tr>
        <w:tc>
          <w:tcPr>
            <w:tcW w:w="1080" w:type="dxa"/>
            <w:tcBorders>
              <w:top w:val="single" w:sz="8" w:space="0" w:color="4F81BD"/>
              <w:left w:val="single" w:sz="8" w:space="0" w:color="4F81BD"/>
              <w:bottom w:val="nil"/>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Huvudgrupp 30</w:t>
            </w:r>
          </w:p>
        </w:tc>
        <w:tc>
          <w:tcPr>
            <w:tcW w:w="3000" w:type="dxa"/>
            <w:gridSpan w:val="2"/>
            <w:tcBorders>
              <w:top w:val="single" w:sz="8" w:space="0" w:color="4F81BD"/>
              <w:left w:val="nil"/>
              <w:bottom w:val="nil"/>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Tillverkning av andra transportmedel</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HERMANOS RAMALLO,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AZZERO MORRAZO </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12</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HERMANOS RODRIGUEZ RAMALLO,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DOMAYO METAL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15</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SERFRIMEC,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11</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FACTORIAS VULCANO, S.A.</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69</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lang w:val="fr-BE"/>
              </w:rPr>
            </w:pPr>
            <w:r>
              <w:rPr>
                <w:bCs/>
                <w:noProof/>
                <w:color w:val="000000"/>
                <w:sz w:val="20"/>
                <w:szCs w:val="20"/>
                <w:lang w:val="fr-BE"/>
              </w:rPr>
              <w:t>TALLERES NAVALES RUIZ,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rPr>
                <w:rFonts w:eastAsia="Times New Roman"/>
                <w:bCs/>
                <w:noProof/>
                <w:color w:val="000000"/>
                <w:sz w:val="20"/>
                <w:szCs w:val="20"/>
                <w:lang w:val="fr-BE"/>
              </w:rPr>
            </w:pPr>
            <w:r>
              <w:rPr>
                <w:bCs/>
                <w:noProof/>
                <w:color w:val="000000"/>
                <w:sz w:val="20"/>
                <w:szCs w:val="20"/>
                <w:lang w:val="fr-BE"/>
              </w:rPr>
              <w:t>INDUSTRIAS NAVALES A XUNQUEIRA, S.L.</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TUBERIA NAVAL FERRADAS,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22</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TUYCALDE,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8</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1051" w:type="dxa"/>
            <w:tcBorders>
              <w:top w:val="single" w:sz="8" w:space="0" w:color="4F81BD"/>
              <w:left w:val="single" w:sz="8" w:space="0" w:color="4F81BD"/>
              <w:bottom w:val="nil"/>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Huvudgrupp 43</w:t>
            </w:r>
          </w:p>
        </w:tc>
        <w:tc>
          <w:tcPr>
            <w:tcW w:w="2970" w:type="dxa"/>
            <w:gridSpan w:val="2"/>
            <w:tcBorders>
              <w:top w:val="single" w:sz="8" w:space="0" w:color="4F81BD"/>
              <w:left w:val="nil"/>
              <w:bottom w:val="nil"/>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Specialiserad bygg- och anläggningsverksamhet</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lang w:val="fr-BE"/>
              </w:rPr>
            </w:pPr>
            <w:r>
              <w:rPr>
                <w:bCs/>
                <w:noProof/>
                <w:color w:val="000000"/>
                <w:sz w:val="20"/>
                <w:szCs w:val="20"/>
                <w:lang w:val="fr-BE"/>
              </w:rPr>
              <w:t>VIGUESA DE CARPINTERIA Y POLIURETANO, S.L. (VICARPO)</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ELINCO CONSTRUCCIONES ELECTRICAS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92</w:t>
            </w:r>
          </w:p>
        </w:tc>
      </w:tr>
      <w:tr>
        <w:tc>
          <w:tcPr>
            <w:tcW w:w="1080" w:type="dxa"/>
            <w:tcBorders>
              <w:top w:val="single" w:sz="8" w:space="0" w:color="4F81BD"/>
              <w:left w:val="single" w:sz="8" w:space="0" w:color="4F81BD"/>
              <w:bottom w:val="single" w:sz="8" w:space="0" w:color="4F81BD"/>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Huvudgrupp 32</w:t>
            </w:r>
          </w:p>
        </w:tc>
        <w:tc>
          <w:tcPr>
            <w:tcW w:w="3000" w:type="dxa"/>
            <w:gridSpan w:val="2"/>
            <w:tcBorders>
              <w:top w:val="single" w:sz="8" w:space="0" w:color="4F81BD"/>
              <w:left w:val="nil"/>
              <w:bottom w:val="single" w:sz="8" w:space="0" w:color="4F81BD"/>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Annan tillverkning</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MONTAXES AGORPA, S.L.L.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62</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CYSTERCLEAN SA</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NORINVER MONTAJES E INGENIERIA,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22</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
                <w:noProof/>
                <w:color w:val="000000"/>
                <w:sz w:val="20"/>
                <w:szCs w:val="20"/>
                <w:lang w:eastAsia="es-ES"/>
              </w:rPr>
            </w:pPr>
          </w:p>
        </w:tc>
        <w:tc>
          <w:tcPr>
            <w:tcW w:w="1030" w:type="dxa"/>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
                <w:noProof/>
                <w:color w:val="000000"/>
                <w:sz w:val="20"/>
                <w:szCs w:val="20"/>
                <w:lang w:eastAsia="es-ES"/>
              </w:rPr>
            </w:pP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PROTECNAVI,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4</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lang w:eastAsia="es-ES"/>
              </w:rPr>
            </w:pP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lang w:eastAsia="es-ES"/>
              </w:rPr>
            </w:pPr>
          </w:p>
        </w:tc>
        <w:tc>
          <w:tcPr>
            <w:tcW w:w="240" w:type="dxa"/>
            <w:tcBorders>
              <w:top w:val="nil"/>
              <w:left w:val="single" w:sz="8" w:space="0" w:color="4F81BD"/>
              <w:bottom w:val="single" w:sz="8" w:space="0" w:color="4F81BD"/>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URKIRA OX,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24</w:t>
            </w:r>
          </w:p>
        </w:tc>
      </w:tr>
    </w:tbl>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0"/>
        <w:gridCol w:w="3240"/>
        <w:gridCol w:w="1020"/>
      </w:tblGrid>
      <w:tr>
        <w:trPr>
          <w:trHeight w:val="284"/>
        </w:trPr>
        <w:tc>
          <w:tcPr>
            <w:tcW w:w="4080" w:type="dxa"/>
            <w:tcBorders>
              <w:bottom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noProof/>
              </w:rPr>
              <w:br w:type="page"/>
            </w:r>
            <w:r>
              <w:rPr>
                <w:b/>
                <w:noProof/>
                <w:szCs w:val="24"/>
              </w:rPr>
              <w:t>Totalt antal företag:</w:t>
            </w:r>
            <w:r>
              <w:rPr>
                <w:b/>
                <w:noProof/>
                <w:sz w:val="22"/>
              </w:rPr>
              <w:t xml:space="preserve"> </w:t>
            </w:r>
            <w:r>
              <w:rPr>
                <w:b/>
                <w:noProof/>
              </w:rPr>
              <w:t>38</w:t>
            </w:r>
          </w:p>
        </w:tc>
        <w:tc>
          <w:tcPr>
            <w:tcW w:w="3240" w:type="dxa"/>
            <w:tcBorders>
              <w:left w:val="nil"/>
              <w:bottom w:val="nil"/>
              <w:right w:val="single" w:sz="4" w:space="0" w:color="auto"/>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szCs w:val="24"/>
              </w:rPr>
              <w:t>Totalt antal uppsagda arbetstagare:</w:t>
            </w:r>
            <w:r>
              <w:rPr>
                <w:b/>
                <w:noProof/>
                <w:sz w:val="22"/>
              </w:rPr>
              <w:t xml:space="preserve"> </w:t>
            </w:r>
          </w:p>
        </w:tc>
        <w:tc>
          <w:tcPr>
            <w:tcW w:w="1020" w:type="dxa"/>
            <w:tcBorders>
              <w:left w:val="single" w:sz="4" w:space="0" w:color="auto"/>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960</w:t>
            </w:r>
          </w:p>
        </w:tc>
      </w:tr>
      <w:tr>
        <w:trPr>
          <w:trHeight w:val="284"/>
        </w:trPr>
        <w:tc>
          <w:tcPr>
            <w:tcW w:w="4080" w:type="dxa"/>
            <w:tcBorders>
              <w:top w:val="nil"/>
              <w:right w:val="nil"/>
            </w:tcBorders>
            <w:shd w:val="clear" w:color="auto" w:fill="E6E6E6"/>
            <w:vAlign w:val="center"/>
          </w:tcPr>
          <w:p>
            <w:pPr>
              <w:spacing w:beforeLines="20" w:before="48" w:afterLines="20" w:after="48" w:line="276" w:lineRule="auto"/>
              <w:ind w:left="57"/>
              <w:jc w:val="left"/>
              <w:rPr>
                <w:rFonts w:eastAsia="Calibri"/>
                <w:b/>
                <w:noProof/>
                <w:szCs w:val="24"/>
              </w:rPr>
            </w:pPr>
          </w:p>
        </w:tc>
        <w:tc>
          <w:tcPr>
            <w:tcW w:w="3240" w:type="dxa"/>
            <w:tcBorders>
              <w:top w:val="nil"/>
              <w:left w:val="nil"/>
              <w:right w:val="single" w:sz="4" w:space="0" w:color="auto"/>
            </w:tcBorders>
            <w:shd w:val="clear" w:color="auto" w:fill="E6E6E6"/>
            <w:vAlign w:val="center"/>
          </w:tcPr>
          <w:p>
            <w:pPr>
              <w:spacing w:beforeLines="20" w:before="48" w:afterLines="20" w:after="48" w:line="276" w:lineRule="auto"/>
              <w:ind w:left="57"/>
              <w:jc w:val="left"/>
              <w:rPr>
                <w:rFonts w:eastAsia="Calibri"/>
                <w:b/>
                <w:noProof/>
                <w:szCs w:val="24"/>
              </w:rPr>
            </w:pPr>
            <w:r>
              <w:rPr>
                <w:b/>
                <w:noProof/>
                <w:szCs w:val="24"/>
              </w:rPr>
              <w:t>Totalt antal arbetstagare berättigade till stöd:</w:t>
            </w:r>
          </w:p>
        </w:tc>
        <w:tc>
          <w:tcPr>
            <w:tcW w:w="1020" w:type="dxa"/>
            <w:tcBorders>
              <w:top w:val="nil"/>
              <w:left w:val="single" w:sz="4" w:space="0" w:color="auto"/>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960</w:t>
            </w:r>
          </w:p>
        </w:tc>
      </w:tr>
    </w:tbl>
    <w:p>
      <w:pPr>
        <w:pStyle w:val="ManualHeading3"/>
        <w:rPr>
          <w:noProof/>
        </w:rPr>
      </w:pPr>
      <w:r>
        <w:rPr>
          <w:noProof/>
        </w:rPr>
        <w:t>Insatskriterier</w:t>
      </w:r>
    </w:p>
    <w:p>
      <w:pPr>
        <w:pStyle w:val="ManualNumPar1"/>
        <w:rPr>
          <w:noProof/>
        </w:rPr>
      </w:pPr>
      <w:r>
        <w:t>6.</w:t>
      </w:r>
      <w:r>
        <w:tab/>
      </w:r>
      <w:r>
        <w:rPr>
          <w:noProof/>
        </w:rPr>
        <w:t>Spanien lämnade in ansökan med stöd av insatskriteriet i artikel 4.2 i förordningen om fonden, som medger undantag från kriterierna i artikel 4.1 b enligt vilken minst 500 arbetstagare ska ha blivit uppsagda under en referensperiod på nio månader vid företag som alla verkar inom samma näringsgren som definieras som en huvudgrupp i Nace rev. 2 och som ligger i en region eller två regioner som gränsar till varandra på Nuts 2-nivå i en medlemsstat. Totalt sades 960 personer upp inom stödsektorer till varvsindustrin i Nuts 2-regionen Galicien (ES11). Eftersom uppsägningarna inte ägde rum inom samma näringsgren (se punkt 2) tillämpas dock undantag från artikel 4.1 b enligt artikel 4.2 (se punkt 17–22 för mer information om de särskilda omständigheter som ligger till grund för ansökans tillåtlighet).</w:t>
      </w:r>
    </w:p>
    <w:p>
      <w:pPr>
        <w:pStyle w:val="ManualNumPar1"/>
        <w:rPr>
          <w:noProof/>
        </w:rPr>
      </w:pPr>
      <w:bookmarkStart w:id="7" w:name="_Ref372189348"/>
      <w:r>
        <w:t>7.</w:t>
      </w:r>
      <w:r>
        <w:tab/>
      </w:r>
      <w:r>
        <w:rPr>
          <w:noProof/>
        </w:rPr>
        <w:t xml:space="preserve">Referensperioden för ansökan är nio månader och löper från den 23 maj 2019 till </w:t>
      </w:r>
      <w:bookmarkEnd w:id="7"/>
      <w:r>
        <w:rPr>
          <w:noProof/>
        </w:rPr>
        <w:t>den 23 februari 2020.</w:t>
      </w:r>
    </w:p>
    <w:p>
      <w:pPr>
        <w:pStyle w:val="ManualHeading3"/>
        <w:rPr>
          <w:noProof/>
        </w:rPr>
      </w:pPr>
      <w:r>
        <w:rPr>
          <w:noProof/>
        </w:rPr>
        <w:t>Beräkning av uppsägningar och verksamheter som upphör</w:t>
      </w:r>
    </w:p>
    <w:p>
      <w:pPr>
        <w:pStyle w:val="ManualNumPar1"/>
        <w:rPr>
          <w:noProof/>
        </w:rPr>
      </w:pPr>
      <w:r>
        <w:t>8.</w:t>
      </w:r>
      <w:r>
        <w:tab/>
      </w:r>
      <w:r>
        <w:rPr>
          <w:noProof/>
        </w:rPr>
        <w:t>Samtliga 960 uppsägningar under referensperioden har beräknats från det datum då anställningsavtalet de facto avslutats eller när det upphört.</w:t>
      </w:r>
    </w:p>
    <w:p>
      <w:pPr>
        <w:pStyle w:val="ManualHeading3"/>
        <w:rPr>
          <w:noProof/>
        </w:rPr>
      </w:pPr>
      <w:r>
        <w:rPr>
          <w:noProof/>
        </w:rPr>
        <w:t>Berättigade stödmottagare</w:t>
      </w:r>
    </w:p>
    <w:p>
      <w:pPr>
        <w:pStyle w:val="ManualNumPar1"/>
        <w:rPr>
          <w:noProof/>
        </w:rPr>
      </w:pPr>
      <w:r>
        <w:t>9.</w:t>
      </w:r>
      <w:r>
        <w:tab/>
      </w:r>
      <w:r>
        <w:rPr>
          <w:noProof/>
        </w:rPr>
        <w:t>Det totala antalet berättigade stödmottagare är 960.</w:t>
      </w:r>
    </w:p>
    <w:p>
      <w:pPr>
        <w:pStyle w:val="ManualHeading3"/>
        <w:tabs>
          <w:tab w:val="clear" w:pos="850"/>
          <w:tab w:val="left" w:pos="0"/>
        </w:tabs>
        <w:ind w:left="0" w:firstLine="0"/>
        <w:rPr>
          <w:noProof/>
        </w:rPr>
      </w:pPr>
      <w:r>
        <w:rPr>
          <w:noProof/>
        </w:rPr>
        <w:t>Sambandet mellan uppsägningarna och genomgripande strukturförändringar inom världshandeln på grund av globaliseringen</w:t>
      </w:r>
    </w:p>
    <w:p>
      <w:pPr>
        <w:pStyle w:val="ManualNumPar1"/>
        <w:rPr>
          <w:noProof/>
        </w:rPr>
      </w:pPr>
      <w:r>
        <w:t>10.</w:t>
      </w:r>
      <w:r>
        <w:tab/>
      </w:r>
      <w:r>
        <w:rPr>
          <w:noProof/>
        </w:rPr>
        <w:t>Spanien menar att det finns ett samband mellan uppsägningarna och de genomgripande strukturförändringar som skett inom världshandeln på grund av globaliseringen, och pekar på att den globala sjöfartssektorn har förändrats dramatiskt under de senaste 20 åren. Som ett resultat av en markant ökning för orderboken under perioden 2002–2008 (från 48,9 miljoner kompenserade bruttoton (kbt)</w:t>
      </w:r>
      <w:r>
        <w:rPr>
          <w:rStyle w:val="FootnoteReference"/>
          <w:noProof/>
        </w:rPr>
        <w:footnoteReference w:id="7"/>
      </w:r>
      <w:r>
        <w:rPr>
          <w:noProof/>
        </w:rPr>
        <w:t xml:space="preserve"> till 194,2 miljoner)</w:t>
      </w:r>
      <w:r>
        <w:rPr>
          <w:rStyle w:val="FootnoteReference"/>
          <w:noProof/>
        </w:rPr>
        <w:footnoteReference w:id="8"/>
      </w:r>
      <w:r>
        <w:rPr>
          <w:noProof/>
        </w:rPr>
        <w:t xml:space="preserve"> byggdes nya varv, de flesta i Asien. Den globala ekonomiska och finansiella krisen halverade dock antalet ordrar mellan 2008 och 2012. Den nedåtgående trenden har fortsatt sedan dess. Från 2012 fram till slutet av 2019 minskade antalet ordrar med 13,6 % (från 92,3 miljoner kbt till 79,7 miljoner)</w:t>
      </w:r>
      <w:r>
        <w:rPr>
          <w:rStyle w:val="FootnoteReference"/>
          <w:noProof/>
        </w:rPr>
        <w:footnoteReference w:id="9"/>
      </w:r>
      <w:r>
        <w:rPr>
          <w:noProof/>
        </w:rPr>
        <w:t xml:space="preserve">. På grund av den minskade orderingången och en betydande expansion av varvsindustrin i Asien har sektorn lidit av en global överkapacitet som lett till hård global konkurrens. </w:t>
      </w:r>
    </w:p>
    <w:p>
      <w:pPr>
        <w:pStyle w:val="ManualNumPar1"/>
        <w:rPr>
          <w:noProof/>
        </w:rPr>
      </w:pPr>
      <w:r>
        <w:t>11.</w:t>
      </w:r>
      <w:r>
        <w:tab/>
      </w:r>
      <w:r>
        <w:rPr>
          <w:noProof/>
        </w:rPr>
        <w:t>Att ett nybyggt havsgående fartyg kan lasta sitt första gods oberoende av den plats där det har byggts gör det smidigare för köpare att få tag på fartyg, vilket stärker konkurrensen mellan olika varv runt om i världen</w:t>
      </w:r>
      <w:r>
        <w:rPr>
          <w:rStyle w:val="FootnoteReference"/>
          <w:noProof/>
        </w:rPr>
        <w:footnoteReference w:id="10"/>
      </w:r>
      <w:r>
        <w:rPr>
          <w:noProof/>
        </w:rPr>
        <w:t>.</w:t>
      </w:r>
    </w:p>
    <w:p>
      <w:pPr>
        <w:pStyle w:val="ManualNumPar1"/>
        <w:rPr>
          <w:noProof/>
        </w:rPr>
      </w:pPr>
      <w:r>
        <w:t>12.</w:t>
      </w:r>
      <w:r>
        <w:tab/>
      </w:r>
      <w:r>
        <w:rPr>
          <w:noProof/>
        </w:rPr>
        <w:t>På 15 år (från 2004 till 2019) har EU förlorat sin handelsfartygssektor (dvs. byggandet av tank-, bulk- och containerfartyg) till Östasien. Mot bakgrund av den hårda konkurrensen från östasiatiska länder började europeiska varv i stället inrikta sig på nya marknader och nischmarknaderna för komplext fartygsbyggande såsom passagerarfartyg och andra icke-lastbärande fartyg</w:t>
      </w:r>
      <w:r>
        <w:rPr>
          <w:rStyle w:val="FootnoteReference"/>
          <w:noProof/>
        </w:rPr>
        <w:footnoteReference w:id="11"/>
      </w:r>
      <w:r>
        <w:rPr>
          <w:noProof/>
        </w:rPr>
        <w:t>. År 2019 stod passagerarfartyg, andra icke-lastbärande fartyg och offshorefartyg tillsammans för 95 % av den europeiska orderingången</w:t>
      </w:r>
      <w:r>
        <w:rPr>
          <w:rStyle w:val="FootnoteReference"/>
          <w:noProof/>
        </w:rPr>
        <w:footnoteReference w:id="12"/>
      </w:r>
      <w:r>
        <w:rPr>
          <w:noProof/>
        </w:rPr>
        <w:t>.</w:t>
      </w:r>
    </w:p>
    <w:p>
      <w:pPr>
        <w:pStyle w:val="ManualNumPar1"/>
        <w:rPr>
          <w:noProof/>
        </w:rPr>
      </w:pPr>
      <w:r>
        <w:t>13.</w:t>
      </w:r>
      <w:r>
        <w:tab/>
      </w:r>
      <w:r>
        <w:rPr>
          <w:noProof/>
        </w:rPr>
        <w:t>På grund av allvarlig överkapacitet inom handelsfartygssektorn de senaste åren har dock även länder som Kina, Sydkorea och Japan nyligen beslutat att ta sig in på EU:s marknad för högteknologiska/komplexa fartygstyper. Dessutom har dessa länder infört nya strategier och ny politik för sektorn och har vidtagit en rad åtgärder, inklusive statligt stöd och andra ekonomiska incitament, som syftar till att stimulera den inhemska efterfrågan. Vidare har dessa länder också infört nya eller ytterligare handelsåtgärder till stöd för sina lokala varv och lokala sjöfartsutrustningsföretag</w:t>
      </w:r>
      <w:r>
        <w:rPr>
          <w:rStyle w:val="FootnoteReference"/>
          <w:noProof/>
        </w:rPr>
        <w:footnoteReference w:id="13"/>
      </w:r>
      <w:r>
        <w:rPr>
          <w:noProof/>
        </w:rPr>
        <w:t>.</w:t>
      </w:r>
    </w:p>
    <w:p>
      <w:pPr>
        <w:pStyle w:val="ManualNumPar1"/>
        <w:rPr>
          <w:noProof/>
        </w:rPr>
      </w:pPr>
      <w:r>
        <w:t>14.</w:t>
      </w:r>
      <w:r>
        <w:tab/>
      </w:r>
      <w:r>
        <w:rPr>
          <w:noProof/>
        </w:rPr>
        <w:t>Detta har lett till att den globala produktionen i hög grad har flyttats från EU till Asien. De globala marknadsledarna inom varvsindustrin 2002, mätt i produktionsvolym, var Sydkorea och Japan (30 % vardera), följda av EU (22,5 %). Kina utgjorde då bara 7 % av den globala varvsindustrin. År 2018 hade Kina (35,5 %) blivit ledande, följt av Japan (23,4 %) och Sydkorea (22,7 %), medan EU:s marknadsandel hade sjunkit till endast 6,8 %</w:t>
      </w:r>
      <w:r>
        <w:rPr>
          <w:rStyle w:val="FootnoteReference"/>
          <w:noProof/>
        </w:rPr>
        <w:footnoteReference w:id="14"/>
      </w:r>
      <w:r>
        <w:rPr>
          <w:noProof/>
        </w:rPr>
        <w:t>. Med avseende på orderboken var Europas andel 2019 14,7 % (fem procentenheter mindre än 2002), medan Kina som marknadsledare hade en andel på 34 %, Sydkorea 26 % och Japan 15 %</w:t>
      </w:r>
      <w:r>
        <w:rPr>
          <w:rStyle w:val="FootnoteReference"/>
          <w:noProof/>
        </w:rPr>
        <w:footnoteReference w:id="15"/>
      </w:r>
      <w:r>
        <w:rPr>
          <w:noProof/>
        </w:rPr>
        <w:t>.</w:t>
      </w:r>
    </w:p>
    <w:p>
      <w:pPr>
        <w:pStyle w:val="ManualNumPar1"/>
        <w:rPr>
          <w:noProof/>
        </w:rPr>
      </w:pPr>
      <w:r>
        <w:t>15.</w:t>
      </w:r>
      <w:r>
        <w:tab/>
      </w:r>
      <w:r>
        <w:rPr>
          <w:noProof/>
        </w:rPr>
        <w:t>EU har därmed på det stora hela dragit det kortaste strået gentemot asiatiska länder med lägre arbetskraftskostnader, stödpolitik och förmånliga skattevillkor</w:t>
      </w:r>
      <w:r>
        <w:rPr>
          <w:rStyle w:val="FootnoteReference"/>
          <w:noProof/>
        </w:rPr>
        <w:footnoteReference w:id="16"/>
      </w:r>
      <w:r>
        <w:rPr>
          <w:noProof/>
        </w:rPr>
        <w:t xml:space="preserve">. </w:t>
      </w:r>
    </w:p>
    <w:p>
      <w:pPr>
        <w:pStyle w:val="ManualNumPar1"/>
        <w:rPr>
          <w:noProof/>
        </w:rPr>
      </w:pPr>
      <w:r>
        <w:t>16.</w:t>
      </w:r>
      <w:r>
        <w:tab/>
      </w:r>
      <w:r>
        <w:rPr>
          <w:noProof/>
        </w:rPr>
        <w:t>Hittills har varvsindustrin i vidare bemärkelse varit föremål för sju ansökningar om stöd från fonden</w:t>
      </w:r>
      <w:r>
        <w:rPr>
          <w:rStyle w:val="FootnoteReference"/>
          <w:noProof/>
        </w:rPr>
        <w:footnoteReference w:id="17"/>
      </w:r>
      <w:r>
        <w:rPr>
          <w:noProof/>
        </w:rPr>
        <w:t>, varav två grundades på handelsrelaterad globalisering och fem på den globala finansiella och ekonomiska krisen. Fyra av dessa ansökningar gäller maskiner och utrustning för fartyg, medan de andra tre gäller varv.</w:t>
      </w:r>
    </w:p>
    <w:p>
      <w:pPr>
        <w:pStyle w:val="ManualHeading3"/>
        <w:tabs>
          <w:tab w:val="clear" w:pos="850"/>
          <w:tab w:val="left" w:pos="0"/>
        </w:tabs>
        <w:ind w:left="0" w:firstLine="0"/>
        <w:rPr>
          <w:noProof/>
        </w:rPr>
      </w:pPr>
      <w:r>
        <w:rPr>
          <w:noProof/>
        </w:rPr>
        <w:t>Exceptionella omständigheter som ligger till grund för ansökan</w:t>
      </w:r>
    </w:p>
    <w:p>
      <w:pPr>
        <w:pStyle w:val="ManualNumPar1"/>
        <w:rPr>
          <w:noProof/>
        </w:rPr>
      </w:pPr>
      <w:r>
        <w:t>17.</w:t>
      </w:r>
      <w:r>
        <w:tab/>
      </w:r>
      <w:r>
        <w:rPr>
          <w:noProof/>
        </w:rPr>
        <w:t xml:space="preserve">Artikel 4.2 i förordningen om fonden gör det möjligt för en gemensam ansökan som gäller små och medelstora företag i en region att täcka också små och medelstora företag inom andra näringsgrenar som definieras som en huvudgrupp i Nace rev. 2, förutsatt att det är små och medelstora företag som är den huvudsakliga eller enda företagstypen i regionen. </w:t>
      </w:r>
    </w:p>
    <w:p>
      <w:pPr>
        <w:pStyle w:val="ManualNumPar1"/>
        <w:rPr>
          <w:noProof/>
        </w:rPr>
      </w:pPr>
      <w:r>
        <w:t>18.</w:t>
      </w:r>
      <w:r>
        <w:tab/>
      </w:r>
      <w:r>
        <w:rPr>
          <w:noProof/>
        </w:rPr>
        <w:t>Enligt Galiciens statistikbyrå fanns det 247 631 registrerade företag i Galicien 2018, varav 247 478 (99,94 %) hade färre än 250 anställda</w:t>
      </w:r>
      <w:r>
        <w:rPr>
          <w:rStyle w:val="FootnoteReference"/>
          <w:noProof/>
        </w:rPr>
        <w:footnoteReference w:id="18"/>
      </w:r>
      <w:r>
        <w:rPr>
          <w:noProof/>
        </w:rPr>
        <w:t>. Små och medelstora företag utgör därmed ryggraden i regionens ekonomi.</w:t>
      </w:r>
    </w:p>
    <w:p>
      <w:pPr>
        <w:pStyle w:val="ManualNumPar1"/>
        <w:rPr>
          <w:noProof/>
        </w:rPr>
      </w:pPr>
      <w:r>
        <w:t>19.</w:t>
      </w:r>
      <w:r>
        <w:tab/>
      </w:r>
      <w:r>
        <w:rPr>
          <w:noProof/>
        </w:rPr>
        <w:t>Dessutom är alla 38 företag som berörs av denna ansökan små och medelstora företag.</w:t>
      </w:r>
    </w:p>
    <w:p>
      <w:pPr>
        <w:pStyle w:val="ManualNumPar1"/>
        <w:rPr>
          <w:rStyle w:val="tlid-translation"/>
          <w:noProof/>
        </w:rPr>
      </w:pPr>
      <w:r>
        <w:rPr>
          <w:rStyle w:val="tlid-translation"/>
        </w:rPr>
        <w:t>20.</w:t>
      </w:r>
      <w:r>
        <w:rPr>
          <w:rStyle w:val="tlid-translation"/>
        </w:rPr>
        <w:tab/>
      </w:r>
      <w:r>
        <w:rPr>
          <w:noProof/>
        </w:rPr>
        <w:t>EU:s varvsindustri utgörs till största delen av små och medelstora varv (fartyg på 60–150 ton), och underleverantörer står för uppskattningsvis 80 % av värdet</w:t>
      </w:r>
      <w:r>
        <w:rPr>
          <w:rStyle w:val="FootnoteReference"/>
          <w:noProof/>
        </w:rPr>
        <w:footnoteReference w:id="19"/>
      </w:r>
      <w:r>
        <w:rPr>
          <w:noProof/>
        </w:rPr>
        <w:t xml:space="preserve"> och 89 % av anställningarna</w:t>
      </w:r>
      <w:r>
        <w:rPr>
          <w:rStyle w:val="FootnoteReference"/>
          <w:noProof/>
          <w:szCs w:val="24"/>
        </w:rPr>
        <w:footnoteReference w:id="20"/>
      </w:r>
      <w:r>
        <w:rPr>
          <w:noProof/>
        </w:rPr>
        <w:t xml:space="preserve">. Den galiciska varvsindustrin följer samma underleverantörsmönster. </w:t>
      </w:r>
      <w:r>
        <w:rPr>
          <w:rStyle w:val="tlid-translation"/>
          <w:noProof/>
        </w:rPr>
        <w:t xml:space="preserve">Underleverantörerna är mycket specialiserade och därför i hög grad beroende av det största varvet. </w:t>
      </w:r>
      <w:r>
        <w:rPr>
          <w:noProof/>
        </w:rPr>
        <w:t>När det största varvet har ekonomiska svårigheter drabbas stödsektorer till varvsindustrin hårt. Det ömsesidiga beroendet mellan och följderna för sysselsättningen inom varvsindustrins stödsektorer</w:t>
      </w:r>
      <w:r>
        <w:rPr>
          <w:rStyle w:val="tlid-translation"/>
          <w:noProof/>
        </w:rPr>
        <w:t xml:space="preserve"> är därför desamma som om företagen ingick i en enda ekonomisk Nace-sektor. </w:t>
      </w:r>
    </w:p>
    <w:p>
      <w:pPr>
        <w:pStyle w:val="ManualNumPar1"/>
        <w:rPr>
          <w:noProof/>
        </w:rPr>
      </w:pPr>
      <w:r>
        <w:t>21.</w:t>
      </w:r>
      <w:r>
        <w:tab/>
      </w:r>
      <w:r>
        <w:rPr>
          <w:noProof/>
        </w:rPr>
        <w:t>Koncentrationen av alla kommersiella skeppsvarv (sju stycken</w:t>
      </w:r>
      <w:r>
        <w:rPr>
          <w:rStyle w:val="FootnoteReference"/>
          <w:noProof/>
        </w:rPr>
        <w:footnoteReference w:id="21"/>
      </w:r>
      <w:r>
        <w:rPr>
          <w:noProof/>
        </w:rPr>
        <w:t xml:space="preserve"> 2019) på ett litet geografiskt område, Vigo Ria, förvärrar de negativa effekterna på den regionala arbetsmarknaden. Uppsägningarna har därför allvarliga konsekvenser för den regionala ekonomin.</w:t>
      </w:r>
    </w:p>
    <w:p>
      <w:pPr>
        <w:pStyle w:val="ManualNumPar1"/>
        <w:rPr>
          <w:noProof/>
        </w:rPr>
      </w:pPr>
      <w:r>
        <w:t>22.</w:t>
      </w:r>
      <w:r>
        <w:tab/>
      </w:r>
      <w:r>
        <w:rPr>
          <w:rStyle w:val="tlid-translation"/>
          <w:noProof/>
        </w:rPr>
        <w:t>Villkoren i artikel 4.2, vilka gör det möjligt att ta upp en ansökan till prövning enligt artikel 4.1 b även om kriterierna inte har uppfyllts fullt ut, är därför uppfyllda.</w:t>
      </w:r>
    </w:p>
    <w:p>
      <w:pPr>
        <w:pStyle w:val="ManualNumPar1"/>
        <w:rPr>
          <w:noProof/>
        </w:rPr>
      </w:pPr>
      <w:r>
        <w:t>23.</w:t>
      </w:r>
      <w:r>
        <w:tab/>
      </w:r>
      <w:r>
        <w:rPr>
          <w:noProof/>
        </w:rPr>
        <w:t>Därför bör denna ansökan likställas med en ansökan enligt artikel 4.1 b i förordningen om fonden på grund av särskilda omständigheter (kombinationen av de allvarliga följder som uppsägningarna har haft för sysselsättningen och den lokala ekonomin och av att små och medelstora företag utgör den huvudsakliga företagstypen i regionen).</w:t>
      </w:r>
    </w:p>
    <w:p>
      <w:pPr>
        <w:pStyle w:val="ManualHeading3"/>
        <w:rPr>
          <w:noProof/>
        </w:rPr>
      </w:pPr>
      <w:r>
        <w:rPr>
          <w:noProof/>
        </w:rPr>
        <w:t>Händelser som föranlett uppsägningarna och upphörandet av verksamhet</w:t>
      </w:r>
    </w:p>
    <w:p>
      <w:pPr>
        <w:pStyle w:val="ManualNumPar1"/>
        <w:rPr>
          <w:noProof/>
        </w:rPr>
      </w:pPr>
      <w:r>
        <w:t>24.</w:t>
      </w:r>
      <w:r>
        <w:tab/>
      </w:r>
      <w:r>
        <w:rPr>
          <w:noProof/>
        </w:rPr>
        <w:t>Varv i Galicien bygger teknologiskt avancerade militärfartyg, olje- och kemikalietankfartyg, offshorefartyg, fartyg för oceanografisk och seismisk forskning, bogserbåtar och passagerarfartyg (färjor, kryssningsfartyg och nöjesbåtar). Galiciska varv utmärks också av att de bygger fiskefartyg</w:t>
      </w:r>
      <w:r>
        <w:rPr>
          <w:rStyle w:val="FootnoteReference"/>
          <w:noProof/>
        </w:rPr>
        <w:footnoteReference w:id="22"/>
      </w:r>
      <w:r>
        <w:rPr>
          <w:noProof/>
        </w:rPr>
        <w:t xml:space="preserve">. </w:t>
      </w:r>
    </w:p>
    <w:p>
      <w:pPr>
        <w:pStyle w:val="ManualNumPar1"/>
        <w:rPr>
          <w:noProof/>
        </w:rPr>
      </w:pPr>
      <w:r>
        <w:t>25.</w:t>
      </w:r>
      <w:r>
        <w:tab/>
      </w:r>
      <w:r>
        <w:rPr>
          <w:noProof/>
        </w:rPr>
        <w:t>EU:s minskande marknadsandel inom den globala fartygsproduktionen och den ökade globala konkurrensen har fått ödesdigra konsekvenser för stödsektorer till varvsindustrin i Galicien. Avvecklingen och stängningen av varvet Factorias Vulcano i juli 2019, och varvet HJ Barreras begäran om kreditgivare före konkursen i oktober 2019, är de huvudsakliga händelser som lett till uppsägningarna. Hälften av uppsägningarna som är föremål för denna ansökan ägde rum i företag som är kreditgivare till HJ Barreras.</w:t>
      </w:r>
    </w:p>
    <w:p>
      <w:pPr>
        <w:pStyle w:val="ManualHeading3"/>
        <w:tabs>
          <w:tab w:val="clear" w:pos="850"/>
          <w:tab w:val="left" w:pos="0"/>
        </w:tabs>
        <w:ind w:left="0" w:firstLine="0"/>
        <w:rPr>
          <w:noProof/>
        </w:rPr>
      </w:pPr>
      <w:r>
        <w:rPr>
          <w:noProof/>
        </w:rPr>
        <w:t>Väntade konsekvenser av uppsägningarna för den lokala, regionala eller nationella ekonomin och sysselsättningen</w:t>
      </w:r>
    </w:p>
    <w:p>
      <w:pPr>
        <w:pStyle w:val="ManualNumPar1"/>
        <w:rPr>
          <w:noProof/>
        </w:rPr>
      </w:pPr>
      <w:r>
        <w:t>26.</w:t>
      </w:r>
      <w:r>
        <w:tab/>
      </w:r>
      <w:r>
        <w:rPr>
          <w:noProof/>
        </w:rPr>
        <w:t>Varvsindustrin (varv och stödsektorer) i Galicien hade en årlig omsättning på cirka 2 000 miljoner euro (3,3 % av regionens BNP), och 10 000 direkta arbetstillfällen och 25 000</w:t>
      </w:r>
      <w:r>
        <w:rPr>
          <w:rStyle w:val="FootnoteReference"/>
          <w:noProof/>
        </w:rPr>
        <w:footnoteReference w:id="23"/>
      </w:r>
      <w:r>
        <w:rPr>
          <w:noProof/>
        </w:rPr>
        <w:t xml:space="preserve"> indirekta arbetstillfällen var beroende av varvsindustrin år 2018. Enligt Galiciska organisationen för metallindustrier (ASIME) sjönk sektorns omsättning på grund av svårigheter för en del galiciska varv med 11 % och 20,8 % av arbetstillfällena gick förlorade under 2019</w:t>
      </w:r>
      <w:r>
        <w:rPr>
          <w:rStyle w:val="FootnoteReference"/>
          <w:noProof/>
        </w:rPr>
        <w:footnoteReference w:id="24"/>
      </w:r>
      <w:r>
        <w:rPr>
          <w:noProof/>
        </w:rPr>
        <w:t xml:space="preserve">. </w:t>
      </w:r>
    </w:p>
    <w:p>
      <w:pPr>
        <w:pStyle w:val="ManualNumPar1"/>
        <w:rPr>
          <w:noProof/>
        </w:rPr>
      </w:pPr>
      <w:r>
        <w:t>27.</w:t>
      </w:r>
      <w:r>
        <w:tab/>
      </w:r>
      <w:r>
        <w:rPr>
          <w:noProof/>
        </w:rPr>
        <w:t>År 2019 uppgick arbetslösheten i Vigo</w:t>
      </w:r>
      <w:r>
        <w:rPr>
          <w:noProof/>
        </w:rPr>
        <w:sym w:font="Symbol" w:char="F0BE"/>
      </w:r>
      <w:r>
        <w:rPr>
          <w:noProof/>
        </w:rPr>
        <w:t>, en stad med cirka 295 000 invånare,</w:t>
      </w:r>
      <w:r>
        <w:rPr>
          <w:noProof/>
        </w:rPr>
        <w:sym w:font="Symbol" w:char="F0BE"/>
      </w:r>
      <w:r>
        <w:rPr>
          <w:noProof/>
        </w:rPr>
        <w:t xml:space="preserve"> till 16,3 %</w:t>
      </w:r>
      <w:r>
        <w:rPr>
          <w:rStyle w:val="FootnoteReference"/>
          <w:noProof/>
        </w:rPr>
        <w:footnoteReference w:id="25"/>
      </w:r>
      <w:r>
        <w:rPr>
          <w:noProof/>
        </w:rPr>
        <w:t>, nästan fem procentenheter högre än regionens genomsnitt (11,7 %</w:t>
      </w:r>
      <w:r>
        <w:rPr>
          <w:rStyle w:val="FootnoteReference"/>
          <w:noProof/>
        </w:rPr>
        <w:footnoteReference w:id="26"/>
      </w:r>
      <w:r>
        <w:rPr>
          <w:noProof/>
        </w:rPr>
        <w:t>), och 21 247 arbetstagare var registrerade som arbetssökande. Som redan nämnts ligger alla Galiciens kommersiella varv i Vigo. Koncentrationen av varv på ett litet geografiskt område förvärrar de negativa effekterna av en minskande omsättning och förlorade arbetstillfällen inom varvsindustrin och leder till ännu allvarligare följder för den regionala arbetsmarknaden än vad siffrorna verkar antyda.</w:t>
      </w:r>
    </w:p>
    <w:p>
      <w:pPr>
        <w:pStyle w:val="ManualHeading2"/>
        <w:rPr>
          <w:noProof/>
        </w:rPr>
      </w:pPr>
      <w:r>
        <w:rPr>
          <w:noProof/>
        </w:rPr>
        <w:t>Berörda stödmottagare och föreslagna åtgärder</w:t>
      </w:r>
    </w:p>
    <w:p>
      <w:pPr>
        <w:pStyle w:val="ManualHeading3"/>
        <w:rPr>
          <w:noProof/>
        </w:rPr>
      </w:pPr>
      <w:r>
        <w:rPr>
          <w:noProof/>
        </w:rPr>
        <w:t>Berörda stödmottagare</w:t>
      </w:r>
    </w:p>
    <w:p>
      <w:pPr>
        <w:pStyle w:val="ManualNumPar1"/>
        <w:rPr>
          <w:noProof/>
        </w:rPr>
      </w:pPr>
      <w:r>
        <w:t>28.</w:t>
      </w:r>
      <w:r>
        <w:tab/>
      </w:r>
      <w:r>
        <w:rPr>
          <w:noProof/>
        </w:rPr>
        <w:t>Totalt beräknas 500 uppsagda arbetstagare delta i åtgärderna. Fördelningen av arbetstagarna efter kön, medborgarskap och åldersgrupp är följande:</w:t>
      </w:r>
    </w:p>
    <w:tbl>
      <w:tblPr>
        <w:tblW w:w="0" w:type="auto"/>
        <w:jc w:val="center"/>
        <w:tblLook w:val="04A0" w:firstRow="1" w:lastRow="0" w:firstColumn="1" w:lastColumn="0" w:noHBand="0" w:noVBand="1"/>
      </w:tblPr>
      <w:tblGrid>
        <w:gridCol w:w="1789"/>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Kategori</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Antal berörda stödmottagare</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Kön:</w:t>
            </w:r>
          </w:p>
        </w:tc>
        <w:tc>
          <w:tcPr>
            <w:tcW w:w="2063" w:type="dxa"/>
            <w:tcBorders>
              <w:top w:val="single" w:sz="4" w:space="0" w:color="auto"/>
              <w:left w:val="nil"/>
              <w:right w:val="nil"/>
            </w:tcBorders>
            <w:hideMark/>
          </w:tcPr>
          <w:p>
            <w:pPr>
              <w:spacing w:before="60" w:after="60"/>
              <w:rPr>
                <w:noProof/>
              </w:rPr>
            </w:pPr>
            <w:r>
              <w:rPr>
                <w:noProof/>
              </w:rPr>
              <w:t>Män:</w:t>
            </w:r>
          </w:p>
        </w:tc>
        <w:tc>
          <w:tcPr>
            <w:tcW w:w="1176" w:type="dxa"/>
            <w:tcBorders>
              <w:top w:val="single" w:sz="4" w:space="0" w:color="auto"/>
              <w:left w:val="nil"/>
              <w:right w:val="nil"/>
            </w:tcBorders>
            <w:hideMark/>
          </w:tcPr>
          <w:p>
            <w:pPr>
              <w:spacing w:before="60" w:after="60"/>
              <w:jc w:val="right"/>
              <w:rPr>
                <w:noProof/>
              </w:rPr>
            </w:pPr>
            <w:r>
              <w:rPr>
                <w:noProof/>
              </w:rPr>
              <w:t>470</w:t>
            </w:r>
          </w:p>
        </w:tc>
        <w:tc>
          <w:tcPr>
            <w:tcW w:w="1176" w:type="dxa"/>
            <w:tcBorders>
              <w:top w:val="single" w:sz="4" w:space="0" w:color="auto"/>
              <w:left w:val="nil"/>
              <w:right w:val="nil"/>
            </w:tcBorders>
            <w:hideMark/>
          </w:tcPr>
          <w:p>
            <w:pPr>
              <w:spacing w:before="60" w:after="60"/>
              <w:jc w:val="right"/>
              <w:rPr>
                <w:noProof/>
              </w:rPr>
            </w:pPr>
            <w:r>
              <w:rPr>
                <w:noProof/>
              </w:rPr>
              <w:t>(94,0 %)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Kvinnor</w:t>
            </w:r>
            <w:r>
              <w:rPr>
                <w:rStyle w:val="FootnoteReference"/>
                <w:noProof/>
              </w:rPr>
              <w:footnoteReference w:id="27"/>
            </w:r>
            <w:r>
              <w:rPr>
                <w:noProof/>
              </w:rPr>
              <w:t>:</w:t>
            </w:r>
          </w:p>
        </w:tc>
        <w:tc>
          <w:tcPr>
            <w:tcW w:w="1176" w:type="dxa"/>
            <w:tcBorders>
              <w:bottom w:val="single" w:sz="4" w:space="0" w:color="auto"/>
            </w:tcBorders>
            <w:hideMark/>
          </w:tcPr>
          <w:p>
            <w:pPr>
              <w:spacing w:before="60" w:after="60"/>
              <w:jc w:val="right"/>
              <w:rPr>
                <w:noProof/>
              </w:rPr>
            </w:pPr>
            <w:r>
              <w:rPr>
                <w:noProof/>
              </w:rPr>
              <w:t>30</w:t>
            </w:r>
          </w:p>
        </w:tc>
        <w:tc>
          <w:tcPr>
            <w:tcW w:w="1176" w:type="dxa"/>
            <w:tcBorders>
              <w:bottom w:val="single" w:sz="4" w:space="0" w:color="auto"/>
            </w:tcBorders>
            <w:hideMark/>
          </w:tcPr>
          <w:p>
            <w:pPr>
              <w:spacing w:before="60" w:after="60"/>
              <w:jc w:val="right"/>
              <w:rPr>
                <w:noProof/>
              </w:rPr>
            </w:pPr>
            <w:r>
              <w:rPr>
                <w:noProof/>
              </w:rPr>
              <w:t>(6,0 %)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Medborgarskap:</w:t>
            </w:r>
          </w:p>
        </w:tc>
        <w:tc>
          <w:tcPr>
            <w:tcW w:w="2063" w:type="dxa"/>
            <w:tcBorders>
              <w:top w:val="single" w:sz="4" w:space="0" w:color="auto"/>
              <w:left w:val="nil"/>
              <w:bottom w:val="nil"/>
              <w:right w:val="nil"/>
            </w:tcBorders>
            <w:hideMark/>
          </w:tcPr>
          <w:p>
            <w:pPr>
              <w:spacing w:before="60" w:after="60"/>
              <w:rPr>
                <w:noProof/>
              </w:rPr>
            </w:pPr>
            <w:r>
              <w:rPr>
                <w:noProof/>
              </w:rPr>
              <w:t>EU-medborgare:</w:t>
            </w:r>
          </w:p>
        </w:tc>
        <w:tc>
          <w:tcPr>
            <w:tcW w:w="1176" w:type="dxa"/>
            <w:tcBorders>
              <w:top w:val="single" w:sz="4" w:space="0" w:color="auto"/>
            </w:tcBorders>
            <w:hideMark/>
          </w:tcPr>
          <w:p>
            <w:pPr>
              <w:spacing w:before="60" w:after="60"/>
              <w:jc w:val="right"/>
              <w:rPr>
                <w:noProof/>
              </w:rPr>
            </w:pPr>
            <w:r>
              <w:rPr>
                <w:noProof/>
              </w:rPr>
              <w:t>487</w:t>
            </w:r>
          </w:p>
        </w:tc>
        <w:tc>
          <w:tcPr>
            <w:tcW w:w="1176" w:type="dxa"/>
            <w:tcBorders>
              <w:top w:val="single" w:sz="4" w:space="0" w:color="auto"/>
            </w:tcBorders>
            <w:hideMark/>
          </w:tcPr>
          <w:p>
            <w:pPr>
              <w:spacing w:before="60" w:after="60"/>
              <w:jc w:val="right"/>
              <w:rPr>
                <w:noProof/>
              </w:rPr>
            </w:pPr>
            <w:r>
              <w:rPr>
                <w:noProof/>
              </w:rPr>
              <w:t>(97,4 %)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Icke EU-medborgare:</w:t>
            </w:r>
          </w:p>
        </w:tc>
        <w:tc>
          <w:tcPr>
            <w:tcW w:w="1176" w:type="dxa"/>
            <w:tcBorders>
              <w:bottom w:val="single" w:sz="4" w:space="0" w:color="auto"/>
            </w:tcBorders>
            <w:hideMark/>
          </w:tcPr>
          <w:p>
            <w:pPr>
              <w:spacing w:before="60" w:after="60"/>
              <w:jc w:val="right"/>
              <w:rPr>
                <w:noProof/>
              </w:rPr>
            </w:pPr>
            <w:r>
              <w:rPr>
                <w:noProof/>
              </w:rPr>
              <w:t>13</w:t>
            </w:r>
          </w:p>
        </w:tc>
        <w:tc>
          <w:tcPr>
            <w:tcW w:w="1176" w:type="dxa"/>
            <w:tcBorders>
              <w:bottom w:val="single" w:sz="4" w:space="0" w:color="auto"/>
            </w:tcBorders>
            <w:hideMark/>
          </w:tcPr>
          <w:p>
            <w:pPr>
              <w:spacing w:before="60" w:after="60"/>
              <w:jc w:val="right"/>
              <w:rPr>
                <w:noProof/>
              </w:rPr>
            </w:pPr>
            <w:r>
              <w:rPr>
                <w:noProof/>
              </w:rPr>
              <w:t>(2,6 %)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Åldersgrupp:</w:t>
            </w:r>
          </w:p>
        </w:tc>
        <w:tc>
          <w:tcPr>
            <w:tcW w:w="2063" w:type="dxa"/>
            <w:tcBorders>
              <w:top w:val="single" w:sz="4" w:space="0" w:color="auto"/>
              <w:left w:val="nil"/>
              <w:bottom w:val="nil"/>
              <w:right w:val="nil"/>
            </w:tcBorders>
            <w:hideMark/>
          </w:tcPr>
          <w:p>
            <w:pPr>
              <w:spacing w:before="60" w:after="60"/>
              <w:rPr>
                <w:noProof/>
              </w:rPr>
            </w:pPr>
            <w:r>
              <w:rPr>
                <w:noProof/>
              </w:rPr>
              <w:t>15–24 år:</w:t>
            </w:r>
          </w:p>
        </w:tc>
        <w:tc>
          <w:tcPr>
            <w:tcW w:w="1176" w:type="dxa"/>
            <w:tcBorders>
              <w:top w:val="single" w:sz="4" w:space="0" w:color="auto"/>
            </w:tcBorders>
            <w:hideMark/>
          </w:tcPr>
          <w:p>
            <w:pPr>
              <w:spacing w:before="60" w:after="60"/>
              <w:jc w:val="right"/>
              <w:rPr>
                <w:noProof/>
              </w:rPr>
            </w:pPr>
            <w:r>
              <w:rPr>
                <w:noProof/>
              </w:rPr>
              <w:t>17</w:t>
            </w:r>
          </w:p>
        </w:tc>
        <w:tc>
          <w:tcPr>
            <w:tcW w:w="1176" w:type="dxa"/>
            <w:tcBorders>
              <w:top w:val="single" w:sz="4" w:space="0" w:color="auto"/>
            </w:tcBorders>
            <w:hideMark/>
          </w:tcPr>
          <w:p>
            <w:pPr>
              <w:spacing w:before="60" w:after="60"/>
              <w:jc w:val="right"/>
              <w:rPr>
                <w:noProof/>
              </w:rPr>
            </w:pPr>
            <w:r>
              <w:rPr>
                <w:noProof/>
              </w:rPr>
              <w:t>(3,4 %)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 år:</w:t>
            </w:r>
          </w:p>
        </w:tc>
        <w:tc>
          <w:tcPr>
            <w:tcW w:w="1176" w:type="dxa"/>
            <w:hideMark/>
          </w:tcPr>
          <w:p>
            <w:pPr>
              <w:spacing w:before="60" w:after="60"/>
              <w:jc w:val="right"/>
              <w:rPr>
                <w:noProof/>
              </w:rPr>
            </w:pPr>
            <w:r>
              <w:rPr>
                <w:noProof/>
              </w:rPr>
              <w:t>36</w:t>
            </w:r>
          </w:p>
        </w:tc>
        <w:tc>
          <w:tcPr>
            <w:tcW w:w="1176" w:type="dxa"/>
            <w:hideMark/>
          </w:tcPr>
          <w:p>
            <w:pPr>
              <w:spacing w:before="60" w:after="60"/>
              <w:jc w:val="right"/>
              <w:rPr>
                <w:noProof/>
              </w:rPr>
            </w:pPr>
            <w:r>
              <w:rPr>
                <w:noProof/>
              </w:rPr>
              <w:t>(7,2 %)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 år:</w:t>
            </w:r>
          </w:p>
        </w:tc>
        <w:tc>
          <w:tcPr>
            <w:tcW w:w="1176" w:type="dxa"/>
            <w:hideMark/>
          </w:tcPr>
          <w:p>
            <w:pPr>
              <w:spacing w:before="60" w:after="60"/>
              <w:jc w:val="right"/>
              <w:rPr>
                <w:noProof/>
              </w:rPr>
            </w:pPr>
            <w:r>
              <w:rPr>
                <w:noProof/>
              </w:rPr>
              <w:t>391</w:t>
            </w:r>
          </w:p>
        </w:tc>
        <w:tc>
          <w:tcPr>
            <w:tcW w:w="1176" w:type="dxa"/>
            <w:hideMark/>
          </w:tcPr>
          <w:p>
            <w:pPr>
              <w:spacing w:before="60" w:after="60"/>
              <w:jc w:val="right"/>
              <w:rPr>
                <w:noProof/>
              </w:rPr>
            </w:pPr>
            <w:r>
              <w:rPr>
                <w:noProof/>
              </w:rPr>
              <w:t>(78,2 %)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 år:</w:t>
            </w:r>
          </w:p>
        </w:tc>
        <w:tc>
          <w:tcPr>
            <w:tcW w:w="1176" w:type="dxa"/>
            <w:hideMark/>
          </w:tcPr>
          <w:p>
            <w:pPr>
              <w:spacing w:before="60" w:after="60"/>
              <w:jc w:val="right"/>
              <w:rPr>
                <w:noProof/>
              </w:rPr>
            </w:pPr>
            <w:r>
              <w:rPr>
                <w:noProof/>
              </w:rPr>
              <w:t>56</w:t>
            </w:r>
          </w:p>
        </w:tc>
        <w:tc>
          <w:tcPr>
            <w:tcW w:w="1176" w:type="dxa"/>
            <w:hideMark/>
          </w:tcPr>
          <w:p>
            <w:pPr>
              <w:spacing w:before="60" w:after="60"/>
              <w:jc w:val="right"/>
              <w:rPr>
                <w:noProof/>
              </w:rPr>
            </w:pPr>
            <w:r>
              <w:rPr>
                <w:noProof/>
              </w:rPr>
              <w:t>(11,2 %)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Över 64 år:</w:t>
            </w:r>
          </w:p>
        </w:tc>
        <w:tc>
          <w:tcPr>
            <w:tcW w:w="1176" w:type="dxa"/>
            <w:tcBorders>
              <w:top w:val="nil"/>
              <w:left w:val="nil"/>
              <w:bottom w:val="single" w:sz="4" w:space="0" w:color="auto"/>
              <w:right w:val="nil"/>
            </w:tcBorders>
            <w:hideMark/>
          </w:tcPr>
          <w:p>
            <w:pPr>
              <w:spacing w:before="60" w:after="60"/>
              <w:jc w:val="right"/>
              <w:rPr>
                <w:noProof/>
              </w:rPr>
            </w:pPr>
            <w:r>
              <w:rPr>
                <w:noProof/>
              </w:rPr>
              <w:t>0</w:t>
            </w:r>
          </w:p>
        </w:tc>
        <w:tc>
          <w:tcPr>
            <w:tcW w:w="1176" w:type="dxa"/>
            <w:tcBorders>
              <w:top w:val="nil"/>
              <w:left w:val="nil"/>
              <w:bottom w:val="single" w:sz="4" w:space="0" w:color="auto"/>
              <w:right w:val="nil"/>
            </w:tcBorders>
            <w:hideMark/>
          </w:tcPr>
          <w:p>
            <w:pPr>
              <w:spacing w:before="60" w:after="60"/>
              <w:jc w:val="right"/>
              <w:rPr>
                <w:noProof/>
              </w:rPr>
            </w:pPr>
            <w:r>
              <w:rPr>
                <w:noProof/>
              </w:rPr>
              <w:t>(0,0 %)</w:t>
            </w:r>
          </w:p>
        </w:tc>
      </w:tr>
    </w:tbl>
    <w:p>
      <w:pPr>
        <w:pStyle w:val="ManualHeading3"/>
        <w:rPr>
          <w:noProof/>
          <w:u w:val="single"/>
        </w:rPr>
      </w:pPr>
      <w:r>
        <w:rPr>
          <w:noProof/>
        </w:rPr>
        <w:t>De föreslagna åtgärdernas stödberättigande karaktär</w:t>
      </w:r>
    </w:p>
    <w:p>
      <w:pPr>
        <w:pStyle w:val="ManualNumPar1"/>
        <w:rPr>
          <w:noProof/>
        </w:rPr>
      </w:pPr>
      <w:bookmarkStart w:id="8" w:name="_Ref372214239"/>
      <w:r>
        <w:t>29.</w:t>
      </w:r>
      <w:r>
        <w:tab/>
      </w:r>
      <w:r>
        <w:rPr>
          <w:noProof/>
        </w:rPr>
        <w:t xml:space="preserve">Följande åtgärder ingår i de individanpassade tjänster som kommer att erbjudas de uppsagda arbetstagarna: </w:t>
      </w:r>
      <w:bookmarkEnd w:id="8"/>
    </w:p>
    <w:p>
      <w:pPr>
        <w:pStyle w:val="Tiret1"/>
        <w:numPr>
          <w:ilvl w:val="0"/>
          <w:numId w:val="11"/>
        </w:numPr>
        <w:rPr>
          <w:noProof/>
        </w:rPr>
      </w:pPr>
      <w:r>
        <w:rPr>
          <w:noProof/>
          <w:u w:val="single"/>
        </w:rPr>
        <w:t>Informationsträffar och förberedande seminarier</w:t>
      </w:r>
      <w:r>
        <w:rPr>
          <w:noProof/>
        </w:rPr>
        <w:t xml:space="preserve">: Informationsträffarna är den första åtgärden som erbjuds till alla berörda stödmottagare och innehåller allmän information om tillgängliga rådgivnings- och utbildningsprogram samt om ersättning och incitament. Detta omfattar även profilering av deltagarna. På de förberedande seminarierna kommer mer ingående information att ges om omplacering, om sektorer som kräver tillstånd eller intyg om yrkesmässig kompetens, certifiering av kompetenser och mjuka färdigheter som förvärvats i arbetet, och hur man ska fullfölja den obligatoriska skolgången. Seminarier om entreprenörskap kommer också att hållas. </w:t>
      </w:r>
    </w:p>
    <w:p>
      <w:pPr>
        <w:pStyle w:val="Tiret1"/>
        <w:rPr>
          <w:noProof/>
        </w:rPr>
      </w:pPr>
      <w:r>
        <w:rPr>
          <w:noProof/>
          <w:u w:val="single"/>
        </w:rPr>
        <w:t>Yrkesvägledning</w:t>
      </w:r>
      <w:r>
        <w:rPr>
          <w:noProof/>
        </w:rPr>
        <w:t xml:space="preserve"> för anställda eller egenföretagare kommer att ges under hela genomförandeperioden.</w:t>
      </w:r>
    </w:p>
    <w:p>
      <w:pPr>
        <w:pStyle w:val="Tiret1"/>
        <w:rPr>
          <w:noProof/>
        </w:rPr>
      </w:pPr>
      <w:r>
        <w:rPr>
          <w:noProof/>
          <w:u w:val="single"/>
        </w:rPr>
        <w:t>Utbildning</w:t>
      </w:r>
      <w:r>
        <w:rPr>
          <w:noProof/>
        </w:rPr>
        <w:t>: Denna kommer att omfatta 1) utbildning i nyckelkompetenser och tvärvetenskapliga kompetenser, 2) förberedelser för prov för erkännande av färdigheter som förvärvats i arbetet (erkännande av tidigare lärande), 3) yrkesinriktad utbildning för omskolning på olika områden såsom underhåll av byggnader och stadsutrustning, lagerarbete, lagerlogistik, scrummästare m.m. och 4) yrkesinriktad vidareutbildning på områden såsom kompositmaterial för fartygsbyggande, HSLA</w:t>
      </w:r>
      <w:r>
        <w:rPr>
          <w:rStyle w:val="FootnoteReference"/>
          <w:noProof/>
        </w:rPr>
        <w:footnoteReference w:id="28"/>
      </w:r>
      <w:r>
        <w:rPr>
          <w:noProof/>
        </w:rPr>
        <w:t>-stål för fartygskonstruktioner, virtuell och förhöjd verklighet i fartygsbyggande, CAD/CAM</w:t>
      </w:r>
      <w:r>
        <w:rPr>
          <w:rStyle w:val="FootnoteReference"/>
          <w:noProof/>
        </w:rPr>
        <w:footnoteReference w:id="29"/>
      </w:r>
      <w:r>
        <w:rPr>
          <w:noProof/>
        </w:rPr>
        <w:t>-lösningar för fartygsbyggande, 3D-teknik inom fartygsbyggande (uträtning och formgivning av delar), FSW</w:t>
      </w:r>
      <w:r>
        <w:rPr>
          <w:rStyle w:val="FootnoteReference"/>
          <w:noProof/>
        </w:rPr>
        <w:footnoteReference w:id="30"/>
      </w:r>
      <w:r>
        <w:rPr>
          <w:noProof/>
        </w:rPr>
        <w:t>-svetsning och MAG</w:t>
      </w:r>
      <w:r>
        <w:rPr>
          <w:rStyle w:val="FootnoteReference"/>
          <w:noProof/>
        </w:rPr>
        <w:footnoteReference w:id="31"/>
      </w:r>
      <w:r>
        <w:rPr>
          <w:noProof/>
        </w:rPr>
        <w:t>-svetsning med hybridlaser, övervakade system för elektrisk ljusbågssvetsning samt annan tillverkning inom varvsindustrin. Entreprenörskapsutbildning kommer att ges till dem som siktar på att bli egenföretagare.</w:t>
      </w:r>
    </w:p>
    <w:p>
      <w:pPr>
        <w:pStyle w:val="Tiret1"/>
        <w:rPr>
          <w:noProof/>
        </w:rPr>
      </w:pPr>
      <w:r>
        <w:rPr>
          <w:noProof/>
          <w:u w:val="single"/>
        </w:rPr>
        <w:t>Intensivt stöd vid arbetssökande</w:t>
      </w:r>
      <w:r>
        <w:rPr>
          <w:noProof/>
        </w:rPr>
        <w:t xml:space="preserve"> som inkluderar sökande efter lokala och regionala sysselsättningsmöjligheter (även för egenföretagare) och jobbmatchning.</w:t>
      </w:r>
    </w:p>
    <w:p>
      <w:pPr>
        <w:pStyle w:val="Tiret1"/>
        <w:rPr>
          <w:noProof/>
        </w:rPr>
      </w:pPr>
      <w:r>
        <w:rPr>
          <w:noProof/>
          <w:u w:val="single"/>
        </w:rPr>
        <w:t>Handledning efter att arbetstagaren har fått nytt arbete:</w:t>
      </w:r>
      <w:r>
        <w:rPr>
          <w:noProof/>
        </w:rPr>
        <w:t xml:space="preserve"> Arbetstagare som återinträder på arbetsmarknaden kommer att få handledning under de första månaderna för att förebygga eventuella problem som kan uppstå i deras nya arbeten.</w:t>
      </w:r>
    </w:p>
    <w:p>
      <w:pPr>
        <w:pStyle w:val="Tiret1"/>
        <w:rPr>
          <w:noProof/>
        </w:rPr>
      </w:pPr>
      <w:r>
        <w:rPr>
          <w:noProof/>
          <w:u w:val="single"/>
        </w:rPr>
        <w:t>Incitament:</w:t>
      </w:r>
      <w:r>
        <w:rPr>
          <w:noProof/>
        </w:rPr>
        <w:t xml:space="preserve"> Det kommer att finnas ett antal olika incitament. 1) Incitament till deltagande. Arbetstagarna som deltar i åtgärderna och följer den överenskomna planen för återinträde på arbetsmarknaden kommer att få upp till 400 euro (engångsbetalning eller uppdelat). 2) Resebidrag (0,19 euro/kilometer plus för andra kostnader såsom vägtullar och parkeringsavgifter, när detta är motiverat, samt ersättning för lokaltrafikskostnader). 3) Bidrag till personer med omsorgsansvar. Arbetstagare med omsorgsansvar (barn, äldre eller personer med funktionsnedsättning) kommer att få upp till 20 euro per dag som de deltar i åtgärderna. Bidraget ska täcka extrakostnader för deltagare med omsorgsansvar för att de ska kunna delta i utbildning eller andra åtgärder. 4) Incitament att söka jobb. De som återgår till arbetslivet som anställda eller egenföretagare kommer att få 200 euro per månad under en period på högst sex månader. Incitamentet är utformat för att få arbetstagare, särskilt de som är äldre, att stanna kvar på arbetsmarknaden och för att främja snabb återanställning. </w:t>
      </w:r>
    </w:p>
    <w:p>
      <w:pPr>
        <w:pStyle w:val="ManualNumPar1"/>
        <w:rPr>
          <w:noProof/>
        </w:rPr>
      </w:pPr>
      <w:bookmarkStart w:id="9" w:name="_Ref372214242"/>
      <w:r>
        <w:t>30.</w:t>
      </w:r>
      <w:r>
        <w:tab/>
      </w:r>
      <w:r>
        <w:rPr>
          <w:noProof/>
        </w:rPr>
        <w:t>De föreslagna åtgärder som beskrivits ovan utgör aktiva arbetsmarknadsåtgärder som är stödberättigande enligt artikel 7 i förordningen om fonden. Dessa åtgärder ersätter inte passiva socialskyddsåtgärder.</w:t>
      </w:r>
    </w:p>
    <w:p>
      <w:pPr>
        <w:pStyle w:val="ManualNumPar1"/>
        <w:rPr>
          <w:noProof/>
        </w:rPr>
      </w:pPr>
      <w:r>
        <w:t>31.</w:t>
      </w:r>
      <w:r>
        <w:tab/>
      </w:r>
      <w:r>
        <w:rPr>
          <w:noProof/>
        </w:rPr>
        <w:t>Spanien har lämnat de uppgifter som krävs om åtgärder som de berörda företagen ska vidta enligt nationell lagstiftning eller kollektivavtal. Man har bekräftat att ekonomiskt stöd från fonden inte kommer att ersätta sådana åtgärder.</w:t>
      </w:r>
      <w:bookmarkEnd w:id="9"/>
    </w:p>
    <w:p>
      <w:pPr>
        <w:pStyle w:val="ManualHeading3"/>
        <w:rPr>
          <w:noProof/>
        </w:rPr>
      </w:pPr>
      <w:r>
        <w:rPr>
          <w:noProof/>
        </w:rPr>
        <w:t>Beräknad budget</w:t>
      </w:r>
    </w:p>
    <w:p>
      <w:pPr>
        <w:pStyle w:val="ManualNumPar1"/>
        <w:rPr>
          <w:noProof/>
        </w:rPr>
      </w:pPr>
      <w:r>
        <w:t>32.</w:t>
      </w:r>
      <w:r>
        <w:tab/>
      </w:r>
      <w:r>
        <w:rPr>
          <w:noProof/>
        </w:rPr>
        <w:t>De totala beräknade kostnaderna uppgår till 3 420 000 euro, vilket innefattar 3 274 000 euro i utgifter för individanpassade tjänster samt 150 000 euro i utgifter för förberedande åtgärder, förvaltning, information och marknadsföring samt kontroll och rapportering.</w:t>
      </w:r>
    </w:p>
    <w:p>
      <w:pPr>
        <w:pStyle w:val="ManualNumPar1"/>
        <w:rPr>
          <w:noProof/>
        </w:rPr>
      </w:pPr>
      <w:bookmarkStart w:id="10" w:name="_Ref372550770"/>
      <w:r>
        <w:t>33.</w:t>
      </w:r>
      <w:r>
        <w:tab/>
      </w:r>
      <w:r>
        <w:rPr>
          <w:noProof/>
        </w:rPr>
        <w:t>Det sammanlagda begärda stödet från fonden är 2 054 400 euro (60 % av de totala kostnaderna).</w:t>
      </w:r>
      <w:bookmarkEnd w:id="10"/>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Åtgärder</w:t>
            </w:r>
          </w:p>
        </w:tc>
        <w:tc>
          <w:tcPr>
            <w:tcW w:w="1548" w:type="dxa"/>
            <w:shd w:val="clear" w:color="auto" w:fill="auto"/>
            <w:vAlign w:val="center"/>
          </w:tcPr>
          <w:p>
            <w:pPr>
              <w:spacing w:before="60" w:after="60"/>
              <w:jc w:val="center"/>
              <w:rPr>
                <w:rFonts w:eastAsia="Times New Roman"/>
                <w:noProof/>
                <w:sz w:val="22"/>
              </w:rPr>
            </w:pPr>
            <w:r>
              <w:rPr>
                <w:noProof/>
                <w:sz w:val="22"/>
              </w:rPr>
              <w:t>Beräknat antal deltagare</w:t>
            </w:r>
          </w:p>
        </w:tc>
        <w:tc>
          <w:tcPr>
            <w:tcW w:w="1548" w:type="dxa"/>
            <w:shd w:val="clear" w:color="auto" w:fill="auto"/>
            <w:vAlign w:val="center"/>
          </w:tcPr>
          <w:p>
            <w:pPr>
              <w:spacing w:before="60" w:after="60"/>
              <w:jc w:val="center"/>
              <w:rPr>
                <w:rFonts w:eastAsia="Times New Roman"/>
                <w:noProof/>
                <w:sz w:val="22"/>
              </w:rPr>
            </w:pPr>
            <w:r>
              <w:rPr>
                <w:noProof/>
                <w:sz w:val="22"/>
              </w:rPr>
              <w:t>Beräknad kostnad per deltagare</w:t>
            </w:r>
            <w:r>
              <w:rPr>
                <w:noProof/>
              </w:rPr>
              <w:t xml:space="preserve"> </w:t>
            </w:r>
            <w:r>
              <w:rPr>
                <w:noProof/>
              </w:rPr>
              <w:br/>
            </w:r>
            <w:r>
              <w:rPr>
                <w:i/>
                <w:noProof/>
                <w:sz w:val="22"/>
              </w:rPr>
              <w:t>(euro)</w:t>
            </w:r>
            <w:r>
              <w:rPr>
                <w:rStyle w:val="FootnoteReference"/>
                <w:rFonts w:eastAsia="Times New Roman"/>
                <w:i/>
                <w:noProof/>
                <w:sz w:val="22"/>
              </w:rPr>
              <w:footnoteReference w:id="32"/>
            </w:r>
          </w:p>
        </w:tc>
        <w:tc>
          <w:tcPr>
            <w:tcW w:w="1548" w:type="dxa"/>
            <w:shd w:val="clear" w:color="auto" w:fill="auto"/>
            <w:vAlign w:val="center"/>
          </w:tcPr>
          <w:p>
            <w:pPr>
              <w:spacing w:before="60" w:after="60"/>
              <w:jc w:val="center"/>
              <w:rPr>
                <w:rFonts w:eastAsia="Times New Roman"/>
                <w:noProof/>
                <w:sz w:val="22"/>
              </w:rPr>
            </w:pPr>
            <w:r>
              <w:rPr>
                <w:noProof/>
                <w:sz w:val="22"/>
              </w:rPr>
              <w:t>Beräknad totalkostnad</w:t>
            </w:r>
          </w:p>
          <w:p>
            <w:pPr>
              <w:spacing w:before="60" w:after="60"/>
              <w:jc w:val="center"/>
              <w:rPr>
                <w:rFonts w:eastAsia="Times New Roman"/>
                <w:noProof/>
                <w:sz w:val="22"/>
              </w:rPr>
            </w:pPr>
            <w:r>
              <w:rPr>
                <w:i/>
                <w:noProof/>
                <w:sz w:val="22"/>
              </w:rPr>
              <w:t>(euro)</w:t>
            </w:r>
            <w:r>
              <w:rPr>
                <w:rStyle w:val="FootnoteReference"/>
                <w:rFonts w:eastAsia="Times New Roman"/>
                <w:i/>
                <w:noProof/>
                <w:sz w:val="22"/>
              </w:rPr>
              <w:footnoteReference w:id="33"/>
            </w:r>
            <w:r>
              <w:rPr>
                <w:i/>
                <w:noProof/>
                <w:sz w:val="22"/>
              </w:rPr>
              <w:t xml:space="preserve"> </w:t>
            </w:r>
          </w:p>
        </w:tc>
      </w:tr>
      <w:tr>
        <w:tc>
          <w:tcPr>
            <w:tcW w:w="9288" w:type="dxa"/>
            <w:gridSpan w:val="4"/>
            <w:shd w:val="clear" w:color="auto" w:fill="auto"/>
          </w:tcPr>
          <w:p>
            <w:pPr>
              <w:spacing w:before="60" w:after="60"/>
              <w:jc w:val="left"/>
              <w:rPr>
                <w:rFonts w:eastAsia="Times New Roman"/>
                <w:noProof/>
                <w:sz w:val="22"/>
              </w:rPr>
            </w:pPr>
            <w:r>
              <w:rPr>
                <w:noProof/>
                <w:sz w:val="22"/>
              </w:rPr>
              <w:t>Individanpassade tjänster (åtgärder enligt artikel 7.1 a och c i förordningen om fonden)</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Informationsträffar och förberedande seminarier </w:t>
            </w:r>
            <w:r>
              <w:rPr>
                <w:noProof/>
              </w:rPr>
              <w:br/>
              <w:t>(</w:t>
            </w:r>
            <w:r>
              <w:rPr>
                <w:i/>
                <w:noProof/>
              </w:rPr>
              <w:t>Acogida y diagnóstico inicial, medidas de sensibilización)</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541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270 500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Yrkesvägledning</w:t>
            </w:r>
            <w:r>
              <w:rPr>
                <w:noProof/>
              </w:rPr>
              <w:br/>
              <w:t>(</w:t>
            </w:r>
            <w:r>
              <w:rPr>
                <w:i/>
                <w:noProof/>
              </w:rPr>
              <w:t>Orientación laboral)</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250 000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Utbildning </w:t>
            </w:r>
            <w:r>
              <w:rPr>
                <w:noProof/>
              </w:rPr>
              <w:br/>
              <w:t>(</w:t>
            </w:r>
            <w:r>
              <w:rPr>
                <w:i/>
                <w:noProof/>
              </w:rPr>
              <w:t>Formación)</w:t>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350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4 871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1 705 000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Intensivt stöd vid arbetssökande </w:t>
            </w:r>
            <w:r>
              <w:rPr>
                <w:noProof/>
              </w:rPr>
              <w:br/>
              <w:t>(</w:t>
            </w:r>
            <w:r>
              <w:rPr>
                <w:i/>
                <w:noProof/>
              </w:rPr>
              <w:t>Prospección laboral)</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1 300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390 000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Mentorskap efter återinträde på arbetsmarknaden </w:t>
            </w:r>
            <w:r>
              <w:rPr>
                <w:noProof/>
              </w:rPr>
              <w:br/>
              <w:t>(</w:t>
            </w:r>
            <w:r>
              <w:rPr>
                <w:i/>
                <w:noProof/>
              </w:rPr>
              <w:t>Seguimiento en el empleo)</w:t>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250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250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62 500</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Delsumma a:</w:t>
            </w:r>
          </w:p>
          <w:p>
            <w:pPr>
              <w:spacing w:before="60" w:after="60"/>
              <w:jc w:val="right"/>
              <w:rPr>
                <w:rFonts w:eastAsia="Times New Roman"/>
                <w:noProof/>
                <w:sz w:val="22"/>
              </w:rPr>
            </w:pPr>
            <w:r>
              <w:rPr>
                <w:noProof/>
                <w:sz w:val="22"/>
              </w:rPr>
              <w:t xml:space="preserve">Andel av paketet med individanpassade tjänster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2 678 000</w:t>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 xml:space="preserve">81,80 </w:t>
            </w:r>
            <w:r>
              <w:rPr>
                <w:noProof/>
                <w:sz w:val="22"/>
              </w:rPr>
              <w:t>%)</w:t>
            </w:r>
          </w:p>
        </w:tc>
      </w:tr>
      <w:tr>
        <w:tc>
          <w:tcPr>
            <w:tcW w:w="9288" w:type="dxa"/>
            <w:gridSpan w:val="4"/>
            <w:shd w:val="clear" w:color="auto" w:fill="auto"/>
            <w:vAlign w:val="center"/>
          </w:tcPr>
          <w:p>
            <w:pPr>
              <w:spacing w:before="60" w:after="60"/>
              <w:jc w:val="left"/>
              <w:rPr>
                <w:noProof/>
                <w:sz w:val="22"/>
              </w:rPr>
            </w:pPr>
            <w:r>
              <w:rPr>
                <w:noProof/>
                <w:sz w:val="22"/>
              </w:rPr>
              <w:t>Bidrag och incitament (åtgärder enligt artikel 7.1 b i förordningen om fonden)</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Incitament </w:t>
            </w:r>
            <w:r>
              <w:rPr>
                <w:noProof/>
              </w:rPr>
              <w:br/>
              <w:t>(</w:t>
            </w:r>
            <w:r>
              <w:rPr>
                <w:i/>
                <w:noProof/>
              </w:rPr>
              <w:t>Programa de incentivos)</w:t>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1 490</w:t>
            </w:r>
            <w:r>
              <w:rPr>
                <w:rStyle w:val="FootnoteReference"/>
                <w:noProof/>
              </w:rPr>
              <w:footnoteReference w:id="34"/>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596 000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Delsumma b:</w:t>
            </w:r>
          </w:p>
          <w:p>
            <w:pPr>
              <w:spacing w:before="60" w:after="60"/>
              <w:jc w:val="right"/>
              <w:rPr>
                <w:rFonts w:eastAsia="Times New Roman"/>
                <w:noProof/>
                <w:sz w:val="22"/>
              </w:rPr>
            </w:pPr>
            <w:r>
              <w:rPr>
                <w:noProof/>
                <w:sz w:val="22"/>
              </w:rPr>
              <w:t>Andel av paketet med individanpassade tjänster</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596 000</w:t>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 xml:space="preserve">18,20 </w:t>
            </w:r>
            <w:r>
              <w:rPr>
                <w:noProof/>
                <w:sz w:val="22"/>
              </w:rPr>
              <w:t>%)</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Åtgärder enligt artikel 7.4 i förordningen om fonden</w:t>
            </w:r>
          </w:p>
        </w:tc>
      </w:tr>
      <w:tr>
        <w:tc>
          <w:tcPr>
            <w:tcW w:w="4644" w:type="dxa"/>
            <w:shd w:val="clear" w:color="auto" w:fill="auto"/>
          </w:tcPr>
          <w:p>
            <w:pPr>
              <w:spacing w:before="60" w:after="60"/>
              <w:ind w:left="284"/>
              <w:jc w:val="left"/>
              <w:rPr>
                <w:rFonts w:eastAsia="Times New Roman"/>
                <w:noProof/>
                <w:sz w:val="22"/>
              </w:rPr>
            </w:pPr>
            <w:r>
              <w:rPr>
                <w:noProof/>
                <w:sz w:val="22"/>
              </w:rPr>
              <w:t>1. Förberedande åtgärder</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0</w:t>
            </w:r>
          </w:p>
        </w:tc>
      </w:tr>
      <w:tr>
        <w:tc>
          <w:tcPr>
            <w:tcW w:w="4644" w:type="dxa"/>
            <w:shd w:val="clear" w:color="auto" w:fill="auto"/>
          </w:tcPr>
          <w:p>
            <w:pPr>
              <w:spacing w:before="60" w:after="60"/>
              <w:ind w:left="284"/>
              <w:jc w:val="left"/>
              <w:rPr>
                <w:rFonts w:eastAsia="Times New Roman"/>
                <w:noProof/>
                <w:sz w:val="22"/>
              </w:rPr>
            </w:pPr>
            <w:r>
              <w:rPr>
                <w:noProof/>
                <w:sz w:val="22"/>
              </w:rPr>
              <w:t>2. Förvaltning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100 000</w:t>
            </w:r>
          </w:p>
        </w:tc>
      </w:tr>
      <w:tr>
        <w:tc>
          <w:tcPr>
            <w:tcW w:w="4644" w:type="dxa"/>
            <w:shd w:val="clear" w:color="auto" w:fill="auto"/>
          </w:tcPr>
          <w:p>
            <w:pPr>
              <w:spacing w:before="60" w:after="60"/>
              <w:ind w:left="284"/>
              <w:jc w:val="left"/>
              <w:rPr>
                <w:rFonts w:eastAsia="Times New Roman"/>
                <w:noProof/>
                <w:sz w:val="22"/>
              </w:rPr>
            </w:pPr>
            <w:r>
              <w:rPr>
                <w:noProof/>
                <w:sz w:val="22"/>
              </w:rPr>
              <w:t>3. Information och marknadsföring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32 000</w:t>
            </w:r>
          </w:p>
        </w:tc>
      </w:tr>
      <w:tr>
        <w:tc>
          <w:tcPr>
            <w:tcW w:w="4644" w:type="dxa"/>
            <w:shd w:val="clear" w:color="auto" w:fill="auto"/>
          </w:tcPr>
          <w:p>
            <w:pPr>
              <w:spacing w:before="60" w:after="60"/>
              <w:ind w:left="284"/>
              <w:jc w:val="left"/>
              <w:rPr>
                <w:rFonts w:eastAsia="Times New Roman"/>
                <w:noProof/>
                <w:sz w:val="22"/>
              </w:rPr>
            </w:pPr>
            <w:r>
              <w:rPr>
                <w:noProof/>
                <w:sz w:val="22"/>
              </w:rPr>
              <w:t>4. Kontroll och rapportering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t>18 000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Delsumma c:</w:t>
            </w:r>
          </w:p>
          <w:p>
            <w:pPr>
              <w:spacing w:before="60" w:after="60"/>
              <w:jc w:val="right"/>
              <w:rPr>
                <w:rFonts w:eastAsia="Times New Roman"/>
                <w:noProof/>
                <w:sz w:val="22"/>
              </w:rPr>
            </w:pPr>
            <w:r>
              <w:rPr>
                <w:noProof/>
                <w:sz w:val="22"/>
              </w:rPr>
              <w:t>Andel av de totala kostnaderna:</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150 000</w:t>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 xml:space="preserve">4,38 </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Totala kostnader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t>3 424 000</w:t>
            </w:r>
          </w:p>
        </w:tc>
      </w:tr>
      <w:tr>
        <w:tc>
          <w:tcPr>
            <w:tcW w:w="4644" w:type="dxa"/>
            <w:shd w:val="clear" w:color="auto" w:fill="auto"/>
          </w:tcPr>
          <w:p>
            <w:pPr>
              <w:spacing w:before="60" w:after="60"/>
              <w:jc w:val="left"/>
              <w:rPr>
                <w:rFonts w:eastAsia="Times New Roman"/>
                <w:noProof/>
                <w:sz w:val="22"/>
              </w:rPr>
            </w:pPr>
            <w:r>
              <w:rPr>
                <w:noProof/>
                <w:sz w:val="22"/>
              </w:rPr>
              <w:t>Stöd från fonden (60 % av de sammanlagda kostnaderna)</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2 054 400</w:t>
            </w:r>
          </w:p>
        </w:tc>
      </w:tr>
    </w:tbl>
    <w:p>
      <w:pPr>
        <w:pStyle w:val="ManualNumPar1"/>
        <w:rPr>
          <w:noProof/>
        </w:rPr>
      </w:pPr>
      <w:r>
        <w:t>34.</w:t>
      </w:r>
      <w:r>
        <w:tab/>
      </w:r>
      <w:r>
        <w:rPr>
          <w:noProof/>
        </w:rPr>
        <w:t>Kostnaderna för de åtgärder som enligt ovanstående tabell omfattas av artikel 7.1 b i förordningen om fonden överstiger inte 35 % av de totala kostnaderna för det samordnade paketet med individanpassade tjänster. Spanien har bekräftat att dessa åtgärder förutsätter att de berörda stödmottagarna aktivt söker arbete eller deltar i utbildning.</w:t>
      </w:r>
    </w:p>
    <w:p>
      <w:pPr>
        <w:pStyle w:val="ManualHeading3"/>
        <w:rPr>
          <w:noProof/>
        </w:rPr>
      </w:pPr>
      <w:r>
        <w:rPr>
          <w:noProof/>
        </w:rPr>
        <w:t>Period under vilken utgifter är stödberättigande</w:t>
      </w:r>
    </w:p>
    <w:p>
      <w:pPr>
        <w:pStyle w:val="ManualNumPar1"/>
        <w:rPr>
          <w:noProof/>
        </w:rPr>
      </w:pPr>
      <w:r>
        <w:t>35.</w:t>
      </w:r>
      <w:r>
        <w:tab/>
      </w:r>
      <w:r>
        <w:rPr>
          <w:noProof/>
        </w:rPr>
        <w:t>Spanien börjar att erbjuda de individanpassade tjänsterna till de berörda stödmottagarna den 13 augusti 2020. Utgifterna för åtgärderna kommer därför att berättiga till ekonomiskt stöd från fonden från och med den 13 augusti 2020 till och med den 13 augusti 2022.</w:t>
      </w:r>
    </w:p>
    <w:p>
      <w:pPr>
        <w:pStyle w:val="ManualNumPar1"/>
        <w:rPr>
          <w:noProof/>
        </w:rPr>
      </w:pPr>
      <w:r>
        <w:t>36.</w:t>
      </w:r>
      <w:r>
        <w:tab/>
      </w:r>
      <w:r>
        <w:rPr>
          <w:noProof/>
        </w:rPr>
        <w:t xml:space="preserve">Spanien började få administrativa kostnader för tillämpningen av fonden den 8 juni 2020. Utgifterna för förberedande åtgärder, förvaltning, information och publicitet samt kontroll och rapportering ska därför berättiga till ekonomiskt stöd från fonden från och med den 8 juni 2020 till och med den 13 februari 2023. </w:t>
      </w:r>
    </w:p>
    <w:p>
      <w:pPr>
        <w:pStyle w:val="ManualHeading3"/>
        <w:rPr>
          <w:noProof/>
        </w:rPr>
      </w:pPr>
      <w:r>
        <w:rPr>
          <w:noProof/>
        </w:rPr>
        <w:t>Komplementaritet med åtgärder som finansieras med nationella medel eller unionsmedel</w:t>
      </w:r>
    </w:p>
    <w:p>
      <w:pPr>
        <w:pStyle w:val="ManualNumPar1"/>
        <w:rPr>
          <w:noProof/>
        </w:rPr>
      </w:pPr>
      <w:r>
        <w:t>37.</w:t>
      </w:r>
      <w:r>
        <w:tab/>
      </w:r>
      <w:r>
        <w:rPr>
          <w:noProof/>
        </w:rPr>
        <w:t>Den nationella förfinansieringen eller samfinansieringen kommer från Consellería de Economía, Emprego e Industria de la Xunta de Galicia.</w:t>
      </w:r>
    </w:p>
    <w:p>
      <w:pPr>
        <w:pStyle w:val="ManualNumPar1"/>
        <w:rPr>
          <w:noProof/>
        </w:rPr>
      </w:pPr>
      <w:r>
        <w:t>38.</w:t>
      </w:r>
      <w:r>
        <w:tab/>
      </w:r>
      <w:r>
        <w:rPr>
          <w:noProof/>
        </w:rPr>
        <w:t>Spanien har bekräftat att de åtgärder som beskrivs ovan och som beviljas ekonomiskt stöd från fonden inte kommer att få ekonomiskt stöd från något annat av unionens finansieringsinstrument.</w:t>
      </w:r>
    </w:p>
    <w:p>
      <w:pPr>
        <w:pStyle w:val="ManualHeading3"/>
        <w:tabs>
          <w:tab w:val="clear" w:pos="850"/>
          <w:tab w:val="left" w:pos="0"/>
        </w:tabs>
        <w:ind w:left="0" w:firstLine="0"/>
        <w:rPr>
          <w:noProof/>
          <w:u w:val="single"/>
        </w:rPr>
      </w:pPr>
      <w:r>
        <w:rPr>
          <w:noProof/>
        </w:rPr>
        <w:t>Samråd med de berörda stödmottagarna eller deras företrädare eller arbetsmarknadens parter samt med lokala och regionala myndigheter</w:t>
      </w:r>
    </w:p>
    <w:p>
      <w:pPr>
        <w:pStyle w:val="ManualNumPar1"/>
        <w:rPr>
          <w:noProof/>
        </w:rPr>
      </w:pPr>
      <w:r>
        <w:t>39.</w:t>
      </w:r>
      <w:r>
        <w:tab/>
      </w:r>
      <w:r>
        <w:rPr>
          <w:noProof/>
        </w:rPr>
        <w:t>Spanien har uppgett att ASIME och fackföreningarna CCOO</w:t>
      </w:r>
      <w:r>
        <w:rPr>
          <w:rStyle w:val="FootnoteReference"/>
          <w:noProof/>
        </w:rPr>
        <w:footnoteReference w:id="35"/>
      </w:r>
      <w:r>
        <w:rPr>
          <w:noProof/>
        </w:rPr>
        <w:t xml:space="preserve"> och UGT</w:t>
      </w:r>
      <w:r>
        <w:rPr>
          <w:rStyle w:val="FootnoteReference"/>
          <w:noProof/>
        </w:rPr>
        <w:footnoteReference w:id="36"/>
      </w:r>
      <w:r>
        <w:rPr>
          <w:noProof/>
        </w:rPr>
        <w:t>, de arbetsmarknadsparter som deltar i den sociala dialogen i Galicien, hjälpte Xunta de Galicia att förbereda ansökan genom att ge detaljerad information om varvsindustrin och dess stödsektorer. Det samordnade paketet med individanpassade tjänster har utformats i samråd med arbetsmarknadens parter och diskuterats under två sammanträden den 4 november 2019 och den 19 februari 2020. Genom ett samarbetsavtal kommer arbetsmarknadens parter också att vara delaktiga i genomförandet av tjänsterna.</w:t>
      </w:r>
    </w:p>
    <w:p>
      <w:pPr>
        <w:pStyle w:val="ManualHeading2"/>
        <w:rPr>
          <w:noProof/>
        </w:rPr>
      </w:pPr>
      <w:r>
        <w:rPr>
          <w:noProof/>
        </w:rPr>
        <w:t>Förvaltnings- och kontrollsystem</w:t>
      </w:r>
    </w:p>
    <w:p>
      <w:pPr>
        <w:pStyle w:val="ManualNumPar1"/>
        <w:rPr>
          <w:noProof/>
        </w:rPr>
      </w:pPr>
      <w:r>
        <w:t>40.</w:t>
      </w:r>
      <w:r>
        <w:tab/>
      </w:r>
      <w:r>
        <w:rPr>
          <w:noProof/>
        </w:rPr>
        <w:t>Ansökan innehåller en beskrivning av förvaltnings- och kontrollsystemet och av de berörda organens skyldigheter. Spanien har meddelat kommissionen att det ekonomiska stödet kommer att förvaltas och kontrolleras av samma organ som förvaltar och kontrollerar Europeiska socialfonden. Xunta de Galicia</w:t>
      </w:r>
      <w:r>
        <w:rPr>
          <w:rStyle w:val="FootnoteReference"/>
          <w:noProof/>
        </w:rPr>
        <w:footnoteReference w:id="37"/>
      </w:r>
      <w:r>
        <w:rPr>
          <w:noProof/>
        </w:rPr>
        <w:t xml:space="preserve"> kommer att vara förvaltningsmyndighetens förmedlande organ.</w:t>
      </w:r>
    </w:p>
    <w:p>
      <w:pPr>
        <w:pStyle w:val="ManualHeading2"/>
        <w:rPr>
          <w:noProof/>
        </w:rPr>
      </w:pPr>
      <w:r>
        <w:rPr>
          <w:noProof/>
        </w:rPr>
        <w:t>Den berörda medlemsstatens åtaganden</w:t>
      </w:r>
    </w:p>
    <w:p>
      <w:pPr>
        <w:pStyle w:val="ManualNumPar1"/>
        <w:rPr>
          <w:noProof/>
        </w:rPr>
      </w:pPr>
      <w:r>
        <w:t>41.</w:t>
      </w:r>
      <w:r>
        <w:tab/>
      </w:r>
      <w:r>
        <w:rPr>
          <w:noProof/>
        </w:rPr>
        <w:t xml:space="preserve">Spanien har gett alla nödvändiga garantier om att </w:t>
      </w:r>
    </w:p>
    <w:p>
      <w:pPr>
        <w:pStyle w:val="Tiret1"/>
        <w:rPr>
          <w:noProof/>
        </w:rPr>
      </w:pPr>
      <w:r>
        <w:rPr>
          <w:noProof/>
        </w:rPr>
        <w:t>principerna om likabehandling och icke-diskriminering kommer att följas i fråga om vilka som ska få ta del av de föreslagna åtgärderna och genomförandet av dem,</w:t>
      </w:r>
    </w:p>
    <w:p>
      <w:pPr>
        <w:pStyle w:val="Tiret1"/>
        <w:rPr>
          <w:noProof/>
        </w:rPr>
      </w:pPr>
      <w:r>
        <w:rPr>
          <w:noProof/>
        </w:rPr>
        <w:t>de krav som rör kollektiva uppsägningar i den nationella lagstiftningen och i EU-lagstiftningen är uppfyllda,</w:t>
      </w:r>
    </w:p>
    <w:p>
      <w:pPr>
        <w:pStyle w:val="Tiret1"/>
        <w:rPr>
          <w:noProof/>
        </w:rPr>
      </w:pPr>
      <w:r>
        <w:rPr>
          <w:noProof/>
        </w:rPr>
        <w:t>de företag som sagt upp arbetstagare och därefter fortsatt sin verksamhet har fullgjort sina rättsliga skyldigheter i samband med uppsägningarna och har vidtagit vederbörliga åtgärder för sina anställda,</w:t>
      </w:r>
    </w:p>
    <w:p>
      <w:pPr>
        <w:pStyle w:val="Tiret1"/>
        <w:rPr>
          <w:noProof/>
        </w:rPr>
      </w:pPr>
      <w:r>
        <w:rPr>
          <w:noProof/>
        </w:rPr>
        <w:t>de föreslagna åtgärderna inte kommer att få något ekonomiskt stöd från andra av unionens fonder eller finansieringsinstrument och att all dubbelfinansiering kommer att förhindras,</w:t>
      </w:r>
    </w:p>
    <w:p>
      <w:pPr>
        <w:pStyle w:val="Tiret1"/>
        <w:rPr>
          <w:noProof/>
        </w:rPr>
      </w:pPr>
      <w:r>
        <w:rPr>
          <w:noProof/>
        </w:rPr>
        <w:t>de föreslagna åtgärderna kommer att komplettera åtgärder som finansieras genom strukturfonderna och</w:t>
      </w:r>
    </w:p>
    <w:p>
      <w:pPr>
        <w:pStyle w:val="Tiret1"/>
        <w:rPr>
          <w:noProof/>
        </w:rPr>
      </w:pPr>
      <w:r>
        <w:rPr>
          <w:noProof/>
        </w:rPr>
        <w:t>det ekonomiska stödet från fonden kommer att vara förenligt med unionens formella och materiella regler för statligt stöd.</w:t>
      </w:r>
    </w:p>
    <w:p>
      <w:pPr>
        <w:pStyle w:val="ManualHeading1"/>
        <w:rPr>
          <w:noProof/>
        </w:rPr>
      </w:pPr>
      <w:r>
        <w:rPr>
          <w:noProof/>
        </w:rPr>
        <w:t>BUDGETKONSEKVENSER</w:t>
      </w:r>
    </w:p>
    <w:p>
      <w:pPr>
        <w:pStyle w:val="ManualHeading2"/>
        <w:rPr>
          <w:noProof/>
        </w:rPr>
      </w:pPr>
      <w:r>
        <w:rPr>
          <w:noProof/>
        </w:rPr>
        <w:t>Budgetförslag</w:t>
      </w:r>
    </w:p>
    <w:p>
      <w:pPr>
        <w:pStyle w:val="ManualNumPar1"/>
        <w:rPr>
          <w:noProof/>
        </w:rPr>
      </w:pPr>
      <w:r>
        <w:t>42.</w:t>
      </w:r>
      <w:r>
        <w:tab/>
      </w:r>
      <w:r>
        <w:rPr>
          <w:noProof/>
        </w:rPr>
        <w:t>Det högsta årliga beloppet för fonden får i enlighet med artikel 12 i rådets förordning (EU, Euratom) nr 1311/2013 av den 2 december 2013 om den fleråriga budgetramen för 2014–2020 inte överstiga 150 miljoner euro (i 2011 års priser)</w:t>
      </w:r>
      <w:r>
        <w:rPr>
          <w:rStyle w:val="FootnoteReference"/>
          <w:noProof/>
        </w:rPr>
        <w:footnoteReference w:id="38"/>
      </w:r>
      <w:r>
        <w:rPr>
          <w:noProof/>
        </w:rPr>
        <w:t>.</w:t>
      </w:r>
    </w:p>
    <w:p>
      <w:pPr>
        <w:pStyle w:val="ManualNumPar1"/>
        <w:rPr>
          <w:rFonts w:eastAsia="Calibri"/>
          <w:noProof/>
        </w:rPr>
      </w:pPr>
      <w:r>
        <w:t>43.</w:t>
      </w:r>
      <w:r>
        <w:tab/>
      </w:r>
      <w:r>
        <w:rPr>
          <w:noProof/>
        </w:rPr>
        <w:t>Efter att ha prövat om ansökan uppfyller villkoren i artikel 13.1 i förordningen om fonden och tagit i beaktande antalet berörda stödmottagare, de föreslagna åtgärderna och de beräknade kostnaderna, föreslår kommissionen att 2 054 400 euro anslås ur fonden för utbetalning av ett ekonomiskt stöd på 60 % av de totala kostnaderna för de åtgärder som föreslagits i ansökan.</w:t>
      </w:r>
    </w:p>
    <w:p>
      <w:pPr>
        <w:pStyle w:val="ManualNumPar1"/>
        <w:rPr>
          <w:noProof/>
        </w:rPr>
      </w:pPr>
      <w:r>
        <w:t>44.</w:t>
      </w:r>
      <w:r>
        <w:tab/>
      </w:r>
      <w:r>
        <w:rPr>
          <w:noProof/>
        </w:rPr>
        <w:t>Det totala bidragsbelopp som beviljas vid särskilda omständigheter överstiger inte 15 % av det högsta årliga belopp som är tillgängligt via fonden, i enlighet med artikel 4.2 i förordningen om fonden.</w:t>
      </w:r>
    </w:p>
    <w:p>
      <w:pPr>
        <w:pStyle w:val="ManualNumPar1"/>
        <w:rPr>
          <w:rFonts w:eastAsia="Times New Roman"/>
          <w:noProof/>
        </w:rPr>
      </w:pPr>
      <w:r>
        <w:t>45.</w:t>
      </w:r>
      <w:r>
        <w:tab/>
      </w:r>
      <w:r>
        <w:rPr>
          <w:noProof/>
        </w:rPr>
        <w:t>Det föreslagna beslutet om att utnyttja fonden kommer att antas av Europaparlamentet och rådet, såsom föreskrivs i punkt 13 i det interinstitutionella avtalet av den 2 december 2013 mellan Europaparlamentet, rådet och kommissionen om budgetdisciplin, samarbete i budgetfrågor och sund ekonomisk förvaltning</w:t>
      </w:r>
      <w:r>
        <w:rPr>
          <w:rStyle w:val="FootnoteReference"/>
          <w:noProof/>
        </w:rPr>
        <w:footnoteReference w:id="39"/>
      </w:r>
      <w:r>
        <w:rPr>
          <w:noProof/>
        </w:rPr>
        <w:t>.</w:t>
      </w:r>
    </w:p>
    <w:p>
      <w:pPr>
        <w:pStyle w:val="ManualHeading2"/>
        <w:rPr>
          <w:noProof/>
        </w:rPr>
      </w:pPr>
      <w:r>
        <w:rPr>
          <w:noProof/>
        </w:rPr>
        <w:t>Anknytande rättsakter</w:t>
      </w:r>
    </w:p>
    <w:p>
      <w:pPr>
        <w:pStyle w:val="ManualNumPar1"/>
        <w:rPr>
          <w:noProof/>
        </w:rPr>
      </w:pPr>
      <w:r>
        <w:t>46.</w:t>
      </w:r>
      <w:r>
        <w:tab/>
      </w:r>
      <w:r>
        <w:rPr>
          <w:noProof/>
        </w:rPr>
        <w:t>Samtidigt med förslaget till beslut om utnyttjande av fonden kommer kommissionen att lägga fram ett förslag inför Europaparlamentet och rådet om överföring av ett belopp på 2 054 400 euro till den berörda budgetposten.</w:t>
      </w:r>
    </w:p>
    <w:p>
      <w:pPr>
        <w:pStyle w:val="ManualNumPar1"/>
        <w:rPr>
          <w:noProof/>
        </w:rPr>
      </w:pPr>
      <w:r>
        <w:t>47.</w:t>
      </w:r>
      <w:r>
        <w:tab/>
      </w:r>
      <w:r>
        <w:rPr>
          <w:noProof/>
        </w:rPr>
        <w:t>Samtidigt som kommissionen antar förslaget till beslut om utnyttjande av fonden kommer kommissionen att anta ett beslut om ekonomiskt stöd, i form av en genomförandeakt, som kommer att träda i kraft samma dag som Europaparlamentet och rådet antar förslaget till beslut om utnyttjande av fonden.</w:t>
      </w:r>
    </w:p>
    <w:p>
      <w:pPr>
        <w:rPr>
          <w:noProof/>
        </w:rPr>
        <w:sectPr>
          <w:footerReference w:type="default" r:id="rId14"/>
          <w:footerReference w:type="first" r:id="rId15"/>
          <w:pgSz w:w="11907" w:h="16839"/>
          <w:pgMar w:top="1134" w:right="1417" w:bottom="1134" w:left="1417" w:header="709" w:footer="709" w:gutter="0"/>
          <w:pgNumType w:start="1"/>
          <w:cols w:space="708"/>
          <w:docGrid w:linePitch="360"/>
        </w:sectPr>
      </w:pPr>
    </w:p>
    <w:p>
      <w:pPr>
        <w:pStyle w:val="Statut"/>
        <w:rPr>
          <w:noProof/>
        </w:rPr>
      </w:pPr>
      <w:r>
        <w:rPr>
          <w:noProof/>
        </w:rPr>
        <w:t>Förslag till</w:t>
      </w:r>
    </w:p>
    <w:p>
      <w:pPr>
        <w:pStyle w:val="Typedudocument"/>
        <w:rPr>
          <w:noProof/>
        </w:rPr>
      </w:pPr>
      <w:r>
        <w:rPr>
          <w:noProof/>
        </w:rPr>
        <w:t>EUROPAPARLAMENTETS OCH RÅDETS BESLUT</w:t>
      </w:r>
    </w:p>
    <w:p>
      <w:pPr>
        <w:pStyle w:val="Titreobjet"/>
        <w:rPr>
          <w:noProof/>
        </w:rPr>
      </w:pPr>
      <w:r>
        <w:rPr>
          <w:noProof/>
        </w:rPr>
        <w:t xml:space="preserve">om utnyttjande av Europeiska fonden för justering för globaliseringseffekter efter en </w:t>
      </w:r>
      <w:r>
        <w:rPr>
          <w:noProof/>
        </w:rPr>
        <w:br/>
        <w:t>ansökan från Spanien – EGF/2020/001 ES/Stödsektorer till Galiciens varvsindustri</w:t>
      </w:r>
    </w:p>
    <w:p>
      <w:pPr>
        <w:pStyle w:val="Institutionquiagit"/>
        <w:rPr>
          <w:noProof/>
        </w:rPr>
      </w:pPr>
      <w:r>
        <w:rPr>
          <w:noProof/>
        </w:rPr>
        <w:t>EUROPAPARLAMENTET OCH EUROPEISKA UNIONENS RÅD HAR ANTAGIT DENNA FÖRORDNING</w:t>
      </w:r>
    </w:p>
    <w:p>
      <w:pPr>
        <w:rPr>
          <w:noProof/>
        </w:rPr>
      </w:pPr>
      <w:r>
        <w:rPr>
          <w:noProof/>
        </w:rPr>
        <w:t>med beaktande av fördraget om Europeiska unionens funktionssätt,</w:t>
      </w:r>
    </w:p>
    <w:p>
      <w:pPr>
        <w:rPr>
          <w:noProof/>
        </w:rPr>
      </w:pPr>
      <w:r>
        <w:rPr>
          <w:noProof/>
        </w:rPr>
        <w:t>med beaktande av Europaparlamentets och rådets förordning (EU) nr 1309/2013 av den 17 december 2013 om Europeiska fonden för justering för globaliseringseffekter (2014–2020) och om upphävande av förordning (EG) nr 1927/2006</w:t>
      </w:r>
      <w:r>
        <w:rPr>
          <w:rStyle w:val="FootnoteReference"/>
          <w:noProof/>
        </w:rPr>
        <w:footnoteReference w:id="40"/>
      </w:r>
      <w:r>
        <w:rPr>
          <w:noProof/>
        </w:rPr>
        <w:t>, särskilt artikel 15.4,</w:t>
      </w:r>
    </w:p>
    <w:p>
      <w:pPr>
        <w:rPr>
          <w:noProof/>
        </w:rPr>
      </w:pPr>
      <w:r>
        <w:rPr>
          <w:noProof/>
        </w:rPr>
        <w:t>med beaktande av det interinstitutionella avtalet av den 2 december 2013 mellan Europaparlamentet, rådet och kommissionen om budgetdisciplin, samarbete i budgetfrågor och sund ekonomisk förvaltning</w:t>
      </w:r>
      <w:r>
        <w:rPr>
          <w:rStyle w:val="FootnoteReference"/>
          <w:noProof/>
        </w:rPr>
        <w:footnoteReference w:id="41"/>
      </w:r>
      <w:r>
        <w:rPr>
          <w:noProof/>
        </w:rPr>
        <w:t>, särskilt punkt 13,</w:t>
      </w:r>
    </w:p>
    <w:p>
      <w:pPr>
        <w:rPr>
          <w:noProof/>
        </w:rPr>
      </w:pPr>
      <w:r>
        <w:rPr>
          <w:noProof/>
        </w:rPr>
        <w:t>med beaktande av Europeiska kommissionens förslag, och</w:t>
      </w:r>
    </w:p>
    <w:p>
      <w:pPr>
        <w:rPr>
          <w:noProof/>
        </w:rPr>
      </w:pPr>
      <w:r>
        <w:rPr>
          <w:noProof/>
        </w:rPr>
        <w:t>av följande skäl:</w:t>
      </w:r>
    </w:p>
    <w:p>
      <w:pPr>
        <w:pStyle w:val="ManualConsidrant"/>
        <w:rPr>
          <w:noProof/>
        </w:rPr>
      </w:pPr>
      <w:r>
        <w:t>(1)</w:t>
      </w:r>
      <w:r>
        <w:tab/>
      </w:r>
      <w:r>
        <w:rPr>
          <w:noProof/>
        </w:rPr>
        <w:t xml:space="preserve">Målet med Europeiska fonden för justering för globaliseringseffekter (nedan kallad </w:t>
      </w:r>
      <w:r>
        <w:rPr>
          <w:i/>
          <w:iCs/>
          <w:noProof/>
        </w:rPr>
        <w:t>fonden</w:t>
      </w:r>
      <w:r>
        <w:rPr>
          <w:noProof/>
        </w:rPr>
        <w:t>) är att stödja arbetstagare som blivit uppsagda och egenföretagare vars verksamhet upphört till följd av genomgripande strukturförändringar inom världshandeln beroende på globalisering, till följd av en fortsatt global finansiell och ekonomisk kris, eller till följd av en ny global finansiell och ekonomisk kris, och att hjälpa dem att återintegreras på arbetsmarknaden.</w:t>
      </w:r>
    </w:p>
    <w:p>
      <w:pPr>
        <w:pStyle w:val="ManualConsidrant"/>
        <w:rPr>
          <w:noProof/>
        </w:rPr>
      </w:pPr>
      <w:r>
        <w:t>(2)</w:t>
      </w:r>
      <w:r>
        <w:tab/>
      </w:r>
      <w:r>
        <w:rPr>
          <w:noProof/>
        </w:rPr>
        <w:t>Det högsta årliga beloppet för fonden får i enlighet med artikel 12 i rådets förordning (EU, Euratom) nr 1311/2013</w:t>
      </w:r>
      <w:r>
        <w:rPr>
          <w:rStyle w:val="FootnoteReference"/>
          <w:noProof/>
        </w:rPr>
        <w:footnoteReference w:id="42"/>
      </w:r>
      <w:r>
        <w:rPr>
          <w:noProof/>
        </w:rPr>
        <w:t xml:space="preserve"> inte överstiga 150 miljoner euro (i 2011 års priser).</w:t>
      </w:r>
    </w:p>
    <w:p>
      <w:pPr>
        <w:pStyle w:val="ManualConsidrant"/>
        <w:rPr>
          <w:noProof/>
        </w:rPr>
      </w:pPr>
      <w:r>
        <w:t>(3)</w:t>
      </w:r>
      <w:r>
        <w:tab/>
      </w:r>
      <w:r>
        <w:rPr>
          <w:noProof/>
        </w:rPr>
        <w:t>Den 13 maj 2020 lämnade Spanien in en ansökan om att utnyttja fonden med anledning av uppsägningar inom de näringsgrenar som i den statistiska näringsgrensindelningen Nace rev. 2 klassificeras som huvudgrupp 24 (Stål- och metallframställning), 25 (Tillverkning av metallvaror utom maskiner och apparater), 30 (Tillverkning av andra transportmedel), 32 (Annan tillverkning), 33 (Reparation och installation av maskiner och apparater) och 43 (Specialiserad bygg- och anläggningsverksamhet) i Nuts 2-regionen Galicien (ES11) i Spanien. Ansökan kompletterades med ytterligare information i enlighet med artikel 8.3 i förordning (EU) nr 1309/2013. Ansökan uppfyller villkoren för fastställande av ekonomiskt stöd från fonden i enlighet med vad som föreskrivs i artikel 13 i förordning (EU) nr 1309/2013.</w:t>
      </w:r>
    </w:p>
    <w:p>
      <w:pPr>
        <w:pStyle w:val="ManualConsidrant"/>
        <w:rPr>
          <w:noProof/>
        </w:rPr>
      </w:pPr>
      <w:r>
        <w:t>(4)</w:t>
      </w:r>
      <w:r>
        <w:tab/>
      </w:r>
      <w:r>
        <w:rPr>
          <w:noProof/>
        </w:rPr>
        <w:t>I enlighet med artikel 4.2 i förordning (EU) nr 1309/2013 godtas Spaniens ansökan, eftersom det är en gemensam ansökan som endast omfattar små och medelstora företag i en region, Galicien, där små och medelstora företag är den huvudsakliga företagstypen, och eftersom uppsägningarna får mycket allvarliga följder för sysselsättningen och den lokala, regionala och nationella ekonomin.</w:t>
      </w:r>
    </w:p>
    <w:p>
      <w:pPr>
        <w:pStyle w:val="ManualConsidrant"/>
        <w:rPr>
          <w:noProof/>
        </w:rPr>
      </w:pPr>
      <w:r>
        <w:t>(5)</w:t>
      </w:r>
      <w:r>
        <w:tab/>
      </w:r>
      <w:r>
        <w:rPr>
          <w:noProof/>
        </w:rPr>
        <w:t>Fonden bör därför utnyttjas för att tillhandahålla det ekonomiska stöd på 2 054 400 euro som Spanien ansökt om.</w:t>
      </w:r>
    </w:p>
    <w:p>
      <w:pPr>
        <w:pStyle w:val="ManualConsidrant"/>
        <w:rPr>
          <w:noProof/>
        </w:rPr>
      </w:pPr>
      <w:r>
        <w:t>(6)</w:t>
      </w:r>
      <w:r>
        <w:tab/>
      </w:r>
      <w:r>
        <w:rPr>
          <w:noProof/>
        </w:rPr>
        <w:t>För att minimera den tid det tar att bevilja stöd från fonden bör detta beslut tillämpas från och med den dag då det antas.</w:t>
      </w:r>
    </w:p>
    <w:p>
      <w:pPr>
        <w:pStyle w:val="Formuledadoption"/>
        <w:rPr>
          <w:noProof/>
        </w:rPr>
      </w:pPr>
      <w:r>
        <w:rPr>
          <w:noProof/>
        </w:rPr>
        <w:t xml:space="preserve">HÄRIGENOM FÖRESKRIVS FÖLJANDE. </w:t>
      </w:r>
    </w:p>
    <w:p>
      <w:pPr>
        <w:pStyle w:val="Titrearticle"/>
        <w:rPr>
          <w:noProof/>
        </w:rPr>
      </w:pPr>
      <w:r>
        <w:rPr>
          <w:noProof/>
        </w:rPr>
        <w:t>Artikel 1</w:t>
      </w:r>
    </w:p>
    <w:p>
      <w:pPr>
        <w:rPr>
          <w:noProof/>
        </w:rPr>
      </w:pPr>
      <w:r>
        <w:rPr>
          <w:noProof/>
        </w:rPr>
        <w:t>Europeiska fonden för justering för globaliseringseffekter ska belastas med 2 054 400 euro i åtagande- och betalningsbemyndiganden ur Europeiska unionens allmänna budget för budgetåret 2020.</w:t>
      </w:r>
    </w:p>
    <w:p>
      <w:pPr>
        <w:pStyle w:val="Titrearticle"/>
        <w:rPr>
          <w:noProof/>
        </w:rPr>
      </w:pPr>
      <w:r>
        <w:rPr>
          <w:noProof/>
        </w:rPr>
        <w:t>Artikel 2</w:t>
      </w:r>
    </w:p>
    <w:p>
      <w:pPr>
        <w:keepNext/>
        <w:keepLines/>
        <w:rPr>
          <w:noProof/>
        </w:rPr>
      </w:pPr>
      <w:r>
        <w:rPr>
          <w:noProof/>
        </w:rPr>
        <w:t xml:space="preserve">Detta beslut träder i kraft samma dag som det offentliggörs i Europeiska unionens officiella tidning. Det ska tillämpas från och med den </w:t>
      </w:r>
      <w:r>
        <w:rPr>
          <w:noProof/>
          <w:color w:val="FF0000"/>
        </w:rPr>
        <w:t>[</w:t>
      </w:r>
      <w:r>
        <w:rPr>
          <w:i/>
          <w:noProof/>
          <w:color w:val="FF0000"/>
        </w:rPr>
        <w:t>datum för antagandet</w:t>
      </w:r>
      <w:r>
        <w:rPr>
          <w:noProof/>
          <w:color w:val="FF0000"/>
        </w:rPr>
        <w:t>]</w:t>
      </w:r>
      <w:r>
        <w:rPr>
          <w:rStyle w:val="FootnoteReference"/>
          <w:noProof/>
          <w:color w:val="FF0000"/>
        </w:rPr>
        <w:footnoteReference w:customMarkFollows="1" w:id="43"/>
        <w:sym w:font="Symbol" w:char="F02A"/>
      </w:r>
      <w:r>
        <w:rPr>
          <w:noProof/>
        </w:rPr>
        <w:t>.</w:t>
      </w:r>
    </w:p>
    <w:p>
      <w:pPr>
        <w:pStyle w:val="Fait"/>
        <w:rPr>
          <w:noProof/>
        </w:rPr>
      </w:pPr>
      <w:r>
        <w:t>Utfärdat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EUT L 347, 20.12.2013, s. 855.</w:t>
      </w:r>
    </w:p>
  </w:footnote>
  <w:footnote w:id="3">
    <w:p>
      <w:pPr>
        <w:pStyle w:val="FootnoteText"/>
      </w:pPr>
      <w:r>
        <w:rPr>
          <w:rStyle w:val="FootnoteReference"/>
        </w:rPr>
        <w:footnoteRef/>
      </w:r>
      <w:r>
        <w:tab/>
        <w:t>I den mening som avses i artikel 3 i förordningen om fonden.</w:t>
      </w:r>
    </w:p>
  </w:footnote>
  <w:footnote w:id="4">
    <w:p>
      <w:pPr>
        <w:pStyle w:val="FootnoteText"/>
      </w:pPr>
      <w:r>
        <w:rPr>
          <w:rStyle w:val="FootnoteReference"/>
        </w:rPr>
        <w:footnoteRef/>
      </w:r>
      <w:r>
        <w:tab/>
        <w:t>Kommissionens förordning (EU) nr 1046/2012 av den 8 november 2012 om tillämpning av Europaparlamentets och rådets förordning (EG) nr 1059/2003 om inrättande av en gemensam nomenklatur för statistiska territoriella enheter (Nuts) vad gäller inrapportering av tidsserierna för den nya regionala uppdelningen (EUT L 310, 9.11.2012, s. 34).</w:t>
      </w:r>
    </w:p>
  </w:footnote>
  <w:footnote w:id="5">
    <w:p>
      <w:pPr>
        <w:pStyle w:val="FootnoteText"/>
      </w:pPr>
      <w:r>
        <w:rPr>
          <w:rStyle w:val="FootnoteReference"/>
        </w:rPr>
        <w:footnoteRef/>
      </w:r>
      <w:r>
        <w:tab/>
        <w:t>EUT L 393, 30.12.2006, s. 1.</w:t>
      </w:r>
    </w:p>
  </w:footnote>
  <w:footnote w:id="6">
    <w:p>
      <w:pPr>
        <w:pStyle w:val="FootnoteText"/>
      </w:pPr>
      <w:r>
        <w:rPr>
          <w:rStyle w:val="FootnoteReference"/>
        </w:rPr>
        <w:footnoteRef/>
      </w:r>
      <w:r>
        <w:tab/>
        <w:t>I enlighet med artikel 7 fjärde stycket i förordning (EU) nr 1309/2013.</w:t>
      </w:r>
    </w:p>
  </w:footnote>
  <w:footnote w:id="7">
    <w:p>
      <w:pPr>
        <w:pStyle w:val="FootnoteText"/>
      </w:pPr>
      <w:r>
        <w:rPr>
          <w:rStyle w:val="FootnoteReference"/>
        </w:rPr>
        <w:footnoteRef/>
      </w:r>
      <w:r>
        <w:tab/>
        <w:t>Kbt – Kompenserade bruttoton – Internationell måttenhet som underlättar jämförelse mellan olika skeppsvarvs produktion oavsett vilken fartygstyp som produceras.</w:t>
      </w:r>
    </w:p>
  </w:footnote>
  <w:footnote w:id="8">
    <w:p>
      <w:pPr>
        <w:pStyle w:val="FootnoteText"/>
        <w:rPr>
          <w:lang w:val="en-US"/>
        </w:rPr>
      </w:pPr>
      <w:r>
        <w:rPr>
          <w:rStyle w:val="FootnoteReference"/>
        </w:rPr>
        <w:footnoteRef/>
      </w:r>
      <w:r>
        <w:rPr>
          <w:lang w:val="en-US"/>
        </w:rPr>
        <w:tab/>
        <w:t xml:space="preserve">Källa: </w:t>
      </w:r>
      <w:hyperlink r:id="rId1" w:history="1">
        <w:r>
          <w:rPr>
            <w:rStyle w:val="Hyperlink"/>
            <w:lang w:val="en-US"/>
          </w:rPr>
          <w:t>Sea Europe Shipbuilding Market Monitoring, report 46 FY 2018</w:t>
        </w:r>
      </w:hyperlink>
      <w:r>
        <w:rPr>
          <w:lang w:val="en-US"/>
        </w:rPr>
        <w:t>.</w:t>
      </w:r>
    </w:p>
  </w:footnote>
  <w:footnote w:id="9">
    <w:p>
      <w:pPr>
        <w:pStyle w:val="FootnoteText"/>
        <w:rPr>
          <w:lang w:val="en-US"/>
        </w:rPr>
      </w:pPr>
      <w:r>
        <w:rPr>
          <w:rStyle w:val="FootnoteReference"/>
        </w:rPr>
        <w:footnoteRef/>
      </w:r>
      <w:r>
        <w:rPr>
          <w:lang w:val="en-US"/>
        </w:rPr>
        <w:tab/>
        <w:t>Se ovan.</w:t>
      </w:r>
    </w:p>
  </w:footnote>
  <w:footnote w:id="10">
    <w:p>
      <w:pPr>
        <w:pStyle w:val="FootnoteText"/>
        <w:rPr>
          <w:lang w:val="en-US"/>
        </w:rPr>
      </w:pPr>
      <w:r>
        <w:rPr>
          <w:rStyle w:val="FootnoteReference"/>
        </w:rPr>
        <w:footnoteRef/>
      </w:r>
      <w:r>
        <w:rPr>
          <w:lang w:val="en-US"/>
        </w:rPr>
        <w:tab/>
      </w:r>
      <w:hyperlink r:id="rId2" w:history="1">
        <w:r>
          <w:rPr>
            <w:rStyle w:val="Hyperlink"/>
            <w:i/>
            <w:iCs/>
            <w:lang w:val="en-US"/>
          </w:rPr>
          <w:t>An analysis of market-distorting factors in shipbuilding</w:t>
        </w:r>
        <w:r>
          <w:rPr>
            <w:rStyle w:val="Hyperlink"/>
            <w:lang w:val="en-US"/>
          </w:rPr>
          <w:t>.</w:t>
        </w:r>
      </w:hyperlink>
      <w:hyperlink r:id="rId3" w:history="1">
        <w:r>
          <w:rPr>
            <w:rStyle w:val="Hyperlink"/>
            <w:lang w:val="en-US"/>
          </w:rPr>
          <w:t xml:space="preserve"> OECD Science, Technology and Industry Policy Papers.</w:t>
        </w:r>
      </w:hyperlink>
      <w:hyperlink r:id="rId4" w:history="1">
        <w:r>
          <w:rPr>
            <w:rStyle w:val="Hyperlink"/>
            <w:lang w:val="en-US"/>
          </w:rPr>
          <w:t xml:space="preserve"> April 2019, nr 67</w:t>
        </w:r>
      </w:hyperlink>
      <w:r>
        <w:rPr>
          <w:lang w:val="en-US"/>
        </w:rPr>
        <w:t>.</w:t>
      </w:r>
    </w:p>
  </w:footnote>
  <w:footnote w:id="11">
    <w:p>
      <w:pPr>
        <w:pStyle w:val="FootnoteText"/>
        <w:rPr>
          <w:lang w:val="en-US"/>
        </w:rPr>
      </w:pPr>
      <w:r>
        <w:rPr>
          <w:rStyle w:val="FootnoteReference"/>
        </w:rPr>
        <w:footnoteRef/>
      </w:r>
      <w:r>
        <w:rPr>
          <w:lang w:val="en-US"/>
        </w:rPr>
        <w:tab/>
      </w:r>
      <w:hyperlink r:id="rId5" w:history="1">
        <w:r>
          <w:rPr>
            <w:rStyle w:val="Hyperlink"/>
            <w:lang w:val="en-US"/>
          </w:rPr>
          <w:t>SEA Europes årliga rapport 2018–2019</w:t>
        </w:r>
      </w:hyperlink>
      <w:r>
        <w:rPr>
          <w:lang w:val="en-US"/>
        </w:rPr>
        <w:t>.</w:t>
      </w:r>
    </w:p>
  </w:footnote>
  <w:footnote w:id="12">
    <w:p>
      <w:pPr>
        <w:pStyle w:val="FootnoteText"/>
      </w:pPr>
      <w:r>
        <w:rPr>
          <w:rStyle w:val="FootnoteReference"/>
        </w:rPr>
        <w:footnoteRef/>
      </w:r>
      <w:r>
        <w:tab/>
        <w:t xml:space="preserve">EU28 och Norge. </w:t>
      </w:r>
    </w:p>
  </w:footnote>
  <w:footnote w:id="13">
    <w:p>
      <w:pPr>
        <w:pStyle w:val="FootnoteText"/>
      </w:pPr>
      <w:r>
        <w:rPr>
          <w:rStyle w:val="FootnoteReference"/>
        </w:rPr>
        <w:footnoteRef/>
      </w:r>
      <w:r>
        <w:tab/>
        <w:t xml:space="preserve">Jfr. </w:t>
      </w:r>
      <w:hyperlink r:id="rId6" w:history="1">
        <w:r>
          <w:rPr>
            <w:rStyle w:val="Hyperlink"/>
          </w:rPr>
          <w:t>SEA Europes årliga rapport 2018–2019</w:t>
        </w:r>
      </w:hyperlink>
      <w:r>
        <w:t>.</w:t>
      </w:r>
    </w:p>
  </w:footnote>
  <w:footnote w:id="14">
    <w:p>
      <w:pPr>
        <w:pStyle w:val="FootnoteText"/>
        <w:rPr>
          <w:lang w:val="en-US"/>
        </w:rPr>
      </w:pPr>
      <w:r>
        <w:rPr>
          <w:rStyle w:val="FootnoteReference"/>
        </w:rPr>
        <w:footnoteRef/>
      </w:r>
      <w:r>
        <w:rPr>
          <w:lang w:val="en-US"/>
        </w:rPr>
        <w:tab/>
        <w:t>Källa: Sea Europe Shipbuilding Market Monitoring, report 46 FY 2018.</w:t>
      </w:r>
    </w:p>
  </w:footnote>
  <w:footnote w:id="15">
    <w:p>
      <w:pPr>
        <w:pStyle w:val="FootnoteText"/>
        <w:rPr>
          <w:lang w:val="en-US"/>
        </w:rPr>
      </w:pPr>
      <w:r>
        <w:rPr>
          <w:rStyle w:val="FootnoteReference"/>
        </w:rPr>
        <w:footnoteRef/>
      </w:r>
      <w:r>
        <w:rPr>
          <w:lang w:val="en-US"/>
        </w:rPr>
        <w:tab/>
      </w:r>
      <w:hyperlink r:id="rId7" w:history="1">
        <w:r>
          <w:rPr>
            <w:rStyle w:val="Hyperlink"/>
            <w:lang w:val="en-US"/>
          </w:rPr>
          <w:t>SEA Europes årliga rapport 2018–2019</w:t>
        </w:r>
      </w:hyperlink>
      <w:r>
        <w:rPr>
          <w:lang w:val="en-US"/>
        </w:rPr>
        <w:t>.</w:t>
      </w:r>
    </w:p>
  </w:footnote>
  <w:footnote w:id="16">
    <w:p>
      <w:pPr>
        <w:pStyle w:val="FootnoteText"/>
        <w:rPr>
          <w:lang w:val="en-US"/>
        </w:rPr>
      </w:pPr>
      <w:r>
        <w:rPr>
          <w:rStyle w:val="FootnoteReference"/>
        </w:rPr>
        <w:footnoteRef/>
      </w:r>
      <w:r>
        <w:rPr>
          <w:lang w:val="en-US"/>
        </w:rPr>
        <w:tab/>
      </w:r>
      <w:hyperlink r:id="rId8" w:history="1">
        <w:r>
          <w:rPr>
            <w:rStyle w:val="Hyperlink"/>
            <w:lang w:val="en-US"/>
          </w:rPr>
          <w:t xml:space="preserve">ECORYS (2009), </w:t>
        </w:r>
        <w:r>
          <w:rPr>
            <w:rStyle w:val="Hyperlink"/>
            <w:i/>
            <w:iCs/>
            <w:lang w:val="en-US"/>
          </w:rPr>
          <w:t>Study on the Competitiveness of the European Shipbuilding Industry</w:t>
        </w:r>
        <w:r>
          <w:rPr>
            <w:rStyle w:val="Hyperlink"/>
            <w:lang w:val="en-US"/>
          </w:rPr>
          <w:t>.</w:t>
        </w:r>
      </w:hyperlink>
    </w:p>
  </w:footnote>
  <w:footnote w:id="17">
    <w:p>
      <w:pPr>
        <w:pStyle w:val="FootnoteText"/>
        <w:rPr>
          <w:lang w:val="en-US"/>
        </w:rPr>
      </w:pPr>
      <w:r>
        <w:rPr>
          <w:rStyle w:val="FootnoteReference"/>
        </w:rPr>
        <w:footnoteRef/>
      </w:r>
      <w:r>
        <w:rPr>
          <w:lang w:val="en-US"/>
        </w:rPr>
        <w:tab/>
        <w:t>Ansökningarna är följande: EGF/2010/001 DK/Nordjylland COM(2010) 451, EGF/2010/006 PL/Cegielski-Poznan COM(2010) 631, EGF/2010/025 DK/Odense Stålskibsværft COM(2011) 251, EGF/2011/008 DK/Odense Stålskibsværft COM(2012) 272, EGF/2011/019 ES/Galicia Metal COM(2012) 451, EGF/2014/008 FI/STX Rauma COM(2014) 630, samt denna ansökan.</w:t>
      </w:r>
    </w:p>
  </w:footnote>
  <w:footnote w:id="18">
    <w:p>
      <w:pPr>
        <w:pStyle w:val="FootnoteText"/>
      </w:pPr>
      <w:r>
        <w:rPr>
          <w:rStyle w:val="FootnoteReference"/>
        </w:rPr>
        <w:footnoteRef/>
      </w:r>
      <w:r>
        <w:tab/>
      </w:r>
      <w:hyperlink r:id="rId9" w:history="1">
        <w:r>
          <w:rPr>
            <w:rStyle w:val="Hyperlink"/>
          </w:rPr>
          <w:t>www.ige.eu</w:t>
        </w:r>
      </w:hyperlink>
    </w:p>
  </w:footnote>
  <w:footnote w:id="19">
    <w:p>
      <w:pPr>
        <w:pStyle w:val="FootnoteText"/>
      </w:pPr>
      <w:r>
        <w:rPr>
          <w:rStyle w:val="FootnoteReference"/>
        </w:rPr>
        <w:footnoteRef/>
      </w:r>
      <w:r>
        <w:tab/>
      </w:r>
      <w:hyperlink r:id="rId10" w:history="1">
        <w:r>
          <w:rPr>
            <w:rStyle w:val="Hyperlink"/>
          </w:rPr>
          <w:t>Ardans ekonomi- och konkurrensrapport, 2019.</w:t>
        </w:r>
      </w:hyperlink>
      <w:hyperlink r:id="rId11" w:history="1">
        <w:r>
          <w:rPr>
            <w:rStyle w:val="Hyperlink"/>
          </w:rPr>
          <w:t xml:space="preserve"> Vigos frihandelskonsortium</w:t>
        </w:r>
      </w:hyperlink>
      <w:r>
        <w:t>.</w:t>
      </w:r>
    </w:p>
  </w:footnote>
  <w:footnote w:id="20">
    <w:p>
      <w:pPr>
        <w:pStyle w:val="FootnoteText"/>
        <w:rPr>
          <w:lang w:val="fr-BE"/>
        </w:rPr>
      </w:pPr>
      <w:r>
        <w:rPr>
          <w:rStyle w:val="FootnoteReference"/>
        </w:rPr>
        <w:footnoteRef/>
      </w:r>
      <w:r>
        <w:tab/>
      </w:r>
      <w:hyperlink r:id="rId12" w:history="1">
        <w:r>
          <w:rPr>
            <w:rStyle w:val="Hyperlink"/>
          </w:rPr>
          <w:t>González Rodríguez, A. (2009) ”De nya flexibla produktionsorganisationsmodellernas konsekvenser för samhälle och arbetsmarknad.</w:t>
        </w:r>
      </w:hyperlink>
      <w:hyperlink r:id="rId13" w:history="1">
        <w:r>
          <w:rPr>
            <w:rStyle w:val="Hyperlink"/>
          </w:rPr>
          <w:t xml:space="preserve"> </w:t>
        </w:r>
        <w:r>
          <w:rPr>
            <w:rStyle w:val="Hyperlink"/>
            <w:lang w:val="fr-BE"/>
          </w:rPr>
          <w:t>Fallet varvsindustrin/Consecuencias socio-laborales de los nuevos modelos de organización de la producción flexibles.</w:t>
        </w:r>
      </w:hyperlink>
      <w:hyperlink r:id="rId14" w:history="1">
        <w:r>
          <w:rPr>
            <w:rStyle w:val="Hyperlink"/>
            <w:lang w:val="fr-BE"/>
          </w:rPr>
          <w:t xml:space="preserve"> El caso de la industria naval”.</w:t>
        </w:r>
      </w:hyperlink>
      <w:hyperlink r:id="rId15" w:history="1">
        <w:r>
          <w:rPr>
            <w:rStyle w:val="Hyperlink"/>
            <w:lang w:val="fr-BE"/>
          </w:rPr>
          <w:t xml:space="preserve"> Revista de Economia (Curitibia), 8, 22–42.</w:t>
        </w:r>
      </w:hyperlink>
    </w:p>
  </w:footnote>
  <w:footnote w:id="21">
    <w:p>
      <w:pPr>
        <w:pStyle w:val="FootnoteText"/>
      </w:pPr>
      <w:r>
        <w:rPr>
          <w:rStyle w:val="FootnoteReference"/>
        </w:rPr>
        <w:footnoteRef/>
      </w:r>
      <w:r>
        <w:tab/>
        <w:t>Astilleros Armon Vigo, Cardama-varvet, Factorías Vulcano (avvecklat 2019), Freire-varvet, Hijos de J. Barreras, Metalships &amp; Docks, Nodosa-varvet och J. Valiña.</w:t>
      </w:r>
    </w:p>
  </w:footnote>
  <w:footnote w:id="22">
    <w:p>
      <w:pPr>
        <w:pStyle w:val="FootnoteText"/>
      </w:pPr>
      <w:r>
        <w:rPr>
          <w:rStyle w:val="FootnoteReference"/>
        </w:rPr>
        <w:footnoteRef/>
      </w:r>
      <w:r>
        <w:tab/>
        <w:t>Ardans ekonomi- och konkurrensrapport, 2019. Vigos frihandelskonsortium.</w:t>
      </w:r>
    </w:p>
  </w:footnote>
  <w:footnote w:id="23">
    <w:p>
      <w:pPr>
        <w:pStyle w:val="FootnoteText"/>
      </w:pPr>
      <w:r>
        <w:rPr>
          <w:rStyle w:val="FootnoteReference"/>
        </w:rPr>
        <w:footnoteRef/>
      </w:r>
      <w:r>
        <w:tab/>
        <w:t>Se ovan.</w:t>
      </w:r>
    </w:p>
  </w:footnote>
  <w:footnote w:id="24">
    <w:p>
      <w:pPr>
        <w:pStyle w:val="FootnoteText"/>
      </w:pPr>
      <w:r>
        <w:rPr>
          <w:rStyle w:val="FootnoteReference"/>
        </w:rPr>
        <w:footnoteRef/>
      </w:r>
      <w:r>
        <w:tab/>
        <w:t>Cirka 2 000 direkta arbetstillfällen gick förlorade på galiciska varv och inom stödsektorer under 2019. Ifrågavarande ansökan kommer dock bara att ge stöd åt arbetstagare som sagts upp under referensperioden på nio månader (23 maj 2019–23 februari 2020). I artikel 4.1 b i förordningen om fonden föreskrivs ingenting om åtgärder för arbetstagare vars uppsägningar berodde på samma händelse som gav upphov till uppsägningarna under referensperioden men som ägde rum före eller efter den.</w:t>
      </w:r>
    </w:p>
  </w:footnote>
  <w:footnote w:id="25">
    <w:p>
      <w:pPr>
        <w:pStyle w:val="FootnoteText"/>
        <w:jc w:val="left"/>
      </w:pPr>
      <w:r>
        <w:rPr>
          <w:rStyle w:val="FootnoteReference"/>
        </w:rPr>
        <w:footnoteRef/>
      </w:r>
      <w:r>
        <w:tab/>
      </w:r>
      <w:hyperlink r:id="rId16" w:history="1">
        <w:r>
          <w:rPr>
            <w:rStyle w:val="Hyperlink"/>
          </w:rPr>
          <w:t>EPA municipios (arbetskraftsundersökning/kommuner)</w:t>
        </w:r>
      </w:hyperlink>
    </w:p>
  </w:footnote>
  <w:footnote w:id="26">
    <w:p>
      <w:pPr>
        <w:pStyle w:val="FootnoteText"/>
      </w:pPr>
      <w:r>
        <w:rPr>
          <w:rStyle w:val="FootnoteReference"/>
        </w:rPr>
        <w:footnoteRef/>
      </w:r>
      <w:r>
        <w:tab/>
      </w:r>
      <w:hyperlink r:id="rId17" w:history="1">
        <w:r>
          <w:rPr>
            <w:rStyle w:val="Hyperlink"/>
          </w:rPr>
          <w:t>EPA Comunidades autónomas (arbetskraftsundersökning/Nuts 2-regioner)</w:t>
        </w:r>
      </w:hyperlink>
    </w:p>
  </w:footnote>
  <w:footnote w:id="27">
    <w:p>
      <w:pPr>
        <w:pStyle w:val="FootnoteText"/>
      </w:pPr>
      <w:r>
        <w:rPr>
          <w:rStyle w:val="FootnoteReference"/>
        </w:rPr>
        <w:footnoteRef/>
      </w:r>
      <w:r>
        <w:tab/>
        <w:t xml:space="preserve">Kvinnor är underrepresenterade inom varvsindustrins stödsektorer. Som ett resultat av detta var bara 6 % av de uppsagda arbetstagarna kvinnor. </w:t>
      </w:r>
    </w:p>
  </w:footnote>
  <w:footnote w:id="28">
    <w:p>
      <w:pPr>
        <w:pStyle w:val="FootnoteText"/>
      </w:pPr>
      <w:r>
        <w:rPr>
          <w:rStyle w:val="FootnoteReference"/>
        </w:rPr>
        <w:footnoteRef/>
      </w:r>
      <w:r>
        <w:tab/>
        <w:t xml:space="preserve">HSLA står för </w:t>
      </w:r>
      <w:r>
        <w:rPr>
          <w:i/>
          <w:iCs/>
        </w:rPr>
        <w:t>high-strength low-alloy</w:t>
      </w:r>
      <w:r>
        <w:t xml:space="preserve"> (höghållfast låglegerad). </w:t>
      </w:r>
    </w:p>
    <w:p>
      <w:pPr>
        <w:pStyle w:val="FootnoteText"/>
      </w:pPr>
      <w:r>
        <w:tab/>
        <w:t>HSLA-stål är en typ av legerat stål som ger bättre mekaniska egenskaper eller större motståndskraft mot korrosion än kolstål. HSLA-stål skiljer sig från andra stål på så sätt att de inte är gjorda för att uppfylla en specifik kemisk sammansättning utan specifika mekaniska egenskaper.</w:t>
      </w:r>
    </w:p>
  </w:footnote>
  <w:footnote w:id="29">
    <w:p>
      <w:pPr>
        <w:pStyle w:val="FootnoteText"/>
      </w:pPr>
      <w:r>
        <w:rPr>
          <w:rStyle w:val="FootnoteReference"/>
        </w:rPr>
        <w:footnoteRef/>
      </w:r>
      <w:r>
        <w:tab/>
        <w:t xml:space="preserve">CAD/CAM står för </w:t>
      </w:r>
      <w:r>
        <w:rPr>
          <w:i/>
          <w:iCs/>
        </w:rPr>
        <w:t>computer-aided design</w:t>
      </w:r>
      <w:r>
        <w:t xml:space="preserve"> (datorstödd konstruktion) och </w:t>
      </w:r>
      <w:r>
        <w:rPr>
          <w:i/>
          <w:iCs/>
        </w:rPr>
        <w:t>computer-aided manufacturing</w:t>
      </w:r>
      <w:r>
        <w:t xml:space="preserve"> (datorstödd tillverkning).</w:t>
      </w:r>
    </w:p>
  </w:footnote>
  <w:footnote w:id="30">
    <w:p>
      <w:pPr>
        <w:pStyle w:val="FootnoteText"/>
      </w:pPr>
      <w:r>
        <w:rPr>
          <w:rStyle w:val="FootnoteReference"/>
        </w:rPr>
        <w:footnoteRef/>
      </w:r>
      <w:r>
        <w:tab/>
      </w:r>
      <w:r>
        <w:rPr>
          <w:i/>
          <w:iCs/>
        </w:rPr>
        <w:t>Friction Stir Welding</w:t>
      </w:r>
      <w:r>
        <w:t xml:space="preserve"> (friktionomrörningssvetsning)</w:t>
      </w:r>
    </w:p>
  </w:footnote>
  <w:footnote w:id="31">
    <w:p>
      <w:pPr>
        <w:pStyle w:val="FootnoteText"/>
      </w:pPr>
      <w:r>
        <w:rPr>
          <w:rStyle w:val="FootnoteReference"/>
        </w:rPr>
        <w:footnoteRef/>
      </w:r>
      <w:r>
        <w:tab/>
      </w:r>
      <w:r>
        <w:rPr>
          <w:i/>
          <w:iCs/>
        </w:rPr>
        <w:t>Metal active gas welding</w:t>
      </w:r>
      <w:r>
        <w:t xml:space="preserve"> (gasmetallbågsvetsning)</w:t>
      </w:r>
    </w:p>
  </w:footnote>
  <w:footnote w:id="32">
    <w:p>
      <w:pPr>
        <w:pStyle w:val="FootnoteText"/>
      </w:pPr>
      <w:r>
        <w:rPr>
          <w:rStyle w:val="FootnoteReference"/>
        </w:rPr>
        <w:footnoteRef/>
      </w:r>
      <w:r>
        <w:tab/>
        <w:t>För att undvika decimaler har de beräknade kostnaderna per arbetstagare avrundats. Avrundningen har dock ingen inverkan på den sammanlagda kostnaden för varje åtgärd, vilken är densamma som i Spaniens ansökan.</w:t>
      </w:r>
    </w:p>
  </w:footnote>
  <w:footnote w:id="33">
    <w:p>
      <w:pPr>
        <w:pStyle w:val="FootnoteText"/>
      </w:pPr>
      <w:r>
        <w:rPr>
          <w:rStyle w:val="FootnoteReference"/>
        </w:rPr>
        <w:footnoteRef/>
      </w:r>
      <w:r>
        <w:tab/>
        <w:t>Beloppen har avrundats och därför stämmer totalsumman inte fullt ut.</w:t>
      </w:r>
    </w:p>
  </w:footnote>
  <w:footnote w:id="34">
    <w:p>
      <w:pPr>
        <w:pStyle w:val="FootnoteText"/>
      </w:pPr>
      <w:r>
        <w:rPr>
          <w:rStyle w:val="FootnoteReference"/>
        </w:rPr>
        <w:footnoteRef/>
      </w:r>
      <w:r>
        <w:tab/>
        <w:t>Kostnaden per deltagare för denna åtgärd ges endast för presentationsändamål. Kostnaden per deltagare för incitamenten kommer att vara beroende av varje arbetstagares unika situation och av huruvida de olika typerna av incitament är berättigade, såsom förklaras i punkt 29.</w:t>
      </w:r>
    </w:p>
  </w:footnote>
  <w:footnote w:id="35">
    <w:p>
      <w:pPr>
        <w:pStyle w:val="FootnoteText"/>
      </w:pPr>
      <w:r>
        <w:rPr>
          <w:rStyle w:val="FootnoteReference"/>
        </w:rPr>
        <w:footnoteRef/>
      </w:r>
      <w:r>
        <w:tab/>
        <w:t>Galiciens industrifederation CCOO.</w:t>
      </w:r>
    </w:p>
  </w:footnote>
  <w:footnote w:id="36">
    <w:p>
      <w:pPr>
        <w:pStyle w:val="FootnoteText"/>
      </w:pPr>
      <w:r>
        <w:rPr>
          <w:rStyle w:val="FootnoteReference"/>
        </w:rPr>
        <w:footnoteRef/>
      </w:r>
      <w:r>
        <w:tab/>
        <w:t>Federationen för metall-, bygg- och anknutna industrier UGT (MCA-UGT).</w:t>
      </w:r>
    </w:p>
  </w:footnote>
  <w:footnote w:id="37">
    <w:p>
      <w:pPr>
        <w:pStyle w:val="FootnoteText"/>
      </w:pPr>
      <w:r>
        <w:rPr>
          <w:rStyle w:val="FootnoteReference"/>
        </w:rPr>
        <w:footnoteRef/>
      </w:r>
      <w:r>
        <w:tab/>
        <w:t>Xunta de Galicia och särskilt Consellería de Facenda – Dirección General de política financiera, tesoro y fondos europeos / Servicio de inspección y control de fondos comunitarios i samarbete med Consellería de Economía, Emprego e Industria – Secretaría Xeral de Emprego / Subdirección Xeral de Relacións Laborais kommer att vara förvaltningsmyndighetens förmedlande organ.</w:t>
      </w:r>
    </w:p>
  </w:footnote>
  <w:footnote w:id="38">
    <w:p>
      <w:pPr>
        <w:pStyle w:val="FootnoteText"/>
        <w:rPr>
          <w:lang w:val="fr-BE"/>
        </w:rPr>
      </w:pPr>
      <w:r>
        <w:rPr>
          <w:rStyle w:val="FootnoteReference"/>
        </w:rPr>
        <w:footnoteRef/>
      </w:r>
      <w:r>
        <w:rPr>
          <w:lang w:val="fr-BE"/>
        </w:rPr>
        <w:tab/>
        <w:t>EUT L 347, 20.12.2013, s. 884.</w:t>
      </w:r>
    </w:p>
  </w:footnote>
  <w:footnote w:id="39">
    <w:p>
      <w:pPr>
        <w:pStyle w:val="FootnoteText"/>
        <w:rPr>
          <w:lang w:val="fr-BE"/>
        </w:rPr>
      </w:pPr>
      <w:r>
        <w:rPr>
          <w:rStyle w:val="FootnoteReference"/>
        </w:rPr>
        <w:footnoteRef/>
      </w:r>
      <w:r>
        <w:rPr>
          <w:lang w:val="fr-BE"/>
        </w:rPr>
        <w:tab/>
        <w:t>EUT C 373, 20.12.2013, s. 1.</w:t>
      </w:r>
    </w:p>
  </w:footnote>
  <w:footnote w:id="40">
    <w:p>
      <w:pPr>
        <w:pStyle w:val="FootnoteText"/>
        <w:rPr>
          <w:lang w:val="fr-BE"/>
        </w:rPr>
      </w:pPr>
      <w:r>
        <w:rPr>
          <w:rStyle w:val="FootnoteReference"/>
        </w:rPr>
        <w:footnoteRef/>
      </w:r>
      <w:r>
        <w:rPr>
          <w:lang w:val="fr-BE"/>
        </w:rPr>
        <w:tab/>
        <w:t>EUT L 347, 20.12.2013, s. 855.</w:t>
      </w:r>
    </w:p>
  </w:footnote>
  <w:footnote w:id="41">
    <w:p>
      <w:pPr>
        <w:pStyle w:val="FootnoteText"/>
        <w:rPr>
          <w:lang w:val="fr-BE"/>
        </w:rPr>
      </w:pPr>
      <w:r>
        <w:rPr>
          <w:rStyle w:val="FootnoteReference"/>
        </w:rPr>
        <w:footnoteRef/>
      </w:r>
      <w:r>
        <w:rPr>
          <w:lang w:val="fr-BE"/>
        </w:rPr>
        <w:tab/>
        <w:t>EUT C 373, 20.12.2013, s. 1.</w:t>
      </w:r>
    </w:p>
  </w:footnote>
  <w:footnote w:id="42">
    <w:p>
      <w:pPr>
        <w:pStyle w:val="FootnoteText"/>
      </w:pPr>
      <w:r>
        <w:rPr>
          <w:rStyle w:val="FootnoteReference"/>
        </w:rPr>
        <w:footnoteRef/>
      </w:r>
      <w:r>
        <w:tab/>
        <w:t>Rådets förordning (EU, Euratom) nr 1311/2013 av den 2 december 2013 om den fleråriga budgetramen för 2014–2020 (EUT L 347, 20.12.2013, s. 884).</w:t>
      </w:r>
    </w:p>
  </w:footnote>
  <w:footnote w:id="43">
    <w:p>
      <w:pPr>
        <w:pStyle w:val="FootnoteText"/>
        <w:rPr>
          <w:color w:val="FF0000"/>
        </w:rPr>
      </w:pPr>
      <w:r>
        <w:rPr>
          <w:rStyle w:val="FootnoteReference"/>
          <w:color w:val="FF0000"/>
        </w:rPr>
        <w:sym w:font="Symbol" w:char="F02A"/>
      </w:r>
      <w:r>
        <w:rPr>
          <w:color w:val="FF0000"/>
        </w:rPr>
        <w:t xml:space="preserve"> </w:t>
      </w:r>
      <w:r>
        <w:tab/>
      </w:r>
      <w:r>
        <w:rPr>
          <w:color w:val="FF0000"/>
        </w:rPr>
        <w:t>Datumet förs in av parlamentet före offentliggörandet i EUT.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hideSpellingErrors/>
  <w:hideGrammaticalErrors/>
  <w:attachedTemplate r:id="rId1"/>
  <w:revisionView w:markup="0"/>
  <w:documentProtection w:edit="forms" w:enforcement="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9-10 16:54:31"/>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4"/>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3EE981D-5923-4A37-AD4B-0616A44D9A22"/>
    <w:docVar w:name="LW_COVERPAGE_TYPE" w:val="1"/>
    <w:docVar w:name="LW_CROSSREFERENCE" w:val="&lt;UNUSED&gt;"/>
    <w:docVar w:name="LW_DocType" w:val="COM"/>
    <w:docVar w:name="LW_EMISSION" w:val="11.9.2020"/>
    <w:docVar w:name="LW_EMISSION_ISODATE" w:val="2020-09-11"/>
    <w:docVar w:name="LW_EMISSION_LOCATION" w:val="BRX"/>
    <w:docVar w:name="LW_EMISSION_PREFIX" w:val="Bryssel den "/>
    <w:docVar w:name="LW_EMISSION_SUFFIX" w:val="&lt;EMPTY&gt;"/>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4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Förslag till"/>
    <w:docVar w:name="LW_STATUT.CP" w:val="Förslag till"/>
    <w:docVar w:name="LW_SUPERTITRE" w:val="&lt;UNUSED&gt;"/>
    <w:docVar w:name="LW_TITRE.OBJ" w:val="&lt;FMT:Bold&gt;om utnyttjande av Europeiska fonden för justering för globaliseringseffekter efter en ansökan från Spanien \u8211? EGF/2020/001 ES/Stödsektorer till Galiciens varvsindustri&lt;/FMT&gt;_x000b_"/>
    <w:docVar w:name="LW_TITRE.OBJ.CP" w:val="&lt;FMT:Bold&gt;om utnyttjande av Europeiska fonden för justering för globaliseringseffekter efter en ansökan från Spanien \u8211? EGF/2020/001 ES/Stödsektorer till Galiciens varvsindustri&lt;/FMT&gt;_x000b_"/>
    <w:docVar w:name="LW_TYPE.DOC" w:val="EUROPAPARLAMENTETS OCH RÅDETS BESLUT"/>
    <w:docVar w:name="LW_TYPE.DOC.CP" w:val="EUROPAPARLAMENTETS OCH RÅDETS BESLU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7828">
      <w:bodyDiv w:val="1"/>
      <w:marLeft w:val="0"/>
      <w:marRight w:val="0"/>
      <w:marTop w:val="0"/>
      <w:marBottom w:val="0"/>
      <w:divBdr>
        <w:top w:val="none" w:sz="0" w:space="0" w:color="auto"/>
        <w:left w:val="none" w:sz="0" w:space="0" w:color="auto"/>
        <w:bottom w:val="none" w:sz="0" w:space="0" w:color="auto"/>
        <w:right w:val="none" w:sz="0" w:space="0" w:color="auto"/>
      </w:divBdr>
      <w:divsChild>
        <w:div w:id="1968655599">
          <w:marLeft w:val="0"/>
          <w:marRight w:val="0"/>
          <w:marTop w:val="0"/>
          <w:marBottom w:val="0"/>
          <w:divBdr>
            <w:top w:val="none" w:sz="0" w:space="0" w:color="auto"/>
            <w:left w:val="none" w:sz="0" w:space="0" w:color="auto"/>
            <w:bottom w:val="none" w:sz="0" w:space="0" w:color="auto"/>
            <w:right w:val="none" w:sz="0" w:space="0" w:color="auto"/>
          </w:divBdr>
          <w:divsChild>
            <w:div w:id="20782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43631">
      <w:bodyDiv w:val="1"/>
      <w:marLeft w:val="0"/>
      <w:marRight w:val="0"/>
      <w:marTop w:val="0"/>
      <w:marBottom w:val="0"/>
      <w:divBdr>
        <w:top w:val="none" w:sz="0" w:space="0" w:color="auto"/>
        <w:left w:val="none" w:sz="0" w:space="0" w:color="auto"/>
        <w:bottom w:val="none" w:sz="0" w:space="0" w:color="auto"/>
        <w:right w:val="none" w:sz="0" w:space="0" w:color="auto"/>
      </w:divBdr>
      <w:divsChild>
        <w:div w:id="817957014">
          <w:marLeft w:val="0"/>
          <w:marRight w:val="0"/>
          <w:marTop w:val="0"/>
          <w:marBottom w:val="0"/>
          <w:divBdr>
            <w:top w:val="none" w:sz="0" w:space="0" w:color="auto"/>
            <w:left w:val="none" w:sz="0" w:space="0" w:color="auto"/>
            <w:bottom w:val="none" w:sz="0" w:space="0" w:color="auto"/>
            <w:right w:val="none" w:sz="0" w:space="0" w:color="auto"/>
          </w:divBdr>
          <w:divsChild>
            <w:div w:id="8109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search?ei=uCTNXpLhFcvVkgWBnKWoCQ&amp;q=ECORYS+(2009)+Study+on+the+Competitiveness+of+the+European+Shipbuilding+Industry&amp;oq=ECORYS+(2009)+Study+on+the+Competitiveness+of+the+European+Shipbuilding+Industry&amp;gs_lcp=CgZwc3ktYWIQAzoECAAQR1C8wgJY5sgCYM7MAmgBcAF4AIABe4gBe5IBAzAuMZgBAKABAaABAqoBB2d3cy13aXqwAQA&amp;sclient=psy-ab&amp;ved=0ahUKEwiSnbjs29HpAhXLqqQKHQFOCZUQ4dUDCAs&amp;uact=5" TargetMode="External"/><Relationship Id="rId13" Type="http://schemas.openxmlformats.org/officeDocument/2006/relationships/hyperlink" Target="http://revistaeconomiacritica.org/sites/default/files/revistas/n8/2_alejandro_gzlez.pdf" TargetMode="External"/><Relationship Id="rId3" Type="http://schemas.openxmlformats.org/officeDocument/2006/relationships/hyperlink" Target="https://www.oecd-ilibrary.org/science-and-technology/an-analysis-of-market-distorting-factors-in-shipbuilding_b39ade10-en" TargetMode="External"/><Relationship Id="rId7" Type="http://schemas.openxmlformats.org/officeDocument/2006/relationships/hyperlink" Target="http://www.seaeurope.eu/ClientData/181/660/443865/3660/4/SEA%20Europe%20Annual%20Report%202018%202019%20website%20version%20final.pdf" TargetMode="External"/><Relationship Id="rId12" Type="http://schemas.openxmlformats.org/officeDocument/2006/relationships/hyperlink" Target="http://revistaeconomiacritica.org/sites/default/files/revistas/n8/2_alejandro_gzlez.pdf" TargetMode="External"/><Relationship Id="rId17" Type="http://schemas.openxmlformats.org/officeDocument/2006/relationships/hyperlink" Target="https://datosmacro.expansion.com/paro-epa/espana-comunidades-autonomas/galicia?sector=Tasa+de+desempleo+(EPA)&amp;sc=UEPAR-&amp;anio=2019" TargetMode="External"/><Relationship Id="rId2" Type="http://schemas.openxmlformats.org/officeDocument/2006/relationships/hyperlink" Target="https://www.oecd-ilibrary.org/science-and-technology/an-analysis-of-market-distorting-factors-in-shipbuilding_b39ade10-en" TargetMode="External"/><Relationship Id="rId16" Type="http://schemas.openxmlformats.org/officeDocument/2006/relationships/hyperlink" Target="https://datosmacro.expansion.com/paro/espana/municipios/galicia/pontevedra/vigo" TargetMode="External"/><Relationship Id="rId1" Type="http://schemas.openxmlformats.org/officeDocument/2006/relationships/hyperlink" Target="https://danskemaritime.dk/wp-content/uploads/2017/04/SEA-MM-REPORT-No-46-FY-2018.pdf" TargetMode="External"/><Relationship Id="rId6" Type="http://schemas.openxmlformats.org/officeDocument/2006/relationships/hyperlink" Target="http://www.seaeurope.eu/ClientData/181/660/443865/3660/4/SEA%20Europe%20Annual%20Report%202018%202019%20website%20version%20final.pdf" TargetMode="External"/><Relationship Id="rId11" Type="http://schemas.openxmlformats.org/officeDocument/2006/relationships/hyperlink" Target="https://www.zfv.es/ardan/informes/informeardangalicia2019.pdf" TargetMode="External"/><Relationship Id="rId5" Type="http://schemas.openxmlformats.org/officeDocument/2006/relationships/hyperlink" Target="http://www.seaeurope.eu/ClientData/181/660/443865/3660/4/SEA%20Europe%20Annual%20Report%202018%202019%20website%20version%20final.pdf" TargetMode="External"/><Relationship Id="rId15" Type="http://schemas.openxmlformats.org/officeDocument/2006/relationships/hyperlink" Target="http://revistaeconomiacritica.org/sites/default/files/revistas/n8/2_alejandro_gzlez.pdf" TargetMode="External"/><Relationship Id="rId10" Type="http://schemas.openxmlformats.org/officeDocument/2006/relationships/hyperlink" Target="https://www.zfv.es/ardan/informes/informeardangalicia2019.pdf" TargetMode="External"/><Relationship Id="rId4" Type="http://schemas.openxmlformats.org/officeDocument/2006/relationships/hyperlink" Target="https://www.oecd-ilibrary.org/science-and-technology/an-analysis-of-market-distorting-factors-in-shipbuilding_b39ade10-en" TargetMode="External"/><Relationship Id="rId9" Type="http://schemas.openxmlformats.org/officeDocument/2006/relationships/hyperlink" Target="http://www.ige.eu" TargetMode="External"/><Relationship Id="rId14" Type="http://schemas.openxmlformats.org/officeDocument/2006/relationships/hyperlink" Target="http://revistaeconomiacritica.org/sites/default/files/revistas/n8/2_alejandro_gzlez.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8493A8997D44988DD689BFDC03F7B" ma:contentTypeVersion="0" ma:contentTypeDescription="Create a new document." ma:contentTypeScope="" ma:versionID="77c95bd3ed1c78ad6ba22dca321e4cf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40CAE-4564-43B0-9D54-669AEC7DFB2E}">
  <ds:schemaRefs>
    <ds:schemaRef ds:uri="http://schemas.microsoft.com/office/2006/metadata/properties"/>
  </ds:schemaRefs>
</ds:datastoreItem>
</file>

<file path=customXml/itemProps2.xml><?xml version="1.0" encoding="utf-8"?>
<ds:datastoreItem xmlns:ds="http://schemas.openxmlformats.org/officeDocument/2006/customXml" ds:itemID="{46936552-387F-45C4-B21E-8E6D89407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D2DA3B-5396-4F95-B3A9-6343B62943D5}">
  <ds:schemaRefs>
    <ds:schemaRef ds:uri="http://schemas.microsoft.com/sharepoint/v3/contenttype/forms"/>
  </ds:schemaRefs>
</ds:datastoreItem>
</file>

<file path=customXml/itemProps4.xml><?xml version="1.0" encoding="utf-8"?>
<ds:datastoreItem xmlns:ds="http://schemas.openxmlformats.org/officeDocument/2006/customXml" ds:itemID="{ED87FADD-FF98-42D9-BF1C-E858EE51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Pages>
  <Words>4088</Words>
  <Characters>24410</Characters>
  <Application>Microsoft Office Word</Application>
  <DocSecurity>0</DocSecurity>
  <Lines>697</Lines>
  <Paragraphs>390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2020-09-09T14:18:00Z</dcterms:created>
  <dcterms:modified xsi:type="dcterms:W3CDTF">2020-09-10T14:54:00Z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0x0101009F18493A8997D44988DD689BFDC03F7B</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SJ-026</vt:lpwstr>
  </property>
  <property fmtid="{D5CDD505-2E9C-101B-9397-08002B2CF9AE}" pid="8" name="DQCStatus">
    <vt:lpwstr>Green (DQC version 03)</vt:lpwstr>
  </property>
  <property fmtid="{D5CDD505-2E9C-101B-9397-08002B2CF9AE}" pid="9" name="Category">
    <vt:lpwstr>COM/PL/ORG</vt:lpwstr>
  </property>
</Properties>
</file>