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0FBB0C2-B6D1-4FA9-ABB5-83FCF2BF60DE" style="width:450.8pt;height:351.5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EXPOSICIÓN DE MOTIVOS</w:t>
      </w:r>
    </w:p>
    <w:p>
      <w:pPr>
        <w:pStyle w:val="ManualHeading1"/>
        <w:rPr>
          <w:noProof/>
        </w:rPr>
      </w:pPr>
      <w:r>
        <w:rPr>
          <w:noProof/>
        </w:rPr>
        <w:t>CONTEXTO DE LA PROPUESTA</w:t>
      </w:r>
    </w:p>
    <w:p>
      <w:pPr>
        <w:pStyle w:val="ManualNumPar1"/>
        <w:rPr>
          <w:noProof/>
        </w:rPr>
      </w:pPr>
      <w:r>
        <w:t>1.</w:t>
      </w:r>
      <w:r>
        <w:tab/>
      </w:r>
      <w:r>
        <w:rPr>
          <w:noProof/>
        </w:rPr>
        <w:t>Las normas aplicables a las contribuciones financieras del Fondo Europeo de Adaptación a la Globalización (FEAG) se establecen en el Reglamento (UE) n.º 1309/2013 del Parlamento Europeo y del Consejo, de 17 de diciembre de 2013, sobre el Fondo Europeo de Adaptación a la Globalización (2014-2020) y por el que se deroga el Reglamento (CE) n.º 1927/2006</w:t>
      </w:r>
      <w:r>
        <w:rPr>
          <w:rStyle w:val="FootnoteReference"/>
          <w:noProof/>
        </w:rPr>
        <w:footnoteReference w:id="2"/>
      </w:r>
      <w:r>
        <w:rPr>
          <w:noProof/>
        </w:rPr>
        <w:t xml:space="preserve"> (el «Reglamento del FEAG»).</w:t>
      </w:r>
    </w:p>
    <w:p>
      <w:pPr>
        <w:pStyle w:val="ManualNumPar1"/>
        <w:rPr>
          <w:noProof/>
        </w:rPr>
      </w:pPr>
      <w:r>
        <w:t>2.</w:t>
      </w:r>
      <w:r>
        <w:tab/>
      </w:r>
      <w:r>
        <w:rPr>
          <w:noProof/>
        </w:rPr>
        <w:t>El 13 de mayo de 2020, España presentó la solicitud «EGF/</w:t>
      </w:r>
      <w:bookmarkStart w:id="1" w:name="EGF_Ref_Year"/>
      <w:r>
        <w:rPr>
          <w:noProof/>
        </w:rPr>
        <w:t>2020</w:t>
      </w:r>
      <w:bookmarkEnd w:id="1"/>
      <w:r>
        <w:rPr>
          <w:noProof/>
        </w:rPr>
        <w:t>/</w:t>
      </w:r>
      <w:bookmarkStart w:id="2" w:name="EGF_Ref_CaseNumber"/>
      <w:r>
        <w:rPr>
          <w:noProof/>
        </w:rPr>
        <w:t>001</w:t>
      </w:r>
      <w:bookmarkEnd w:id="2"/>
      <w:r>
        <w:rPr>
          <w:noProof/>
        </w:rPr>
        <w:t xml:space="preserve"> </w:t>
      </w:r>
      <w:bookmarkStart w:id="3" w:name="MS_Code"/>
      <w:r>
        <w:rPr>
          <w:noProof/>
        </w:rPr>
        <w:t>ES</w:t>
      </w:r>
      <w:bookmarkEnd w:id="3"/>
      <w:r>
        <w:rPr>
          <w:noProof/>
        </w:rPr>
        <w:t>/</w:t>
      </w:r>
      <w:bookmarkStart w:id="4" w:name="EGF_Ref_CaseName"/>
      <w:r>
        <w:rPr>
          <w:noProof/>
        </w:rPr>
        <w:t>Galicia shipbuilding ancillary sectors</w:t>
      </w:r>
      <w:bookmarkEnd w:id="4"/>
      <w:r>
        <w:rPr>
          <w:noProof/>
        </w:rPr>
        <w:t>» de contribución financiera del FEAG a raíz de los despidos</w:t>
      </w:r>
      <w:r>
        <w:rPr>
          <w:rStyle w:val="FootnoteReference"/>
          <w:noProof/>
        </w:rPr>
        <w:footnoteReference w:id="3"/>
      </w:r>
      <w:r>
        <w:rPr>
          <w:noProof/>
        </w:rPr>
        <w:t xml:space="preserve"> en los sectores económicos clasificados en las divisiones 24 (Metalurgia; fabricación de productos de hierro, acero y ferroaleaciones), 25 (Fabricación de productos metálicos, excepto maquinaria y equipo), 30 (Fabricación de otro material de transporte), 32 (Otras industrias manufactureras), 33 (Reparación e instalación de maquinaria y equipo) y 43 (Actividades de construcción especializada) de la NACE Rev. 2, en la región </w:t>
      </w:r>
      <w:bookmarkStart w:id="5" w:name="MS_Name"/>
      <w:r>
        <w:rPr>
          <w:noProof/>
        </w:rPr>
        <w:t>española</w:t>
      </w:r>
      <w:bookmarkEnd w:id="5"/>
      <w:r>
        <w:rPr>
          <w:noProof/>
        </w:rPr>
        <w:t xml:space="preserve"> de Galicia (ES11), de nivel NUTS 2. En lo sucesivo, se hará referencia a estos sectores como «sectores auxiliares de la construcción naval».</w:t>
      </w:r>
    </w:p>
    <w:p>
      <w:pPr>
        <w:pStyle w:val="ManualNumPar1"/>
        <w:rPr>
          <w:noProof/>
        </w:rPr>
      </w:pPr>
      <w:r>
        <w:t>3.</w:t>
      </w:r>
      <w:r>
        <w:tab/>
      </w:r>
      <w:r>
        <w:rPr>
          <w:noProof/>
        </w:rPr>
        <w:t xml:space="preserve">Tras evaluar la solicitud, la Comisión ha llegado a la conclusión de que, con arreglo a todas las disposiciones aplicables del Reglamento del FEAG, se cumplen las condiciones para conceder una contribución financiera del FEAG. </w:t>
      </w:r>
    </w:p>
    <w:p>
      <w:pPr>
        <w:pStyle w:val="ManualHeading1"/>
        <w:rPr>
          <w:noProof/>
        </w:rPr>
      </w:pPr>
      <w:r>
        <w:rPr>
          <w:noProof/>
        </w:rPr>
        <w:t>RESUMEN DE LA SOLICITUD</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t>Solicitud de contribución del FEAG</w:t>
            </w:r>
          </w:p>
        </w:tc>
        <w:tc>
          <w:tcPr>
            <w:tcW w:w="4379" w:type="dxa"/>
            <w:shd w:val="clear" w:color="auto" w:fill="auto"/>
          </w:tcPr>
          <w:p>
            <w:pPr>
              <w:spacing w:before="60" w:after="60"/>
              <w:ind w:rightChars="192" w:right="461"/>
              <w:jc w:val="left"/>
              <w:rPr>
                <w:rFonts w:eastAsia="Calibri"/>
                <w:noProof/>
                <w:lang w:val="en-US"/>
              </w:rPr>
            </w:pPr>
            <w:r>
              <w:rPr>
                <w:noProof/>
                <w:lang w:val="en-US"/>
              </w:rPr>
              <w:t>EGF/2020/001 ES/Galicia shipbuilding ancillary sectors</w:t>
            </w:r>
          </w:p>
        </w:tc>
      </w:tr>
      <w:tr>
        <w:tc>
          <w:tcPr>
            <w:tcW w:w="4908" w:type="dxa"/>
            <w:shd w:val="clear" w:color="auto" w:fill="auto"/>
          </w:tcPr>
          <w:p>
            <w:pPr>
              <w:spacing w:before="60" w:after="60"/>
              <w:jc w:val="left"/>
              <w:rPr>
                <w:rFonts w:eastAsia="Calibri"/>
                <w:noProof/>
              </w:rPr>
            </w:pPr>
            <w:r>
              <w:rPr>
                <w:noProof/>
              </w:rPr>
              <w:t>Estado miembro</w:t>
            </w:r>
          </w:p>
        </w:tc>
        <w:tc>
          <w:tcPr>
            <w:tcW w:w="4379" w:type="dxa"/>
            <w:shd w:val="clear" w:color="auto" w:fill="auto"/>
          </w:tcPr>
          <w:p>
            <w:pPr>
              <w:spacing w:before="60" w:after="60"/>
              <w:ind w:rightChars="192" w:right="461"/>
              <w:jc w:val="left"/>
              <w:rPr>
                <w:rFonts w:eastAsia="Calibri"/>
                <w:noProof/>
              </w:rPr>
            </w:pPr>
            <w:r>
              <w:rPr>
                <w:noProof/>
              </w:rPr>
              <w:t>España</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Región afectada (nivel NUTS</w:t>
            </w:r>
            <w:r>
              <w:rPr>
                <w:rStyle w:val="FootnoteReference"/>
                <w:noProof/>
              </w:rPr>
              <w:footnoteReference w:id="4"/>
            </w:r>
            <w:r>
              <w:rPr>
                <w:noProof/>
              </w:rPr>
              <w:t xml:space="preserve"> 2)</w:t>
            </w:r>
          </w:p>
        </w:tc>
        <w:tc>
          <w:tcPr>
            <w:tcW w:w="4379" w:type="dxa"/>
            <w:tcBorders>
              <w:bottom w:val="single" w:sz="4" w:space="0" w:color="auto"/>
            </w:tcBorders>
            <w:shd w:val="clear" w:color="auto" w:fill="auto"/>
          </w:tcPr>
          <w:p>
            <w:pPr>
              <w:spacing w:before="0" w:after="0"/>
              <w:ind w:rightChars="192" w:right="461"/>
              <w:jc w:val="left"/>
              <w:rPr>
                <w:noProof/>
                <w:szCs w:val="24"/>
              </w:rPr>
            </w:pPr>
            <w:bookmarkStart w:id="6" w:name="Region_1_Name"/>
            <w:r>
              <w:rPr>
                <w:noProof/>
              </w:rPr>
              <w:t>Galicia</w:t>
            </w:r>
            <w:bookmarkEnd w:id="6"/>
            <w:r>
              <w:rPr>
                <w:noProof/>
              </w:rPr>
              <w:t xml:space="preserve"> (ES11)</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Fecha de presentación de la solicitud</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13 de mayo de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Fecha de acuse de recibo de la solicitud</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13 de mayo de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Fecha de solicitud de información adicional</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27 de mayo de 2020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Plazo para la presentación de la información adicional</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8 de julio de 2020</w:t>
            </w:r>
          </w:p>
        </w:tc>
      </w:tr>
      <w:tr>
        <w:tc>
          <w:tcPr>
            <w:tcW w:w="4908" w:type="dxa"/>
            <w:tcBorders>
              <w:top w:val="dotted" w:sz="4" w:space="0" w:color="auto"/>
            </w:tcBorders>
            <w:shd w:val="clear" w:color="auto" w:fill="auto"/>
          </w:tcPr>
          <w:p>
            <w:pPr>
              <w:spacing w:before="60" w:after="60"/>
              <w:jc w:val="left"/>
              <w:rPr>
                <w:rFonts w:eastAsia="Calibri"/>
                <w:noProof/>
              </w:rPr>
            </w:pPr>
            <w:r>
              <w:rPr>
                <w:noProof/>
              </w:rPr>
              <w:t>Plazo para completar la evaluación</w:t>
            </w:r>
          </w:p>
        </w:tc>
        <w:tc>
          <w:tcPr>
            <w:tcW w:w="4379" w:type="dxa"/>
            <w:tcBorders>
              <w:top w:val="dotted" w:sz="4" w:space="0" w:color="auto"/>
            </w:tcBorders>
            <w:shd w:val="clear" w:color="auto" w:fill="auto"/>
          </w:tcPr>
          <w:p>
            <w:pPr>
              <w:spacing w:before="60" w:after="60"/>
              <w:ind w:rightChars="192" w:right="461"/>
              <w:jc w:val="left"/>
              <w:rPr>
                <w:rFonts w:eastAsia="Calibri"/>
                <w:noProof/>
              </w:rPr>
            </w:pPr>
            <w:r>
              <w:rPr>
                <w:noProof/>
              </w:rPr>
              <w:t>30 de septiembre de 2020</w:t>
            </w:r>
          </w:p>
        </w:tc>
      </w:tr>
      <w:tr>
        <w:tc>
          <w:tcPr>
            <w:tcW w:w="4908" w:type="dxa"/>
            <w:shd w:val="clear" w:color="auto" w:fill="auto"/>
          </w:tcPr>
          <w:p>
            <w:pPr>
              <w:spacing w:before="60" w:after="60"/>
              <w:jc w:val="left"/>
              <w:rPr>
                <w:rFonts w:eastAsia="Calibri"/>
                <w:noProof/>
              </w:rPr>
            </w:pPr>
            <w:r>
              <w:rPr>
                <w:noProof/>
              </w:rPr>
              <w:t>Criterio de intervención</w:t>
            </w:r>
          </w:p>
        </w:tc>
        <w:tc>
          <w:tcPr>
            <w:tcW w:w="4379" w:type="dxa"/>
            <w:shd w:val="clear" w:color="auto" w:fill="auto"/>
          </w:tcPr>
          <w:p>
            <w:pPr>
              <w:spacing w:before="60" w:after="60"/>
              <w:ind w:rightChars="192" w:right="461"/>
              <w:jc w:val="left"/>
              <w:rPr>
                <w:rFonts w:eastAsia="Calibri"/>
                <w:noProof/>
              </w:rPr>
            </w:pPr>
            <w:r>
              <w:rPr>
                <w:noProof/>
              </w:rPr>
              <w:t>Artículo 4, apartado 2, del Reglamento del FEAG</w:t>
            </w:r>
          </w:p>
        </w:tc>
      </w:tr>
      <w:tr>
        <w:tc>
          <w:tcPr>
            <w:tcW w:w="4908" w:type="dxa"/>
            <w:tcBorders>
              <w:top w:val="single" w:sz="4" w:space="0" w:color="auto"/>
              <w:bottom w:val="single" w:sz="4" w:space="0" w:color="auto"/>
              <w:right w:val="single" w:sz="4" w:space="0" w:color="auto"/>
            </w:tcBorders>
            <w:shd w:val="clear" w:color="auto" w:fill="auto"/>
          </w:tcPr>
          <w:p>
            <w:pPr>
              <w:spacing w:before="60" w:after="60"/>
              <w:jc w:val="left"/>
              <w:rPr>
                <w:rFonts w:eastAsia="Calibri"/>
                <w:noProof/>
              </w:rPr>
            </w:pPr>
            <w:r>
              <w:rPr>
                <w:noProof/>
              </w:rPr>
              <w:br w:type="page"/>
              <w:t>Número de empresas afectadas</w:t>
            </w:r>
          </w:p>
        </w:tc>
        <w:tc>
          <w:tcPr>
            <w:tcW w:w="4379" w:type="dxa"/>
            <w:tcBorders>
              <w:top w:val="single" w:sz="4" w:space="0" w:color="auto"/>
              <w:left w:val="single" w:sz="4" w:space="0" w:color="auto"/>
              <w:bottom w:val="single" w:sz="4" w:space="0" w:color="auto"/>
            </w:tcBorders>
            <w:shd w:val="clear" w:color="auto" w:fill="auto"/>
          </w:tcPr>
          <w:p>
            <w:pPr>
              <w:spacing w:before="60" w:after="60"/>
              <w:ind w:rightChars="192" w:right="461"/>
              <w:jc w:val="left"/>
              <w:rPr>
                <w:noProof/>
                <w:szCs w:val="24"/>
              </w:rPr>
            </w:pPr>
            <w:r>
              <w:rPr>
                <w:noProof/>
              </w:rPr>
              <w:t>38</w:t>
            </w:r>
          </w:p>
        </w:tc>
      </w:tr>
    </w:tbl>
    <w:p>
      <w:pPr>
        <w:rPr>
          <w:noProof/>
        </w:rPr>
      </w:pPr>
      <w:r>
        <w:rPr>
          <w:noProof/>
        </w:rPr>
        <w:br w:type="page"/>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908"/>
        <w:gridCol w:w="4379"/>
      </w:tblGrid>
      <w:tr>
        <w:tc>
          <w:tcPr>
            <w:tcW w:w="4908" w:type="dxa"/>
            <w:shd w:val="clear" w:color="auto" w:fill="auto"/>
          </w:tcPr>
          <w:p>
            <w:pPr>
              <w:spacing w:before="60" w:after="60"/>
              <w:jc w:val="left"/>
              <w:rPr>
                <w:rFonts w:eastAsia="Calibri"/>
                <w:noProof/>
              </w:rPr>
            </w:pPr>
            <w:r>
              <w:rPr>
                <w:noProof/>
              </w:rPr>
              <w:lastRenderedPageBreak/>
              <w:t>Sectores de actividad económica</w:t>
            </w:r>
          </w:p>
          <w:p>
            <w:pPr>
              <w:spacing w:before="60" w:after="60"/>
              <w:jc w:val="left"/>
              <w:rPr>
                <w:rFonts w:eastAsia="Calibri"/>
                <w:noProof/>
              </w:rPr>
            </w:pPr>
            <w:r>
              <w:rPr>
                <w:noProof/>
              </w:rPr>
              <w:t>(División de la NACE Rev. 2)</w:t>
            </w:r>
            <w:r>
              <w:rPr>
                <w:rStyle w:val="FootnoteReference"/>
                <w:noProof/>
                <w:szCs w:val="24"/>
              </w:rPr>
              <w:footnoteReference w:id="5"/>
            </w:r>
          </w:p>
        </w:tc>
        <w:tc>
          <w:tcPr>
            <w:tcW w:w="4379" w:type="dxa"/>
            <w:shd w:val="clear" w:color="auto" w:fill="auto"/>
          </w:tcPr>
          <w:p>
            <w:pPr>
              <w:spacing w:before="60" w:after="60"/>
              <w:ind w:rightChars="192" w:right="461"/>
              <w:jc w:val="left"/>
              <w:rPr>
                <w:noProof/>
                <w:szCs w:val="24"/>
              </w:rPr>
            </w:pPr>
            <w:r>
              <w:rPr>
                <w:noProof/>
              </w:rPr>
              <w:t>División 24 (Metalurgia; fabricación de productos de hierro, acero y ferroaleaciones),</w:t>
            </w:r>
          </w:p>
          <w:p>
            <w:pPr>
              <w:spacing w:before="60" w:after="60"/>
              <w:ind w:rightChars="192" w:right="461"/>
              <w:jc w:val="left"/>
              <w:rPr>
                <w:noProof/>
                <w:szCs w:val="24"/>
              </w:rPr>
            </w:pPr>
            <w:r>
              <w:rPr>
                <w:noProof/>
              </w:rPr>
              <w:t>división 25 (Fabricación de productos metálicos, excepto maquinaria y equipo),</w:t>
            </w:r>
          </w:p>
          <w:p>
            <w:pPr>
              <w:spacing w:before="60" w:after="60"/>
              <w:ind w:rightChars="192" w:right="461"/>
              <w:jc w:val="left"/>
              <w:rPr>
                <w:noProof/>
                <w:szCs w:val="24"/>
              </w:rPr>
            </w:pPr>
            <w:r>
              <w:rPr>
                <w:noProof/>
              </w:rPr>
              <w:t>división 30 (Fabricación de otro material de transporte),</w:t>
            </w:r>
          </w:p>
          <w:p>
            <w:pPr>
              <w:spacing w:before="60" w:after="60"/>
              <w:ind w:rightChars="192" w:right="461"/>
              <w:jc w:val="left"/>
              <w:rPr>
                <w:noProof/>
                <w:szCs w:val="24"/>
              </w:rPr>
            </w:pPr>
            <w:r>
              <w:rPr>
                <w:noProof/>
              </w:rPr>
              <w:t>división 32 (Otras industrias manufactureras),</w:t>
            </w:r>
          </w:p>
          <w:p>
            <w:pPr>
              <w:spacing w:before="60" w:after="60"/>
              <w:ind w:rightChars="192" w:right="461"/>
              <w:jc w:val="left"/>
              <w:rPr>
                <w:noProof/>
                <w:szCs w:val="24"/>
              </w:rPr>
            </w:pPr>
            <w:r>
              <w:rPr>
                <w:noProof/>
              </w:rPr>
              <w:t>división 33 (Reparación e instalación de maquinaria y equipo) y</w:t>
            </w:r>
          </w:p>
          <w:p>
            <w:pPr>
              <w:spacing w:before="60" w:after="60"/>
              <w:ind w:rightChars="192" w:right="461"/>
              <w:jc w:val="left"/>
              <w:rPr>
                <w:rFonts w:eastAsia="Calibri"/>
                <w:noProof/>
              </w:rPr>
            </w:pPr>
            <w:r>
              <w:rPr>
                <w:noProof/>
              </w:rPr>
              <w:t>división 43 (Actividades de construcción especializada).</w:t>
            </w:r>
          </w:p>
        </w:tc>
      </w:tr>
      <w:tr>
        <w:tc>
          <w:tcPr>
            <w:tcW w:w="4908" w:type="dxa"/>
            <w:tcBorders>
              <w:bottom w:val="single" w:sz="4" w:space="0" w:color="auto"/>
            </w:tcBorders>
            <w:shd w:val="clear" w:color="auto" w:fill="auto"/>
          </w:tcPr>
          <w:p>
            <w:pPr>
              <w:spacing w:before="60" w:after="60"/>
              <w:jc w:val="left"/>
              <w:rPr>
                <w:rFonts w:eastAsia="Calibri"/>
                <w:noProof/>
              </w:rPr>
            </w:pPr>
            <w:r>
              <w:rPr>
                <w:noProof/>
              </w:rPr>
              <w:t>Período de referencia (nueve meses):</w:t>
            </w:r>
          </w:p>
        </w:tc>
        <w:tc>
          <w:tcPr>
            <w:tcW w:w="4379" w:type="dxa"/>
            <w:tcBorders>
              <w:bottom w:val="single" w:sz="4" w:space="0" w:color="auto"/>
            </w:tcBorders>
            <w:shd w:val="clear" w:color="auto" w:fill="auto"/>
          </w:tcPr>
          <w:p>
            <w:pPr>
              <w:spacing w:before="60" w:after="60"/>
              <w:ind w:rightChars="192" w:right="461"/>
              <w:jc w:val="left"/>
              <w:rPr>
                <w:rFonts w:eastAsia="Calibri"/>
                <w:noProof/>
              </w:rPr>
            </w:pPr>
            <w:r>
              <w:rPr>
                <w:noProof/>
              </w:rPr>
              <w:t>23 de mayo de 2019 – 23 de febrero de 2020</w:t>
            </w:r>
          </w:p>
        </w:tc>
      </w:tr>
      <w:tr>
        <w:tc>
          <w:tcPr>
            <w:tcW w:w="4908" w:type="dxa"/>
            <w:tcBorders>
              <w:bottom w:val="dotted" w:sz="4" w:space="0" w:color="auto"/>
            </w:tcBorders>
            <w:shd w:val="clear" w:color="auto" w:fill="auto"/>
          </w:tcPr>
          <w:p>
            <w:pPr>
              <w:spacing w:before="60" w:after="60"/>
              <w:jc w:val="left"/>
              <w:rPr>
                <w:rFonts w:eastAsia="Calibri"/>
                <w:noProof/>
                <w:highlight w:val="magenta"/>
              </w:rPr>
            </w:pPr>
            <w:r>
              <w:rPr>
                <w:noProof/>
              </w:rPr>
              <w:t>Número de trabajadores despedidos durante el período de referencia</w:t>
            </w:r>
          </w:p>
        </w:tc>
        <w:tc>
          <w:tcPr>
            <w:tcW w:w="4379" w:type="dxa"/>
            <w:tcBorders>
              <w:bottom w:val="dotted" w:sz="4" w:space="0" w:color="auto"/>
            </w:tcBorders>
            <w:shd w:val="clear" w:color="auto" w:fill="auto"/>
          </w:tcPr>
          <w:p>
            <w:pPr>
              <w:spacing w:before="60" w:after="60"/>
              <w:ind w:rightChars="192" w:right="461"/>
              <w:jc w:val="left"/>
              <w:rPr>
                <w:rFonts w:eastAsia="Calibri"/>
                <w:noProof/>
                <w:highlight w:val="magenta"/>
              </w:rPr>
            </w:pPr>
            <w:r>
              <w:rPr>
                <w:noProof/>
              </w:rPr>
              <w:t>960</w:t>
            </w:r>
          </w:p>
        </w:tc>
      </w:tr>
      <w:tr>
        <w:tc>
          <w:tcPr>
            <w:tcW w:w="4908" w:type="dxa"/>
            <w:tcBorders>
              <w:bottom w:val="dotted" w:sz="4" w:space="0" w:color="auto"/>
            </w:tcBorders>
            <w:shd w:val="clear" w:color="auto" w:fill="auto"/>
          </w:tcPr>
          <w:p>
            <w:pPr>
              <w:spacing w:before="60" w:after="60"/>
              <w:jc w:val="left"/>
              <w:rPr>
                <w:rFonts w:eastAsia="Calibri"/>
                <w:noProof/>
              </w:rPr>
            </w:pPr>
            <w:r>
              <w:rPr>
                <w:noProof/>
              </w:rPr>
              <w:t>Número total de beneficiarios elegibles</w:t>
            </w:r>
          </w:p>
        </w:tc>
        <w:tc>
          <w:tcPr>
            <w:tcW w:w="4379" w:type="dxa"/>
            <w:tcBorders>
              <w:bottom w:val="dotted" w:sz="4" w:space="0" w:color="auto"/>
            </w:tcBorders>
            <w:shd w:val="clear" w:color="auto" w:fill="auto"/>
          </w:tcPr>
          <w:p>
            <w:pPr>
              <w:spacing w:before="60" w:after="60"/>
              <w:ind w:rightChars="192" w:right="461"/>
              <w:jc w:val="left"/>
              <w:rPr>
                <w:rFonts w:eastAsia="Calibri"/>
                <w:noProof/>
              </w:rPr>
            </w:pPr>
            <w:r>
              <w:rPr>
                <w:noProof/>
              </w:rPr>
              <w:t>960</w:t>
            </w:r>
          </w:p>
        </w:tc>
      </w:tr>
      <w:tr>
        <w:tc>
          <w:tcPr>
            <w:tcW w:w="4908" w:type="dxa"/>
            <w:tcBorders>
              <w:top w:val="dotted" w:sz="4" w:space="0" w:color="auto"/>
              <w:bottom w:val="dotted" w:sz="4" w:space="0" w:color="auto"/>
            </w:tcBorders>
            <w:shd w:val="clear" w:color="auto" w:fill="auto"/>
          </w:tcPr>
          <w:p>
            <w:pPr>
              <w:spacing w:before="60" w:after="60"/>
              <w:jc w:val="left"/>
              <w:rPr>
                <w:rFonts w:eastAsia="Calibri"/>
                <w:noProof/>
              </w:rPr>
            </w:pPr>
            <w:r>
              <w:rPr>
                <w:noProof/>
              </w:rPr>
              <w:t>Número total de beneficiarios previstos</w:t>
            </w:r>
          </w:p>
        </w:tc>
        <w:tc>
          <w:tcPr>
            <w:tcW w:w="4379" w:type="dxa"/>
            <w:tcBorders>
              <w:top w:val="dotted" w:sz="4" w:space="0" w:color="auto"/>
              <w:bottom w:val="dotted" w:sz="4" w:space="0" w:color="auto"/>
            </w:tcBorders>
            <w:shd w:val="clear" w:color="auto" w:fill="auto"/>
          </w:tcPr>
          <w:p>
            <w:pPr>
              <w:spacing w:before="60" w:after="60"/>
              <w:ind w:rightChars="192" w:right="461"/>
              <w:jc w:val="left"/>
              <w:rPr>
                <w:rFonts w:eastAsia="Calibri"/>
                <w:noProof/>
              </w:rPr>
            </w:pPr>
            <w:r>
              <w:rPr>
                <w:noProof/>
              </w:rPr>
              <w:t>500</w:t>
            </w:r>
          </w:p>
        </w:tc>
      </w:tr>
      <w:tr>
        <w:tc>
          <w:tcPr>
            <w:tcW w:w="4908" w:type="dxa"/>
            <w:tcBorders>
              <w:bottom w:val="dotted" w:sz="4" w:space="0" w:color="auto"/>
            </w:tcBorders>
            <w:shd w:val="clear" w:color="auto" w:fill="auto"/>
            <w:vAlign w:val="center"/>
          </w:tcPr>
          <w:p>
            <w:pPr>
              <w:spacing w:before="0" w:after="0"/>
              <w:jc w:val="left"/>
              <w:rPr>
                <w:noProof/>
              </w:rPr>
            </w:pPr>
            <w:r>
              <w:rPr>
                <w:noProof/>
              </w:rPr>
              <w:t>Presupuesto para servicios personalizados (EUR)</w:t>
            </w:r>
          </w:p>
        </w:tc>
        <w:tc>
          <w:tcPr>
            <w:tcW w:w="4379" w:type="dxa"/>
            <w:tcBorders>
              <w:bottom w:val="dotted" w:sz="4" w:space="0" w:color="auto"/>
            </w:tcBorders>
            <w:shd w:val="clear" w:color="auto" w:fill="auto"/>
            <w:vAlign w:val="center"/>
          </w:tcPr>
          <w:p>
            <w:pPr>
              <w:spacing w:before="0" w:after="0"/>
              <w:ind w:rightChars="192" w:right="461"/>
              <w:jc w:val="left"/>
              <w:rPr>
                <w:noProof/>
              </w:rPr>
            </w:pPr>
            <w:r>
              <w:rPr>
                <w:noProof/>
              </w:rPr>
              <w:t>3 274 000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Presupuesto para la intervención del FEAG</w:t>
            </w:r>
            <w:r>
              <w:rPr>
                <w:rStyle w:val="FootnoteReference"/>
                <w:noProof/>
              </w:rPr>
              <w:footnoteReference w:id="6"/>
            </w:r>
            <w:r>
              <w:rPr>
                <w:noProof/>
              </w:rPr>
              <w:t xml:space="preserve">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color w:val="FFFFFF" w:themeColor="background1"/>
              </w:rPr>
              <w:t>0 </w:t>
            </w:r>
            <w:r>
              <w:rPr>
                <w:noProof/>
              </w:rPr>
              <w:t>150 000</w:t>
            </w:r>
          </w:p>
        </w:tc>
      </w:tr>
      <w:tr>
        <w:tc>
          <w:tcPr>
            <w:tcW w:w="4908" w:type="dxa"/>
            <w:tcBorders>
              <w:top w:val="dotted" w:sz="4" w:space="0" w:color="auto"/>
              <w:bottom w:val="dotted" w:sz="4" w:space="0" w:color="auto"/>
            </w:tcBorders>
            <w:shd w:val="clear" w:color="auto" w:fill="auto"/>
            <w:vAlign w:val="center"/>
          </w:tcPr>
          <w:p>
            <w:pPr>
              <w:spacing w:before="0" w:after="0"/>
              <w:jc w:val="left"/>
              <w:rPr>
                <w:noProof/>
              </w:rPr>
            </w:pPr>
            <w:r>
              <w:rPr>
                <w:noProof/>
              </w:rPr>
              <w:t>Presupuesto total (EUR)</w:t>
            </w:r>
          </w:p>
        </w:tc>
        <w:tc>
          <w:tcPr>
            <w:tcW w:w="4379" w:type="dxa"/>
            <w:tcBorders>
              <w:top w:val="dotted" w:sz="4" w:space="0" w:color="auto"/>
              <w:bottom w:val="dotted" w:sz="4" w:space="0" w:color="auto"/>
            </w:tcBorders>
            <w:shd w:val="clear" w:color="auto" w:fill="auto"/>
            <w:vAlign w:val="center"/>
          </w:tcPr>
          <w:p>
            <w:pPr>
              <w:spacing w:before="0" w:after="0"/>
              <w:ind w:rightChars="192" w:right="461"/>
              <w:jc w:val="left"/>
              <w:rPr>
                <w:noProof/>
              </w:rPr>
            </w:pPr>
            <w:r>
              <w:rPr>
                <w:noProof/>
              </w:rPr>
              <w:t>3 424 000</w:t>
            </w:r>
          </w:p>
        </w:tc>
      </w:tr>
      <w:tr>
        <w:tc>
          <w:tcPr>
            <w:tcW w:w="4908" w:type="dxa"/>
            <w:tcBorders>
              <w:top w:val="dotted" w:sz="4" w:space="0" w:color="auto"/>
            </w:tcBorders>
            <w:shd w:val="clear" w:color="auto" w:fill="auto"/>
            <w:vAlign w:val="center"/>
          </w:tcPr>
          <w:p>
            <w:pPr>
              <w:spacing w:before="0" w:after="0"/>
              <w:jc w:val="left"/>
              <w:rPr>
                <w:noProof/>
              </w:rPr>
            </w:pPr>
            <w:r>
              <w:rPr>
                <w:noProof/>
              </w:rPr>
              <w:t>Contribución del FEAG (60 %) (EUR)</w:t>
            </w:r>
          </w:p>
        </w:tc>
        <w:tc>
          <w:tcPr>
            <w:tcW w:w="4379" w:type="dxa"/>
            <w:tcBorders>
              <w:top w:val="dotted" w:sz="4" w:space="0" w:color="auto"/>
            </w:tcBorders>
            <w:shd w:val="clear" w:color="auto" w:fill="auto"/>
            <w:vAlign w:val="center"/>
          </w:tcPr>
          <w:p>
            <w:pPr>
              <w:spacing w:before="0" w:after="0"/>
              <w:ind w:rightChars="192" w:right="461"/>
              <w:jc w:val="left"/>
              <w:rPr>
                <w:noProof/>
              </w:rPr>
            </w:pPr>
            <w:r>
              <w:rPr>
                <w:noProof/>
              </w:rPr>
              <w:t>2 054 400</w:t>
            </w:r>
          </w:p>
        </w:tc>
      </w:tr>
    </w:tbl>
    <w:p>
      <w:pPr>
        <w:pStyle w:val="ManualHeading1"/>
        <w:rPr>
          <w:noProof/>
        </w:rPr>
      </w:pPr>
      <w:r>
        <w:rPr>
          <w:noProof/>
        </w:rPr>
        <w:t>EVALUACIÓN DE LA SOLICITUD</w:t>
      </w:r>
    </w:p>
    <w:p>
      <w:pPr>
        <w:pStyle w:val="ManualHeading2"/>
        <w:rPr>
          <w:noProof/>
        </w:rPr>
      </w:pPr>
      <w:r>
        <w:rPr>
          <w:noProof/>
        </w:rPr>
        <w:t>Procedimiento</w:t>
      </w:r>
    </w:p>
    <w:p>
      <w:pPr>
        <w:pStyle w:val="ManualNumPar1"/>
        <w:rPr>
          <w:noProof/>
        </w:rPr>
      </w:pPr>
      <w:r>
        <w:t>4.</w:t>
      </w:r>
      <w:r>
        <w:tab/>
      </w:r>
      <w:r>
        <w:rPr>
          <w:noProof/>
        </w:rPr>
        <w:t xml:space="preserve">España presentó la solicitud «EGF/2020/001 ES/Galicia shipbuilding ancillary sectors» el 13 de mayo de 2020, dentro del plazo de doce semanas a partir de la fecha en la que se cumplieron los criterios de intervención establecidos en el artículo 4 del Reglamento del FEAG. La Comisión acusó recibo de la solicitud ese mismo día y pidió información adicional a España el 27 de mayo de 2020. La información adicional se facilitó en el plazo de seis semanas a partir de su solicitud. El plazo de doce semanas a partir de la recepción de la solicitud completa en el cual la Comisión debe finalizar su evaluación de la adecuación de la solicitud a las condiciones de concesión de una contribución financiera finaliza el 30 de septiembre de 2020. </w:t>
      </w:r>
    </w:p>
    <w:p>
      <w:pPr>
        <w:pStyle w:val="ManualHeading2"/>
        <w:rPr>
          <w:noProof/>
        </w:rPr>
      </w:pPr>
      <w:r>
        <w:rPr>
          <w:noProof/>
        </w:rPr>
        <w:lastRenderedPageBreak/>
        <w:t>Elegibilidad de la solicitud</w:t>
      </w:r>
    </w:p>
    <w:p>
      <w:pPr>
        <w:pStyle w:val="ManualHeading3"/>
        <w:rPr>
          <w:noProof/>
        </w:rPr>
      </w:pPr>
      <w:r>
        <w:rPr>
          <w:noProof/>
        </w:rPr>
        <w:t>Empresas y beneficiarios afectados</w:t>
      </w:r>
    </w:p>
    <w:p>
      <w:pPr>
        <w:pStyle w:val="ManualNumPar1"/>
        <w:rPr>
          <w:noProof/>
          <w:szCs w:val="24"/>
        </w:rPr>
      </w:pPr>
      <w:r>
        <w:t>5.</w:t>
      </w:r>
      <w:r>
        <w:tab/>
      </w:r>
      <w:r>
        <w:rPr>
          <w:noProof/>
        </w:rPr>
        <w:t>La solicitud se refiere a 960 trabajadores despedidos en los sectores auxiliares de la construcción naval, en empresas situadas en la región de Galicia (ES11), de nivel NUTS 2.</w:t>
      </w:r>
    </w:p>
    <w:p>
      <w:pPr>
        <w:spacing w:before="0" w:after="200" w:line="276" w:lineRule="auto"/>
        <w:jc w:val="left"/>
        <w:rPr>
          <w:noProof/>
          <w:szCs w:val="24"/>
        </w:rPr>
      </w:pPr>
      <w:r>
        <w:rPr>
          <w:noProof/>
        </w:rPr>
        <w:br w:type="page"/>
      </w:r>
    </w:p>
    <w:tbl>
      <w:tblPr>
        <w:tblW w:w="83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40"/>
      </w:tblGrid>
      <w:tr>
        <w:trPr>
          <w:trHeight w:val="284"/>
          <w:tblHeader/>
        </w:trPr>
        <w:tc>
          <w:tcPr>
            <w:tcW w:w="8340" w:type="dxa"/>
            <w:shd w:val="clear" w:color="auto" w:fill="D9D9D9" w:themeFill="background1" w:themeFillShade="D9"/>
          </w:tcPr>
          <w:p>
            <w:pPr>
              <w:spacing w:beforeLines="20" w:before="48" w:afterLines="20" w:after="48" w:line="276" w:lineRule="auto"/>
              <w:ind w:left="57"/>
              <w:jc w:val="center"/>
              <w:rPr>
                <w:rFonts w:eastAsia="Calibri"/>
                <w:noProof/>
                <w:szCs w:val="24"/>
              </w:rPr>
            </w:pPr>
            <w:r>
              <w:rPr>
                <w:b/>
                <w:noProof/>
                <w:szCs w:val="24"/>
              </w:rPr>
              <w:lastRenderedPageBreak/>
              <w:t>Empresas y número de despidos durante el período de referencia</w:t>
            </w:r>
          </w:p>
        </w:tc>
      </w:tr>
    </w:tbl>
    <w:tbl>
      <w:tblPr>
        <w:tblStyle w:val="TableGrid"/>
        <w:tblW w:w="0" w:type="auto"/>
        <w:tblInd w:w="948" w:type="dxa"/>
        <w:tblLayout w:type="fixed"/>
        <w:tblLook w:val="04A0" w:firstRow="1" w:lastRow="0" w:firstColumn="1" w:lastColumn="0" w:noHBand="0" w:noVBand="1"/>
      </w:tblPr>
      <w:tblGrid>
        <w:gridCol w:w="1080"/>
        <w:gridCol w:w="1970"/>
        <w:gridCol w:w="1030"/>
        <w:gridCol w:w="240"/>
        <w:gridCol w:w="1051"/>
        <w:gridCol w:w="2255"/>
        <w:gridCol w:w="715"/>
      </w:tblGrid>
      <w:tr>
        <w:tc>
          <w:tcPr>
            <w:tcW w:w="1080" w:type="dxa"/>
            <w:tcBorders>
              <w:top w:val="single" w:sz="8" w:space="0" w:color="4F81BD"/>
              <w:left w:val="single" w:sz="8" w:space="0" w:color="4F81BD"/>
              <w:bottom w:val="single" w:sz="8" w:space="0" w:color="4F81BD"/>
              <w:right w:val="nil"/>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División 24</w:t>
            </w:r>
          </w:p>
        </w:tc>
        <w:tc>
          <w:tcPr>
            <w:tcW w:w="3000" w:type="dxa"/>
            <w:gridSpan w:val="2"/>
            <w:tcBorders>
              <w:top w:val="single" w:sz="8" w:space="0" w:color="4F81BD"/>
              <w:left w:val="nil"/>
              <w:bottom w:val="single" w:sz="8" w:space="0" w:color="4F81BD"/>
              <w:right w:val="single" w:sz="4" w:space="0" w:color="auto"/>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Metalurgia; fabricación de productos de hierro, acero y ferroaleaciones</w:t>
            </w:r>
          </w:p>
        </w:tc>
        <w:tc>
          <w:tcPr>
            <w:tcW w:w="240" w:type="dxa"/>
            <w:tcBorders>
              <w:top w:val="single" w:sz="4" w:space="0" w:color="auto"/>
              <w:left w:val="single" w:sz="4" w:space="0" w:color="auto"/>
              <w:bottom w:val="nil"/>
              <w:right w:val="single" w:sz="4" w:space="0" w:color="auto"/>
            </w:tcBorders>
            <w:shd w:val="clear" w:color="auto" w:fill="auto"/>
          </w:tcPr>
          <w:p>
            <w:pPr>
              <w:spacing w:before="0" w:after="0"/>
              <w:rPr>
                <w:rFonts w:eastAsia="Times New Roman"/>
                <w:b/>
                <w:bCs/>
                <w:noProof/>
                <w:color w:val="000000"/>
                <w:sz w:val="20"/>
                <w:szCs w:val="20"/>
                <w:lang w:eastAsia="es-ES"/>
              </w:rPr>
            </w:pPr>
          </w:p>
        </w:tc>
        <w:tc>
          <w:tcPr>
            <w:tcW w:w="1051" w:type="dxa"/>
            <w:tcBorders>
              <w:top w:val="single" w:sz="4" w:space="0" w:color="auto"/>
              <w:left w:val="single" w:sz="4" w:space="0" w:color="auto"/>
              <w:bottom w:val="single" w:sz="4" w:space="0" w:color="auto"/>
              <w:right w:val="nil"/>
            </w:tcBorders>
            <w:shd w:val="clear" w:color="auto" w:fill="F2F2F2" w:themeFill="background1" w:themeFillShade="F2"/>
            <w:vAlign w:val="center"/>
          </w:tcPr>
          <w:p>
            <w:pPr>
              <w:spacing w:before="0" w:after="0"/>
              <w:jc w:val="center"/>
              <w:rPr>
                <w:rFonts w:eastAsia="Times New Roman"/>
                <w:b/>
                <w:bCs/>
                <w:noProof/>
                <w:color w:val="000000"/>
                <w:sz w:val="20"/>
                <w:szCs w:val="20"/>
              </w:rPr>
            </w:pPr>
            <w:r>
              <w:rPr>
                <w:b/>
                <w:bCs/>
                <w:noProof/>
                <w:color w:val="000000"/>
                <w:sz w:val="20"/>
                <w:szCs w:val="20"/>
              </w:rPr>
              <w:t>División 33</w:t>
            </w:r>
          </w:p>
        </w:tc>
        <w:tc>
          <w:tcPr>
            <w:tcW w:w="2970"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Reparación e instalación de maquinaria y equipos</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PIPEWORKS,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15</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4" w:space="0" w:color="auto"/>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AISLAMIENTOS SOAMAR, S.L.</w:t>
            </w:r>
          </w:p>
        </w:tc>
        <w:tc>
          <w:tcPr>
            <w:tcW w:w="715" w:type="dxa"/>
            <w:tcBorders>
              <w:top w:val="single" w:sz="4" w:space="0" w:color="auto"/>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w:t>
            </w:r>
          </w:p>
        </w:tc>
      </w:tr>
      <w:tr>
        <w:tc>
          <w:tcPr>
            <w:tcW w:w="1080" w:type="dxa"/>
            <w:tcBorders>
              <w:top w:val="single" w:sz="8" w:space="0" w:color="4F81BD"/>
              <w:left w:val="single" w:sz="8" w:space="0" w:color="4F81BD"/>
              <w:bottom w:val="single" w:sz="8" w:space="0" w:color="4F81BD"/>
              <w:right w:val="nil"/>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División 25</w:t>
            </w:r>
          </w:p>
        </w:tc>
        <w:tc>
          <w:tcPr>
            <w:tcW w:w="3000" w:type="dxa"/>
            <w:gridSpan w:val="2"/>
            <w:tcBorders>
              <w:top w:val="single" w:sz="8" w:space="0" w:color="4F81BD"/>
              <w:left w:val="nil"/>
              <w:bottom w:val="single" w:sz="8" w:space="0" w:color="4F81BD"/>
              <w:right w:val="single" w:sz="8" w:space="0" w:color="4F81BD"/>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Fabricación de productos metálicos, excepto maquinaria y equipo</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BULBO</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6</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ELABORADOS METÁLICOS EMESA, S.L.U.</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33</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CALSOMATU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8</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INDUSTRIAL DE ACABADOS, S.A. (INDASA)</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15</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CANCELAS NAVAL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IRIS SOCIEDAD COOP. GALLEGA DE TRABAJO ASOCIADO</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22</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COGALSO FERROLTERRA, S.C.G.T.</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5</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ROTELU,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7</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EXACTA SERVICIOS NAVALES E INDUSTRIALES,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54</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TUBACER,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128</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GABADI,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18</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NAVALIBER, S.L.</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88</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INSTALACIONES Y MANTENIMIENTOS IMAFER,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5</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TALLERES DIZMAR, S.L.</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7</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J.J. NAVAL HISPANOGALAICA,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29</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TALLERES MECÁNICOS GALICIA,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4</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 BLANCO,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13</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WELDMAIN SERVICIOS CALDERÍA, TUBERÍA Y SOLDADURA,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31</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CANCELAS,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20</w:t>
            </w:r>
          </w:p>
        </w:tc>
      </w:tr>
      <w:tr>
        <w:tc>
          <w:tcPr>
            <w:tcW w:w="1080" w:type="dxa"/>
            <w:tcBorders>
              <w:top w:val="single" w:sz="8" w:space="0" w:color="4F81BD"/>
              <w:left w:val="single" w:sz="8" w:space="0" w:color="4F81BD"/>
              <w:bottom w:val="nil"/>
              <w:right w:val="nil"/>
            </w:tcBorders>
            <w:shd w:val="clear" w:color="auto" w:fill="F2F2F2" w:themeFill="background1" w:themeFillShade="F2"/>
            <w:vAlign w:val="center"/>
          </w:tcPr>
          <w:p>
            <w:pPr>
              <w:spacing w:before="0" w:after="0"/>
              <w:jc w:val="center"/>
              <w:rPr>
                <w:rFonts w:eastAsia="Times New Roman"/>
                <w:b/>
                <w:bCs/>
                <w:noProof/>
                <w:color w:val="000000"/>
                <w:sz w:val="20"/>
                <w:szCs w:val="20"/>
              </w:rPr>
            </w:pPr>
            <w:r>
              <w:rPr>
                <w:b/>
                <w:bCs/>
                <w:noProof/>
                <w:color w:val="000000"/>
                <w:sz w:val="20"/>
                <w:szCs w:val="20"/>
              </w:rPr>
              <w:t>División 30</w:t>
            </w:r>
          </w:p>
        </w:tc>
        <w:tc>
          <w:tcPr>
            <w:tcW w:w="3000" w:type="dxa"/>
            <w:gridSpan w:val="2"/>
            <w:tcBorders>
              <w:top w:val="single" w:sz="8" w:space="0" w:color="4F81BD"/>
              <w:left w:val="nil"/>
              <w:bottom w:val="nil"/>
              <w:right w:val="single" w:sz="8" w:space="0" w:color="4F81BD"/>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Fabricación de otro material de transporte</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HERMANOS RAMALLO,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AZZERO MORRAZO </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12</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MONTAJES HERMANOS RODRÍGUEZ RAMALLO,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6</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DOMAYO METAL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15</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SERFRIMEC,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11</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FACTORÍAS VULCANO, S.A.</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69</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TALLERES NAVALES RUIZ,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w:t>
            </w:r>
          </w:p>
        </w:tc>
      </w:tr>
      <w:tr>
        <w:tc>
          <w:tcPr>
            <w:tcW w:w="3050"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INDUSTRIAS NAVALES A XUNQUEIRA, S.L.</w:t>
            </w:r>
          </w:p>
        </w:tc>
        <w:tc>
          <w:tcPr>
            <w:tcW w:w="1030"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TUBERÍA NAVAL FERRADAS,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22</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TUYCALDE, S.L.</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8</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1051" w:type="dxa"/>
            <w:tcBorders>
              <w:top w:val="single" w:sz="8" w:space="0" w:color="4F81BD"/>
              <w:left w:val="single" w:sz="8" w:space="0" w:color="4F81BD"/>
              <w:bottom w:val="nil"/>
              <w:right w:val="nil"/>
            </w:tcBorders>
            <w:shd w:val="clear" w:color="auto" w:fill="F2F2F2" w:themeFill="background1" w:themeFillShade="F2"/>
            <w:vAlign w:val="center"/>
          </w:tcPr>
          <w:p>
            <w:pPr>
              <w:spacing w:before="0" w:after="0"/>
              <w:jc w:val="center"/>
              <w:rPr>
                <w:rFonts w:eastAsia="Times New Roman"/>
                <w:b/>
                <w:bCs/>
                <w:noProof/>
                <w:color w:val="000000"/>
                <w:sz w:val="20"/>
                <w:szCs w:val="20"/>
              </w:rPr>
            </w:pPr>
            <w:r>
              <w:rPr>
                <w:b/>
                <w:bCs/>
                <w:noProof/>
                <w:color w:val="000000"/>
                <w:sz w:val="20"/>
                <w:szCs w:val="20"/>
              </w:rPr>
              <w:t>División 43</w:t>
            </w:r>
          </w:p>
        </w:tc>
        <w:tc>
          <w:tcPr>
            <w:tcW w:w="2970" w:type="dxa"/>
            <w:gridSpan w:val="2"/>
            <w:tcBorders>
              <w:top w:val="single" w:sz="8" w:space="0" w:color="4F81BD"/>
              <w:left w:val="nil"/>
              <w:bottom w:val="nil"/>
              <w:right w:val="single" w:sz="8" w:space="0" w:color="4F81BD"/>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Actividades de construcción especializada</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Cs/>
                <w:noProof/>
                <w:color w:val="000000"/>
                <w:sz w:val="20"/>
                <w:szCs w:val="20"/>
              </w:rPr>
            </w:pPr>
            <w:r>
              <w:rPr>
                <w:bCs/>
                <w:noProof/>
                <w:color w:val="000000"/>
                <w:sz w:val="20"/>
                <w:szCs w:val="20"/>
              </w:rPr>
              <w:t>VIGUESA DE CARPINTERÍA Y POLIURETANO, S.L. (VICARPO)</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37</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ELINCO CONSTRUCCIONES ELECTRICAS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92</w:t>
            </w:r>
          </w:p>
        </w:tc>
      </w:tr>
      <w:tr>
        <w:tc>
          <w:tcPr>
            <w:tcW w:w="1080" w:type="dxa"/>
            <w:tcBorders>
              <w:top w:val="single" w:sz="8" w:space="0" w:color="4F81BD"/>
              <w:left w:val="single" w:sz="8" w:space="0" w:color="4F81BD"/>
              <w:bottom w:val="single" w:sz="8" w:space="0" w:color="4F81BD"/>
              <w:right w:val="nil"/>
            </w:tcBorders>
            <w:shd w:val="clear" w:color="auto" w:fill="F2F2F2" w:themeFill="background1" w:themeFillShade="F2"/>
            <w:vAlign w:val="center"/>
          </w:tcPr>
          <w:p>
            <w:pPr>
              <w:spacing w:before="0" w:after="0"/>
              <w:jc w:val="center"/>
              <w:rPr>
                <w:rFonts w:eastAsia="Times New Roman"/>
                <w:b/>
                <w:bCs/>
                <w:noProof/>
                <w:color w:val="000000"/>
                <w:sz w:val="20"/>
                <w:szCs w:val="20"/>
              </w:rPr>
            </w:pPr>
            <w:r>
              <w:rPr>
                <w:b/>
                <w:bCs/>
                <w:noProof/>
                <w:color w:val="000000"/>
                <w:sz w:val="20"/>
                <w:szCs w:val="20"/>
              </w:rPr>
              <w:t>División 32</w:t>
            </w:r>
          </w:p>
        </w:tc>
        <w:tc>
          <w:tcPr>
            <w:tcW w:w="3000" w:type="dxa"/>
            <w:gridSpan w:val="2"/>
            <w:tcBorders>
              <w:top w:val="single" w:sz="8" w:space="0" w:color="4F81BD"/>
              <w:left w:val="nil"/>
              <w:bottom w:val="single" w:sz="8" w:space="0" w:color="4F81BD"/>
              <w:right w:val="single" w:sz="8" w:space="0" w:color="4F81BD"/>
            </w:tcBorders>
            <w:shd w:val="clear" w:color="auto" w:fill="F2F2F2" w:themeFill="background1" w:themeFillShade="F2"/>
            <w:vAlign w:val="center"/>
          </w:tcPr>
          <w:p>
            <w:pPr>
              <w:spacing w:before="0" w:after="0"/>
              <w:jc w:val="center"/>
              <w:rPr>
                <w:rFonts w:eastAsia="Times New Roman"/>
                <w:b/>
                <w:noProof/>
                <w:color w:val="000000"/>
                <w:sz w:val="20"/>
                <w:szCs w:val="20"/>
              </w:rPr>
            </w:pPr>
            <w:r>
              <w:rPr>
                <w:b/>
                <w:noProof/>
                <w:color w:val="000000"/>
                <w:sz w:val="20"/>
                <w:szCs w:val="20"/>
              </w:rPr>
              <w:t>Otras industrias manufactureras</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MONTAXES AGORPA, S.L.L.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62</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CYSTERCLEAN S.A.</w:t>
            </w: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57</w:t>
            </w: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nil"/>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NORINVER MONTAJES E INGENIERÍA, S.L.</w:t>
            </w:r>
          </w:p>
        </w:tc>
        <w:tc>
          <w:tcPr>
            <w:tcW w:w="715" w:type="dxa"/>
            <w:tcBorders>
              <w:top w:val="single" w:sz="8" w:space="0" w:color="4F81BD"/>
              <w:left w:val="nil"/>
              <w:bottom w:val="nil"/>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22</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
                <w:noProof/>
                <w:color w:val="000000"/>
                <w:sz w:val="20"/>
                <w:szCs w:val="20"/>
                <w:lang w:eastAsia="es-ES"/>
              </w:rPr>
            </w:pPr>
          </w:p>
        </w:tc>
        <w:tc>
          <w:tcPr>
            <w:tcW w:w="1030" w:type="dxa"/>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rPr>
                <w:rFonts w:eastAsia="Times New Roman"/>
                <w:b/>
                <w:noProof/>
                <w:color w:val="000000"/>
                <w:sz w:val="20"/>
                <w:szCs w:val="20"/>
                <w:lang w:eastAsia="es-ES"/>
              </w:rPr>
            </w:pPr>
          </w:p>
        </w:tc>
        <w:tc>
          <w:tcPr>
            <w:tcW w:w="240" w:type="dxa"/>
            <w:tcBorders>
              <w:top w:val="nil"/>
              <w:left w:val="single" w:sz="8" w:space="0" w:color="4F81BD"/>
              <w:bottom w:val="nil"/>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PROTECNAVI,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4</w:t>
            </w:r>
          </w:p>
        </w:tc>
      </w:tr>
      <w:tr>
        <w:tc>
          <w:tcPr>
            <w:tcW w:w="3050"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lang w:eastAsia="es-ES"/>
              </w:rPr>
            </w:pPr>
          </w:p>
        </w:tc>
        <w:tc>
          <w:tcPr>
            <w:tcW w:w="1030"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lang w:eastAsia="es-ES"/>
              </w:rPr>
            </w:pPr>
          </w:p>
        </w:tc>
        <w:tc>
          <w:tcPr>
            <w:tcW w:w="240" w:type="dxa"/>
            <w:tcBorders>
              <w:top w:val="nil"/>
              <w:left w:val="single" w:sz="8" w:space="0" w:color="4F81BD"/>
              <w:bottom w:val="single" w:sz="8" w:space="0" w:color="4F81BD"/>
              <w:right w:val="single" w:sz="8" w:space="0" w:color="4F81BD"/>
            </w:tcBorders>
          </w:tcPr>
          <w:p>
            <w:pPr>
              <w:spacing w:before="0" w:after="0"/>
              <w:rPr>
                <w:rFonts w:eastAsia="Times New Roman"/>
                <w:bCs/>
                <w:noProof/>
                <w:color w:val="000000"/>
                <w:sz w:val="20"/>
                <w:szCs w:val="20"/>
                <w:lang w:eastAsia="es-ES"/>
              </w:rPr>
            </w:pPr>
          </w:p>
        </w:tc>
        <w:tc>
          <w:tcPr>
            <w:tcW w:w="3306" w:type="dxa"/>
            <w:gridSpan w:val="2"/>
            <w:tcBorders>
              <w:top w:val="single" w:sz="8" w:space="0" w:color="4F81BD"/>
              <w:left w:val="single" w:sz="8" w:space="0" w:color="4F81BD"/>
              <w:bottom w:val="single" w:sz="8" w:space="0" w:color="4F81BD"/>
              <w:right w:val="single" w:sz="8" w:space="0" w:color="4F81BD"/>
            </w:tcBorders>
            <w:shd w:val="clear" w:color="auto" w:fill="auto"/>
            <w:vAlign w:val="center"/>
          </w:tcPr>
          <w:p>
            <w:pPr>
              <w:spacing w:before="0" w:after="0"/>
              <w:jc w:val="left"/>
              <w:rPr>
                <w:rFonts w:eastAsia="Times New Roman"/>
                <w:bCs/>
                <w:noProof/>
                <w:color w:val="000000"/>
                <w:sz w:val="20"/>
                <w:szCs w:val="20"/>
              </w:rPr>
            </w:pPr>
            <w:r>
              <w:rPr>
                <w:bCs/>
                <w:noProof/>
                <w:color w:val="000000"/>
                <w:sz w:val="20"/>
                <w:szCs w:val="20"/>
              </w:rPr>
              <w:t>URKIRA OX, S.L.</w:t>
            </w:r>
          </w:p>
        </w:tc>
        <w:tc>
          <w:tcPr>
            <w:tcW w:w="715" w:type="dxa"/>
            <w:tcBorders>
              <w:top w:val="single" w:sz="8" w:space="0" w:color="4F81BD"/>
              <w:left w:val="nil"/>
              <w:bottom w:val="single" w:sz="8" w:space="0" w:color="4F81BD"/>
              <w:right w:val="single" w:sz="8" w:space="0" w:color="4F81BD"/>
            </w:tcBorders>
            <w:shd w:val="clear" w:color="auto" w:fill="auto"/>
            <w:vAlign w:val="center"/>
          </w:tcPr>
          <w:p>
            <w:pPr>
              <w:spacing w:before="0" w:after="0"/>
              <w:jc w:val="center"/>
              <w:rPr>
                <w:rFonts w:eastAsia="Times New Roman"/>
                <w:noProof/>
                <w:color w:val="000000"/>
                <w:sz w:val="20"/>
                <w:szCs w:val="20"/>
              </w:rPr>
            </w:pPr>
            <w:r>
              <w:rPr>
                <w:noProof/>
                <w:color w:val="000000"/>
                <w:sz w:val="20"/>
                <w:szCs w:val="20"/>
              </w:rPr>
              <w:t>24</w:t>
            </w:r>
          </w:p>
        </w:tc>
      </w:tr>
    </w:tbl>
    <w:tbl>
      <w:tblPr>
        <w:tblW w:w="8340"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0"/>
        <w:gridCol w:w="3240"/>
        <w:gridCol w:w="1020"/>
      </w:tblGrid>
      <w:tr>
        <w:trPr>
          <w:trHeight w:val="284"/>
        </w:trPr>
        <w:tc>
          <w:tcPr>
            <w:tcW w:w="4080" w:type="dxa"/>
            <w:tcBorders>
              <w:bottom w:val="nil"/>
              <w:right w:val="nil"/>
            </w:tcBorders>
            <w:shd w:val="clear" w:color="auto" w:fill="E6E6E6"/>
            <w:vAlign w:val="center"/>
          </w:tcPr>
          <w:p>
            <w:pPr>
              <w:spacing w:beforeLines="20" w:before="48" w:afterLines="20" w:after="48" w:line="276" w:lineRule="auto"/>
              <w:ind w:left="57"/>
              <w:jc w:val="left"/>
              <w:rPr>
                <w:rFonts w:eastAsia="Calibri"/>
                <w:b/>
                <w:noProof/>
                <w:szCs w:val="24"/>
              </w:rPr>
            </w:pPr>
            <w:r>
              <w:rPr>
                <w:noProof/>
              </w:rPr>
              <w:br w:type="page"/>
            </w:r>
            <w:r>
              <w:rPr>
                <w:b/>
                <w:noProof/>
                <w:szCs w:val="24"/>
              </w:rPr>
              <w:t>Número total de empresas:</w:t>
            </w:r>
            <w:r>
              <w:rPr>
                <w:b/>
                <w:noProof/>
                <w:sz w:val="22"/>
              </w:rPr>
              <w:t xml:space="preserve"> </w:t>
            </w:r>
            <w:r>
              <w:rPr>
                <w:b/>
                <w:noProof/>
              </w:rPr>
              <w:t>38</w:t>
            </w:r>
          </w:p>
        </w:tc>
        <w:tc>
          <w:tcPr>
            <w:tcW w:w="3240" w:type="dxa"/>
            <w:tcBorders>
              <w:left w:val="nil"/>
              <w:bottom w:val="nil"/>
              <w:right w:val="single" w:sz="4" w:space="0" w:color="auto"/>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szCs w:val="24"/>
              </w:rPr>
              <w:t>Número total de despidos:</w:t>
            </w:r>
            <w:r>
              <w:rPr>
                <w:b/>
                <w:noProof/>
                <w:sz w:val="22"/>
              </w:rPr>
              <w:t xml:space="preserve"> </w:t>
            </w:r>
          </w:p>
        </w:tc>
        <w:tc>
          <w:tcPr>
            <w:tcW w:w="1020" w:type="dxa"/>
            <w:tcBorders>
              <w:left w:val="single" w:sz="4" w:space="0" w:color="auto"/>
              <w:bottom w:val="nil"/>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960</w:t>
            </w:r>
          </w:p>
        </w:tc>
      </w:tr>
      <w:tr>
        <w:trPr>
          <w:trHeight w:val="284"/>
        </w:trPr>
        <w:tc>
          <w:tcPr>
            <w:tcW w:w="4080" w:type="dxa"/>
            <w:tcBorders>
              <w:top w:val="nil"/>
              <w:right w:val="nil"/>
            </w:tcBorders>
            <w:shd w:val="clear" w:color="auto" w:fill="E6E6E6"/>
            <w:vAlign w:val="center"/>
          </w:tcPr>
          <w:p>
            <w:pPr>
              <w:spacing w:beforeLines="20" w:before="48" w:afterLines="20" w:after="48" w:line="276" w:lineRule="auto"/>
              <w:ind w:left="57"/>
              <w:jc w:val="left"/>
              <w:rPr>
                <w:rFonts w:eastAsia="Calibri"/>
                <w:b/>
                <w:noProof/>
                <w:szCs w:val="24"/>
              </w:rPr>
            </w:pPr>
          </w:p>
        </w:tc>
        <w:tc>
          <w:tcPr>
            <w:tcW w:w="3240" w:type="dxa"/>
            <w:tcBorders>
              <w:top w:val="nil"/>
              <w:left w:val="nil"/>
              <w:right w:val="single" w:sz="4" w:space="0" w:color="auto"/>
            </w:tcBorders>
            <w:shd w:val="clear" w:color="auto" w:fill="E6E6E6"/>
            <w:vAlign w:val="center"/>
          </w:tcPr>
          <w:p>
            <w:pPr>
              <w:spacing w:beforeLines="20" w:before="48" w:afterLines="20" w:after="48" w:line="276" w:lineRule="auto"/>
              <w:ind w:left="57"/>
              <w:jc w:val="left"/>
              <w:rPr>
                <w:rFonts w:eastAsia="Calibri"/>
                <w:b/>
                <w:noProof/>
                <w:szCs w:val="24"/>
              </w:rPr>
            </w:pPr>
            <w:r>
              <w:rPr>
                <w:b/>
                <w:noProof/>
                <w:szCs w:val="24"/>
              </w:rPr>
              <w:t>Número total de trabajadores elegibles:</w:t>
            </w:r>
          </w:p>
        </w:tc>
        <w:tc>
          <w:tcPr>
            <w:tcW w:w="1020" w:type="dxa"/>
            <w:tcBorders>
              <w:top w:val="nil"/>
              <w:left w:val="single" w:sz="4" w:space="0" w:color="auto"/>
            </w:tcBorders>
            <w:shd w:val="clear" w:color="auto" w:fill="E6E6E6"/>
            <w:vAlign w:val="center"/>
          </w:tcPr>
          <w:p>
            <w:pPr>
              <w:spacing w:beforeLines="20" w:before="48" w:afterLines="20" w:after="48" w:line="276" w:lineRule="auto"/>
              <w:ind w:left="57" w:right="227"/>
              <w:jc w:val="left"/>
              <w:rPr>
                <w:rFonts w:eastAsia="Calibri"/>
                <w:b/>
                <w:noProof/>
                <w:szCs w:val="24"/>
              </w:rPr>
            </w:pPr>
            <w:r>
              <w:rPr>
                <w:b/>
                <w:noProof/>
              </w:rPr>
              <w:t>960</w:t>
            </w:r>
          </w:p>
        </w:tc>
      </w:tr>
    </w:tbl>
    <w:p>
      <w:pPr>
        <w:pStyle w:val="ManualHeading3"/>
        <w:rPr>
          <w:noProof/>
        </w:rPr>
      </w:pPr>
      <w:r>
        <w:rPr>
          <w:noProof/>
        </w:rPr>
        <w:t>Criterios de intervención</w:t>
      </w:r>
    </w:p>
    <w:p>
      <w:pPr>
        <w:pStyle w:val="ManualNumPar1"/>
        <w:rPr>
          <w:noProof/>
        </w:rPr>
      </w:pPr>
      <w:r>
        <w:t>6.</w:t>
      </w:r>
      <w:r>
        <w:tab/>
      </w:r>
      <w:r>
        <w:rPr>
          <w:noProof/>
        </w:rPr>
        <w:t xml:space="preserve">España presentó la solicitud con arreglo a los criterios de intervención del artículo 4, apartado 2, que establece una excepción a los criterios del artículo 4, apartado 1, letra b), del Reglamento del FEAG. Este artículo requiere que se haya despedido como mínimo a 500 trabajadores durante un período de referencia de nueve meses en </w:t>
      </w:r>
      <w:r>
        <w:rPr>
          <w:noProof/>
        </w:rPr>
        <w:lastRenderedPageBreak/>
        <w:t>empresas que operen en un mismo sector económico definido en una división de la NACE Rev. 2 y estén situadas en una región o en dos regiones contiguas de nivel NUTS 2 de un Estado miembro. Se produjeron 960 despidos en la región de nivel NUTS 2 de Galicia (ES11) en los sectores auxiliares de la construcción naval. Sin embargo, dado que los despidos no se produjeron en el mismo sector económico (véase el apartado 2), se aplica la excepción al artículo 4, apartado 1, letra b), prevista en el artículo 4, apartado 2 (véanse los apartados 17 a 22 para más detalles sobre las circunstancias excepcionales relativas a la admisibilidad de la solicitud).</w:t>
      </w:r>
    </w:p>
    <w:p>
      <w:pPr>
        <w:pStyle w:val="ManualNumPar1"/>
        <w:rPr>
          <w:noProof/>
        </w:rPr>
      </w:pPr>
      <w:bookmarkStart w:id="7" w:name="_Ref372189348"/>
      <w:r>
        <w:t>7.</w:t>
      </w:r>
      <w:r>
        <w:tab/>
      </w:r>
      <w:r>
        <w:rPr>
          <w:noProof/>
        </w:rPr>
        <w:t>El período de referencia de nueve meses de la solicitud abarca del 23 de mayo de 2019 al</w:t>
      </w:r>
      <w:bookmarkEnd w:id="7"/>
      <w:r>
        <w:rPr>
          <w:noProof/>
        </w:rPr>
        <w:t xml:space="preserve"> 23 de febrero de 2020.</w:t>
      </w:r>
    </w:p>
    <w:p>
      <w:pPr>
        <w:pStyle w:val="ManualHeading3"/>
        <w:rPr>
          <w:noProof/>
        </w:rPr>
      </w:pPr>
      <w:r>
        <w:rPr>
          <w:noProof/>
        </w:rPr>
        <w:t>Cálculo de los despidos y del cese de actividad</w:t>
      </w:r>
    </w:p>
    <w:p>
      <w:pPr>
        <w:pStyle w:val="ManualNumPar1"/>
        <w:rPr>
          <w:noProof/>
        </w:rPr>
      </w:pPr>
      <w:r>
        <w:t>8.</w:t>
      </w:r>
      <w:r>
        <w:tab/>
      </w:r>
      <w:r>
        <w:rPr>
          <w:noProof/>
        </w:rPr>
        <w:t xml:space="preserve">Los 960 despidos durante el período de referencia se han calculado a partir de la fecha de la rescisión </w:t>
      </w:r>
      <w:r>
        <w:rPr>
          <w:i/>
          <w:iCs/>
          <w:noProof/>
        </w:rPr>
        <w:t>de facto</w:t>
      </w:r>
      <w:r>
        <w:rPr>
          <w:noProof/>
        </w:rPr>
        <w:t xml:space="preserve"> del contrato laboral o de su extinción.</w:t>
      </w:r>
    </w:p>
    <w:p>
      <w:pPr>
        <w:pStyle w:val="ManualHeading3"/>
        <w:rPr>
          <w:noProof/>
        </w:rPr>
      </w:pPr>
      <w:r>
        <w:rPr>
          <w:noProof/>
        </w:rPr>
        <w:t>Beneficiarios elegibles</w:t>
      </w:r>
    </w:p>
    <w:p>
      <w:pPr>
        <w:pStyle w:val="ManualNumPar1"/>
        <w:rPr>
          <w:noProof/>
        </w:rPr>
      </w:pPr>
      <w:r>
        <w:t>9.</w:t>
      </w:r>
      <w:r>
        <w:tab/>
      </w:r>
      <w:r>
        <w:rPr>
          <w:noProof/>
        </w:rPr>
        <w:t>El número total de beneficiarios elegibles es de 960.</w:t>
      </w:r>
    </w:p>
    <w:p>
      <w:pPr>
        <w:pStyle w:val="ManualHeading3"/>
        <w:tabs>
          <w:tab w:val="clear" w:pos="850"/>
          <w:tab w:val="left" w:pos="0"/>
        </w:tabs>
        <w:ind w:left="0" w:firstLine="0"/>
        <w:rPr>
          <w:noProof/>
        </w:rPr>
      </w:pPr>
      <w:r>
        <w:rPr>
          <w:noProof/>
        </w:rPr>
        <w:t>Relación entre los despidos y los grandes cambios estructurales en los patrones del comercio mundial a causa de la globalización</w:t>
      </w:r>
    </w:p>
    <w:p>
      <w:pPr>
        <w:pStyle w:val="ManualNumPar1"/>
        <w:rPr>
          <w:noProof/>
        </w:rPr>
      </w:pPr>
      <w:r>
        <w:t>10.</w:t>
      </w:r>
      <w:r>
        <w:tab/>
      </w:r>
      <w:r>
        <w:rPr>
          <w:noProof/>
        </w:rPr>
        <w:t>A fin de establecer la relación entre los despidos y los grandes cambios estructurales en los patrones del comercio mundial a causa de la globalización, España alega que el sector marítimo mundial ha cambiado drásticamente en los últimos veinte años. Como consecuencia del enorme crecimiento de la cartera de pedidos en el período 2002-2008 [que pasó de 48,9 a 194,2 millones de toneladas brutas compensadas (CGT)</w:t>
      </w:r>
      <w:r>
        <w:rPr>
          <w:rStyle w:val="FootnoteReference"/>
          <w:noProof/>
        </w:rPr>
        <w:footnoteReference w:id="7"/>
      </w:r>
      <w:r>
        <w:rPr>
          <w:noProof/>
        </w:rPr>
        <w:t>]</w:t>
      </w:r>
      <w:r>
        <w:rPr>
          <w:rStyle w:val="FootnoteReference"/>
          <w:noProof/>
        </w:rPr>
        <w:footnoteReference w:id="8"/>
      </w:r>
      <w:r>
        <w:rPr>
          <w:noProof/>
        </w:rPr>
        <w:t xml:space="preserve"> se construyeron nuevos astilleros, la mayoría de ellos en Asia. Sin embargo, la crisis económica y financiera mundial ya redujo a la mitad los pedidos entre 2008 y 2012, y la tendencia a la baja se ha mantenido desde entonces. Desde 2012 y hasta finales de 2019, los pedidos disminuyeron un 13,6 % (pasando de 92,3 a 79,7 millones de CGT)</w:t>
      </w:r>
      <w:r>
        <w:rPr>
          <w:rStyle w:val="FootnoteReference"/>
          <w:noProof/>
        </w:rPr>
        <w:footnoteReference w:id="9"/>
      </w:r>
      <w:r>
        <w:rPr>
          <w:noProof/>
        </w:rPr>
        <w:t xml:space="preserve">. Como consecuencia de la reducción de los pedidos y de la considerable expansión de la construcción naval en Asia, el sector ha estado sufriendo un exceso de capacidad a nivel mundial que ha provocado una competencia mundial exacerbada. </w:t>
      </w:r>
    </w:p>
    <w:p>
      <w:pPr>
        <w:pStyle w:val="ManualNumPar1"/>
        <w:rPr>
          <w:noProof/>
        </w:rPr>
      </w:pPr>
      <w:r>
        <w:t>11.</w:t>
      </w:r>
      <w:r>
        <w:tab/>
      </w:r>
      <w:r>
        <w:rPr>
          <w:noProof/>
        </w:rPr>
        <w:t>El hecho de que los buques oceánicos nuevos puedan cargar su primer flete con independencia del lugar donde se hayan construido aumenta la flexibilidad de los compradores a la hora de comprar buques, de modo que se intensifica la competencia de los astilleros en todo el mundo</w:t>
      </w:r>
      <w:r>
        <w:rPr>
          <w:rStyle w:val="FootnoteReference"/>
          <w:noProof/>
        </w:rPr>
        <w:footnoteReference w:id="10"/>
      </w:r>
      <w:r>
        <w:rPr>
          <w:noProof/>
        </w:rPr>
        <w:t>.</w:t>
      </w:r>
    </w:p>
    <w:p>
      <w:pPr>
        <w:pStyle w:val="ManualNumPar1"/>
        <w:rPr>
          <w:noProof/>
        </w:rPr>
      </w:pPr>
      <w:r>
        <w:t>12.</w:t>
      </w:r>
      <w:r>
        <w:tab/>
      </w:r>
      <w:r>
        <w:rPr>
          <w:noProof/>
        </w:rPr>
        <w:t xml:space="preserve">En quince años (desde 2004 hasta 2019), la construcción de buques mercantes (es decir, la construcción de buques cisterna, graneleros y portacontenedores) se ha </w:t>
      </w:r>
      <w:r>
        <w:rPr>
          <w:noProof/>
        </w:rPr>
        <w:lastRenderedPageBreak/>
        <w:t>trasladado de Europa a Asia Oriental. En vista de la competición feroz de los países de Asia Oriental, los astilleros europeos reorientaron sus actividades de construcción naval hacia nuevos mercados y entraron en los nichos de mercado de la construcción naval compleja, como los buques de pasajeros y otros buques de transporte distintos de los de carga (ONCCV)</w:t>
      </w:r>
      <w:r>
        <w:rPr>
          <w:rStyle w:val="FootnoteReference"/>
          <w:noProof/>
        </w:rPr>
        <w:footnoteReference w:id="11"/>
      </w:r>
      <w:r>
        <w:rPr>
          <w:noProof/>
        </w:rPr>
        <w:t xml:space="preserve">. En 2019, los buques de pasajeros, los ONCCV y los buques de apoyo para la industria </w:t>
      </w:r>
      <w:r>
        <w:rPr>
          <w:i/>
          <w:iCs/>
          <w:noProof/>
        </w:rPr>
        <w:t>offshore</w:t>
      </w:r>
      <w:r>
        <w:rPr>
          <w:noProof/>
        </w:rPr>
        <w:t xml:space="preserve"> supusieron el 95 % de los pedidos europeos</w:t>
      </w:r>
      <w:r>
        <w:rPr>
          <w:rStyle w:val="FootnoteReference"/>
          <w:noProof/>
        </w:rPr>
        <w:footnoteReference w:id="12"/>
      </w:r>
      <w:r>
        <w:rPr>
          <w:noProof/>
        </w:rPr>
        <w:t>.</w:t>
      </w:r>
    </w:p>
    <w:p>
      <w:pPr>
        <w:pStyle w:val="ManualNumPar1"/>
        <w:rPr>
          <w:noProof/>
        </w:rPr>
      </w:pPr>
      <w:r>
        <w:t>13.</w:t>
      </w:r>
      <w:r>
        <w:tab/>
      </w:r>
      <w:r>
        <w:rPr>
          <w:noProof/>
        </w:rPr>
        <w:t>Sin embargo, países como China, Corea del Sur y Japón, que se han enfrentados a un gran exceso de capacidad en la construcción de buques mercantes en los últimos años, también han decidido recientemente introducirse en el mercado europeo de tipos de barcos complejos y de alta tecnología. Por otra parte, estos países han introducido nuevas estrategias y políticas sectoriales y han aplicado un conjunto de medidas, incluidas ayudas estatales y otros incentivos financieros, destinadas a estimular la demanda interna. Además, también han introducido medidas comerciales nuevas o adicionales en apoyo de sus astilleros locales, así como de sus empresas locales de equipamientos marítimos</w:t>
      </w:r>
      <w:r>
        <w:rPr>
          <w:rStyle w:val="FootnoteReference"/>
          <w:noProof/>
        </w:rPr>
        <w:footnoteReference w:id="13"/>
      </w:r>
      <w:r>
        <w:rPr>
          <w:noProof/>
        </w:rPr>
        <w:t>.</w:t>
      </w:r>
    </w:p>
    <w:p>
      <w:pPr>
        <w:pStyle w:val="ManualNumPar1"/>
        <w:rPr>
          <w:noProof/>
        </w:rPr>
      </w:pPr>
      <w:r>
        <w:t>14.</w:t>
      </w:r>
      <w:r>
        <w:tab/>
      </w:r>
      <w:r>
        <w:rPr>
          <w:noProof/>
        </w:rPr>
        <w:t>Esto ha llevado a que la producción mundial se traslade en gran medida desde Europa hacia Asia. En 2002, los líderes mundiales en el sector de la construcción naval, medidos por el volumen de producción, eran Corea del Sur y Japón (30 % cada uno), seguidos de Europa (22,5 %). China solo representaba el 7 % de la construcción naval mundial. En 2018, China (35,5 %) se había convertido en líder, seguida de Japón (23,4 %) y Corea del Sur (22,7 %), mientras que la cuota de mercado de Europa había descendido a solo el 6,8 %</w:t>
      </w:r>
      <w:r>
        <w:rPr>
          <w:rStyle w:val="FootnoteReference"/>
          <w:noProof/>
        </w:rPr>
        <w:footnoteReference w:id="14"/>
      </w:r>
      <w:r>
        <w:rPr>
          <w:noProof/>
        </w:rPr>
        <w:t>. En cuanto a la cartera de pedidos, la cuota de Europa en 2019 fue del 14,7 % (cinco puntos porcentuales menos que en 2002), mientras que China, en su calidad de líder del mercado, tuvo una cuota del 34 %, Corea del Sur, del 26 % y Japón, del 15 %</w:t>
      </w:r>
      <w:r>
        <w:rPr>
          <w:rStyle w:val="FootnoteReference"/>
          <w:noProof/>
        </w:rPr>
        <w:footnoteReference w:id="15"/>
      </w:r>
      <w:r>
        <w:rPr>
          <w:noProof/>
        </w:rPr>
        <w:t>.</w:t>
      </w:r>
    </w:p>
    <w:p>
      <w:pPr>
        <w:pStyle w:val="ManualNumPar1"/>
        <w:rPr>
          <w:noProof/>
        </w:rPr>
      </w:pPr>
      <w:r>
        <w:t>15.</w:t>
      </w:r>
      <w:r>
        <w:tab/>
      </w:r>
      <w:r>
        <w:rPr>
          <w:noProof/>
        </w:rPr>
        <w:t>De este modo, Europa ha perdido terreno frente a los países asiáticos, que cuentan con costes laborales más bajos, políticas de subvenciones y trato fiscal preferente</w:t>
      </w:r>
      <w:r>
        <w:rPr>
          <w:rStyle w:val="FootnoteReference"/>
          <w:noProof/>
        </w:rPr>
        <w:footnoteReference w:id="16"/>
      </w:r>
      <w:r>
        <w:rPr>
          <w:noProof/>
        </w:rPr>
        <w:t xml:space="preserve">. </w:t>
      </w:r>
    </w:p>
    <w:p>
      <w:pPr>
        <w:pStyle w:val="ManualNumPar1"/>
        <w:rPr>
          <w:noProof/>
        </w:rPr>
      </w:pPr>
      <w:r>
        <w:t>16.</w:t>
      </w:r>
      <w:r>
        <w:tab/>
      </w:r>
      <w:r>
        <w:rPr>
          <w:noProof/>
        </w:rPr>
        <w:t>Hasta la fecha, el sector de la construcción naval en un sentido más amplio ha sido objeto de siete solicitudes de intervención del FEAG</w:t>
      </w:r>
      <w:r>
        <w:rPr>
          <w:rStyle w:val="FootnoteReference"/>
          <w:noProof/>
        </w:rPr>
        <w:footnoteReference w:id="17"/>
      </w:r>
      <w:r>
        <w:rPr>
          <w:noProof/>
        </w:rPr>
        <w:t xml:space="preserve">, dos de ellas basadas en la </w:t>
      </w:r>
      <w:r>
        <w:rPr>
          <w:noProof/>
        </w:rPr>
        <w:lastRenderedPageBreak/>
        <w:t>globalización del comercio y las otras cinco, en la crisis económica y financiera mundial. Cuatro de estos casos se refieren a maquinaria y equipo para buques, mientras que los otros tres se refieren a astilleros.</w:t>
      </w:r>
    </w:p>
    <w:p>
      <w:pPr>
        <w:pStyle w:val="ManualHeading3"/>
        <w:tabs>
          <w:tab w:val="clear" w:pos="850"/>
          <w:tab w:val="left" w:pos="0"/>
        </w:tabs>
        <w:ind w:left="0" w:firstLine="0"/>
        <w:rPr>
          <w:noProof/>
        </w:rPr>
      </w:pPr>
      <w:r>
        <w:rPr>
          <w:noProof/>
        </w:rPr>
        <w:t>Explicación de las circunstancias excepcionales que subyacen a la admisibilidad de la solicitud</w:t>
      </w:r>
    </w:p>
    <w:p>
      <w:pPr>
        <w:pStyle w:val="ManualNumPar1"/>
        <w:rPr>
          <w:noProof/>
        </w:rPr>
      </w:pPr>
      <w:r>
        <w:t>17.</w:t>
      </w:r>
      <w:r>
        <w:tab/>
      </w:r>
      <w:r>
        <w:rPr>
          <w:noProof/>
        </w:rPr>
        <w:t xml:space="preserve">El artículo 4, apartado 2, del Reglamento del FEAG permite que las solicitudes colectivas en las que participen pymes situadas en una región incluyan a pymes que operen en diferentes sectores económicos definidos en una división de la NACE Rev. 2 si las pymes constituyen el único o el principal tipo de negocio en la citada región. </w:t>
      </w:r>
    </w:p>
    <w:p>
      <w:pPr>
        <w:pStyle w:val="ManualNumPar1"/>
        <w:rPr>
          <w:noProof/>
        </w:rPr>
      </w:pPr>
      <w:r>
        <w:t>18.</w:t>
      </w:r>
      <w:r>
        <w:tab/>
      </w:r>
      <w:r>
        <w:rPr>
          <w:noProof/>
        </w:rPr>
        <w:t>Según el Instituto Gallego de Estadística, en 2018 estaban registradas en Galicia 247 631 empresas, 247 478 de las cuales (el 99,94 %) tenían menos de 250 trabajadores</w:t>
      </w:r>
      <w:r>
        <w:rPr>
          <w:rStyle w:val="FootnoteReference"/>
          <w:noProof/>
        </w:rPr>
        <w:footnoteReference w:id="18"/>
      </w:r>
      <w:r>
        <w:rPr>
          <w:noProof/>
        </w:rPr>
        <w:t>. Por lo tanto, las pymes constituyen la espina dorsal de la economía de la región.</w:t>
      </w:r>
    </w:p>
    <w:p>
      <w:pPr>
        <w:pStyle w:val="ManualNumPar1"/>
        <w:rPr>
          <w:noProof/>
        </w:rPr>
      </w:pPr>
      <w:r>
        <w:t>19.</w:t>
      </w:r>
      <w:r>
        <w:tab/>
      </w:r>
      <w:r>
        <w:rPr>
          <w:noProof/>
        </w:rPr>
        <w:t>Además, las 38 empresas objeto de esta solicitud son pymes.</w:t>
      </w:r>
    </w:p>
    <w:p>
      <w:pPr>
        <w:pStyle w:val="ManualNumPar1"/>
        <w:rPr>
          <w:rStyle w:val="tlid-translation"/>
          <w:noProof/>
        </w:rPr>
      </w:pPr>
      <w:r>
        <w:rPr>
          <w:rStyle w:val="tlid-translation"/>
        </w:rPr>
        <w:t>20.</w:t>
      </w:r>
      <w:r>
        <w:rPr>
          <w:rStyle w:val="tlid-translation"/>
        </w:rPr>
        <w:tab/>
      </w:r>
      <w:r>
        <w:rPr>
          <w:noProof/>
        </w:rPr>
        <w:t>La construcción naval europea está compuesta en su gran mayoría por pequeños y medianos astilleros (buques de 60-150 toneladas), con una subcontratación estimada del 80 % del valor total</w:t>
      </w:r>
      <w:r>
        <w:rPr>
          <w:rStyle w:val="FootnoteReference"/>
          <w:noProof/>
        </w:rPr>
        <w:footnoteReference w:id="19"/>
      </w:r>
      <w:r>
        <w:rPr>
          <w:noProof/>
        </w:rPr>
        <w:t xml:space="preserve"> y del 89 % del empleo</w:t>
      </w:r>
      <w:r>
        <w:rPr>
          <w:rStyle w:val="FootnoteReference"/>
          <w:noProof/>
          <w:szCs w:val="24"/>
        </w:rPr>
        <w:footnoteReference w:id="20"/>
      </w:r>
      <w:r>
        <w:rPr>
          <w:noProof/>
        </w:rPr>
        <w:t xml:space="preserve">. La construcción naval gallega sigue esta pauta de subcontratación. </w:t>
      </w:r>
      <w:r>
        <w:rPr>
          <w:rStyle w:val="tlid-translation"/>
          <w:noProof/>
        </w:rPr>
        <w:t xml:space="preserve">Los subcontratistas tienen un alto nivel de especialización y, por tanto, un alto grado de dependencia del astillero principal. </w:t>
      </w:r>
      <w:r>
        <w:rPr>
          <w:noProof/>
        </w:rPr>
        <w:t xml:space="preserve">Cuando este presenta dificultades económicas, la industria auxiliar de la construcción naval se ve gravemente afectada. Por consiguiente, las interdependencias y consecuencias en el empleo que afectan a </w:t>
      </w:r>
      <w:r>
        <w:rPr>
          <w:rStyle w:val="tlid-translation"/>
          <w:noProof/>
        </w:rPr>
        <w:t>la</w:t>
      </w:r>
      <w:r>
        <w:rPr>
          <w:noProof/>
        </w:rPr>
        <w:t xml:space="preserve"> industria auxiliar de la construcción naval </w:t>
      </w:r>
      <w:r>
        <w:rPr>
          <w:rStyle w:val="tlid-translation"/>
          <w:noProof/>
        </w:rPr>
        <w:t xml:space="preserve">son las mismas que si las empresas se encontraran en un único sector económico de la NACE. </w:t>
      </w:r>
    </w:p>
    <w:p>
      <w:pPr>
        <w:pStyle w:val="ManualNumPar1"/>
        <w:rPr>
          <w:noProof/>
        </w:rPr>
      </w:pPr>
      <w:r>
        <w:t>21.</w:t>
      </w:r>
      <w:r>
        <w:tab/>
      </w:r>
      <w:r>
        <w:rPr>
          <w:noProof/>
        </w:rPr>
        <w:t>La concentración de todos los astilleros comerciales (siete</w:t>
      </w:r>
      <w:r>
        <w:rPr>
          <w:rStyle w:val="FootnoteReference"/>
          <w:noProof/>
        </w:rPr>
        <w:footnoteReference w:id="21"/>
      </w:r>
      <w:r>
        <w:rPr>
          <w:noProof/>
        </w:rPr>
        <w:t xml:space="preserve"> en 2019) en un territorio reducido, la Ría de Vigo, exacerba los efectos negativos en el mercado laboral regional. Los despidos tienen, pues, un grave impacto en la economía regional.</w:t>
      </w:r>
    </w:p>
    <w:p>
      <w:pPr>
        <w:pStyle w:val="ManualNumPar1"/>
        <w:rPr>
          <w:noProof/>
        </w:rPr>
      </w:pPr>
      <w:r>
        <w:t>22.</w:t>
      </w:r>
      <w:r>
        <w:tab/>
      </w:r>
      <w:r>
        <w:rPr>
          <w:rStyle w:val="tlid-translation"/>
          <w:noProof/>
        </w:rPr>
        <w:t>Por lo tanto, se cumplen las condiciones del artículo 4, apartado 2, que permiten considerar admisible una solicitud con arreglo al artículo 4, apartado 1, letra b), incluso si no se reúnen todos los criterios.</w:t>
      </w:r>
    </w:p>
    <w:p>
      <w:pPr>
        <w:pStyle w:val="ManualNumPar1"/>
        <w:rPr>
          <w:noProof/>
        </w:rPr>
      </w:pPr>
      <w:r>
        <w:t>23.</w:t>
      </w:r>
      <w:r>
        <w:tab/>
      </w:r>
      <w:r>
        <w:rPr>
          <w:noProof/>
        </w:rPr>
        <w:t>Así, esta solicitud debe asimilarse a una solicitud con arreglo al artículo 4, apartado 1, letra b), del Reglamento del FEAG debido a circunstancias excepcionales (el grave impacto de los despidos en el empleo y la economía local junto con el hecho de que las pymes son el principal tipo de negocio en la región).</w:t>
      </w:r>
    </w:p>
    <w:p>
      <w:pPr>
        <w:pStyle w:val="ManualHeading3"/>
        <w:rPr>
          <w:noProof/>
        </w:rPr>
      </w:pPr>
      <w:r>
        <w:rPr>
          <w:noProof/>
        </w:rPr>
        <w:lastRenderedPageBreak/>
        <w:t>Hechos que dieron lugar a los despidos y al cese de la actividad</w:t>
      </w:r>
    </w:p>
    <w:p>
      <w:pPr>
        <w:pStyle w:val="ManualNumPar1"/>
        <w:rPr>
          <w:noProof/>
        </w:rPr>
      </w:pPr>
      <w:r>
        <w:t>24.</w:t>
      </w:r>
      <w:r>
        <w:tab/>
      </w:r>
      <w:r>
        <w:rPr>
          <w:noProof/>
        </w:rPr>
        <w:t xml:space="preserve">Los astilleros gallegos construyen buques militares, petroleros, quimiqueros, buques de apoyo para la industria </w:t>
      </w:r>
      <w:r>
        <w:rPr>
          <w:i/>
          <w:iCs/>
          <w:noProof/>
        </w:rPr>
        <w:t>offshore</w:t>
      </w:r>
      <w:r>
        <w:rPr>
          <w:noProof/>
        </w:rPr>
        <w:t>, buques de investigación oceanográfica y sísmica, remolcadores y buques de transporte de pasajeros (transbordadores, cruceros y embarcaciones de recreo) tecnológicamente avanzados. Los astilleros gallegos también sobresalen en la construcción de buques de pesca</w:t>
      </w:r>
      <w:r>
        <w:rPr>
          <w:rStyle w:val="FootnoteReference"/>
          <w:noProof/>
        </w:rPr>
        <w:footnoteReference w:id="22"/>
      </w:r>
      <w:r>
        <w:rPr>
          <w:noProof/>
        </w:rPr>
        <w:t xml:space="preserve">. </w:t>
      </w:r>
    </w:p>
    <w:p>
      <w:pPr>
        <w:pStyle w:val="ManualNumPar1"/>
        <w:rPr>
          <w:noProof/>
        </w:rPr>
      </w:pPr>
      <w:r>
        <w:t>25.</w:t>
      </w:r>
      <w:r>
        <w:tab/>
      </w:r>
      <w:r>
        <w:rPr>
          <w:noProof/>
        </w:rPr>
        <w:t>La disminución de la cuota de mercado de la Unión en la producción mundial de buques y el aumento de la competencia mundial han tenido consecuencias nefastas para la industria auxiliar de construcción naval en Galicia. La liquidación y el cierre del astillero Factorías Vulcano en julio de 2019, así como el proceso de pre-concurso de acreedores de HJ Barreras en octubre de ese mismo año, son los principales acontecimientos que provocaron los despidos. La mitad de los despidos objeto de la presente solicitud se produjeron en empresas acreedoras de HJ Barreras.</w:t>
      </w:r>
    </w:p>
    <w:p>
      <w:pPr>
        <w:pStyle w:val="ManualHeading3"/>
        <w:tabs>
          <w:tab w:val="clear" w:pos="850"/>
          <w:tab w:val="left" w:pos="0"/>
        </w:tabs>
        <w:ind w:left="0" w:firstLine="0"/>
        <w:rPr>
          <w:noProof/>
        </w:rPr>
      </w:pPr>
      <w:r>
        <w:rPr>
          <w:noProof/>
        </w:rPr>
        <w:t>Impacto previsto de los despidos en la economía y el empleo a nivel local, regional y nacional</w:t>
      </w:r>
    </w:p>
    <w:p>
      <w:pPr>
        <w:pStyle w:val="ManualNumPar1"/>
        <w:rPr>
          <w:noProof/>
        </w:rPr>
      </w:pPr>
      <w:r>
        <w:t>26.</w:t>
      </w:r>
      <w:r>
        <w:tab/>
      </w:r>
      <w:r>
        <w:rPr>
          <w:noProof/>
        </w:rPr>
        <w:t>En 2018, el sector de la construcción naval (astilleros e industrias auxiliares) de Galicia tenía un volumen de negocios anual de alrededor de 2 000 millones EUR (un 3,3 % del PIB regional), y dependían de dicho sector 10 000 empleos directos y 25 000 indirectos</w:t>
      </w:r>
      <w:r>
        <w:rPr>
          <w:rStyle w:val="FootnoteReference"/>
          <w:noProof/>
        </w:rPr>
        <w:footnoteReference w:id="23"/>
      </w:r>
      <w:r>
        <w:rPr>
          <w:noProof/>
        </w:rPr>
        <w:t>. Según la Asociación de Industriales Metalúrgicos de Galicia (ASIME), en 2019 el volumen de negocios cayó un 11 % y se perdieron el 20,8 % de los puestos de trabajo</w:t>
      </w:r>
      <w:r>
        <w:rPr>
          <w:rStyle w:val="FootnoteReference"/>
          <w:noProof/>
        </w:rPr>
        <w:footnoteReference w:id="24"/>
      </w:r>
      <w:r>
        <w:rPr>
          <w:noProof/>
        </w:rPr>
        <w:t xml:space="preserve"> a causa de las dificultades de algunos astilleros gallegos. </w:t>
      </w:r>
    </w:p>
    <w:p>
      <w:pPr>
        <w:pStyle w:val="ManualNumPar1"/>
        <w:rPr>
          <w:noProof/>
        </w:rPr>
      </w:pPr>
      <w:r>
        <w:t>27.</w:t>
      </w:r>
      <w:r>
        <w:tab/>
      </w:r>
      <w:r>
        <w:rPr>
          <w:noProof/>
        </w:rPr>
        <w:t xml:space="preserve">En 2019, la tasa de desempleo en Vigo </w:t>
      </w:r>
      <w:r>
        <w:rPr>
          <w:noProof/>
        </w:rPr>
        <w:sym w:font="Symbol" w:char="F0BE"/>
      </w:r>
      <w:r>
        <w:rPr>
          <w:noProof/>
        </w:rPr>
        <w:t>una ciudad que cuenta con 295 000 habitantes</w:t>
      </w:r>
      <w:r>
        <w:rPr>
          <w:noProof/>
        </w:rPr>
        <w:sym w:font="Symbol" w:char="F0BE"/>
      </w:r>
      <w:r>
        <w:rPr>
          <w:noProof/>
        </w:rPr>
        <w:t xml:space="preserve"> era del 16,3 %</w:t>
      </w:r>
      <w:r>
        <w:rPr>
          <w:rStyle w:val="FootnoteReference"/>
          <w:noProof/>
        </w:rPr>
        <w:footnoteReference w:id="25"/>
      </w:r>
      <w:r>
        <w:rPr>
          <w:noProof/>
        </w:rPr>
        <w:t>, casi cinco puntos porcentuales por encima de la media regional (11,7 %</w:t>
      </w:r>
      <w:r>
        <w:rPr>
          <w:rStyle w:val="FootnoteReference"/>
          <w:noProof/>
        </w:rPr>
        <w:footnoteReference w:id="26"/>
      </w:r>
      <w:r>
        <w:rPr>
          <w:noProof/>
        </w:rPr>
        <w:t>), y 21 247 trabajadores estaban inscritos como demandantes de empleo. Como ya se ha señalado, todos los astilleros comerciales gallegos están ubicados en Vigo. La concentración de los astilleros en un pequeño territorio multiplica los efectos negativos de la disminución del volumen de negocios y de la pérdida de puestos de trabajo en el sector de la construcción naval, lo cual da lugar a un impacto en el mercado de trabajo regional más grave que el que las cifras tienden a indicar.</w:t>
      </w:r>
    </w:p>
    <w:p>
      <w:pPr>
        <w:pStyle w:val="ManualHeading2"/>
        <w:rPr>
          <w:noProof/>
        </w:rPr>
      </w:pPr>
      <w:r>
        <w:rPr>
          <w:noProof/>
        </w:rPr>
        <w:t>Beneficiarios previstos y acciones propuestas</w:t>
      </w:r>
    </w:p>
    <w:p>
      <w:pPr>
        <w:pStyle w:val="ManualHeading3"/>
        <w:rPr>
          <w:noProof/>
        </w:rPr>
      </w:pPr>
      <w:r>
        <w:rPr>
          <w:noProof/>
        </w:rPr>
        <w:t>Beneficiarios previstos</w:t>
      </w:r>
    </w:p>
    <w:p>
      <w:pPr>
        <w:pStyle w:val="ManualNumPar1"/>
        <w:rPr>
          <w:noProof/>
        </w:rPr>
      </w:pPr>
      <w:r>
        <w:t>28.</w:t>
      </w:r>
      <w:r>
        <w:tab/>
      </w:r>
      <w:r>
        <w:rPr>
          <w:noProof/>
        </w:rPr>
        <w:t>Se prevé que participen en las medidas 500 trabajadores despedidos. El desglose de estos trabajadores por sexo, nacionalidad y grupo de edad es el siguiente:</w:t>
      </w:r>
    </w:p>
    <w:tbl>
      <w:tblPr>
        <w:tblW w:w="0" w:type="auto"/>
        <w:jc w:val="center"/>
        <w:tblLook w:val="04A0" w:firstRow="1" w:lastRow="0" w:firstColumn="1" w:lastColumn="0" w:noHBand="0" w:noVBand="1"/>
      </w:tblPr>
      <w:tblGrid>
        <w:gridCol w:w="1496"/>
        <w:gridCol w:w="2063"/>
        <w:gridCol w:w="1176"/>
        <w:gridCol w:w="1176"/>
      </w:tblGrid>
      <w:tr>
        <w:trPr>
          <w:jc w:val="center"/>
        </w:trPr>
        <w:tc>
          <w:tcPr>
            <w:tcW w:w="3559" w:type="dxa"/>
            <w:gridSpan w:val="2"/>
            <w:tcBorders>
              <w:top w:val="single" w:sz="4" w:space="0" w:color="auto"/>
              <w:left w:val="nil"/>
              <w:bottom w:val="single" w:sz="4" w:space="0" w:color="auto"/>
              <w:right w:val="nil"/>
            </w:tcBorders>
            <w:hideMark/>
          </w:tcPr>
          <w:p>
            <w:pPr>
              <w:spacing w:before="60" w:after="60"/>
              <w:jc w:val="center"/>
              <w:rPr>
                <w:noProof/>
              </w:rPr>
            </w:pPr>
            <w:r>
              <w:rPr>
                <w:noProof/>
              </w:rPr>
              <w:t>Categoría</w:t>
            </w:r>
          </w:p>
        </w:tc>
        <w:tc>
          <w:tcPr>
            <w:tcW w:w="2352" w:type="dxa"/>
            <w:gridSpan w:val="2"/>
            <w:tcBorders>
              <w:top w:val="single" w:sz="4" w:space="0" w:color="auto"/>
              <w:left w:val="nil"/>
              <w:bottom w:val="single" w:sz="4" w:space="0" w:color="auto"/>
              <w:right w:val="nil"/>
            </w:tcBorders>
            <w:hideMark/>
          </w:tcPr>
          <w:p>
            <w:pPr>
              <w:spacing w:before="60" w:after="60"/>
              <w:jc w:val="center"/>
              <w:rPr>
                <w:noProof/>
              </w:rPr>
            </w:pPr>
            <w:r>
              <w:rPr>
                <w:noProof/>
              </w:rPr>
              <w:t xml:space="preserve">Número de </w:t>
            </w:r>
            <w:r>
              <w:rPr>
                <w:noProof/>
              </w:rPr>
              <w:br/>
            </w:r>
            <w:r>
              <w:rPr>
                <w:noProof/>
              </w:rPr>
              <w:lastRenderedPageBreak/>
              <w:t>beneficiarios previstos</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lastRenderedPageBreak/>
              <w:t>Sexo</w:t>
            </w:r>
          </w:p>
        </w:tc>
        <w:tc>
          <w:tcPr>
            <w:tcW w:w="2063" w:type="dxa"/>
            <w:tcBorders>
              <w:top w:val="single" w:sz="4" w:space="0" w:color="auto"/>
              <w:left w:val="nil"/>
              <w:right w:val="nil"/>
            </w:tcBorders>
            <w:hideMark/>
          </w:tcPr>
          <w:p>
            <w:pPr>
              <w:spacing w:before="60" w:after="60"/>
              <w:rPr>
                <w:noProof/>
              </w:rPr>
            </w:pPr>
            <w:r>
              <w:rPr>
                <w:noProof/>
              </w:rPr>
              <w:t>Hombres</w:t>
            </w:r>
          </w:p>
        </w:tc>
        <w:tc>
          <w:tcPr>
            <w:tcW w:w="1176" w:type="dxa"/>
            <w:tcBorders>
              <w:top w:val="single" w:sz="4" w:space="0" w:color="auto"/>
              <w:left w:val="nil"/>
              <w:right w:val="nil"/>
            </w:tcBorders>
            <w:hideMark/>
          </w:tcPr>
          <w:p>
            <w:pPr>
              <w:spacing w:before="60" w:after="60"/>
              <w:jc w:val="right"/>
              <w:rPr>
                <w:noProof/>
              </w:rPr>
            </w:pPr>
            <w:r>
              <w:rPr>
                <w:noProof/>
              </w:rPr>
              <w:t>470</w:t>
            </w:r>
          </w:p>
        </w:tc>
        <w:tc>
          <w:tcPr>
            <w:tcW w:w="1176" w:type="dxa"/>
            <w:tcBorders>
              <w:top w:val="single" w:sz="4" w:space="0" w:color="auto"/>
              <w:left w:val="nil"/>
              <w:right w:val="nil"/>
            </w:tcBorders>
            <w:hideMark/>
          </w:tcPr>
          <w:p>
            <w:pPr>
              <w:spacing w:before="60" w:after="60"/>
              <w:jc w:val="right"/>
              <w:rPr>
                <w:noProof/>
              </w:rPr>
            </w:pPr>
            <w:r>
              <w:rPr>
                <w:noProof/>
              </w:rPr>
              <w:t>(94,0 %)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Mujeres</w:t>
            </w:r>
            <w:r>
              <w:rPr>
                <w:rStyle w:val="FootnoteReference"/>
                <w:noProof/>
              </w:rPr>
              <w:footnoteReference w:id="27"/>
            </w:r>
          </w:p>
        </w:tc>
        <w:tc>
          <w:tcPr>
            <w:tcW w:w="1176" w:type="dxa"/>
            <w:tcBorders>
              <w:bottom w:val="single" w:sz="4" w:space="0" w:color="auto"/>
            </w:tcBorders>
            <w:hideMark/>
          </w:tcPr>
          <w:p>
            <w:pPr>
              <w:spacing w:before="60" w:after="60"/>
              <w:jc w:val="right"/>
              <w:rPr>
                <w:noProof/>
              </w:rPr>
            </w:pPr>
            <w:r>
              <w:rPr>
                <w:noProof/>
              </w:rPr>
              <w:t>30</w:t>
            </w:r>
          </w:p>
        </w:tc>
        <w:tc>
          <w:tcPr>
            <w:tcW w:w="1176" w:type="dxa"/>
            <w:tcBorders>
              <w:bottom w:val="single" w:sz="4" w:space="0" w:color="auto"/>
            </w:tcBorders>
            <w:hideMark/>
          </w:tcPr>
          <w:p>
            <w:pPr>
              <w:spacing w:before="60" w:after="60"/>
              <w:jc w:val="right"/>
              <w:rPr>
                <w:noProof/>
              </w:rPr>
            </w:pPr>
            <w:r>
              <w:rPr>
                <w:noProof/>
              </w:rPr>
              <w:t>(6,0 %)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Nacionalidad</w:t>
            </w:r>
          </w:p>
        </w:tc>
        <w:tc>
          <w:tcPr>
            <w:tcW w:w="2063" w:type="dxa"/>
            <w:tcBorders>
              <w:top w:val="single" w:sz="4" w:space="0" w:color="auto"/>
              <w:left w:val="nil"/>
              <w:bottom w:val="nil"/>
              <w:right w:val="nil"/>
            </w:tcBorders>
            <w:hideMark/>
          </w:tcPr>
          <w:p>
            <w:pPr>
              <w:spacing w:before="60" w:after="60"/>
              <w:rPr>
                <w:noProof/>
              </w:rPr>
            </w:pPr>
            <w:r>
              <w:rPr>
                <w:noProof/>
              </w:rPr>
              <w:t>Ciudadanos de la UE</w:t>
            </w:r>
          </w:p>
        </w:tc>
        <w:tc>
          <w:tcPr>
            <w:tcW w:w="1176" w:type="dxa"/>
            <w:tcBorders>
              <w:top w:val="single" w:sz="4" w:space="0" w:color="auto"/>
            </w:tcBorders>
            <w:hideMark/>
          </w:tcPr>
          <w:p>
            <w:pPr>
              <w:spacing w:before="60" w:after="60"/>
              <w:jc w:val="right"/>
              <w:rPr>
                <w:noProof/>
              </w:rPr>
            </w:pPr>
            <w:r>
              <w:rPr>
                <w:noProof/>
              </w:rPr>
              <w:t>487</w:t>
            </w:r>
          </w:p>
        </w:tc>
        <w:tc>
          <w:tcPr>
            <w:tcW w:w="1176" w:type="dxa"/>
            <w:tcBorders>
              <w:top w:val="single" w:sz="4" w:space="0" w:color="auto"/>
            </w:tcBorders>
            <w:hideMark/>
          </w:tcPr>
          <w:p>
            <w:pPr>
              <w:spacing w:before="60" w:after="60"/>
              <w:jc w:val="right"/>
              <w:rPr>
                <w:noProof/>
              </w:rPr>
            </w:pPr>
            <w:r>
              <w:rPr>
                <w:noProof/>
              </w:rPr>
              <w:t>(97,4 %)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Ciudadanos de terceros países</w:t>
            </w:r>
          </w:p>
        </w:tc>
        <w:tc>
          <w:tcPr>
            <w:tcW w:w="1176" w:type="dxa"/>
            <w:tcBorders>
              <w:bottom w:val="single" w:sz="4" w:space="0" w:color="auto"/>
            </w:tcBorders>
            <w:hideMark/>
          </w:tcPr>
          <w:p>
            <w:pPr>
              <w:spacing w:before="60" w:after="60"/>
              <w:jc w:val="right"/>
              <w:rPr>
                <w:noProof/>
              </w:rPr>
            </w:pPr>
            <w:r>
              <w:rPr>
                <w:noProof/>
              </w:rPr>
              <w:t>13</w:t>
            </w:r>
          </w:p>
        </w:tc>
        <w:tc>
          <w:tcPr>
            <w:tcW w:w="1176" w:type="dxa"/>
            <w:tcBorders>
              <w:bottom w:val="single" w:sz="4" w:space="0" w:color="auto"/>
            </w:tcBorders>
            <w:hideMark/>
          </w:tcPr>
          <w:p>
            <w:pPr>
              <w:spacing w:before="60" w:after="60"/>
              <w:jc w:val="right"/>
              <w:rPr>
                <w:noProof/>
              </w:rPr>
            </w:pPr>
            <w:r>
              <w:rPr>
                <w:noProof/>
              </w:rPr>
              <w:t>(2,6 %)</w:t>
            </w:r>
          </w:p>
        </w:tc>
      </w:tr>
      <w:tr>
        <w:trPr>
          <w:jc w:val="center"/>
        </w:trPr>
        <w:tc>
          <w:tcPr>
            <w:tcW w:w="1496" w:type="dxa"/>
            <w:tcBorders>
              <w:top w:val="single" w:sz="4" w:space="0" w:color="auto"/>
              <w:left w:val="nil"/>
              <w:bottom w:val="nil"/>
              <w:right w:val="nil"/>
            </w:tcBorders>
            <w:hideMark/>
          </w:tcPr>
          <w:p>
            <w:pPr>
              <w:spacing w:before="60" w:after="60"/>
              <w:rPr>
                <w:noProof/>
              </w:rPr>
            </w:pPr>
            <w:r>
              <w:rPr>
                <w:noProof/>
              </w:rPr>
              <w:t>Grupo de edad</w:t>
            </w:r>
          </w:p>
        </w:tc>
        <w:tc>
          <w:tcPr>
            <w:tcW w:w="2063" w:type="dxa"/>
            <w:tcBorders>
              <w:top w:val="single" w:sz="4" w:space="0" w:color="auto"/>
              <w:left w:val="nil"/>
              <w:bottom w:val="nil"/>
              <w:right w:val="nil"/>
            </w:tcBorders>
            <w:hideMark/>
          </w:tcPr>
          <w:p>
            <w:pPr>
              <w:spacing w:before="60" w:after="60"/>
              <w:rPr>
                <w:noProof/>
              </w:rPr>
            </w:pPr>
            <w:r>
              <w:rPr>
                <w:noProof/>
              </w:rPr>
              <w:t>15-24 años</w:t>
            </w:r>
          </w:p>
        </w:tc>
        <w:tc>
          <w:tcPr>
            <w:tcW w:w="1176" w:type="dxa"/>
            <w:tcBorders>
              <w:top w:val="single" w:sz="4" w:space="0" w:color="auto"/>
            </w:tcBorders>
            <w:hideMark/>
          </w:tcPr>
          <w:p>
            <w:pPr>
              <w:spacing w:before="60" w:after="60"/>
              <w:jc w:val="right"/>
              <w:rPr>
                <w:noProof/>
              </w:rPr>
            </w:pPr>
            <w:r>
              <w:rPr>
                <w:noProof/>
              </w:rPr>
              <w:t>17</w:t>
            </w:r>
          </w:p>
        </w:tc>
        <w:tc>
          <w:tcPr>
            <w:tcW w:w="1176" w:type="dxa"/>
            <w:tcBorders>
              <w:top w:val="single" w:sz="4" w:space="0" w:color="auto"/>
            </w:tcBorders>
            <w:hideMark/>
          </w:tcPr>
          <w:p>
            <w:pPr>
              <w:spacing w:before="60" w:after="60"/>
              <w:jc w:val="right"/>
              <w:rPr>
                <w:noProof/>
              </w:rPr>
            </w:pPr>
            <w:r>
              <w:rPr>
                <w:noProof/>
              </w:rPr>
              <w:t>(3,4 %)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25-29 años</w:t>
            </w:r>
          </w:p>
        </w:tc>
        <w:tc>
          <w:tcPr>
            <w:tcW w:w="1176" w:type="dxa"/>
            <w:hideMark/>
          </w:tcPr>
          <w:p>
            <w:pPr>
              <w:spacing w:before="60" w:after="60"/>
              <w:jc w:val="right"/>
              <w:rPr>
                <w:noProof/>
              </w:rPr>
            </w:pPr>
            <w:r>
              <w:rPr>
                <w:noProof/>
              </w:rPr>
              <w:t>36</w:t>
            </w:r>
          </w:p>
        </w:tc>
        <w:tc>
          <w:tcPr>
            <w:tcW w:w="1176" w:type="dxa"/>
            <w:hideMark/>
          </w:tcPr>
          <w:p>
            <w:pPr>
              <w:spacing w:before="60" w:after="60"/>
              <w:jc w:val="right"/>
              <w:rPr>
                <w:noProof/>
              </w:rPr>
            </w:pPr>
            <w:r>
              <w:rPr>
                <w:noProof/>
              </w:rPr>
              <w:t>(7,2 %)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30-54 años</w:t>
            </w:r>
          </w:p>
        </w:tc>
        <w:tc>
          <w:tcPr>
            <w:tcW w:w="1176" w:type="dxa"/>
            <w:hideMark/>
          </w:tcPr>
          <w:p>
            <w:pPr>
              <w:spacing w:before="60" w:after="60"/>
              <w:jc w:val="right"/>
              <w:rPr>
                <w:noProof/>
              </w:rPr>
            </w:pPr>
            <w:r>
              <w:rPr>
                <w:noProof/>
              </w:rPr>
              <w:t>391</w:t>
            </w:r>
          </w:p>
        </w:tc>
        <w:tc>
          <w:tcPr>
            <w:tcW w:w="1176" w:type="dxa"/>
            <w:hideMark/>
          </w:tcPr>
          <w:p>
            <w:pPr>
              <w:spacing w:before="60" w:after="60"/>
              <w:jc w:val="right"/>
              <w:rPr>
                <w:noProof/>
              </w:rPr>
            </w:pPr>
            <w:r>
              <w:rPr>
                <w:noProof/>
              </w:rPr>
              <w:t>(78,2 %)</w:t>
            </w:r>
          </w:p>
        </w:tc>
      </w:tr>
      <w:tr>
        <w:trPr>
          <w:jc w:val="center"/>
        </w:trPr>
        <w:tc>
          <w:tcPr>
            <w:tcW w:w="1496" w:type="dxa"/>
          </w:tcPr>
          <w:p>
            <w:pPr>
              <w:spacing w:before="60" w:after="60"/>
              <w:rPr>
                <w:noProof/>
              </w:rPr>
            </w:pPr>
          </w:p>
        </w:tc>
        <w:tc>
          <w:tcPr>
            <w:tcW w:w="2063" w:type="dxa"/>
            <w:hideMark/>
          </w:tcPr>
          <w:p>
            <w:pPr>
              <w:spacing w:before="60" w:after="60"/>
              <w:rPr>
                <w:noProof/>
              </w:rPr>
            </w:pPr>
            <w:r>
              <w:rPr>
                <w:noProof/>
              </w:rPr>
              <w:t>55-64 años</w:t>
            </w:r>
          </w:p>
        </w:tc>
        <w:tc>
          <w:tcPr>
            <w:tcW w:w="1176" w:type="dxa"/>
            <w:hideMark/>
          </w:tcPr>
          <w:p>
            <w:pPr>
              <w:spacing w:before="60" w:after="60"/>
              <w:jc w:val="right"/>
              <w:rPr>
                <w:noProof/>
              </w:rPr>
            </w:pPr>
            <w:r>
              <w:rPr>
                <w:noProof/>
              </w:rPr>
              <w:t>56</w:t>
            </w:r>
          </w:p>
        </w:tc>
        <w:tc>
          <w:tcPr>
            <w:tcW w:w="1176" w:type="dxa"/>
            <w:hideMark/>
          </w:tcPr>
          <w:p>
            <w:pPr>
              <w:spacing w:before="60" w:after="60"/>
              <w:jc w:val="right"/>
              <w:rPr>
                <w:noProof/>
              </w:rPr>
            </w:pPr>
            <w:r>
              <w:rPr>
                <w:noProof/>
              </w:rPr>
              <w:t>(11,2 %)</w:t>
            </w:r>
          </w:p>
        </w:tc>
      </w:tr>
      <w:tr>
        <w:trPr>
          <w:jc w:val="center"/>
        </w:trPr>
        <w:tc>
          <w:tcPr>
            <w:tcW w:w="1496" w:type="dxa"/>
            <w:tcBorders>
              <w:top w:val="nil"/>
              <w:left w:val="nil"/>
              <w:bottom w:val="single" w:sz="4" w:space="0" w:color="auto"/>
              <w:right w:val="nil"/>
            </w:tcBorders>
          </w:tcPr>
          <w:p>
            <w:pPr>
              <w:spacing w:before="60" w:after="60"/>
              <w:rPr>
                <w:noProof/>
              </w:rPr>
            </w:pPr>
          </w:p>
        </w:tc>
        <w:tc>
          <w:tcPr>
            <w:tcW w:w="2063" w:type="dxa"/>
            <w:tcBorders>
              <w:top w:val="nil"/>
              <w:left w:val="nil"/>
              <w:bottom w:val="single" w:sz="4" w:space="0" w:color="auto"/>
              <w:right w:val="nil"/>
            </w:tcBorders>
            <w:hideMark/>
          </w:tcPr>
          <w:p>
            <w:pPr>
              <w:spacing w:before="60" w:after="60"/>
              <w:rPr>
                <w:noProof/>
              </w:rPr>
            </w:pPr>
            <w:r>
              <w:rPr>
                <w:noProof/>
              </w:rPr>
              <w:t>más de 64 años</w:t>
            </w:r>
          </w:p>
        </w:tc>
        <w:tc>
          <w:tcPr>
            <w:tcW w:w="1176" w:type="dxa"/>
            <w:tcBorders>
              <w:top w:val="nil"/>
              <w:left w:val="nil"/>
              <w:bottom w:val="single" w:sz="4" w:space="0" w:color="auto"/>
              <w:right w:val="nil"/>
            </w:tcBorders>
            <w:hideMark/>
          </w:tcPr>
          <w:p>
            <w:pPr>
              <w:spacing w:before="60" w:after="60"/>
              <w:jc w:val="right"/>
              <w:rPr>
                <w:noProof/>
              </w:rPr>
            </w:pPr>
            <w:r>
              <w:rPr>
                <w:noProof/>
              </w:rPr>
              <w:t>0</w:t>
            </w:r>
          </w:p>
        </w:tc>
        <w:tc>
          <w:tcPr>
            <w:tcW w:w="1176" w:type="dxa"/>
            <w:tcBorders>
              <w:top w:val="nil"/>
              <w:left w:val="nil"/>
              <w:bottom w:val="single" w:sz="4" w:space="0" w:color="auto"/>
              <w:right w:val="nil"/>
            </w:tcBorders>
            <w:hideMark/>
          </w:tcPr>
          <w:p>
            <w:pPr>
              <w:spacing w:before="60" w:after="60"/>
              <w:jc w:val="right"/>
              <w:rPr>
                <w:noProof/>
              </w:rPr>
            </w:pPr>
            <w:r>
              <w:rPr>
                <w:noProof/>
              </w:rPr>
              <w:t>(0,0 %)</w:t>
            </w:r>
          </w:p>
        </w:tc>
      </w:tr>
    </w:tbl>
    <w:p>
      <w:pPr>
        <w:pStyle w:val="ManualHeading3"/>
        <w:rPr>
          <w:noProof/>
          <w:u w:val="single"/>
        </w:rPr>
      </w:pPr>
      <w:r>
        <w:rPr>
          <w:noProof/>
        </w:rPr>
        <w:t>Elegibilidad de las acciones propuestas</w:t>
      </w:r>
    </w:p>
    <w:p>
      <w:pPr>
        <w:pStyle w:val="ManualNumPar1"/>
        <w:rPr>
          <w:noProof/>
        </w:rPr>
      </w:pPr>
      <w:bookmarkStart w:id="8" w:name="_Ref372214239"/>
      <w:r>
        <w:t>29.</w:t>
      </w:r>
      <w:r>
        <w:tab/>
      </w:r>
      <w:r>
        <w:rPr>
          <w:noProof/>
        </w:rPr>
        <w:t xml:space="preserve">Los servicios personalizados que se ofrecerán a los trabajadores despedidos consisten en las acciones siguientes: </w:t>
      </w:r>
      <w:bookmarkEnd w:id="8"/>
    </w:p>
    <w:p>
      <w:pPr>
        <w:pStyle w:val="Tiret1"/>
        <w:numPr>
          <w:ilvl w:val="0"/>
          <w:numId w:val="11"/>
        </w:numPr>
        <w:rPr>
          <w:noProof/>
        </w:rPr>
      </w:pPr>
      <w:r>
        <w:rPr>
          <w:noProof/>
          <w:u w:val="single"/>
        </w:rPr>
        <w:t>Sesiones informativas y talleres preparatorios</w:t>
      </w:r>
      <w:r>
        <w:rPr>
          <w:noProof/>
        </w:rPr>
        <w:t xml:space="preserve">: la primera medida que se ofrecerá a todos los beneficiarios previstos consistirá en sesiones informativas, en las que se facilitará información general sobre los programas de asesoramiento y formación disponibles, así como sobre las prestaciones y los incentivos. Esta medida comprende asimismo la clasificación de los participantes en distintos perfiles. En los talleres preparatorios se proporcionará información más detallada sobre la recolocación, los sectores que exigen licencias o certificados de competencias profesionales, la certificación de competencias y capacidades no técnicas adquiridas en el contexto laboral, y sobre cómo terminar la educación obligatoria. También están previstos talleres sobre emprendimiento. </w:t>
      </w:r>
    </w:p>
    <w:p>
      <w:pPr>
        <w:pStyle w:val="Tiret1"/>
        <w:rPr>
          <w:noProof/>
        </w:rPr>
      </w:pPr>
      <w:r>
        <w:rPr>
          <w:noProof/>
        </w:rPr>
        <w:t xml:space="preserve">Durante todo el período de ejecución se proporcionará </w:t>
      </w:r>
      <w:r>
        <w:rPr>
          <w:noProof/>
          <w:u w:val="single"/>
        </w:rPr>
        <w:t>orientación profesional</w:t>
      </w:r>
      <w:r>
        <w:rPr>
          <w:noProof/>
        </w:rPr>
        <w:t xml:space="preserve"> sobre el empleo por cuenta ajena o por cuenta propia.</w:t>
      </w:r>
    </w:p>
    <w:p>
      <w:pPr>
        <w:pStyle w:val="Tiret1"/>
        <w:rPr>
          <w:noProof/>
        </w:rPr>
      </w:pPr>
      <w:r>
        <w:rPr>
          <w:noProof/>
          <w:u w:val="single"/>
        </w:rPr>
        <w:t>Formación</w:t>
      </w:r>
      <w:r>
        <w:rPr>
          <w:noProof/>
        </w:rPr>
        <w:t xml:space="preserve">, que incluirá: 1) formación en competencias clave y competencias horizontales; 2) preparación para pruebas de reconocimiento de capacidades adquiridas a través de la experiencia laboral (reconocimiento del aprendizaje previo); 3) formación profesional de reconversión hacia sectores como el mantenimiento de edificios y equipamiento urbano, operaciones y logística de almacenes, </w:t>
      </w:r>
      <w:r>
        <w:rPr>
          <w:i/>
          <w:iCs/>
          <w:noProof/>
        </w:rPr>
        <w:t>scrum master</w:t>
      </w:r>
      <w:r>
        <w:rPr>
          <w:noProof/>
        </w:rPr>
        <w:t>, etc.; y 4) formación profesional para mejorar las competencias, como formación sobre materiales compuestos en la construcción naval, aceros HSLA</w:t>
      </w:r>
      <w:r>
        <w:rPr>
          <w:rStyle w:val="FootnoteReference"/>
          <w:noProof/>
        </w:rPr>
        <w:footnoteReference w:id="28"/>
      </w:r>
      <w:r>
        <w:rPr>
          <w:noProof/>
        </w:rPr>
        <w:t xml:space="preserve"> para estructuras navales, realidad virtual y realidad </w:t>
      </w:r>
      <w:r>
        <w:rPr>
          <w:noProof/>
        </w:rPr>
        <w:lastRenderedPageBreak/>
        <w:t>aumentada en la construcción naval, soluciones CAD/CAM</w:t>
      </w:r>
      <w:r>
        <w:rPr>
          <w:rStyle w:val="FootnoteReference"/>
          <w:noProof/>
        </w:rPr>
        <w:footnoteReference w:id="29"/>
      </w:r>
      <w:r>
        <w:rPr>
          <w:noProof/>
        </w:rPr>
        <w:t xml:space="preserve"> para la construcción naval, tecnologías de control 3D aplicadas a la construcción naval (enderezamiento y conformación de piezas), técnicas de soldadura FSW</w:t>
      </w:r>
      <w:r>
        <w:rPr>
          <w:rStyle w:val="FootnoteReference"/>
          <w:noProof/>
        </w:rPr>
        <w:footnoteReference w:id="30"/>
      </w:r>
      <w:r>
        <w:rPr>
          <w:noProof/>
        </w:rPr>
        <w:t xml:space="preserve"> y soldadura híbrida láser-MAG</w:t>
      </w:r>
      <w:r>
        <w:rPr>
          <w:rStyle w:val="FootnoteReference"/>
          <w:noProof/>
        </w:rPr>
        <w:footnoteReference w:id="31"/>
      </w:r>
      <w:r>
        <w:rPr>
          <w:noProof/>
        </w:rPr>
        <w:t>, sistemas de soldadura por arco eléctrico monitorizada, y fabricación aditiva en la construcción naval. Se impartirá formación sobre emprendimiento a las personas que aspiren a una actividad por cuenta propia.</w:t>
      </w:r>
    </w:p>
    <w:p>
      <w:pPr>
        <w:pStyle w:val="Tiret1"/>
        <w:rPr>
          <w:noProof/>
        </w:rPr>
      </w:pPr>
      <w:r>
        <w:rPr>
          <w:noProof/>
          <w:u w:val="single"/>
        </w:rPr>
        <w:t>Apoyo a la búsqueda intensiva de empleo</w:t>
      </w:r>
      <w:r>
        <w:rPr>
          <w:noProof/>
        </w:rPr>
        <w:t>, incluida la búsqueda activa de oportunidades de empleo a escala local y regional (también para trabajadores por cuenta propia) y la puesta en relación de la oferta y la demanda.</w:t>
      </w:r>
    </w:p>
    <w:p>
      <w:pPr>
        <w:pStyle w:val="Tiret1"/>
        <w:rPr>
          <w:noProof/>
        </w:rPr>
      </w:pPr>
      <w:r>
        <w:rPr>
          <w:noProof/>
          <w:u w:val="single"/>
        </w:rPr>
        <w:t>Seguimiento en el empleo</w:t>
      </w:r>
      <w:r>
        <w:rPr>
          <w:noProof/>
        </w:rPr>
        <w:t>. Los trabajadores que hayan vuelto al empleo recibirán orientación durante los primeros meses para evitar posibles problemas en sus nuevos puestos de trabajo.</w:t>
      </w:r>
    </w:p>
    <w:p>
      <w:pPr>
        <w:pStyle w:val="Tiret1"/>
        <w:rPr>
          <w:noProof/>
        </w:rPr>
      </w:pPr>
      <w:r>
        <w:rPr>
          <w:noProof/>
          <w:u w:val="single"/>
        </w:rPr>
        <w:t>Incentivos</w:t>
      </w:r>
      <w:r>
        <w:rPr>
          <w:noProof/>
        </w:rPr>
        <w:t xml:space="preserve">. Se prevén diversos incentivos. 1) Incentivos a la participación. Los trabajadores que participen en las medidas y sigan el itinerario de reinserción acordado recibirán hasta 400 EUR (en uno o varios pagos). 2) Contribución a los gastos de desplazamiento (0,19 EUR/kilómetro más costes adicionales como peajes y aparcamiento, cuando esté debidamente justificado, y reembolso de los costes de transporte público). 3) Contribución a los gastos de cuidadores de personas dependientes. Los trabajadores con responsabilidades familiares (niños, personas mayores o personas con discapacidad) recibirán un máximo de 20 EUR por día de participación en las medidas. La finalidad de este incentivo es sufragar los gastos adicionales de los participantes con responsabilidades familiares para que puedan beneficiarse de la formación o de otras medidas. 4) Incentivos para la recolocación. Los trabajadores que retornen al trabajo por cuenta ajena o por cuenta propia recibirán 200 EUR al mes, durante un período máximo de seis meses. Este incentivo está destinado a estimular a los trabajadores, especialmente a los de más edad, a permanecer en el mercado laboral y a fomentar una reinserción laboral rápida. </w:t>
      </w:r>
    </w:p>
    <w:p>
      <w:pPr>
        <w:pStyle w:val="ManualNumPar1"/>
        <w:rPr>
          <w:noProof/>
        </w:rPr>
      </w:pPr>
      <w:bookmarkStart w:id="9" w:name="_Ref372214242"/>
      <w:r>
        <w:t>30.</w:t>
      </w:r>
      <w:r>
        <w:tab/>
      </w:r>
      <w:r>
        <w:rPr>
          <w:noProof/>
        </w:rPr>
        <w:t>Las acciones propuestas que aquí se describen constituyen medidas activas de empleo incluidas entre las acciones elegibles contempladas en el artículo 7 del Reglamento del FEAG. Estas acciones no sustituyen a las medidas pasivas de protección social.</w:t>
      </w:r>
    </w:p>
    <w:p>
      <w:pPr>
        <w:pStyle w:val="ManualNumPar1"/>
        <w:rPr>
          <w:noProof/>
        </w:rPr>
      </w:pPr>
      <w:r>
        <w:t>31.</w:t>
      </w:r>
      <w:r>
        <w:tab/>
      </w:r>
      <w:r>
        <w:rPr>
          <w:noProof/>
        </w:rPr>
        <w:t>Las autoridades españolas han proporcionado la información requerida sobre las acciones que las empresas afectadas tienen la obligación de emprender en virtud de la legislación nacional o con arreglo a convenios colectivos. Han confirmado que ninguna contribución financiera del FEAG sustituirá a estas acciones.</w:t>
      </w:r>
      <w:bookmarkEnd w:id="9"/>
    </w:p>
    <w:p>
      <w:pPr>
        <w:pStyle w:val="ManualHeading3"/>
        <w:rPr>
          <w:noProof/>
        </w:rPr>
      </w:pPr>
      <w:r>
        <w:rPr>
          <w:noProof/>
        </w:rPr>
        <w:t>Presupuesto estimado</w:t>
      </w:r>
    </w:p>
    <w:p>
      <w:pPr>
        <w:pStyle w:val="ManualNumPar1"/>
        <w:rPr>
          <w:noProof/>
        </w:rPr>
      </w:pPr>
      <w:r>
        <w:t>32.</w:t>
      </w:r>
      <w:r>
        <w:tab/>
      </w:r>
      <w:r>
        <w:rPr>
          <w:noProof/>
        </w:rPr>
        <w:t xml:space="preserve">El coste total estimado asciende a 3 424 000 EUR, cantidad que comprende 3 274 000 EUR en concepto de gastos de servicios personalizados y 150 000 EUR en </w:t>
      </w:r>
      <w:r>
        <w:rPr>
          <w:noProof/>
        </w:rPr>
        <w:lastRenderedPageBreak/>
        <w:t>concepto de gastos de actividades preparatorias, de gestión, información y publicidad, control y presentación de informes.</w:t>
      </w:r>
    </w:p>
    <w:p>
      <w:pPr>
        <w:pStyle w:val="ManualNumPar1"/>
        <w:rPr>
          <w:noProof/>
        </w:rPr>
      </w:pPr>
      <w:bookmarkStart w:id="10" w:name="_Ref372550770"/>
      <w:r>
        <w:t>33.</w:t>
      </w:r>
      <w:r>
        <w:tab/>
      </w:r>
      <w:r>
        <w:rPr>
          <w:noProof/>
        </w:rPr>
        <w:t>La contribución financiera total solicitada al FEAG asciende a 2 054 400 EUR (el 60 % de los costes totales).</w:t>
      </w:r>
      <w:bookmarkEnd w:id="10"/>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4644"/>
        <w:gridCol w:w="1548"/>
        <w:gridCol w:w="1548"/>
        <w:gridCol w:w="1548"/>
      </w:tblGrid>
      <w:tr>
        <w:tc>
          <w:tcPr>
            <w:tcW w:w="4644" w:type="dxa"/>
            <w:shd w:val="clear" w:color="auto" w:fill="auto"/>
            <w:vAlign w:val="center"/>
          </w:tcPr>
          <w:p>
            <w:pPr>
              <w:spacing w:before="60" w:after="60"/>
              <w:jc w:val="center"/>
              <w:rPr>
                <w:rFonts w:eastAsia="Times New Roman"/>
                <w:noProof/>
                <w:sz w:val="22"/>
              </w:rPr>
            </w:pPr>
            <w:r>
              <w:rPr>
                <w:noProof/>
                <w:sz w:val="22"/>
              </w:rPr>
              <w:t>Medidas</w:t>
            </w:r>
          </w:p>
        </w:tc>
        <w:tc>
          <w:tcPr>
            <w:tcW w:w="1548" w:type="dxa"/>
            <w:shd w:val="clear" w:color="auto" w:fill="auto"/>
            <w:vAlign w:val="center"/>
          </w:tcPr>
          <w:p>
            <w:pPr>
              <w:spacing w:before="60" w:after="60"/>
              <w:jc w:val="center"/>
              <w:rPr>
                <w:rFonts w:eastAsia="Times New Roman"/>
                <w:noProof/>
                <w:sz w:val="22"/>
              </w:rPr>
            </w:pPr>
            <w:r>
              <w:rPr>
                <w:noProof/>
                <w:sz w:val="22"/>
              </w:rPr>
              <w:t>Número estimado de participantes</w:t>
            </w:r>
          </w:p>
        </w:tc>
        <w:tc>
          <w:tcPr>
            <w:tcW w:w="1548" w:type="dxa"/>
            <w:shd w:val="clear" w:color="auto" w:fill="auto"/>
            <w:vAlign w:val="center"/>
          </w:tcPr>
          <w:p>
            <w:pPr>
              <w:spacing w:before="60" w:after="60"/>
              <w:jc w:val="center"/>
              <w:rPr>
                <w:rFonts w:eastAsia="Times New Roman"/>
                <w:noProof/>
                <w:sz w:val="22"/>
              </w:rPr>
            </w:pPr>
            <w:r>
              <w:rPr>
                <w:noProof/>
                <w:sz w:val="22"/>
              </w:rPr>
              <w:t>Coste estimado por participante</w:t>
            </w:r>
            <w:r>
              <w:rPr>
                <w:noProof/>
              </w:rPr>
              <w:t xml:space="preserve"> </w:t>
            </w:r>
            <w:r>
              <w:rPr>
                <w:noProof/>
              </w:rPr>
              <w:br/>
            </w:r>
            <w:r>
              <w:rPr>
                <w:i/>
                <w:noProof/>
                <w:sz w:val="22"/>
              </w:rPr>
              <w:t>(en EUR)</w:t>
            </w:r>
            <w:r>
              <w:rPr>
                <w:rStyle w:val="FootnoteReference"/>
                <w:rFonts w:eastAsia="Times New Roman"/>
                <w:i/>
                <w:noProof/>
                <w:sz w:val="22"/>
              </w:rPr>
              <w:footnoteReference w:id="32"/>
            </w:r>
          </w:p>
        </w:tc>
        <w:tc>
          <w:tcPr>
            <w:tcW w:w="1548" w:type="dxa"/>
            <w:shd w:val="clear" w:color="auto" w:fill="auto"/>
            <w:vAlign w:val="center"/>
          </w:tcPr>
          <w:p>
            <w:pPr>
              <w:spacing w:before="60" w:after="60"/>
              <w:jc w:val="center"/>
              <w:rPr>
                <w:rFonts w:eastAsia="Times New Roman"/>
                <w:noProof/>
                <w:sz w:val="22"/>
              </w:rPr>
            </w:pPr>
            <w:r>
              <w:rPr>
                <w:noProof/>
                <w:sz w:val="22"/>
              </w:rPr>
              <w:t>Coste total estimado</w:t>
            </w:r>
          </w:p>
          <w:p>
            <w:pPr>
              <w:spacing w:before="60" w:after="60"/>
              <w:jc w:val="center"/>
              <w:rPr>
                <w:rFonts w:eastAsia="Times New Roman"/>
                <w:noProof/>
                <w:sz w:val="22"/>
              </w:rPr>
            </w:pPr>
            <w:r>
              <w:rPr>
                <w:i/>
                <w:noProof/>
                <w:sz w:val="22"/>
              </w:rPr>
              <w:t>(en EUR)</w:t>
            </w:r>
            <w:r>
              <w:rPr>
                <w:rStyle w:val="FootnoteReference"/>
                <w:rFonts w:eastAsia="Times New Roman"/>
                <w:i/>
                <w:noProof/>
                <w:sz w:val="22"/>
              </w:rPr>
              <w:footnoteReference w:id="33"/>
            </w:r>
            <w:r>
              <w:rPr>
                <w:i/>
                <w:noProof/>
                <w:sz w:val="22"/>
              </w:rPr>
              <w:t xml:space="preserve"> </w:t>
            </w:r>
          </w:p>
        </w:tc>
      </w:tr>
      <w:tr>
        <w:tc>
          <w:tcPr>
            <w:tcW w:w="9288" w:type="dxa"/>
            <w:gridSpan w:val="4"/>
            <w:shd w:val="clear" w:color="auto" w:fill="auto"/>
          </w:tcPr>
          <w:p>
            <w:pPr>
              <w:spacing w:before="60" w:after="60"/>
              <w:jc w:val="left"/>
              <w:rPr>
                <w:rFonts w:eastAsia="Times New Roman"/>
                <w:noProof/>
                <w:sz w:val="22"/>
              </w:rPr>
            </w:pPr>
            <w:r>
              <w:rPr>
                <w:noProof/>
                <w:sz w:val="22"/>
              </w:rPr>
              <w:t>Servicios personalizados [acciones contempladas en el artículo 7, apartado 1, letras a) y c), del Reglamento del FEAG]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Acogida y diagnóstico inicial, medidas de sensibilización</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541</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270 500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Orientación laboral</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500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250 000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Formación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350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4 871</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1 705 000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Prospección laboral</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300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1 300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390 000</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Seguimiento en el empleo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250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250</w:t>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62 500</w:t>
            </w:r>
          </w:p>
        </w:tc>
      </w:tr>
      <w:tr>
        <w:trPr>
          <w:trHeight w:val="398"/>
        </w:trPr>
        <w:tc>
          <w:tcPr>
            <w:tcW w:w="4644" w:type="dxa"/>
            <w:vMerge w:val="restart"/>
            <w:shd w:val="clear" w:color="auto" w:fill="auto"/>
            <w:vAlign w:val="center"/>
          </w:tcPr>
          <w:p>
            <w:pPr>
              <w:spacing w:before="60" w:after="60"/>
              <w:jc w:val="right"/>
              <w:rPr>
                <w:rFonts w:eastAsia="Times New Roman"/>
                <w:noProof/>
                <w:sz w:val="22"/>
              </w:rPr>
            </w:pPr>
            <w:r>
              <w:rPr>
                <w:noProof/>
                <w:sz w:val="22"/>
              </w:rPr>
              <w:t>Subtotal a):</w:t>
            </w:r>
          </w:p>
          <w:p>
            <w:pPr>
              <w:spacing w:before="60" w:after="60"/>
              <w:jc w:val="right"/>
              <w:rPr>
                <w:rFonts w:eastAsia="Times New Roman"/>
                <w:noProof/>
                <w:sz w:val="22"/>
              </w:rPr>
            </w:pPr>
            <w:r>
              <w:rPr>
                <w:noProof/>
                <w:sz w:val="22"/>
              </w:rPr>
              <w:t xml:space="preserve">Porcentaje del paquete de servicios personalizados </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2 678 000</w:t>
            </w:r>
          </w:p>
        </w:tc>
      </w:tr>
      <w:tr>
        <w:trPr>
          <w:trHeight w:val="397"/>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81,80 </w:t>
            </w:r>
            <w:r>
              <w:rPr>
                <w:noProof/>
                <w:sz w:val="22"/>
              </w:rPr>
              <w:t>%)</w:t>
            </w:r>
          </w:p>
        </w:tc>
      </w:tr>
      <w:tr>
        <w:tc>
          <w:tcPr>
            <w:tcW w:w="9288" w:type="dxa"/>
            <w:gridSpan w:val="4"/>
            <w:shd w:val="clear" w:color="auto" w:fill="auto"/>
            <w:vAlign w:val="center"/>
          </w:tcPr>
          <w:p>
            <w:pPr>
              <w:spacing w:before="60" w:after="60"/>
              <w:jc w:val="left"/>
              <w:rPr>
                <w:noProof/>
                <w:sz w:val="22"/>
              </w:rPr>
            </w:pPr>
            <w:r>
              <w:rPr>
                <w:noProof/>
                <w:sz w:val="22"/>
              </w:rPr>
              <w:t>Ayudas e incentivos [acciones contempladas en el artículo 7, apartado 1, letra b), del Reglamento del FEAG]</w:t>
            </w:r>
          </w:p>
        </w:tc>
      </w:tr>
      <w:tr>
        <w:trPr>
          <w:trHeight w:val="802"/>
        </w:trPr>
        <w:tc>
          <w:tcPr>
            <w:tcW w:w="4644" w:type="dxa"/>
            <w:tcBorders>
              <w:top w:val="single" w:sz="4" w:space="0" w:color="auto"/>
              <w:left w:val="nil"/>
              <w:bottom w:val="single" w:sz="4" w:space="0" w:color="auto"/>
              <w:right w:val="single" w:sz="4" w:space="0" w:color="auto"/>
            </w:tcBorders>
            <w:vAlign w:val="center"/>
            <w:hideMark/>
          </w:tcPr>
          <w:p>
            <w:pPr>
              <w:spacing w:before="60" w:after="60"/>
              <w:jc w:val="left"/>
              <w:rPr>
                <w:noProof/>
              </w:rPr>
            </w:pPr>
            <w:r>
              <w:rPr>
                <w:noProof/>
              </w:rPr>
              <w:t xml:space="preserve">Programa de incentivos </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400</w:t>
            </w:r>
          </w:p>
        </w:tc>
        <w:tc>
          <w:tcPr>
            <w:tcW w:w="1548" w:type="dxa"/>
            <w:tcBorders>
              <w:top w:val="single" w:sz="4" w:space="0" w:color="auto"/>
              <w:left w:val="single" w:sz="4" w:space="0" w:color="auto"/>
              <w:bottom w:val="single" w:sz="4" w:space="0" w:color="auto"/>
              <w:right w:val="single" w:sz="4" w:space="0" w:color="auto"/>
            </w:tcBorders>
            <w:vAlign w:val="center"/>
            <w:hideMark/>
          </w:tcPr>
          <w:p>
            <w:pPr>
              <w:spacing w:before="60" w:after="60"/>
              <w:jc w:val="center"/>
              <w:rPr>
                <w:noProof/>
              </w:rPr>
            </w:pPr>
            <w:r>
              <w:rPr>
                <w:noProof/>
              </w:rPr>
              <w:t>1 490</w:t>
            </w:r>
            <w:r>
              <w:rPr>
                <w:rStyle w:val="FootnoteReference"/>
                <w:noProof/>
              </w:rPr>
              <w:footnoteReference w:id="34"/>
            </w:r>
          </w:p>
        </w:tc>
        <w:tc>
          <w:tcPr>
            <w:tcW w:w="1548" w:type="dxa"/>
            <w:tcBorders>
              <w:top w:val="single" w:sz="4" w:space="0" w:color="auto"/>
              <w:left w:val="single" w:sz="4" w:space="0" w:color="auto"/>
              <w:bottom w:val="single" w:sz="4" w:space="0" w:color="auto"/>
              <w:right w:val="nil"/>
            </w:tcBorders>
            <w:vAlign w:val="center"/>
            <w:hideMark/>
          </w:tcPr>
          <w:p>
            <w:pPr>
              <w:spacing w:before="60" w:after="60"/>
              <w:jc w:val="center"/>
              <w:rPr>
                <w:noProof/>
              </w:rPr>
            </w:pPr>
            <w:r>
              <w:rPr>
                <w:noProof/>
              </w:rPr>
              <w:t>596 000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Subtotal b):</w:t>
            </w:r>
          </w:p>
          <w:p>
            <w:pPr>
              <w:spacing w:before="60" w:after="60"/>
              <w:jc w:val="right"/>
              <w:rPr>
                <w:rFonts w:eastAsia="Times New Roman"/>
                <w:noProof/>
                <w:sz w:val="22"/>
              </w:rPr>
            </w:pPr>
            <w:r>
              <w:rPr>
                <w:noProof/>
                <w:sz w:val="22"/>
              </w:rPr>
              <w:t>Porcentaje del paquete de servicios personalizados:</w:t>
            </w:r>
          </w:p>
        </w:tc>
        <w:tc>
          <w:tcPr>
            <w:tcW w:w="3096" w:type="dxa"/>
            <w:gridSpan w:val="2"/>
            <w:vMerge w:val="restart"/>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596 000</w:t>
            </w:r>
          </w:p>
        </w:tc>
      </w:tr>
      <w:tr>
        <w:trPr>
          <w:trHeight w:val="202"/>
        </w:trPr>
        <w:tc>
          <w:tcPr>
            <w:tcW w:w="4644" w:type="dxa"/>
            <w:vMerge/>
            <w:shd w:val="clear" w:color="auto" w:fill="auto"/>
            <w:vAlign w:val="center"/>
          </w:tcPr>
          <w:p>
            <w:pPr>
              <w:spacing w:before="60" w:after="60"/>
              <w:jc w:val="right"/>
              <w:rPr>
                <w:rFonts w:eastAsia="Times New Roman"/>
                <w:noProof/>
                <w:sz w:val="22"/>
              </w:rPr>
            </w:pPr>
          </w:p>
        </w:tc>
        <w:tc>
          <w:tcPr>
            <w:tcW w:w="3096" w:type="dxa"/>
            <w:gridSpan w:val="2"/>
            <w:vMerge/>
            <w:shd w:val="clear" w:color="auto" w:fill="D9D9D9"/>
            <w:vAlign w:val="center"/>
          </w:tcPr>
          <w:p>
            <w:pPr>
              <w:spacing w:before="60" w:after="6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18,20 </w:t>
            </w:r>
            <w:r>
              <w:rPr>
                <w:noProof/>
                <w:sz w:val="22"/>
              </w:rPr>
              <w:t>%)</w:t>
            </w:r>
          </w:p>
        </w:tc>
      </w:tr>
      <w:tr>
        <w:tc>
          <w:tcPr>
            <w:tcW w:w="9288" w:type="dxa"/>
            <w:gridSpan w:val="4"/>
            <w:shd w:val="clear" w:color="auto" w:fill="auto"/>
            <w:vAlign w:val="center"/>
          </w:tcPr>
          <w:p>
            <w:pPr>
              <w:spacing w:before="60" w:after="60"/>
              <w:jc w:val="left"/>
              <w:rPr>
                <w:rFonts w:eastAsia="Times New Roman"/>
                <w:noProof/>
                <w:sz w:val="22"/>
              </w:rPr>
            </w:pPr>
            <w:r>
              <w:rPr>
                <w:noProof/>
                <w:sz w:val="22"/>
              </w:rPr>
              <w:t xml:space="preserve"> Acciones contempladas en el artículo 7, apartado 4, del Reglamento del FEAG</w:t>
            </w:r>
          </w:p>
        </w:tc>
      </w:tr>
      <w:tr>
        <w:tc>
          <w:tcPr>
            <w:tcW w:w="4644" w:type="dxa"/>
            <w:shd w:val="clear" w:color="auto" w:fill="auto"/>
          </w:tcPr>
          <w:p>
            <w:pPr>
              <w:spacing w:before="60" w:after="60"/>
              <w:ind w:left="284"/>
              <w:jc w:val="left"/>
              <w:rPr>
                <w:rFonts w:eastAsia="Times New Roman"/>
                <w:noProof/>
                <w:sz w:val="22"/>
              </w:rPr>
            </w:pPr>
            <w:r>
              <w:rPr>
                <w:noProof/>
                <w:sz w:val="22"/>
              </w:rPr>
              <w:t>1. Actividades preparatorias</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0</w:t>
            </w:r>
          </w:p>
        </w:tc>
      </w:tr>
      <w:tr>
        <w:tc>
          <w:tcPr>
            <w:tcW w:w="4644" w:type="dxa"/>
            <w:shd w:val="clear" w:color="auto" w:fill="auto"/>
          </w:tcPr>
          <w:p>
            <w:pPr>
              <w:spacing w:before="60" w:after="60"/>
              <w:ind w:left="284"/>
              <w:jc w:val="left"/>
              <w:rPr>
                <w:rFonts w:eastAsia="Times New Roman"/>
                <w:noProof/>
                <w:sz w:val="22"/>
              </w:rPr>
            </w:pPr>
            <w:r>
              <w:rPr>
                <w:noProof/>
                <w:sz w:val="22"/>
              </w:rPr>
              <w:t>2. Gestión</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100 000</w:t>
            </w:r>
          </w:p>
        </w:tc>
      </w:tr>
      <w:tr>
        <w:tc>
          <w:tcPr>
            <w:tcW w:w="4644" w:type="dxa"/>
            <w:shd w:val="clear" w:color="auto" w:fill="auto"/>
          </w:tcPr>
          <w:p>
            <w:pPr>
              <w:spacing w:before="60" w:after="60"/>
              <w:ind w:left="284"/>
              <w:jc w:val="left"/>
              <w:rPr>
                <w:rFonts w:eastAsia="Times New Roman"/>
                <w:noProof/>
                <w:sz w:val="22"/>
              </w:rPr>
            </w:pPr>
            <w:r>
              <w:rPr>
                <w:noProof/>
                <w:sz w:val="22"/>
              </w:rPr>
              <w:lastRenderedPageBreak/>
              <w:t>3. Información y publicidad</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32 000</w:t>
            </w:r>
          </w:p>
        </w:tc>
      </w:tr>
      <w:tr>
        <w:tc>
          <w:tcPr>
            <w:tcW w:w="4644" w:type="dxa"/>
            <w:shd w:val="clear" w:color="auto" w:fill="auto"/>
          </w:tcPr>
          <w:p>
            <w:pPr>
              <w:spacing w:before="60" w:after="60"/>
              <w:ind w:left="284"/>
              <w:jc w:val="left"/>
              <w:rPr>
                <w:rFonts w:eastAsia="Times New Roman"/>
                <w:noProof/>
                <w:sz w:val="22"/>
              </w:rPr>
            </w:pPr>
            <w:r>
              <w:rPr>
                <w:noProof/>
                <w:sz w:val="22"/>
              </w:rPr>
              <w:t>4. Control y presentación de informes</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tcBorders>
              <w:bottom w:val="single" w:sz="4" w:space="0" w:color="auto"/>
            </w:tcBorders>
            <w:shd w:val="clear" w:color="auto" w:fill="auto"/>
          </w:tcPr>
          <w:p>
            <w:pPr>
              <w:spacing w:before="60" w:after="60"/>
              <w:jc w:val="center"/>
              <w:rPr>
                <w:rFonts w:eastAsia="Times New Roman"/>
                <w:noProof/>
                <w:sz w:val="22"/>
              </w:rPr>
            </w:pPr>
            <w:r>
              <w:rPr>
                <w:noProof/>
              </w:rPr>
              <w:t>18 000</w:t>
            </w:r>
          </w:p>
        </w:tc>
      </w:tr>
      <w:tr>
        <w:trPr>
          <w:trHeight w:val="203"/>
        </w:trPr>
        <w:tc>
          <w:tcPr>
            <w:tcW w:w="4644" w:type="dxa"/>
            <w:vMerge w:val="restart"/>
            <w:shd w:val="clear" w:color="auto" w:fill="auto"/>
            <w:vAlign w:val="center"/>
          </w:tcPr>
          <w:p>
            <w:pPr>
              <w:spacing w:before="60" w:after="60"/>
              <w:jc w:val="right"/>
              <w:rPr>
                <w:rFonts w:eastAsia="Times New Roman"/>
                <w:noProof/>
                <w:sz w:val="22"/>
              </w:rPr>
            </w:pPr>
            <w:r>
              <w:rPr>
                <w:noProof/>
                <w:sz w:val="22"/>
              </w:rPr>
              <w:t>Subtotal c):</w:t>
            </w:r>
          </w:p>
          <w:p>
            <w:pPr>
              <w:spacing w:before="60" w:after="60"/>
              <w:jc w:val="right"/>
              <w:rPr>
                <w:rFonts w:eastAsia="Times New Roman"/>
                <w:noProof/>
                <w:sz w:val="22"/>
              </w:rPr>
            </w:pPr>
            <w:r>
              <w:rPr>
                <w:noProof/>
                <w:sz w:val="22"/>
              </w:rPr>
              <w:t>Porcentaje del coste total:</w:t>
            </w:r>
          </w:p>
        </w:tc>
        <w:tc>
          <w:tcPr>
            <w:tcW w:w="3096" w:type="dxa"/>
            <w:gridSpan w:val="2"/>
            <w:vMerge w:val="restart"/>
            <w:shd w:val="clear" w:color="auto" w:fill="D9D9D9"/>
            <w:vAlign w:val="center"/>
          </w:tcPr>
          <w:p>
            <w:pPr>
              <w:spacing w:before="0" w:after="0"/>
              <w:jc w:val="center"/>
              <w:rPr>
                <w:rFonts w:eastAsia="Times New Roman"/>
                <w:noProof/>
                <w:sz w:val="22"/>
              </w:rPr>
            </w:pPr>
            <w:r>
              <w:rPr>
                <w:noProof/>
                <w:sz w:val="22"/>
              </w:rPr>
              <w:t>–</w:t>
            </w:r>
          </w:p>
        </w:tc>
        <w:tc>
          <w:tcPr>
            <w:tcW w:w="1548" w:type="dxa"/>
            <w:tcBorders>
              <w:bottom w:val="nil"/>
            </w:tcBorders>
            <w:shd w:val="clear" w:color="auto" w:fill="auto"/>
            <w:vAlign w:val="center"/>
          </w:tcPr>
          <w:p>
            <w:pPr>
              <w:spacing w:before="60" w:after="60"/>
              <w:jc w:val="center"/>
              <w:rPr>
                <w:rFonts w:eastAsia="Times New Roman"/>
                <w:noProof/>
                <w:sz w:val="22"/>
              </w:rPr>
            </w:pPr>
            <w:r>
              <w:rPr>
                <w:noProof/>
              </w:rPr>
              <w:t>150 000</w:t>
            </w:r>
          </w:p>
        </w:tc>
      </w:tr>
      <w:tr>
        <w:trPr>
          <w:trHeight w:val="202"/>
        </w:trPr>
        <w:tc>
          <w:tcPr>
            <w:tcW w:w="4644" w:type="dxa"/>
            <w:vMerge/>
            <w:shd w:val="clear" w:color="auto" w:fill="auto"/>
          </w:tcPr>
          <w:p>
            <w:pPr>
              <w:spacing w:before="0" w:after="0"/>
              <w:jc w:val="right"/>
              <w:rPr>
                <w:rFonts w:eastAsia="Times New Roman"/>
                <w:noProof/>
                <w:sz w:val="22"/>
              </w:rPr>
            </w:pPr>
          </w:p>
        </w:tc>
        <w:tc>
          <w:tcPr>
            <w:tcW w:w="3096" w:type="dxa"/>
            <w:gridSpan w:val="2"/>
            <w:vMerge/>
            <w:shd w:val="clear" w:color="auto" w:fill="D9D9D9"/>
            <w:vAlign w:val="center"/>
          </w:tcPr>
          <w:p>
            <w:pPr>
              <w:spacing w:before="0" w:after="0"/>
              <w:jc w:val="center"/>
              <w:rPr>
                <w:rFonts w:eastAsia="Times New Roman"/>
                <w:noProof/>
                <w:sz w:val="22"/>
              </w:rPr>
            </w:pPr>
          </w:p>
        </w:tc>
        <w:tc>
          <w:tcPr>
            <w:tcW w:w="1548" w:type="dxa"/>
            <w:tcBorders>
              <w:top w:val="nil"/>
            </w:tcBorders>
            <w:shd w:val="clear" w:color="auto" w:fill="auto"/>
            <w:vAlign w:val="center"/>
          </w:tcPr>
          <w:p>
            <w:pPr>
              <w:spacing w:before="60" w:after="60"/>
              <w:jc w:val="center"/>
              <w:rPr>
                <w:rFonts w:eastAsia="Times New Roman"/>
                <w:noProof/>
                <w:sz w:val="22"/>
              </w:rPr>
            </w:pPr>
            <w:r>
              <w:rPr>
                <w:noProof/>
                <w:sz w:val="22"/>
              </w:rPr>
              <w:t>(</w:t>
            </w:r>
            <w:r>
              <w:rPr>
                <w:noProof/>
              </w:rPr>
              <w:t>4,38 </w:t>
            </w:r>
            <w:r>
              <w:rPr>
                <w:noProof/>
                <w:sz w:val="22"/>
              </w:rPr>
              <w:t>%)</w:t>
            </w:r>
          </w:p>
        </w:tc>
      </w:tr>
      <w:tr>
        <w:tc>
          <w:tcPr>
            <w:tcW w:w="4644" w:type="dxa"/>
            <w:shd w:val="clear" w:color="auto" w:fill="auto"/>
          </w:tcPr>
          <w:p>
            <w:pPr>
              <w:spacing w:before="60" w:after="60"/>
              <w:jc w:val="left"/>
              <w:rPr>
                <w:rFonts w:eastAsia="Times New Roman"/>
                <w:noProof/>
                <w:sz w:val="22"/>
              </w:rPr>
            </w:pPr>
            <w:r>
              <w:rPr>
                <w:noProof/>
                <w:sz w:val="22"/>
              </w:rPr>
              <w:t>Coste total (a + b + c):</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noProof/>
                <w:sz w:val="22"/>
              </w:rPr>
            </w:pPr>
            <w:r>
              <w:rPr>
                <w:noProof/>
              </w:rPr>
              <w:t>3 424 000</w:t>
            </w:r>
          </w:p>
        </w:tc>
      </w:tr>
      <w:tr>
        <w:tc>
          <w:tcPr>
            <w:tcW w:w="4644" w:type="dxa"/>
            <w:shd w:val="clear" w:color="auto" w:fill="auto"/>
          </w:tcPr>
          <w:p>
            <w:pPr>
              <w:spacing w:before="60" w:after="60"/>
              <w:jc w:val="left"/>
              <w:rPr>
                <w:rFonts w:eastAsia="Times New Roman"/>
                <w:noProof/>
                <w:sz w:val="22"/>
              </w:rPr>
            </w:pPr>
            <w:r>
              <w:rPr>
                <w:noProof/>
                <w:sz w:val="22"/>
              </w:rPr>
              <w:t>Contribución del FEAG (un 60 % del coste total)</w:t>
            </w:r>
          </w:p>
        </w:tc>
        <w:tc>
          <w:tcPr>
            <w:tcW w:w="3096" w:type="dxa"/>
            <w:gridSpan w:val="2"/>
            <w:shd w:val="clear" w:color="auto" w:fill="D9D9D9"/>
            <w:vAlign w:val="center"/>
          </w:tcPr>
          <w:p>
            <w:pPr>
              <w:spacing w:before="60" w:after="60"/>
              <w:jc w:val="center"/>
              <w:rPr>
                <w:rFonts w:eastAsia="Times New Roman"/>
                <w:noProof/>
                <w:sz w:val="22"/>
              </w:rPr>
            </w:pPr>
            <w:r>
              <w:rPr>
                <w:noProof/>
                <w:sz w:val="22"/>
              </w:rPr>
              <w:t>–</w:t>
            </w:r>
          </w:p>
        </w:tc>
        <w:tc>
          <w:tcPr>
            <w:tcW w:w="1548" w:type="dxa"/>
            <w:shd w:val="clear" w:color="auto" w:fill="auto"/>
          </w:tcPr>
          <w:p>
            <w:pPr>
              <w:spacing w:before="60" w:after="60"/>
              <w:jc w:val="center"/>
              <w:rPr>
                <w:rFonts w:eastAsia="Times New Roman"/>
                <w:noProof/>
                <w:sz w:val="22"/>
              </w:rPr>
            </w:pPr>
            <w:r>
              <w:rPr>
                <w:noProof/>
              </w:rPr>
              <w:t>2 054 400</w:t>
            </w:r>
          </w:p>
        </w:tc>
      </w:tr>
    </w:tbl>
    <w:p>
      <w:pPr>
        <w:pStyle w:val="ManualNumPar1"/>
        <w:rPr>
          <w:noProof/>
        </w:rPr>
      </w:pPr>
      <w:r>
        <w:t>34.</w:t>
      </w:r>
      <w:r>
        <w:tab/>
      </w:r>
      <w:r>
        <w:rPr>
          <w:noProof/>
        </w:rPr>
        <w:t>El coste de las acciones identificadas en el cuadro anterior como acciones contempladas en el artículo 7, apartado 1, letra b), del Reglamento del FEAG no supera el 35 % del coste total del paquete coordinado de servicios personalizados. España ha confirmado que estas acciones están condicionadas a la participación activa de los beneficiarios previstos en las actividades de búsqueda de empleo o de formación.</w:t>
      </w:r>
    </w:p>
    <w:p>
      <w:pPr>
        <w:pStyle w:val="ManualHeading3"/>
        <w:rPr>
          <w:noProof/>
        </w:rPr>
      </w:pPr>
      <w:r>
        <w:rPr>
          <w:noProof/>
        </w:rPr>
        <w:t>Período de elegibilidad del gasto</w:t>
      </w:r>
    </w:p>
    <w:p>
      <w:pPr>
        <w:pStyle w:val="ManualNumPar1"/>
        <w:rPr>
          <w:noProof/>
        </w:rPr>
      </w:pPr>
      <w:r>
        <w:t>35.</w:t>
      </w:r>
      <w:r>
        <w:tab/>
      </w:r>
      <w:r>
        <w:rPr>
          <w:noProof/>
        </w:rPr>
        <w:t>España empezó a prestar servicios personalizados a los beneficiarios previstos el 13 de agosto de 2020. Por consiguiente, los gastos de estas acciones serán elegibles para una contribución financiera del FEAG desde el 13 de agosto de 2020 hasta el 13 de agosto de 2022.</w:t>
      </w:r>
    </w:p>
    <w:p>
      <w:pPr>
        <w:pStyle w:val="ManualNumPar1"/>
        <w:rPr>
          <w:noProof/>
        </w:rPr>
      </w:pPr>
      <w:r>
        <w:t>36.</w:t>
      </w:r>
      <w:r>
        <w:tab/>
      </w:r>
      <w:r>
        <w:rPr>
          <w:noProof/>
        </w:rPr>
        <w:t xml:space="preserve">España empezó a incurrir en los gastos administrativos necesarios para ejecutar las actividades del FEAG el 8 de junio de 2020. Por tanto, los gastos destinados a las actividades de preparación, gestión, información y publicidad, control y presentación de informes serán elegibles para una contribución financiera del FEAG desde el 8 de junio de 2020 hasta el 13 de febrero de 2023. </w:t>
      </w:r>
    </w:p>
    <w:p>
      <w:pPr>
        <w:pStyle w:val="ManualHeading3"/>
        <w:rPr>
          <w:noProof/>
        </w:rPr>
      </w:pPr>
      <w:r>
        <w:rPr>
          <w:noProof/>
        </w:rPr>
        <w:t>Complementariedad con acciones financiadas con fondos nacionales o de la Unión</w:t>
      </w:r>
    </w:p>
    <w:p>
      <w:pPr>
        <w:pStyle w:val="ManualNumPar1"/>
        <w:rPr>
          <w:noProof/>
        </w:rPr>
      </w:pPr>
      <w:r>
        <w:t>37.</w:t>
      </w:r>
      <w:r>
        <w:tab/>
      </w:r>
      <w:r>
        <w:rPr>
          <w:noProof/>
        </w:rPr>
        <w:t>La fuente de prefinanciación o cofinanciación nacional está constituida por fondos de la Consellería de Economía, Emprego e Industria de la Xunta de Galicia.</w:t>
      </w:r>
    </w:p>
    <w:p>
      <w:pPr>
        <w:pStyle w:val="ManualNumPar1"/>
        <w:rPr>
          <w:noProof/>
        </w:rPr>
      </w:pPr>
      <w:r>
        <w:t>38.</w:t>
      </w:r>
      <w:r>
        <w:tab/>
      </w:r>
      <w:r>
        <w:rPr>
          <w:noProof/>
        </w:rPr>
        <w:t>España ha confirmado que las medidas descritas anteriormente que reciban una contribución financiera del FEAG no recibirán contribución financiera alguna de otros instrumentos financieros de la Unión.</w:t>
      </w:r>
    </w:p>
    <w:p>
      <w:pPr>
        <w:pStyle w:val="ManualHeading3"/>
        <w:tabs>
          <w:tab w:val="clear" w:pos="850"/>
          <w:tab w:val="left" w:pos="0"/>
        </w:tabs>
        <w:ind w:left="0" w:firstLine="0"/>
        <w:rPr>
          <w:noProof/>
          <w:u w:val="single"/>
        </w:rPr>
      </w:pPr>
      <w:r>
        <w:rPr>
          <w:noProof/>
        </w:rPr>
        <w:t>Procedimientos para consultar a los beneficiarios previstos o a sus representantes, o a los interlocutores sociales, así como a las autoridades locales y regionales</w:t>
      </w:r>
    </w:p>
    <w:p>
      <w:pPr>
        <w:pStyle w:val="ManualNumPar1"/>
        <w:rPr>
          <w:noProof/>
        </w:rPr>
      </w:pPr>
      <w:r>
        <w:t>39.</w:t>
      </w:r>
      <w:r>
        <w:tab/>
      </w:r>
      <w:r>
        <w:rPr>
          <w:noProof/>
        </w:rPr>
        <w:t>España ha indicado que ASIME y los sindicatos CCOO</w:t>
      </w:r>
      <w:r>
        <w:rPr>
          <w:rStyle w:val="FootnoteReference"/>
          <w:noProof/>
        </w:rPr>
        <w:footnoteReference w:id="35"/>
      </w:r>
      <w:r>
        <w:rPr>
          <w:noProof/>
        </w:rPr>
        <w:t xml:space="preserve"> y UGT</w:t>
      </w:r>
      <w:r>
        <w:rPr>
          <w:rStyle w:val="FootnoteReference"/>
          <w:noProof/>
        </w:rPr>
        <w:footnoteReference w:id="36"/>
      </w:r>
      <w:r>
        <w:rPr>
          <w:noProof/>
        </w:rPr>
        <w:t xml:space="preserve"> (los interlocutores sociales que participan en el diálogo social de Galicia) han apoyado a la Xunta de Galicia en la preparación de la solicitud, facilitando información detallada sobre el sector de la construcción naval y el mercado laboral. El paquete coordinado de servicios personalizados ha sido elaborado en consulta con los interlocutores sociales y se ha debatido en dos reuniones celebradas el 4 de noviembre de 2019 y el 19 de febrero de 2020. Gracias a un acuerdo de colaboración, los interlocutores sociales también participarán en la ejecución de los servicios.</w:t>
      </w:r>
    </w:p>
    <w:p>
      <w:pPr>
        <w:pStyle w:val="ManualHeading2"/>
        <w:rPr>
          <w:noProof/>
        </w:rPr>
      </w:pPr>
      <w:r>
        <w:rPr>
          <w:noProof/>
        </w:rPr>
        <w:lastRenderedPageBreak/>
        <w:t>Sistemas de control y gestión</w:t>
      </w:r>
    </w:p>
    <w:p>
      <w:pPr>
        <w:pStyle w:val="ManualNumPar1"/>
        <w:rPr>
          <w:noProof/>
        </w:rPr>
      </w:pPr>
      <w:r>
        <w:t>40.</w:t>
      </w:r>
      <w:r>
        <w:tab/>
      </w:r>
      <w:r>
        <w:rPr>
          <w:noProof/>
        </w:rPr>
        <w:t>La solicitud contiene una descripción del sistema de gestión y control que especifica las responsabilidades de los organismos implicados. España ha informado a la Comisión de que la contribución financiera estará gestionada y controlada por los mismos organismos que gestionan y controlan el FSE. La Xunta de Galicia</w:t>
      </w:r>
      <w:r>
        <w:rPr>
          <w:rStyle w:val="FootnoteReference"/>
          <w:noProof/>
        </w:rPr>
        <w:footnoteReference w:id="37"/>
      </w:r>
      <w:r>
        <w:rPr>
          <w:noProof/>
        </w:rPr>
        <w:t xml:space="preserve"> será el organismo intermedio de la autoridad de gestión.</w:t>
      </w:r>
    </w:p>
    <w:p>
      <w:pPr>
        <w:pStyle w:val="ManualHeading2"/>
        <w:rPr>
          <w:noProof/>
        </w:rPr>
      </w:pPr>
      <w:r>
        <w:rPr>
          <w:noProof/>
        </w:rPr>
        <w:t>Compromisos contraídos por el Estado miembro afectado</w:t>
      </w:r>
    </w:p>
    <w:p>
      <w:pPr>
        <w:pStyle w:val="ManualNumPar1"/>
        <w:rPr>
          <w:noProof/>
        </w:rPr>
      </w:pPr>
      <w:r>
        <w:t>41.</w:t>
      </w:r>
      <w:r>
        <w:tab/>
      </w:r>
      <w:r>
        <w:rPr>
          <w:noProof/>
        </w:rPr>
        <w:t xml:space="preserve">España ha proporcionado todas las garantías necesarias con respecto a lo siguiente: </w:t>
      </w:r>
    </w:p>
    <w:p>
      <w:pPr>
        <w:pStyle w:val="Tiret1"/>
        <w:rPr>
          <w:noProof/>
        </w:rPr>
      </w:pPr>
      <w:r>
        <w:rPr>
          <w:noProof/>
        </w:rPr>
        <w:t>se respetarán los principios de igualdad de trato y de no discriminación en el acceso a las acciones propuestas y su aplicación;</w:t>
      </w:r>
    </w:p>
    <w:p>
      <w:pPr>
        <w:pStyle w:val="Tiret1"/>
        <w:rPr>
          <w:noProof/>
        </w:rPr>
      </w:pPr>
      <w:r>
        <w:rPr>
          <w:noProof/>
        </w:rPr>
        <w:t>se han cumplido los requisitos establecidos en la legislación nacional y de la Unión sobre despidos colectivos;</w:t>
      </w:r>
    </w:p>
    <w:p>
      <w:pPr>
        <w:pStyle w:val="Tiret1"/>
        <w:rPr>
          <w:noProof/>
        </w:rPr>
      </w:pPr>
      <w:r>
        <w:rPr>
          <w:noProof/>
        </w:rPr>
        <w:t>las empresas que han efectuado los despidos y que han proseguido con sus actividades después de haberlos llevado a cabo han cumplido con sus obligaciones legales en materia de despidos y han atendido a sus trabajadores en consecuencia;</w:t>
      </w:r>
    </w:p>
    <w:p>
      <w:pPr>
        <w:pStyle w:val="Tiret1"/>
        <w:rPr>
          <w:noProof/>
        </w:rPr>
      </w:pPr>
      <w:r>
        <w:rPr>
          <w:noProof/>
        </w:rPr>
        <w:t>las acciones propuestas no recibirán contribución financiera de otros fondos o instrumentos financieros de la Unión y se evitará toda doble financiación;</w:t>
      </w:r>
    </w:p>
    <w:p>
      <w:pPr>
        <w:pStyle w:val="Tiret1"/>
        <w:rPr>
          <w:noProof/>
        </w:rPr>
      </w:pPr>
      <w:r>
        <w:rPr>
          <w:noProof/>
        </w:rPr>
        <w:t>las acciones propuestas serán complementarias de las acciones financiadas con cargo a los Fondos Estructurales;</w:t>
      </w:r>
    </w:p>
    <w:p>
      <w:pPr>
        <w:pStyle w:val="Tiret1"/>
        <w:rPr>
          <w:noProof/>
        </w:rPr>
      </w:pPr>
      <w:r>
        <w:rPr>
          <w:noProof/>
        </w:rPr>
        <w:t>y la contribución financiera del FEAG cumplirá las normas procedimentales y de fondo de la Unión sobre ayudas estatales.</w:t>
      </w:r>
    </w:p>
    <w:p>
      <w:pPr>
        <w:pStyle w:val="ManualHeading1"/>
        <w:rPr>
          <w:noProof/>
        </w:rPr>
      </w:pPr>
      <w:r>
        <w:rPr>
          <w:noProof/>
        </w:rPr>
        <w:t>REPERCUSIONES PRESUPUESTARIAS</w:t>
      </w:r>
    </w:p>
    <w:p>
      <w:pPr>
        <w:pStyle w:val="ManualHeading2"/>
        <w:rPr>
          <w:noProof/>
        </w:rPr>
      </w:pPr>
      <w:r>
        <w:rPr>
          <w:noProof/>
        </w:rPr>
        <w:t>Propuesta presupuestaria</w:t>
      </w:r>
    </w:p>
    <w:p>
      <w:pPr>
        <w:pStyle w:val="ManualNumPar1"/>
        <w:rPr>
          <w:noProof/>
        </w:rPr>
      </w:pPr>
      <w:r>
        <w:t>42.</w:t>
      </w:r>
      <w:r>
        <w:tab/>
      </w:r>
      <w:r>
        <w:rPr>
          <w:noProof/>
        </w:rPr>
        <w:t>El FEAG no puede superar la cantidad máxima anual de 150 millones EUR (a precios de 2011), de acuerdo con lo establecido en el artículo 12 del Reglamento (UE, Euratom) n.º 1311/2013 del Consejo, de 2 de diciembre de 2013, por el que se establece el marco financiero plurianual para el período 2014-2020</w:t>
      </w:r>
      <w:r>
        <w:rPr>
          <w:rStyle w:val="FootnoteReference"/>
          <w:noProof/>
        </w:rPr>
        <w:footnoteReference w:id="38"/>
      </w:r>
      <w:r>
        <w:rPr>
          <w:noProof/>
        </w:rPr>
        <w:t>.</w:t>
      </w:r>
    </w:p>
    <w:p>
      <w:pPr>
        <w:pStyle w:val="ManualNumPar1"/>
        <w:rPr>
          <w:rFonts w:eastAsia="Calibri"/>
          <w:noProof/>
        </w:rPr>
      </w:pPr>
      <w:r>
        <w:t>43.</w:t>
      </w:r>
      <w:r>
        <w:tab/>
      </w:r>
      <w:r>
        <w:rPr>
          <w:noProof/>
        </w:rPr>
        <w:t>Tras examinar la solicitud con respecto a las condiciones establecidas en el artículo 13, apartado 1, del Reglamento del FEAG, y teniendo en cuenta el número de beneficiarios previstos, las acciones propuestas y los costes estimados, la Comisión propone movilizar el FEAG por un importe de 2 054 400 EUR, que representa el 60 % de los costes totales de las acciones propuestas, a fin de proporcionar una contribución financiera a la solicitud.</w:t>
      </w:r>
    </w:p>
    <w:p>
      <w:pPr>
        <w:pStyle w:val="ManualNumPar1"/>
        <w:rPr>
          <w:noProof/>
        </w:rPr>
      </w:pPr>
      <w:r>
        <w:t>44.</w:t>
      </w:r>
      <w:r>
        <w:tab/>
      </w:r>
      <w:r>
        <w:rPr>
          <w:noProof/>
        </w:rPr>
        <w:t>El importe agregado de las contribuciones en circunstancias excepcionales en el presente ejercicio no supera el 15 % del importe máximo anual del FEAG, de conformidad con el artículo 4, apartado 2, del Reglamento del FEAG.</w:t>
      </w:r>
    </w:p>
    <w:p>
      <w:pPr>
        <w:pStyle w:val="ManualNumPar1"/>
        <w:rPr>
          <w:rFonts w:eastAsia="Times New Roman"/>
          <w:noProof/>
        </w:rPr>
      </w:pPr>
      <w:r>
        <w:lastRenderedPageBreak/>
        <w:t>45.</w:t>
      </w:r>
      <w:r>
        <w:tab/>
      </w:r>
      <w:r>
        <w:rPr>
          <w:noProof/>
        </w:rPr>
        <w:t>La Decisión de movilización del FEAG propuesta será adoptada conjuntamente por el Parlamento Europeo y el Consejo, de conformidad con lo establecido en el apartado 13 del Acuerdo Interinstitucional, de 2 de diciembre de 2013, entre el Parlamento Europeo, el Consejo y la Comisión sobre disciplina presupuestaria, cooperación en materia presupuestaria y buena gestión financiera</w:t>
      </w:r>
      <w:r>
        <w:rPr>
          <w:rStyle w:val="FootnoteReference"/>
          <w:noProof/>
        </w:rPr>
        <w:footnoteReference w:id="39"/>
      </w:r>
      <w:r>
        <w:rPr>
          <w:noProof/>
        </w:rPr>
        <w:t>.</w:t>
      </w:r>
    </w:p>
    <w:p>
      <w:pPr>
        <w:pStyle w:val="ManualHeading2"/>
        <w:rPr>
          <w:noProof/>
        </w:rPr>
      </w:pPr>
      <w:r>
        <w:rPr>
          <w:noProof/>
        </w:rPr>
        <w:t>Actos conexos</w:t>
      </w:r>
    </w:p>
    <w:p>
      <w:pPr>
        <w:pStyle w:val="ManualNumPar1"/>
        <w:rPr>
          <w:noProof/>
        </w:rPr>
      </w:pPr>
      <w:r>
        <w:t>46.</w:t>
      </w:r>
      <w:r>
        <w:tab/>
      </w:r>
      <w:r>
        <w:rPr>
          <w:noProof/>
        </w:rPr>
        <w:t>Al tiempo que presenta la presente propuesta de Decisión de movilización del FEAG, la Comisión presentará al Parlamento Europeo y al Consejo una propuesta de transferencia a la correspondiente línea presupuestaria por un importe de 2 054 400 EUR.</w:t>
      </w:r>
    </w:p>
    <w:p>
      <w:pPr>
        <w:pStyle w:val="ManualNumPar1"/>
        <w:rPr>
          <w:noProof/>
        </w:rPr>
      </w:pPr>
      <w:r>
        <w:t>47.</w:t>
      </w:r>
      <w:r>
        <w:tab/>
      </w:r>
      <w:r>
        <w:rPr>
          <w:noProof/>
        </w:rPr>
        <w:t>A la vez que adopta la presente propuesta de Decisión de movilización del FEAG, la Comisión adoptará una Decisión relativa a una contribución financiera, mediante un acto de ejecución que entrará en vigor en la fecha en que el Parlamento Europeo y el Consejo adopten la propuesta de Decisión de movilización del FEAG.</w:t>
      </w:r>
    </w:p>
    <w:p>
      <w:pPr>
        <w:rPr>
          <w:noProof/>
        </w:rPr>
        <w:sectPr>
          <w:footerReference w:type="default" r:id="rId11"/>
          <w:footerReference w:type="first" r:id="rId12"/>
          <w:pgSz w:w="11907" w:h="16839"/>
          <w:pgMar w:top="1134" w:right="1417" w:bottom="1134" w:left="1417" w:header="709" w:footer="709" w:gutter="0"/>
          <w:pgNumType w:start="1"/>
          <w:cols w:space="708"/>
          <w:docGrid w:linePitch="360"/>
        </w:sectPr>
      </w:pPr>
    </w:p>
    <w:p>
      <w:pPr>
        <w:pStyle w:val="Statut"/>
        <w:rPr>
          <w:noProof/>
        </w:rPr>
      </w:pPr>
      <w:r>
        <w:rPr>
          <w:noProof/>
        </w:rPr>
        <w:lastRenderedPageBreak/>
        <w:t>Propuesta de</w:t>
      </w:r>
    </w:p>
    <w:p>
      <w:pPr>
        <w:pStyle w:val="Typedudocument"/>
        <w:rPr>
          <w:noProof/>
        </w:rPr>
      </w:pPr>
      <w:r>
        <w:rPr>
          <w:noProof/>
        </w:rPr>
        <w:t>DECISIÓN DEL PARLAMENTO EUROPEO Y DEL CONSEJO</w:t>
      </w:r>
    </w:p>
    <w:p>
      <w:pPr>
        <w:pStyle w:val="Titreobjet"/>
        <w:rPr>
          <w:noProof/>
        </w:rPr>
      </w:pPr>
      <w:r>
        <w:rPr>
          <w:noProof/>
        </w:rPr>
        <w:t xml:space="preserve">relativa a la movilización del Fondo Europeo de Adaptación a la Globalización en respuesta a la </w:t>
      </w:r>
      <w:r>
        <w:rPr>
          <w:noProof/>
        </w:rPr>
        <w:br/>
        <w:t>solicitud de España «EGF/2020/001 ES/Galicia shipbuilding ancillary sectors»</w:t>
      </w:r>
    </w:p>
    <w:p>
      <w:pPr>
        <w:pStyle w:val="Institutionquiagit"/>
        <w:rPr>
          <w:noProof/>
        </w:rPr>
      </w:pPr>
      <w:r>
        <w:rPr>
          <w:noProof/>
        </w:rPr>
        <w:t>EL PARLAMENTO EUROPEO Y EL CONSEJO DE LA UNIÓN EUROPEA,</w:t>
      </w:r>
    </w:p>
    <w:p>
      <w:pPr>
        <w:rPr>
          <w:noProof/>
        </w:rPr>
      </w:pPr>
      <w:r>
        <w:rPr>
          <w:noProof/>
        </w:rPr>
        <w:t>Visto el Tratado de Funcionamiento de la Unión Europea,</w:t>
      </w:r>
    </w:p>
    <w:p>
      <w:pPr>
        <w:rPr>
          <w:noProof/>
        </w:rPr>
      </w:pPr>
      <w:r>
        <w:rPr>
          <w:noProof/>
        </w:rPr>
        <w:t>Visto el Reglamento (UE) n.º 1309/2013 del Parlamento Europeo y del Consejo, de 17 de diciembre de 2013, sobre el Fondo Europeo de Adaptación a la Globalización (2014-2020) y por el que se deroga el Reglamento (CE) n.º 1927/2006</w:t>
      </w:r>
      <w:r>
        <w:rPr>
          <w:rStyle w:val="FootnoteReference"/>
          <w:noProof/>
        </w:rPr>
        <w:footnoteReference w:id="40"/>
      </w:r>
      <w:r>
        <w:rPr>
          <w:noProof/>
        </w:rPr>
        <w:t>, y en particular su artículo 15, apartado 4,</w:t>
      </w:r>
    </w:p>
    <w:p>
      <w:pPr>
        <w:rPr>
          <w:noProof/>
        </w:rPr>
      </w:pPr>
      <w:r>
        <w:rPr>
          <w:noProof/>
        </w:rPr>
        <w:t>Visto el Acuerdo Interinstitucional, de 2 de diciembre de 2013, entre el Parlamento Europeo, el Consejo y la Comisión sobre disciplina presupuestaria, cooperación en materia presupuestaria y buena gestión financiera</w:t>
      </w:r>
      <w:r>
        <w:rPr>
          <w:rStyle w:val="FootnoteReference"/>
          <w:noProof/>
        </w:rPr>
        <w:footnoteReference w:id="41"/>
      </w:r>
      <w:r>
        <w:rPr>
          <w:noProof/>
        </w:rPr>
        <w:t>, y en particular su apartado 13,</w:t>
      </w:r>
    </w:p>
    <w:p>
      <w:pPr>
        <w:rPr>
          <w:noProof/>
        </w:rPr>
      </w:pPr>
      <w:r>
        <w:rPr>
          <w:noProof/>
        </w:rPr>
        <w:t>Vista la propuesta de la Comisión Europea,</w:t>
      </w:r>
    </w:p>
    <w:p>
      <w:pPr>
        <w:rPr>
          <w:noProof/>
        </w:rPr>
      </w:pPr>
      <w:r>
        <w:rPr>
          <w:noProof/>
        </w:rPr>
        <w:t>Considerando lo siguiente:</w:t>
      </w:r>
    </w:p>
    <w:p>
      <w:pPr>
        <w:pStyle w:val="ManualConsidrant"/>
        <w:rPr>
          <w:noProof/>
        </w:rPr>
      </w:pPr>
      <w:r>
        <w:t>(1)</w:t>
      </w:r>
      <w:r>
        <w:tab/>
      </w:r>
      <w:r>
        <w:rPr>
          <w:noProof/>
        </w:rPr>
        <w:t>El Fondo Europeo de Adaptación a la Globalización (FEAG) tiene por finalidad apoyar a los trabajadores que han sido despedidos y a los trabajadores por cuenta propia que han tenido que poner fin a su actividad a causa de importantes cambios estructurales en los patrones del comercio mundial provocados por la globalización, la continuación de la crisis financiera y económica mundial o a una nueva crisis económica y financiera mundial, así como ayudarlos a reincorporarse al mercado laboral.</w:t>
      </w:r>
    </w:p>
    <w:p>
      <w:pPr>
        <w:pStyle w:val="ManualConsidrant"/>
        <w:rPr>
          <w:noProof/>
        </w:rPr>
      </w:pPr>
      <w:r>
        <w:t>(2)</w:t>
      </w:r>
      <w:r>
        <w:tab/>
      </w:r>
      <w:r>
        <w:rPr>
          <w:noProof/>
        </w:rPr>
        <w:t>El FEAG no puede superar la cantidad máxima anual de 150 millones EUR (a precios de 2011), de acuerdo con lo establecido en el artículo 12 del Reglamento (UE, Euratom) n.º 1311/2013 del Consejo</w:t>
      </w:r>
      <w:r>
        <w:rPr>
          <w:rStyle w:val="FootnoteReference"/>
          <w:noProof/>
        </w:rPr>
        <w:footnoteReference w:id="42"/>
      </w:r>
      <w:r>
        <w:rPr>
          <w:noProof/>
        </w:rPr>
        <w:t>.</w:t>
      </w:r>
    </w:p>
    <w:p>
      <w:pPr>
        <w:pStyle w:val="ManualConsidrant"/>
        <w:rPr>
          <w:noProof/>
        </w:rPr>
      </w:pPr>
      <w:r>
        <w:t>(3)</w:t>
      </w:r>
      <w:r>
        <w:tab/>
      </w:r>
      <w:r>
        <w:rPr>
          <w:noProof/>
        </w:rPr>
        <w:t xml:space="preserve">El 13 de mayo de 2020, España presentó una solicitud para movilizar el FEAG en relación con los despidos en los sectores económicos clasificados en las divisiones 24 (Metalurgia; fabricación de productos de hierro, acero y ferroaleaciones), 25 (Fabricación de productos metálicos, excepto maquinaria y equipo), 30 (Fabricación de otro material de transporte), 32 (Otras industrias manufactureras), 33 (Reparación e instalación de maquinaria y equipo) y 43 (Actividades de construcción especializada) de la nomenclatura estadística de actividades económicas en la Comunidad Europea (NACE) Rev. 2, en la región española de Galicia (ES11), de nivel NUTS 2. Dicha solicitud se completó con información adicional aportada de conformidad con el artículo 8, apartado 3, del Reglamento (UE) n.º 1309/2013. La solicitud cumple los </w:t>
      </w:r>
      <w:r>
        <w:rPr>
          <w:noProof/>
        </w:rPr>
        <w:lastRenderedPageBreak/>
        <w:t>requisitos para determinar una contribución financiera del FEAG, según establece el artículo 13 del Reglamento (UE) n.º 1309/2013.</w:t>
      </w:r>
    </w:p>
    <w:p>
      <w:pPr>
        <w:pStyle w:val="ManualConsidrant"/>
        <w:rPr>
          <w:noProof/>
        </w:rPr>
      </w:pPr>
      <w:r>
        <w:t>(4)</w:t>
      </w:r>
      <w:r>
        <w:tab/>
      </w:r>
      <w:r>
        <w:rPr>
          <w:noProof/>
        </w:rPr>
        <w:t>De conformidad con el artículo 4, apartado 2, del Reglamento (UE) n.º 1309/2013, la solicitud presentada por España se considera admisible, ya que se trata de una solicitud colectiva en la que solo intervienen pymes situadas en una región, Galicia, en la que las pymes son el tipo principal de empresa y los despidos tienen un grave impacto en el empleo y en la economía local, regional o nacional.</w:t>
      </w:r>
    </w:p>
    <w:p>
      <w:pPr>
        <w:pStyle w:val="ManualConsidrant"/>
        <w:rPr>
          <w:noProof/>
        </w:rPr>
      </w:pPr>
      <w:r>
        <w:t>(5)</w:t>
      </w:r>
      <w:r>
        <w:tab/>
      </w:r>
      <w:r>
        <w:rPr>
          <w:noProof/>
        </w:rPr>
        <w:t>Procede, por tanto, movilizar el FEAG para proporcionar una contribución financiera de 2 054 400 EUR en respuesta a la solicitud presentada por España.</w:t>
      </w:r>
    </w:p>
    <w:p>
      <w:pPr>
        <w:pStyle w:val="ManualConsidrant"/>
        <w:rPr>
          <w:noProof/>
        </w:rPr>
      </w:pPr>
      <w:r>
        <w:t>(6)</w:t>
      </w:r>
      <w:r>
        <w:tab/>
      </w:r>
      <w:r>
        <w:rPr>
          <w:noProof/>
        </w:rPr>
        <w:t>Con el fin de reducir al mínimo el tiempo necesario para movilizar el FEAG, la presente Decisión debe aplicarse a partir de la fecha de su adopción.</w:t>
      </w:r>
    </w:p>
    <w:p>
      <w:pPr>
        <w:pStyle w:val="Formuledadoption"/>
        <w:rPr>
          <w:noProof/>
        </w:rPr>
      </w:pPr>
      <w:r>
        <w:rPr>
          <w:noProof/>
        </w:rPr>
        <w:t xml:space="preserve">HAN ADOPTADO LA PRESENTE DECISIÓN: </w:t>
      </w:r>
    </w:p>
    <w:p>
      <w:pPr>
        <w:pStyle w:val="Titrearticle"/>
        <w:rPr>
          <w:noProof/>
        </w:rPr>
      </w:pPr>
      <w:r>
        <w:rPr>
          <w:noProof/>
        </w:rPr>
        <w:t>Artículo 1</w:t>
      </w:r>
    </w:p>
    <w:p>
      <w:pPr>
        <w:rPr>
          <w:noProof/>
        </w:rPr>
      </w:pPr>
      <w:r>
        <w:rPr>
          <w:noProof/>
        </w:rPr>
        <w:t>En el marco del presupuesto general de la Unión Europea para el ejercicio 2020, se movilizará el Fondo Europeo de Adaptación a la Globalización para proporcionar la cantidad de 2 054 400 EUR en créditos de compromiso y de pago.</w:t>
      </w:r>
    </w:p>
    <w:p>
      <w:pPr>
        <w:pStyle w:val="Titrearticle"/>
        <w:rPr>
          <w:noProof/>
        </w:rPr>
      </w:pPr>
      <w:r>
        <w:rPr>
          <w:noProof/>
        </w:rPr>
        <w:t>Artículo 2</w:t>
      </w:r>
    </w:p>
    <w:p>
      <w:pPr>
        <w:keepNext/>
        <w:keepLines/>
        <w:rPr>
          <w:noProof/>
        </w:rPr>
      </w:pPr>
      <w:r>
        <w:rPr>
          <w:noProof/>
        </w:rPr>
        <w:t xml:space="preserve">La presente Decisión entrará en vigor el día de su publicación en el </w:t>
      </w:r>
      <w:r>
        <w:rPr>
          <w:i/>
          <w:iCs/>
          <w:noProof/>
        </w:rPr>
        <w:t>Diario Oficial de la Unión Europea</w:t>
      </w:r>
      <w:r>
        <w:rPr>
          <w:noProof/>
        </w:rPr>
        <w:t xml:space="preserve">. Será aplicable a partir del </w:t>
      </w:r>
      <w:r>
        <w:rPr>
          <w:noProof/>
          <w:color w:val="FF0000"/>
        </w:rPr>
        <w:t>[</w:t>
      </w:r>
      <w:r>
        <w:rPr>
          <w:i/>
          <w:noProof/>
          <w:color w:val="FF0000"/>
        </w:rPr>
        <w:t>fecha de su adopción</w:t>
      </w:r>
      <w:r>
        <w:rPr>
          <w:noProof/>
          <w:color w:val="FF0000"/>
        </w:rPr>
        <w:t>]</w:t>
      </w:r>
      <w:r>
        <w:rPr>
          <w:rStyle w:val="FootnoteReference"/>
          <w:noProof/>
          <w:color w:val="FF0000"/>
        </w:rPr>
        <w:footnoteReference w:customMarkFollows="1" w:id="43"/>
        <w:sym w:font="Symbol" w:char="F02A"/>
      </w:r>
      <w:r>
        <w:rPr>
          <w:noProof/>
        </w:rPr>
        <w:t>.</w:t>
      </w:r>
    </w:p>
    <w:p>
      <w:pPr>
        <w:pStyle w:val="Fait"/>
        <w:rPr>
          <w:noProof/>
        </w:rPr>
      </w:pPr>
      <w:r>
        <w:t>Hecho en Bruselas, el</w:t>
      </w:r>
    </w:p>
    <w:p>
      <w:pPr>
        <w:pStyle w:val="Institutionquisigne"/>
        <w:rPr>
          <w:noProof/>
        </w:rPr>
      </w:pPr>
      <w:r>
        <w:rPr>
          <w:noProof/>
        </w:rPr>
        <w:t>Por el Parlamento Europeo</w:t>
      </w:r>
      <w:r>
        <w:rPr>
          <w:noProof/>
        </w:rPr>
        <w:tab/>
        <w:t>Por el Consejo</w:t>
      </w:r>
    </w:p>
    <w:p>
      <w:pPr>
        <w:pStyle w:val="Personnequisigne"/>
        <w:rPr>
          <w:noProof/>
        </w:rPr>
      </w:pPr>
      <w:r>
        <w:rPr>
          <w:noProof/>
        </w:rPr>
        <w:t>El Presidente</w:t>
      </w:r>
      <w:r>
        <w:rPr>
          <w:noProof/>
        </w:rPr>
        <w:tab/>
        <w:t>El Presidente / La Presidenta</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rPr>
        <w:rFonts w:ascii="Arial" w:hAnsi="Arial" w:cs="Arial"/>
        <w:b/>
        <w:sz w:val="48"/>
      </w:rPr>
      <w:tab/>
    </w:r>
    <w:r>
      <w:tab/>
    </w:r>
    <w:r>
      <w:rPr>
        <w:rFonts w:ascii="Arial" w:hAnsi="Arial" w:cs="Arial"/>
        <w:b/>
        <w:sz w:val="48"/>
      </w:rPr>
      <w:t>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ES</w:t>
    </w:r>
    <w:r>
      <w:rPr>
        <w:rFonts w:ascii="Arial" w:hAnsi="Arial" w:cs="Arial"/>
        <w:b/>
        <w:sz w:val="48"/>
      </w:rPr>
      <w:tab/>
    </w:r>
    <w:r>
      <w:fldChar w:fldCharType="begin"/>
    </w:r>
    <w:r>
      <w:instrText xml:space="preserve"> PAGE  \* MERGEFORMAT </w:instrText>
    </w:r>
    <w:r>
      <w:fldChar w:fldCharType="separate"/>
    </w:r>
    <w:r>
      <w:rPr>
        <w:noProof/>
      </w:rPr>
      <w:t>16</w:t>
    </w:r>
    <w:r>
      <w:fldChar w:fldCharType="end"/>
    </w:r>
    <w:r>
      <w:tab/>
    </w:r>
    <w:r>
      <w:tab/>
    </w:r>
    <w:r>
      <w:rPr>
        <w:rFonts w:ascii="Arial" w:hAnsi="Arial" w:cs="Arial"/>
        <w:b/>
        <w:sz w:val="48"/>
      </w:rPr>
      <w:t>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rPr>
          <w:lang w:val="es-ES"/>
        </w:rPr>
      </w:pPr>
      <w:r>
        <w:rPr>
          <w:rStyle w:val="FootnoteReference"/>
        </w:rPr>
        <w:footnoteRef/>
      </w:r>
      <w:r>
        <w:rPr>
          <w:lang w:val="es-ES"/>
        </w:rPr>
        <w:tab/>
        <w:t>DO L 347 de 20.12.2013, p. 855.</w:t>
      </w:r>
    </w:p>
  </w:footnote>
  <w:footnote w:id="3">
    <w:p>
      <w:pPr>
        <w:pStyle w:val="FootnoteText"/>
        <w:rPr>
          <w:lang w:val="es-ES"/>
        </w:rPr>
      </w:pPr>
      <w:r>
        <w:rPr>
          <w:rStyle w:val="FootnoteReference"/>
        </w:rPr>
        <w:footnoteRef/>
      </w:r>
      <w:r>
        <w:rPr>
          <w:lang w:val="es-ES"/>
        </w:rPr>
        <w:tab/>
        <w:t>En el sentido del artículo 3 del Reglamento del FEAG.</w:t>
      </w:r>
    </w:p>
  </w:footnote>
  <w:footnote w:id="4">
    <w:p>
      <w:pPr>
        <w:pStyle w:val="FootnoteText"/>
        <w:rPr>
          <w:lang w:val="es-ES"/>
        </w:rPr>
      </w:pPr>
      <w:r>
        <w:rPr>
          <w:rStyle w:val="FootnoteReference"/>
        </w:rPr>
        <w:footnoteRef/>
      </w:r>
      <w:r>
        <w:rPr>
          <w:lang w:val="es-ES"/>
        </w:rPr>
        <w:tab/>
        <w:t>Reglamento (UE) n.º 1046/2012 de la Comisión, de 8 de noviembre de 2012, por el que se aplica el Reglamento (CE) n.º 1059/2003 del Parlamento Europeo y del Consejo, por el que se establece una nomenclatura común de unidades territoriales estadísticas (NUTS), en lo relativo a la transmisión de las series temporales para el nuevo desglose regional (DO L 310 de 9.11.2012, p. 34).</w:t>
      </w:r>
    </w:p>
  </w:footnote>
  <w:footnote w:id="5">
    <w:p>
      <w:pPr>
        <w:pStyle w:val="FootnoteText"/>
        <w:rPr>
          <w:lang w:val="es-ES"/>
        </w:rPr>
      </w:pPr>
      <w:r>
        <w:rPr>
          <w:rStyle w:val="FootnoteReference"/>
        </w:rPr>
        <w:footnoteRef/>
      </w:r>
      <w:r>
        <w:rPr>
          <w:lang w:val="es-ES"/>
        </w:rPr>
        <w:tab/>
        <w:t>DO L 393 de 30.12.2006, p. 1.</w:t>
      </w:r>
    </w:p>
  </w:footnote>
  <w:footnote w:id="6">
    <w:p>
      <w:pPr>
        <w:pStyle w:val="FootnoteText"/>
        <w:rPr>
          <w:lang w:val="es-ES"/>
        </w:rPr>
      </w:pPr>
      <w:r>
        <w:rPr>
          <w:rStyle w:val="FootnoteReference"/>
        </w:rPr>
        <w:footnoteRef/>
      </w:r>
      <w:r>
        <w:rPr>
          <w:lang w:val="es-ES"/>
        </w:rPr>
        <w:tab/>
        <w:t>De acuerdo con el artículo 7, apartado 4, del Reglamento (UE) n.º 1309/2013.</w:t>
      </w:r>
    </w:p>
  </w:footnote>
  <w:footnote w:id="7">
    <w:p>
      <w:pPr>
        <w:pStyle w:val="FootnoteText"/>
        <w:rPr>
          <w:lang w:val="es-ES"/>
        </w:rPr>
      </w:pPr>
      <w:r>
        <w:rPr>
          <w:rStyle w:val="FootnoteReference"/>
        </w:rPr>
        <w:footnoteRef/>
      </w:r>
      <w:r>
        <w:rPr>
          <w:lang w:val="es-ES"/>
        </w:rPr>
        <w:tab/>
        <w:t>Toneladas brutas compensadas (CGT): unidad internacional de medida que facilita la comparación de la producción de diferentes astilleros con independencia de los tipos de buques construidos.</w:t>
      </w:r>
    </w:p>
  </w:footnote>
  <w:footnote w:id="8">
    <w:p>
      <w:pPr>
        <w:pStyle w:val="FootnoteText"/>
        <w:rPr>
          <w:lang w:val="en-US"/>
        </w:rPr>
      </w:pPr>
      <w:r>
        <w:rPr>
          <w:rStyle w:val="FootnoteReference"/>
        </w:rPr>
        <w:footnoteRef/>
      </w:r>
      <w:r>
        <w:rPr>
          <w:lang w:val="en-US"/>
        </w:rPr>
        <w:tab/>
        <w:t xml:space="preserve">Fuente: </w:t>
      </w:r>
      <w:hyperlink r:id="rId1" w:history="1">
        <w:r>
          <w:rPr>
            <w:rStyle w:val="Hyperlink"/>
            <w:lang w:val="en-US"/>
          </w:rPr>
          <w:t xml:space="preserve">Sea Europe Shipbuilding Market Monitoring. Report No 46 (March 2019). Full year 2018 </w:t>
        </w:r>
      </w:hyperlink>
      <w:r>
        <w:rPr>
          <w:lang w:val="en-US"/>
        </w:rPr>
        <w:t>.</w:t>
      </w:r>
    </w:p>
  </w:footnote>
  <w:footnote w:id="9">
    <w:p>
      <w:pPr>
        <w:pStyle w:val="FootnoteText"/>
        <w:rPr>
          <w:lang w:val="en-US"/>
        </w:rPr>
      </w:pPr>
      <w:r>
        <w:rPr>
          <w:rStyle w:val="FootnoteReference"/>
        </w:rPr>
        <w:footnoteRef/>
      </w:r>
      <w:r>
        <w:rPr>
          <w:lang w:val="en-US"/>
        </w:rPr>
        <w:tab/>
      </w:r>
      <w:r>
        <w:rPr>
          <w:i/>
          <w:iCs/>
          <w:lang w:val="en-US"/>
        </w:rPr>
        <w:t>Ibidem</w:t>
      </w:r>
      <w:r>
        <w:rPr>
          <w:lang w:val="en-US"/>
        </w:rPr>
        <w:t>.</w:t>
      </w:r>
    </w:p>
  </w:footnote>
  <w:footnote w:id="10">
    <w:p>
      <w:pPr>
        <w:pStyle w:val="FootnoteText"/>
        <w:rPr>
          <w:lang w:val="en-US"/>
        </w:rPr>
      </w:pPr>
      <w:r>
        <w:rPr>
          <w:rStyle w:val="FootnoteReference"/>
        </w:rPr>
        <w:footnoteRef/>
      </w:r>
      <w:r>
        <w:rPr>
          <w:lang w:val="en-US"/>
        </w:rPr>
        <w:tab/>
      </w:r>
      <w:hyperlink r:id="rId2" w:history="1">
        <w:r>
          <w:rPr>
            <w:rStyle w:val="Hyperlink"/>
            <w:lang w:val="en-US"/>
          </w:rPr>
          <w:t>An analysis of market-distorting factors in shipbuilding.</w:t>
        </w:r>
      </w:hyperlink>
      <w:hyperlink r:id="rId3" w:history="1">
        <w:r>
          <w:rPr>
            <w:rStyle w:val="Hyperlink"/>
            <w:lang w:val="en-US"/>
          </w:rPr>
          <w:t xml:space="preserve"> </w:t>
        </w:r>
        <w:r>
          <w:rPr>
            <w:rStyle w:val="Hyperlink"/>
            <w:i/>
            <w:iCs/>
            <w:lang w:val="en-US"/>
          </w:rPr>
          <w:t>OECD Science, Technology and Industry Policy Papers</w:t>
        </w:r>
        <w:r>
          <w:rPr>
            <w:rStyle w:val="Hyperlink"/>
            <w:lang w:val="en-US"/>
          </w:rPr>
          <w:t>,</w:t>
        </w:r>
      </w:hyperlink>
      <w:hyperlink r:id="rId4" w:history="1">
        <w:r>
          <w:rPr>
            <w:rStyle w:val="Hyperlink"/>
            <w:lang w:val="en-US"/>
          </w:rPr>
          <w:t xml:space="preserve"> abril de 2019, n.º 67</w:t>
        </w:r>
      </w:hyperlink>
      <w:r>
        <w:rPr>
          <w:lang w:val="en-US"/>
        </w:rPr>
        <w:t>.</w:t>
      </w:r>
    </w:p>
  </w:footnote>
  <w:footnote w:id="11">
    <w:p>
      <w:pPr>
        <w:pStyle w:val="FootnoteText"/>
        <w:rPr>
          <w:lang w:val="es-ES"/>
        </w:rPr>
      </w:pPr>
      <w:r>
        <w:rPr>
          <w:rStyle w:val="FootnoteReference"/>
        </w:rPr>
        <w:footnoteRef/>
      </w:r>
      <w:r>
        <w:rPr>
          <w:lang w:val="es-ES"/>
        </w:rPr>
        <w:tab/>
      </w:r>
      <w:hyperlink r:id="rId5" w:history="1">
        <w:r>
          <w:rPr>
            <w:rStyle w:val="Hyperlink"/>
            <w:lang w:val="es-ES"/>
          </w:rPr>
          <w:t>SEA Europe Annual Report 2018 2019</w:t>
        </w:r>
      </w:hyperlink>
      <w:r>
        <w:rPr>
          <w:lang w:val="es-ES"/>
        </w:rPr>
        <w:t>.</w:t>
      </w:r>
    </w:p>
  </w:footnote>
  <w:footnote w:id="12">
    <w:p>
      <w:pPr>
        <w:pStyle w:val="FootnoteText"/>
        <w:rPr>
          <w:lang w:val="es-ES"/>
        </w:rPr>
      </w:pPr>
      <w:r>
        <w:rPr>
          <w:rStyle w:val="FootnoteReference"/>
        </w:rPr>
        <w:footnoteRef/>
      </w:r>
      <w:r>
        <w:rPr>
          <w:lang w:val="es-ES"/>
        </w:rPr>
        <w:tab/>
        <w:t xml:space="preserve">EU-28 y Noruega. </w:t>
      </w:r>
    </w:p>
  </w:footnote>
  <w:footnote w:id="13">
    <w:p>
      <w:pPr>
        <w:pStyle w:val="FootnoteText"/>
        <w:rPr>
          <w:lang w:val="en-US"/>
        </w:rPr>
      </w:pPr>
      <w:r>
        <w:rPr>
          <w:rStyle w:val="FootnoteReference"/>
        </w:rPr>
        <w:footnoteRef/>
      </w:r>
      <w:r>
        <w:rPr>
          <w:lang w:val="en-US"/>
        </w:rPr>
        <w:tab/>
      </w:r>
      <w:hyperlink r:id="rId6" w:history="1">
        <w:r>
          <w:rPr>
            <w:rStyle w:val="Hyperlink"/>
            <w:lang w:val="en-US"/>
          </w:rPr>
          <w:t>SEA Europe Annual Report 2018 2019</w:t>
        </w:r>
      </w:hyperlink>
      <w:r>
        <w:rPr>
          <w:lang w:val="en-US"/>
        </w:rPr>
        <w:t>.</w:t>
      </w:r>
    </w:p>
  </w:footnote>
  <w:footnote w:id="14">
    <w:p>
      <w:pPr>
        <w:pStyle w:val="FootnoteText"/>
        <w:rPr>
          <w:lang w:val="en-US"/>
        </w:rPr>
      </w:pPr>
      <w:r>
        <w:rPr>
          <w:rStyle w:val="FootnoteReference"/>
        </w:rPr>
        <w:footnoteRef/>
      </w:r>
      <w:r>
        <w:rPr>
          <w:lang w:val="en-US"/>
        </w:rPr>
        <w:tab/>
        <w:t>Fuente: Sea Europe Shipbuilding Market Monitoring, report 46 FY 2018.</w:t>
      </w:r>
    </w:p>
  </w:footnote>
  <w:footnote w:id="15">
    <w:p>
      <w:pPr>
        <w:pStyle w:val="FootnoteText"/>
        <w:rPr>
          <w:lang w:val="en-US"/>
        </w:rPr>
      </w:pPr>
      <w:r>
        <w:rPr>
          <w:rStyle w:val="FootnoteReference"/>
        </w:rPr>
        <w:footnoteRef/>
      </w:r>
      <w:r>
        <w:rPr>
          <w:lang w:val="en-US"/>
        </w:rPr>
        <w:tab/>
      </w:r>
      <w:hyperlink r:id="rId7" w:history="1">
        <w:r>
          <w:rPr>
            <w:rStyle w:val="Hyperlink"/>
            <w:lang w:val="en-US"/>
          </w:rPr>
          <w:t>SEA Europe Annual Report 2018 2019</w:t>
        </w:r>
      </w:hyperlink>
      <w:r>
        <w:rPr>
          <w:lang w:val="en-US"/>
        </w:rPr>
        <w:t>.</w:t>
      </w:r>
    </w:p>
  </w:footnote>
  <w:footnote w:id="16">
    <w:p>
      <w:pPr>
        <w:pStyle w:val="FootnoteText"/>
        <w:rPr>
          <w:lang w:val="en-US"/>
        </w:rPr>
      </w:pPr>
      <w:r>
        <w:rPr>
          <w:rStyle w:val="FootnoteReference"/>
        </w:rPr>
        <w:footnoteRef/>
      </w:r>
      <w:r>
        <w:rPr>
          <w:lang w:val="en-US"/>
        </w:rPr>
        <w:tab/>
      </w:r>
      <w:hyperlink r:id="rId8" w:history="1">
        <w:r>
          <w:rPr>
            <w:rStyle w:val="Hyperlink"/>
            <w:lang w:val="en-US"/>
          </w:rPr>
          <w:t>ECORYS (2009). Study on the Competitiveness of the European Shipbuilding Industry.</w:t>
        </w:r>
      </w:hyperlink>
    </w:p>
  </w:footnote>
  <w:footnote w:id="17">
    <w:p>
      <w:pPr>
        <w:pStyle w:val="FootnoteText"/>
        <w:rPr>
          <w:lang w:val="en-US"/>
        </w:rPr>
      </w:pPr>
      <w:r>
        <w:rPr>
          <w:rStyle w:val="FootnoteReference"/>
        </w:rPr>
        <w:footnoteRef/>
      </w:r>
      <w:r>
        <w:rPr>
          <w:lang w:val="en-US"/>
        </w:rPr>
        <w:tab/>
        <w:t>Estos casos son los siguientes: EGF/2010/001 DK/ Nordjylland COM(2010) 451; EGF/2010/006 PL/ Cegielski-Poznan COM(2010) 631; EGF/2010/025 DK/ Odense Steel Shipyard COM(2011) 251; EGF/2011/008 DK/ Odense Steel Shipyard COM(2012) 272; EGF/2011/019 ES/ Galicia Metal COM(2012) 451; EGF/2014/008 FI/ STX Rauma COM(2014) 630, y el caso actual.</w:t>
      </w:r>
    </w:p>
  </w:footnote>
  <w:footnote w:id="18">
    <w:p>
      <w:pPr>
        <w:pStyle w:val="FootnoteText"/>
        <w:rPr>
          <w:lang w:val="es-ES"/>
        </w:rPr>
      </w:pPr>
      <w:r>
        <w:rPr>
          <w:rStyle w:val="FootnoteReference"/>
        </w:rPr>
        <w:footnoteRef/>
      </w:r>
      <w:r>
        <w:rPr>
          <w:lang w:val="es-ES"/>
        </w:rPr>
        <w:tab/>
      </w:r>
      <w:hyperlink r:id="rId9" w:history="1">
        <w:r>
          <w:rPr>
            <w:rStyle w:val="Hyperlink"/>
            <w:lang w:val="es-ES"/>
          </w:rPr>
          <w:t>www.ige.eu</w:t>
        </w:r>
      </w:hyperlink>
      <w:r>
        <w:rPr>
          <w:lang w:val="es-ES"/>
        </w:rPr>
        <w:t>.</w:t>
      </w:r>
    </w:p>
  </w:footnote>
  <w:footnote w:id="19">
    <w:p>
      <w:pPr>
        <w:pStyle w:val="FootnoteText"/>
        <w:rPr>
          <w:lang w:val="es-ES"/>
        </w:rPr>
      </w:pPr>
      <w:r>
        <w:rPr>
          <w:rStyle w:val="FootnoteReference"/>
        </w:rPr>
        <w:footnoteRef/>
      </w:r>
      <w:r>
        <w:rPr>
          <w:lang w:val="es-ES"/>
        </w:rPr>
        <w:tab/>
      </w:r>
      <w:hyperlink r:id="rId10" w:history="1">
        <w:r>
          <w:rPr>
            <w:rStyle w:val="Hyperlink"/>
            <w:lang w:val="es-ES"/>
          </w:rPr>
          <w:t>Informe económico y de competitividad 2019 de Ardán.</w:t>
        </w:r>
      </w:hyperlink>
      <w:r>
        <w:rPr>
          <w:lang w:val="es-ES"/>
        </w:rPr>
        <w:t xml:space="preserve"> </w:t>
      </w:r>
      <w:hyperlink r:id="rId11" w:history="1">
        <w:r>
          <w:rPr>
            <w:rStyle w:val="Hyperlink"/>
            <w:lang w:val="es-ES"/>
          </w:rPr>
          <w:t>Consorcio Zona Franca de Vigo</w:t>
        </w:r>
      </w:hyperlink>
      <w:r>
        <w:rPr>
          <w:lang w:val="es-ES"/>
        </w:rPr>
        <w:t>.</w:t>
      </w:r>
    </w:p>
  </w:footnote>
  <w:footnote w:id="20">
    <w:p>
      <w:pPr>
        <w:pStyle w:val="FootnoteText"/>
        <w:rPr>
          <w:lang w:val="es-ES"/>
        </w:rPr>
      </w:pPr>
      <w:r>
        <w:rPr>
          <w:rStyle w:val="FootnoteReference"/>
        </w:rPr>
        <w:footnoteRef/>
      </w:r>
      <w:r>
        <w:rPr>
          <w:lang w:val="es-ES"/>
        </w:rPr>
        <w:tab/>
      </w:r>
      <w:hyperlink r:id="rId12" w:history="1">
        <w:r>
          <w:rPr>
            <w:rStyle w:val="Hyperlink"/>
            <w:lang w:val="es-ES"/>
          </w:rPr>
          <w:t xml:space="preserve">González Rodríguez, A. (2009). Consecuencias socio-laborales de los nuevos modelos de organización de la producción flexibles. El caso de la industria naval. </w:t>
        </w:r>
        <w:r>
          <w:rPr>
            <w:rStyle w:val="Hyperlink"/>
            <w:i/>
            <w:iCs/>
            <w:lang w:val="es-ES"/>
          </w:rPr>
          <w:t>Revista de Economía</w:t>
        </w:r>
        <w:r>
          <w:rPr>
            <w:rStyle w:val="Hyperlink"/>
            <w:lang w:val="es-ES"/>
          </w:rPr>
          <w:t xml:space="preserve"> (Curitibia), 8, 22-42.</w:t>
        </w:r>
      </w:hyperlink>
    </w:p>
  </w:footnote>
  <w:footnote w:id="21">
    <w:p>
      <w:pPr>
        <w:pStyle w:val="FootnoteText"/>
        <w:rPr>
          <w:lang w:val="es-ES"/>
        </w:rPr>
      </w:pPr>
      <w:r>
        <w:rPr>
          <w:rStyle w:val="FootnoteReference"/>
        </w:rPr>
        <w:footnoteRef/>
      </w:r>
      <w:r>
        <w:rPr>
          <w:lang w:val="es-ES"/>
        </w:rPr>
        <w:tab/>
        <w:t>Astilleros Armon Vigo, Cardama Shipyard, Factorías Vulcano (liquidada in 2019), Freire Shipyard, Hijos de J. Barreras, Metalships &amp; Docks, Nodosa Shipyard y J. Valiña.</w:t>
      </w:r>
    </w:p>
  </w:footnote>
  <w:footnote w:id="22">
    <w:p>
      <w:pPr>
        <w:pStyle w:val="FootnoteText"/>
        <w:rPr>
          <w:lang w:val="es-ES"/>
        </w:rPr>
      </w:pPr>
      <w:r>
        <w:rPr>
          <w:rStyle w:val="FootnoteReference"/>
        </w:rPr>
        <w:footnoteRef/>
      </w:r>
      <w:r>
        <w:rPr>
          <w:lang w:val="es-ES"/>
        </w:rPr>
        <w:tab/>
        <w:t>Informe económico y de competitividad 2019 de Ardán. Consorcio Zona Franca de Vigo.</w:t>
      </w:r>
    </w:p>
  </w:footnote>
  <w:footnote w:id="23">
    <w:p>
      <w:pPr>
        <w:pStyle w:val="FootnoteText"/>
        <w:rPr>
          <w:lang w:val="es-ES"/>
        </w:rPr>
      </w:pPr>
      <w:r>
        <w:rPr>
          <w:rStyle w:val="FootnoteReference"/>
        </w:rPr>
        <w:footnoteRef/>
      </w:r>
      <w:r>
        <w:rPr>
          <w:lang w:val="es-ES"/>
        </w:rPr>
        <w:tab/>
      </w:r>
      <w:r>
        <w:rPr>
          <w:i/>
          <w:iCs/>
          <w:lang w:val="es-ES"/>
        </w:rPr>
        <w:t>Ibidem</w:t>
      </w:r>
      <w:r>
        <w:rPr>
          <w:lang w:val="es-ES"/>
        </w:rPr>
        <w:t>.</w:t>
      </w:r>
    </w:p>
  </w:footnote>
  <w:footnote w:id="24">
    <w:p>
      <w:pPr>
        <w:pStyle w:val="FootnoteText"/>
        <w:rPr>
          <w:lang w:val="es-ES"/>
        </w:rPr>
      </w:pPr>
      <w:r>
        <w:rPr>
          <w:rStyle w:val="FootnoteReference"/>
        </w:rPr>
        <w:footnoteRef/>
      </w:r>
      <w:r>
        <w:rPr>
          <w:lang w:val="es-ES"/>
        </w:rPr>
        <w:tab/>
        <w:t>En 2019, se perdieron en Galicia alrededor de 2 000 puestos de trabajo directos en los astilleros y en las industrias auxiliares. Sin embargo, la presente solicitud solo prestará apoyo a los trabajadores despedidos durante el período de referencia de nueve meses (del 23 de mayo de 2019 al 23 de febrero de 2020). El artículo 4, apartado 1, letra b), del Reglamento del FEAG no prevé la participación en las medidas de los trabajadores cuyos despidos hayan sido provocados por el mismo hecho que desencadenara los despidos durante el período de referencia, pero que se hayan producido antes o después de dicho período.</w:t>
      </w:r>
    </w:p>
  </w:footnote>
  <w:footnote w:id="25">
    <w:p>
      <w:pPr>
        <w:pStyle w:val="FootnoteText"/>
        <w:jc w:val="left"/>
        <w:rPr>
          <w:lang w:val="es-ES"/>
        </w:rPr>
      </w:pPr>
      <w:r>
        <w:rPr>
          <w:rStyle w:val="FootnoteReference"/>
        </w:rPr>
        <w:footnoteRef/>
      </w:r>
      <w:r>
        <w:rPr>
          <w:lang w:val="es-ES"/>
        </w:rPr>
        <w:tab/>
      </w:r>
      <w:hyperlink r:id="rId13" w:history="1">
        <w:r>
          <w:rPr>
            <w:rStyle w:val="Hyperlink"/>
            <w:lang w:val="es-ES"/>
          </w:rPr>
          <w:t>Encuesta de población activa por municipios</w:t>
        </w:r>
      </w:hyperlink>
    </w:p>
  </w:footnote>
  <w:footnote w:id="26">
    <w:p>
      <w:pPr>
        <w:pStyle w:val="FootnoteText"/>
        <w:rPr>
          <w:lang w:val="es-ES"/>
        </w:rPr>
      </w:pPr>
      <w:r>
        <w:rPr>
          <w:rStyle w:val="FootnoteReference"/>
        </w:rPr>
        <w:footnoteRef/>
      </w:r>
      <w:r>
        <w:rPr>
          <w:lang w:val="es-ES"/>
        </w:rPr>
        <w:tab/>
      </w:r>
      <w:hyperlink r:id="rId14" w:history="1">
        <w:r>
          <w:rPr>
            <w:rStyle w:val="Hyperlink"/>
            <w:lang w:val="es-ES"/>
          </w:rPr>
          <w:t>Encuesta de población activa por comunidades autónomas (regiones de nivel NUTS 2)</w:t>
        </w:r>
      </w:hyperlink>
    </w:p>
  </w:footnote>
  <w:footnote w:id="27">
    <w:p>
      <w:pPr>
        <w:pStyle w:val="FootnoteText"/>
        <w:rPr>
          <w:lang w:val="es-ES"/>
        </w:rPr>
      </w:pPr>
      <w:r>
        <w:rPr>
          <w:rStyle w:val="FootnoteReference"/>
        </w:rPr>
        <w:footnoteRef/>
      </w:r>
      <w:r>
        <w:rPr>
          <w:lang w:val="es-ES"/>
        </w:rPr>
        <w:tab/>
        <w:t xml:space="preserve">Las mujeres están infrarrepresentadas en la industria auxiliar de la construcción naval. En consecuencia, solo el 6 % de los trabajadores despedidos eran mujeres. </w:t>
      </w:r>
    </w:p>
  </w:footnote>
  <w:footnote w:id="28">
    <w:p>
      <w:pPr>
        <w:pStyle w:val="FootnoteText"/>
        <w:rPr>
          <w:lang w:val="es-ES"/>
        </w:rPr>
      </w:pPr>
      <w:r>
        <w:rPr>
          <w:rStyle w:val="FootnoteReference"/>
        </w:rPr>
        <w:footnoteRef/>
      </w:r>
      <w:r>
        <w:rPr>
          <w:lang w:val="es-ES"/>
        </w:rPr>
        <w:tab/>
        <w:t xml:space="preserve">Aceros de baja aleación de alta resistencia. </w:t>
      </w:r>
    </w:p>
    <w:p>
      <w:pPr>
        <w:pStyle w:val="FootnoteText"/>
        <w:rPr>
          <w:lang w:val="es-ES"/>
        </w:rPr>
      </w:pPr>
      <w:r>
        <w:rPr>
          <w:lang w:val="es-ES"/>
        </w:rPr>
        <w:tab/>
        <w:t>El acero de HSLA es un tipo de acero aleado que proporciona mejores propiedades mecánicas o una mayor resistencia a la corrosión que el acero al carbono. Se diferencia de otros aceros en que no está fabricado para cumplir una composición química específica, sino unas propiedades mecánicas específicas.</w:t>
      </w:r>
    </w:p>
  </w:footnote>
  <w:footnote w:id="29">
    <w:p>
      <w:pPr>
        <w:pStyle w:val="FootnoteText"/>
        <w:rPr>
          <w:lang w:val="es-ES"/>
        </w:rPr>
      </w:pPr>
      <w:r>
        <w:rPr>
          <w:rStyle w:val="FootnoteReference"/>
        </w:rPr>
        <w:footnoteRef/>
      </w:r>
      <w:r>
        <w:rPr>
          <w:lang w:val="es-ES"/>
        </w:rPr>
        <w:tab/>
        <w:t>CAD/CAM: diseño y fabricación asistidos por ordenador.</w:t>
      </w:r>
    </w:p>
  </w:footnote>
  <w:footnote w:id="30">
    <w:p>
      <w:pPr>
        <w:pStyle w:val="FootnoteText"/>
        <w:rPr>
          <w:lang w:val="es-ES"/>
        </w:rPr>
      </w:pPr>
      <w:r>
        <w:rPr>
          <w:rStyle w:val="FootnoteReference"/>
        </w:rPr>
        <w:footnoteRef/>
      </w:r>
      <w:r>
        <w:rPr>
          <w:lang w:val="es-ES"/>
        </w:rPr>
        <w:tab/>
        <w:t>Soldadura por fricción-agitación.</w:t>
      </w:r>
    </w:p>
  </w:footnote>
  <w:footnote w:id="31">
    <w:p>
      <w:pPr>
        <w:pStyle w:val="FootnoteText"/>
        <w:rPr>
          <w:lang w:val="es-ES"/>
        </w:rPr>
      </w:pPr>
      <w:r>
        <w:rPr>
          <w:rStyle w:val="FootnoteReference"/>
        </w:rPr>
        <w:footnoteRef/>
      </w:r>
      <w:r>
        <w:rPr>
          <w:lang w:val="es-ES"/>
        </w:rPr>
        <w:tab/>
        <w:t>Soldadura de arco en atmósfera activa.</w:t>
      </w:r>
    </w:p>
  </w:footnote>
  <w:footnote w:id="32">
    <w:p>
      <w:pPr>
        <w:pStyle w:val="FootnoteText"/>
        <w:rPr>
          <w:lang w:val="es-ES"/>
        </w:rPr>
      </w:pPr>
      <w:r>
        <w:rPr>
          <w:rStyle w:val="FootnoteReference"/>
        </w:rPr>
        <w:footnoteRef/>
      </w:r>
      <w:r>
        <w:rPr>
          <w:lang w:val="es-ES"/>
        </w:rPr>
        <w:tab/>
        <w:t>Para evitar decimales, se han redondeado los costes estimados por trabajador. No obstante, el redondeo no repercute en el coste total de cada medida, que se mantiene como en la solicitud presentada por España.</w:t>
      </w:r>
    </w:p>
  </w:footnote>
  <w:footnote w:id="33">
    <w:p>
      <w:pPr>
        <w:pStyle w:val="FootnoteText"/>
        <w:rPr>
          <w:lang w:val="es-ES"/>
        </w:rPr>
      </w:pPr>
      <w:r>
        <w:rPr>
          <w:rStyle w:val="FootnoteReference"/>
        </w:rPr>
        <w:footnoteRef/>
      </w:r>
      <w:r>
        <w:rPr>
          <w:lang w:val="es-ES"/>
        </w:rPr>
        <w:tab/>
        <w:t>Los totales no se corresponden debido al redondeo.</w:t>
      </w:r>
    </w:p>
  </w:footnote>
  <w:footnote w:id="34">
    <w:p>
      <w:pPr>
        <w:pStyle w:val="FootnoteText"/>
        <w:rPr>
          <w:lang w:val="es-ES"/>
        </w:rPr>
      </w:pPr>
      <w:r>
        <w:rPr>
          <w:rStyle w:val="FootnoteReference"/>
        </w:rPr>
        <w:footnoteRef/>
      </w:r>
      <w:r>
        <w:rPr>
          <w:lang w:val="es-ES"/>
        </w:rPr>
        <w:tab/>
        <w:t>El coste por participante de esta medida se facilita únicamente a efectos de presentación. El coste por participante de los incentivos dependerá de la situación individual de cada trabajador y de su elegibilidad para los diferentes tipos de incentivos, como se explica en el punto 29.</w:t>
      </w:r>
    </w:p>
  </w:footnote>
  <w:footnote w:id="35">
    <w:p>
      <w:pPr>
        <w:pStyle w:val="FootnoteText"/>
        <w:rPr>
          <w:lang w:val="es-ES"/>
        </w:rPr>
      </w:pPr>
      <w:r>
        <w:rPr>
          <w:rStyle w:val="FootnoteReference"/>
        </w:rPr>
        <w:footnoteRef/>
      </w:r>
      <w:r>
        <w:rPr>
          <w:lang w:val="es-ES"/>
        </w:rPr>
        <w:tab/>
        <w:t>Federación de Industria de CCOO Galicia.</w:t>
      </w:r>
    </w:p>
  </w:footnote>
  <w:footnote w:id="36">
    <w:p>
      <w:pPr>
        <w:pStyle w:val="FootnoteText"/>
        <w:rPr>
          <w:lang w:val="es-ES"/>
        </w:rPr>
      </w:pPr>
      <w:r>
        <w:rPr>
          <w:rStyle w:val="FootnoteReference"/>
        </w:rPr>
        <w:footnoteRef/>
      </w:r>
      <w:r>
        <w:rPr>
          <w:lang w:val="es-ES"/>
        </w:rPr>
        <w:tab/>
        <w:t>Federación de Metal, Construcción y Afines de UGT (MCA-UGT).</w:t>
      </w:r>
    </w:p>
  </w:footnote>
  <w:footnote w:id="37">
    <w:p>
      <w:pPr>
        <w:pStyle w:val="FootnoteText"/>
        <w:rPr>
          <w:lang w:val="es-ES"/>
        </w:rPr>
      </w:pPr>
      <w:r>
        <w:rPr>
          <w:rStyle w:val="FootnoteReference"/>
        </w:rPr>
        <w:footnoteRef/>
      </w:r>
      <w:r>
        <w:rPr>
          <w:lang w:val="es-ES"/>
        </w:rPr>
        <w:tab/>
        <w:t>La Xunta de Galicia, y en particular la Consellería de Facenda – Dirección Xeral de Política Financeira, Tesouro e Fondos Europeos / Servizo de Inspección e Control dos Fondos Comunitarios en cooperación con la Consellería de Economía, Emprego e Industria – Secretaría Xeral de Emprego / Subdirección Xeral de Relacións Laborais, será el organismo intermedio de la autoridad de gestión.</w:t>
      </w:r>
    </w:p>
  </w:footnote>
  <w:footnote w:id="38">
    <w:p>
      <w:pPr>
        <w:pStyle w:val="FootnoteText"/>
        <w:rPr>
          <w:lang w:val="es-ES"/>
        </w:rPr>
      </w:pPr>
      <w:r>
        <w:rPr>
          <w:rStyle w:val="FootnoteReference"/>
        </w:rPr>
        <w:footnoteRef/>
      </w:r>
      <w:r>
        <w:rPr>
          <w:lang w:val="es-ES"/>
        </w:rPr>
        <w:tab/>
        <w:t>DO L 347 de 20.12.2013, p. 884.</w:t>
      </w:r>
    </w:p>
  </w:footnote>
  <w:footnote w:id="39">
    <w:p>
      <w:pPr>
        <w:pStyle w:val="FootnoteText"/>
        <w:rPr>
          <w:lang w:val="es-ES"/>
        </w:rPr>
      </w:pPr>
      <w:r>
        <w:rPr>
          <w:rStyle w:val="FootnoteReference"/>
        </w:rPr>
        <w:footnoteRef/>
      </w:r>
      <w:r>
        <w:rPr>
          <w:lang w:val="es-ES"/>
        </w:rPr>
        <w:tab/>
        <w:t>DO C 373 de 20.12.2013, p. 1.</w:t>
      </w:r>
    </w:p>
  </w:footnote>
  <w:footnote w:id="40">
    <w:p>
      <w:pPr>
        <w:pStyle w:val="FootnoteText"/>
        <w:rPr>
          <w:lang w:val="es-ES"/>
        </w:rPr>
      </w:pPr>
      <w:r>
        <w:rPr>
          <w:rStyle w:val="FootnoteReference"/>
        </w:rPr>
        <w:footnoteRef/>
      </w:r>
      <w:r>
        <w:rPr>
          <w:lang w:val="es-ES"/>
        </w:rPr>
        <w:tab/>
        <w:t>DO L 347 de 20.12.2013, p. 855.</w:t>
      </w:r>
    </w:p>
  </w:footnote>
  <w:footnote w:id="41">
    <w:p>
      <w:pPr>
        <w:pStyle w:val="FootnoteText"/>
        <w:rPr>
          <w:lang w:val="es-ES"/>
        </w:rPr>
      </w:pPr>
      <w:r>
        <w:rPr>
          <w:rStyle w:val="FootnoteReference"/>
        </w:rPr>
        <w:footnoteRef/>
      </w:r>
      <w:r>
        <w:rPr>
          <w:lang w:val="es-ES"/>
        </w:rPr>
        <w:tab/>
        <w:t>DO C 373 de 20.12.2013, p. 1.</w:t>
      </w:r>
    </w:p>
  </w:footnote>
  <w:footnote w:id="42">
    <w:p>
      <w:pPr>
        <w:pStyle w:val="FootnoteText"/>
        <w:rPr>
          <w:lang w:val="es-ES"/>
        </w:rPr>
      </w:pPr>
      <w:r>
        <w:rPr>
          <w:rStyle w:val="FootnoteReference"/>
        </w:rPr>
        <w:footnoteRef/>
      </w:r>
      <w:r>
        <w:rPr>
          <w:lang w:val="es-ES"/>
        </w:rPr>
        <w:tab/>
        <w:t>Reglamento (UE, Euratom) n.º 1311/2013 del Consejo, de 2 de diciembre de 2013, por el que se establece el marco financiero plurianual para el período 2014-2020 (DO L 347 de 20.12.2013, p. 884).</w:t>
      </w:r>
    </w:p>
  </w:footnote>
  <w:footnote w:id="43">
    <w:p>
      <w:pPr>
        <w:pStyle w:val="FootnoteText"/>
        <w:rPr>
          <w:color w:val="FF0000"/>
          <w:lang w:val="es-ES"/>
        </w:rPr>
      </w:pPr>
      <w:r>
        <w:rPr>
          <w:rStyle w:val="FootnoteReference"/>
          <w:color w:val="FF0000"/>
        </w:rPr>
        <w:sym w:font="Symbol" w:char="F02A"/>
      </w:r>
      <w:r>
        <w:rPr>
          <w:color w:val="FF0000"/>
          <w:lang w:val="es-ES"/>
        </w:rPr>
        <w:t xml:space="preserve"> </w:t>
      </w:r>
      <w:r>
        <w:rPr>
          <w:lang w:val="es-ES"/>
        </w:rPr>
        <w:tab/>
      </w:r>
      <w:r>
        <w:rPr>
          <w:color w:val="FF0000"/>
          <w:lang w:val="es-ES"/>
        </w:rPr>
        <w:t>La fecha la insertará el Parlamento antes de la publicación en el DO.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BB686B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9E463D0"/>
    <w:lvl w:ilvl="0">
      <w:start w:val="1"/>
      <w:numFmt w:val="decimal"/>
      <w:pStyle w:val="ListNumber3"/>
      <w:lvlText w:val="%1."/>
      <w:lvlJc w:val="left"/>
      <w:pPr>
        <w:tabs>
          <w:tab w:val="num" w:pos="926"/>
        </w:tabs>
        <w:ind w:left="926" w:hanging="360"/>
      </w:pPr>
    </w:lvl>
  </w:abstractNum>
  <w:abstractNum w:abstractNumId="2">
    <w:nsid w:val="FFFFFF7F"/>
    <w:multiLevelType w:val="singleLevel"/>
    <w:tmpl w:val="780CFFFA"/>
    <w:lvl w:ilvl="0">
      <w:start w:val="1"/>
      <w:numFmt w:val="decimal"/>
      <w:pStyle w:val="ListNumber2"/>
      <w:lvlText w:val="%1."/>
      <w:lvlJc w:val="left"/>
      <w:pPr>
        <w:tabs>
          <w:tab w:val="num" w:pos="643"/>
        </w:tabs>
        <w:ind w:left="643" w:hanging="360"/>
      </w:pPr>
    </w:lvl>
  </w:abstractNum>
  <w:abstractNum w:abstractNumId="3">
    <w:nsid w:val="FFFFFF81"/>
    <w:multiLevelType w:val="singleLevel"/>
    <w:tmpl w:val="4498EC5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32C75C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90476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28232A"/>
    <w:lvl w:ilvl="0">
      <w:start w:val="1"/>
      <w:numFmt w:val="decimal"/>
      <w:pStyle w:val="ListNumber"/>
      <w:lvlText w:val="%1."/>
      <w:lvlJc w:val="left"/>
      <w:pPr>
        <w:tabs>
          <w:tab w:val="num" w:pos="360"/>
        </w:tabs>
        <w:ind w:left="360" w:hanging="360"/>
      </w:pPr>
    </w:lvl>
  </w:abstractNum>
  <w:abstractNum w:abstractNumId="7">
    <w:nsid w:val="FFFFFF89"/>
    <w:multiLevelType w:val="singleLevel"/>
    <w:tmpl w:val="45869BFC"/>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2"/>
    <w:lvlOverride w:ilvl="0">
      <w:startOverride w:val="1"/>
    </w:lvlOverride>
  </w:num>
  <w:num w:numId="12">
    <w:abstractNumId w:val="18"/>
  </w:num>
  <w:num w:numId="13">
    <w:abstractNumId w:val="12"/>
  </w:num>
  <w:num w:numId="14">
    <w:abstractNumId w:val="20"/>
  </w:num>
  <w:num w:numId="15">
    <w:abstractNumId w:val="11"/>
  </w:num>
  <w:num w:numId="16">
    <w:abstractNumId w:val="13"/>
  </w:num>
  <w:num w:numId="17">
    <w:abstractNumId w:val="9"/>
  </w:num>
  <w:num w:numId="18">
    <w:abstractNumId w:val="19"/>
  </w:num>
  <w:num w:numId="19">
    <w:abstractNumId w:val="8"/>
  </w:num>
  <w:num w:numId="20">
    <w:abstractNumId w:val="14"/>
  </w:num>
  <w:num w:numId="21">
    <w:abstractNumId w:val="16"/>
  </w:num>
  <w:num w:numId="22">
    <w:abstractNumId w:val="17"/>
  </w:num>
  <w:num w:numId="23">
    <w:abstractNumId w:val="10"/>
  </w:num>
  <w:num w:numId="24">
    <w:abstractNumId w:val="15"/>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hideGrammaticalErrors/>
  <w:attachedTemplate r:id="rId1"/>
  <w:revisionView w:markup="0"/>
  <w:documentProtection w:edit="forms" w:enforcement="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09-10 16:56:06"/>
    <w:docVar w:name="DQCResult_Distribution" w:val="0;0"/>
    <w:docVar w:name="DQCResult_DocumentContent" w:val="0;0"/>
    <w:docVar w:name="DQCResult_DocumentSize" w:val="0;0"/>
    <w:docVar w:name="DQCResult_DocumentVersions" w:val="0;0"/>
    <w:docVar w:name="DQCResult_InvalidFootnotes" w:val="0;1"/>
    <w:docVar w:name="DQCResult_LinkedStyles" w:val="0;0"/>
    <w:docVar w:name="DQCResult_ModifiedMargins" w:val="0;4"/>
    <w:docVar w:name="DQCResult_ModifiedMarkers" w:val="0;0"/>
    <w:docVar w:name="DQCResult_ModifiedNumbering" w:val="0;0"/>
    <w:docVar w:name="DQCResult_Objects" w:val="0;0"/>
    <w:docVar w:name="DQCResult_Sections" w:val="0;1"/>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40FBB0C2-B6D1-4FA9-ABB5-83FCF2BF60DE"/>
    <w:docVar w:name="LW_COVERPAGE_TYPE" w:val="1"/>
    <w:docVar w:name="LW_CROSSREFERENCE" w:val="&lt;UNUSED&gt;"/>
    <w:docVar w:name="LW_DocType" w:val="COM"/>
    <w:docVar w:name="LW_EMISSION" w:val="11.9.2020"/>
    <w:docVar w:name="LW_EMISSION_ISODATE" w:val="2020-09-11"/>
    <w:docVar w:name="LW_EMISSION_LOCATION" w:val="BRX"/>
    <w:docVar w:name="LW_EMISSION_PREFIX" w:val="Bruselas, "/>
    <w:docVar w:name="LW_EMISSION_SUFFIX" w:val="&lt;EMPTY&gt;"/>
    <w:docVar w:name="LW_ID_DOCMODEL" w:val="SJ-026"/>
    <w:docVar w:name="LW_ID_DOCSIGNATURE" w:val="SJ-026"/>
    <w:docVar w:name="LW_ID_DOCSTRUCTURE" w:val="COM/PL/ORG"/>
    <w:docVar w:name="LW_ID_DOCTYPE" w:val="SJ-026"/>
    <w:docVar w:name="LW_ID_EXP.MOTIFS.NEW" w:val="EM_PL_"/>
    <w:docVar w:name="LW_ID_STATUT" w:val="SJ-026"/>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lt;UNUSED&gt;"/>
    <w:docVar w:name="LW_REF.II.NEW.CP_NUMBER" w:val="&lt;UNUSED&gt;"/>
    <w:docVar w:name="LW_REF.II.NEW.CP_YEAR" w:val="2020"/>
    <w:docVar w:name="LW_REF.INST.NEW" w:val="COM"/>
    <w:docVar w:name="LW_REF.INST.NEW_ADOPTED" w:val="final"/>
    <w:docVar w:name="LW_REF.INST.NEW_TEXT" w:val="(2020) 48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relativa a la movilización del Fondo Europeo de Adaptación a la Globalización en respuesta a la _x000b_solicitud de España «EGF/2020/001 ES/Galicia shipbuilding ancillary sectors»"/>
    <w:docVar w:name="LW_TYPE.DOC.CP" w:val="DECISIÓN DEL PARLAMENTO EUROPEO Y DEL CONSEJO"/>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s-E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s-E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s-E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table" w:styleId="TableGrid">
    <w:name w:val="Table Grid"/>
    <w:basedOn w:val="TableNormal"/>
    <w:uiPriority w:val="39"/>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s-ES_tradnl"/>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467828">
      <w:bodyDiv w:val="1"/>
      <w:marLeft w:val="0"/>
      <w:marRight w:val="0"/>
      <w:marTop w:val="0"/>
      <w:marBottom w:val="0"/>
      <w:divBdr>
        <w:top w:val="none" w:sz="0" w:space="0" w:color="auto"/>
        <w:left w:val="none" w:sz="0" w:space="0" w:color="auto"/>
        <w:bottom w:val="none" w:sz="0" w:space="0" w:color="auto"/>
        <w:right w:val="none" w:sz="0" w:space="0" w:color="auto"/>
      </w:divBdr>
      <w:divsChild>
        <w:div w:id="1968655599">
          <w:marLeft w:val="0"/>
          <w:marRight w:val="0"/>
          <w:marTop w:val="0"/>
          <w:marBottom w:val="0"/>
          <w:divBdr>
            <w:top w:val="none" w:sz="0" w:space="0" w:color="auto"/>
            <w:left w:val="none" w:sz="0" w:space="0" w:color="auto"/>
            <w:bottom w:val="none" w:sz="0" w:space="0" w:color="auto"/>
            <w:right w:val="none" w:sz="0" w:space="0" w:color="auto"/>
          </w:divBdr>
          <w:divsChild>
            <w:div w:id="20782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43631">
      <w:bodyDiv w:val="1"/>
      <w:marLeft w:val="0"/>
      <w:marRight w:val="0"/>
      <w:marTop w:val="0"/>
      <w:marBottom w:val="0"/>
      <w:divBdr>
        <w:top w:val="none" w:sz="0" w:space="0" w:color="auto"/>
        <w:left w:val="none" w:sz="0" w:space="0" w:color="auto"/>
        <w:bottom w:val="none" w:sz="0" w:space="0" w:color="auto"/>
        <w:right w:val="none" w:sz="0" w:space="0" w:color="auto"/>
      </w:divBdr>
      <w:divsChild>
        <w:div w:id="817957014">
          <w:marLeft w:val="0"/>
          <w:marRight w:val="0"/>
          <w:marTop w:val="0"/>
          <w:marBottom w:val="0"/>
          <w:divBdr>
            <w:top w:val="none" w:sz="0" w:space="0" w:color="auto"/>
            <w:left w:val="none" w:sz="0" w:space="0" w:color="auto"/>
            <w:bottom w:val="none" w:sz="0" w:space="0" w:color="auto"/>
            <w:right w:val="none" w:sz="0" w:space="0" w:color="auto"/>
          </w:divBdr>
          <w:divsChild>
            <w:div w:id="8109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search?ei=uCTNXpLhFcvVkgWBnKWoCQ&amp;q=ECORYS+(2009)+Study+on+the+Competitiveness+of+the+European+Shipbuilding+Industry&amp;oq=ECORYS+(2009)+Study+on+the+Competitiveness+of+the+European+Shipbuilding+Industry&amp;gs_lcp=CgZwc3ktYWIQAzoECAAQR1C8wgJY5sgCYM7MAmgBcAF4AIABe4gBe5IBAzAuMZgBAKABAaABAqoBB2d3cy13aXqwAQA&amp;sclient=psy-ab&amp;ved=0ahUKEwiSnbjs29HpAhXLqqQKHQFOCZUQ4dUDCAs&amp;uact=5" TargetMode="External"/><Relationship Id="rId13" Type="http://schemas.openxmlformats.org/officeDocument/2006/relationships/hyperlink" Target="https://datosmacro.expansion.com/paro/espana/municipios/galicia/pontevedra/vigo" TargetMode="External"/><Relationship Id="rId3" Type="http://schemas.openxmlformats.org/officeDocument/2006/relationships/hyperlink" Target="https://www.oecd-ilibrary.org/science-and-technology/an-analysis-of-market-distorting-factors-in-shipbuilding_b39ade10-en" TargetMode="External"/><Relationship Id="rId7" Type="http://schemas.openxmlformats.org/officeDocument/2006/relationships/hyperlink" Target="http://www.seaeurope.eu/ClientData/181/660/443865/3660/4/SEA%20Europe%20Annual%20Report%202018%202019%20website%20version%20final.pdf" TargetMode="External"/><Relationship Id="rId12" Type="http://schemas.openxmlformats.org/officeDocument/2006/relationships/hyperlink" Target="http://revistaeconomiacritica.org/sites/default/files/revistas/n8/2_alejandro_gzlez.pdf" TargetMode="External"/><Relationship Id="rId2" Type="http://schemas.openxmlformats.org/officeDocument/2006/relationships/hyperlink" Target="https://www.oecd-ilibrary.org/science-and-technology/an-analysis-of-market-distorting-factors-in-shipbuilding_b39ade10-en" TargetMode="External"/><Relationship Id="rId1" Type="http://schemas.openxmlformats.org/officeDocument/2006/relationships/hyperlink" Target="https://danskemaritime.dk/wp-content/uploads/2017/04/SEA-MM-REPORT-No-46-FY-2018.pdf" TargetMode="External"/><Relationship Id="rId6" Type="http://schemas.openxmlformats.org/officeDocument/2006/relationships/hyperlink" Target="http://www.seaeurope.eu/ClientData/181/660/443865/3660/4/SEA%20Europe%20Annual%20Report%202018%202019%20website%20version%20final.pdf" TargetMode="External"/><Relationship Id="rId11" Type="http://schemas.openxmlformats.org/officeDocument/2006/relationships/hyperlink" Target="https://www.zfv.es/ardan/informes/informeardangalicia2019.pdf" TargetMode="External"/><Relationship Id="rId5" Type="http://schemas.openxmlformats.org/officeDocument/2006/relationships/hyperlink" Target="http://www.seaeurope.eu/ClientData/181/660/443865/3660/4/SEA%20Europe%20Annual%20Report%202018%202019%20website%20version%20final.pdf" TargetMode="External"/><Relationship Id="rId10" Type="http://schemas.openxmlformats.org/officeDocument/2006/relationships/hyperlink" Target="https://www.zfv.es/ardan/informes/informeardangalicia2019.pdf" TargetMode="External"/><Relationship Id="rId4" Type="http://schemas.openxmlformats.org/officeDocument/2006/relationships/hyperlink" Target="https://www.oecd-ilibrary.org/science-and-technology/an-analysis-of-market-distorting-factors-in-shipbuilding_b39ade10-en" TargetMode="External"/><Relationship Id="rId9" Type="http://schemas.openxmlformats.org/officeDocument/2006/relationships/hyperlink" Target="http://www.ige.eu" TargetMode="External"/><Relationship Id="rId14" Type="http://schemas.openxmlformats.org/officeDocument/2006/relationships/hyperlink" Target="https://datosmacro.expansion.com/paro-epa/espana-comunidades-autonomas/galicia?sector=Tasa+de+desempleo+(EPA)&amp;sc=UEPAR-&amp;anio=20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BC954-9AC0-453B-AF6F-EAC0458FA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17</Pages>
  <Words>5078</Words>
  <Characters>26817</Characters>
  <Application>Microsoft Office Word</Application>
  <DocSecurity>0</DocSecurity>
  <Lines>744</Lines>
  <Paragraphs>398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18</cp:revision>
  <dcterms:created xsi:type="dcterms:W3CDTF">2020-09-10T12:24:00Z</dcterms:created>
  <dcterms:modified xsi:type="dcterms:W3CDTF">2020-09-10T14:56:00Z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6.0.1.0</vt:lpwstr>
  </property>
  <property fmtid="{D5CDD505-2E9C-101B-9397-08002B2CF9AE}" pid="4" name="Last edited using">
    <vt:lpwstr>LW 7.0, Build 20190717</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SJ-026</vt:lpwstr>
  </property>
  <property fmtid="{D5CDD505-2E9C-101B-9397-08002B2CF9AE}" pid="10" name="DQCStatus">
    <vt:lpwstr>Green (DQC version 03)</vt:lpwstr>
  </property>
</Properties>
</file>